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tabs>
          <w:tab w:pos="4106" w:val="left" w:leader="none"/>
          <w:tab w:pos="8251" w:val="left" w:leader="none"/>
        </w:tabs>
        <w:spacing w:line="240" w:lineRule="auto"/>
        <w:ind w:right="0"/>
        <w:jc w:val="left"/>
        <w:rPr>
          <w:rFonts w:ascii="宋体" w:hAnsi="宋体" w:cs="宋体" w:eastAsia="宋体" w:hint="default"/>
        </w:rPr>
      </w:pPr>
      <w:r>
        <w:rPr/>
        <w:pict>
          <v:group style="position:absolute;margin-left:55.575001pt;margin-top:-35.643299pt;width:485.85pt;height:.1pt;mso-position-horizontal-relative:page;mso-position-vertical-relative:paragraph;z-index:0" coordorigin="1112,-713" coordsize="9717,2">
            <v:shape style="position:absolute;left:1112;top:-713;width:9717;height:2" coordorigin="1112,-713" coordsize="9717,0" path="m1112,-713l10829,-713e" filled="false" stroked="true" strokeweight=".75pt" strokecolor="#000000">
              <v:path arrowok="t"/>
            </v:shape>
            <w10:wrap type="none"/>
          </v:group>
        </w:pict>
      </w:r>
      <w:r>
        <w:rPr/>
        <w:t>证券代码</w:t>
      </w:r>
      <w:r>
        <w:rPr>
          <w:spacing w:val="-89"/>
        </w:rPr>
        <w:t>：</w:t>
      </w:r>
      <w:r>
        <w:rPr>
          <w:rFonts w:ascii="宋体" w:hAnsi="宋体" w:cs="宋体" w:eastAsia="宋体" w:hint="default"/>
        </w:rPr>
        <w:t>300612</w:t>
        <w:tab/>
      </w:r>
      <w:r>
        <w:rPr/>
        <w:t>证券简称</w:t>
      </w:r>
      <w:r>
        <w:rPr>
          <w:spacing w:val="-90"/>
        </w:rPr>
        <w:t>：</w:t>
      </w:r>
      <w:r>
        <w:rPr/>
        <w:t>宣亚国际</w:t>
        <w:tab/>
        <w:t>公告编号</w:t>
      </w:r>
      <w:r>
        <w:rPr>
          <w:spacing w:val="-89"/>
        </w:rPr>
        <w:t>：</w:t>
      </w:r>
      <w:r>
        <w:rPr>
          <w:rFonts w:ascii="宋体" w:hAnsi="宋体" w:cs="宋体" w:eastAsia="宋体" w:hint="default"/>
        </w:rPr>
        <w:t>2020-023</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450" w:lineRule="exact"/>
        <w:ind w:left="3845" w:right="0" w:firstLine="0"/>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409700" cy="2857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285750"/>
                    </a:xfrm>
                    <a:prstGeom prst="rect">
                      <a:avLst/>
                    </a:prstGeom>
                  </pic:spPr>
                </pic:pic>
              </a:graphicData>
            </a:graphic>
          </wp:inline>
        </w:drawing>
      </w:r>
      <w:r>
        <w:rPr>
          <w:rFonts w:ascii="宋体" w:hAnsi="宋体" w:cs="宋体" w:eastAsia="宋体" w:hint="default"/>
          <w:position w:val="-8"/>
          <w:sz w:val="20"/>
          <w:szCs w:val="20"/>
        </w:rPr>
      </w:r>
    </w:p>
    <w:p>
      <w:pPr>
        <w:spacing w:line="240" w:lineRule="auto" w:before="7"/>
        <w:rPr>
          <w:rFonts w:ascii="宋体" w:hAnsi="宋体" w:cs="宋体" w:eastAsia="宋体" w:hint="default"/>
          <w:sz w:val="12"/>
          <w:szCs w:val="12"/>
        </w:rPr>
      </w:pPr>
    </w:p>
    <w:p>
      <w:pPr>
        <w:spacing w:line="460" w:lineRule="exact" w:before="0"/>
        <w:ind w:left="1691" w:right="2673" w:firstLine="0"/>
        <w:jc w:val="center"/>
        <w:rPr>
          <w:rFonts w:ascii="宋体" w:hAnsi="宋体" w:cs="宋体" w:eastAsia="宋体" w:hint="default"/>
          <w:sz w:val="36"/>
          <w:szCs w:val="36"/>
        </w:rPr>
      </w:pPr>
      <w:r>
        <w:rPr>
          <w:rFonts w:ascii="宋体" w:hAnsi="宋体" w:cs="宋体" w:eastAsia="宋体" w:hint="default"/>
          <w:b/>
          <w:bCs/>
          <w:sz w:val="36"/>
          <w:szCs w:val="36"/>
        </w:rPr>
        <w:t>宣亚国际营销科技（北京）股份有限公司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31"/>
          <w:szCs w:val="31"/>
        </w:rPr>
      </w:pPr>
    </w:p>
    <w:p>
      <w:pPr>
        <w:spacing w:before="0"/>
        <w:ind w:left="1691" w:right="2658"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41"/>
          <w:szCs w:val="41"/>
        </w:rPr>
      </w:pPr>
    </w:p>
    <w:p>
      <w:pPr>
        <w:spacing w:before="0"/>
        <w:ind w:left="1691" w:right="2658"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0"/>
        <w:jc w:val="left"/>
        <w:rPr>
          <w:b w:val="0"/>
          <w:bCs w:val="0"/>
        </w:rPr>
      </w:pPr>
      <w:bookmarkStart w:name="第一节重要提示、目录和释义" w:id="1"/>
      <w:bookmarkEnd w:id="1"/>
      <w:r>
        <w:rPr>
          <w:b w:val="0"/>
          <w:bCs w:val="0"/>
        </w:rPr>
      </w:r>
      <w:bookmarkStart w:name="_bookmark0" w:id="2"/>
      <w:bookmarkEnd w:id="2"/>
      <w:r>
        <w:rPr>
          <w:b w:val="0"/>
          <w:bCs w:val="0"/>
        </w:rPr>
      </w:r>
      <w:r>
        <w:rPr>
          <w:spacing w:val="6"/>
        </w:rPr>
        <w:t>第一节重要提示、目录和释义</w:t>
      </w:r>
      <w:r>
        <w:rPr>
          <w:b w:val="0"/>
          <w:bCs w:val="0"/>
          <w:spacing w:val="6"/>
        </w:rPr>
      </w:r>
    </w:p>
    <w:p>
      <w:pPr>
        <w:spacing w:line="240" w:lineRule="auto" w:before="0"/>
        <w:rPr>
          <w:rFonts w:ascii="宋体" w:hAnsi="宋体" w:cs="宋体" w:eastAsia="宋体" w:hint="default"/>
          <w:b/>
          <w:bCs/>
          <w:sz w:val="32"/>
          <w:szCs w:val="32"/>
        </w:rPr>
      </w:pPr>
    </w:p>
    <w:p>
      <w:pPr>
        <w:pStyle w:val="Heading2"/>
        <w:spacing w:line="408" w:lineRule="auto" w:before="216"/>
        <w:ind w:right="1089" w:firstLine="555"/>
        <w:jc w:val="both"/>
        <w:rPr>
          <w:b w:val="0"/>
          <w:bCs w:val="0"/>
        </w:rPr>
      </w:pPr>
      <w:r>
        <w:rPr>
          <w:spacing w:val="-1"/>
        </w:rPr>
        <w:t>公司董事会、监事会及董事、监事、高级管理人员保证年度报告内容的真</w:t>
      </w:r>
      <w:r>
        <w:rPr>
          <w:w w:val="101"/>
        </w:rPr>
        <w:t> </w:t>
      </w:r>
      <w:r>
        <w:rPr>
          <w:spacing w:val="-1"/>
        </w:rPr>
        <w:t>实、准确、完整，不存在虚假记载、误导性陈述或重大遗漏，并承担个别和连</w:t>
      </w:r>
      <w:r>
        <w:rPr>
          <w:spacing w:val="10"/>
        </w:rPr>
        <w:t> </w:t>
      </w:r>
      <w:r>
        <w:rPr>
          <w:spacing w:val="10"/>
        </w:rPr>
      </w:r>
      <w:r>
        <w:rPr>
          <w:spacing w:val="-3"/>
        </w:rPr>
        <w:t>带的法律责任。</w:t>
      </w:r>
      <w:r>
        <w:rPr>
          <w:b w:val="0"/>
          <w:bCs w:val="0"/>
          <w:spacing w:val="-3"/>
        </w:rPr>
      </w:r>
    </w:p>
    <w:p>
      <w:pPr>
        <w:pStyle w:val="Heading2"/>
        <w:spacing w:line="391" w:lineRule="auto" w:before="158"/>
        <w:ind w:right="1109" w:firstLine="555"/>
        <w:jc w:val="both"/>
        <w:rPr>
          <w:b w:val="0"/>
          <w:bCs w:val="0"/>
        </w:rPr>
      </w:pPr>
      <w:r>
        <w:rPr>
          <w:spacing w:val="-5"/>
        </w:rPr>
        <w:t>公司负责人邬涛、主管会计工作负责人宾卫及会计机构负责人</w:t>
      </w:r>
      <w:r>
        <w:rPr>
          <w:rFonts w:ascii="Times New Roman" w:hAnsi="Times New Roman" w:cs="Times New Roman" w:eastAsia="Times New Roman" w:hint="default"/>
          <w:spacing w:val="-5"/>
        </w:rPr>
        <w:t>(</w:t>
      </w:r>
      <w:r>
        <w:rPr>
          <w:spacing w:val="-5"/>
        </w:rPr>
        <w:t>会计主管人</w:t>
      </w:r>
      <w:r>
        <w:rPr>
          <w:w w:val="101"/>
        </w:rPr>
        <w:t> </w:t>
      </w:r>
      <w:r>
        <w:rPr>
          <w:spacing w:val="-4"/>
        </w:rPr>
        <w:t>员</w:t>
      </w:r>
      <w:r>
        <w:rPr>
          <w:rFonts w:ascii="Times New Roman" w:hAnsi="Times New Roman" w:cs="Times New Roman" w:eastAsia="Times New Roman" w:hint="default"/>
          <w:spacing w:val="-4"/>
        </w:rPr>
        <w:t>)</w:t>
      </w:r>
      <w:r>
        <w:rPr>
          <w:spacing w:val="-4"/>
        </w:rPr>
        <w:t>张靖声明：保证年度报告中财务报告的真实、准确、完整。</w:t>
      </w:r>
      <w:r>
        <w:rPr>
          <w:b w:val="0"/>
          <w:bCs w:val="0"/>
          <w:spacing w:val="-4"/>
        </w:rPr>
      </w:r>
    </w:p>
    <w:p>
      <w:pPr>
        <w:pStyle w:val="Heading2"/>
        <w:spacing w:line="472" w:lineRule="auto" w:before="138"/>
        <w:ind w:left="696" w:right="0"/>
        <w:jc w:val="left"/>
        <w:rPr>
          <w:b w:val="0"/>
          <w:bCs w:val="0"/>
        </w:rPr>
      </w:pPr>
      <w:r>
        <w:rPr>
          <w:spacing w:val="-4"/>
        </w:rPr>
        <w:t>所有董事均已出席了审议本报告的董事会会议。</w:t>
      </w:r>
      <w:r>
        <w:rPr>
          <w:spacing w:val="-29"/>
        </w:rPr>
        <w:t> </w:t>
      </w:r>
      <w:r>
        <w:rPr>
          <w:spacing w:val="-29"/>
        </w:rPr>
      </w:r>
      <w:r>
        <w:rPr>
          <w:spacing w:val="-1"/>
        </w:rPr>
        <w:t>本报告所涉及的经营业绩的预计等前瞻性陈述均属于公司计划性事项，存</w:t>
      </w:r>
      <w:r>
        <w:rPr>
          <w:b w:val="0"/>
          <w:bCs w:val="0"/>
          <w:spacing w:val="-1"/>
        </w:rPr>
      </w:r>
    </w:p>
    <w:p>
      <w:pPr>
        <w:pStyle w:val="Heading2"/>
        <w:spacing w:line="403" w:lineRule="auto"/>
        <w:ind w:right="1089"/>
        <w:jc w:val="both"/>
        <w:rPr>
          <w:b w:val="0"/>
          <w:bCs w:val="0"/>
        </w:rPr>
      </w:pPr>
      <w:r>
        <w:rPr>
          <w:spacing w:val="-1"/>
        </w:rPr>
        <w:t>在一定的不确定性，不构成公司对投资者的实质性承诺，敬请投资者注意投资</w:t>
      </w:r>
      <w:r>
        <w:rPr>
          <w:spacing w:val="10"/>
        </w:rPr>
        <w:t> </w:t>
      </w:r>
      <w:r>
        <w:rPr>
          <w:spacing w:val="10"/>
        </w:rPr>
      </w:r>
      <w:r>
        <w:rPr>
          <w:spacing w:val="-1"/>
        </w:rPr>
        <w:t>风险。公司年度报告中如有涉及未来计划、规划等预测性陈述，均不构成公司</w:t>
      </w:r>
      <w:r>
        <w:rPr>
          <w:spacing w:val="10"/>
        </w:rPr>
        <w:t> </w:t>
      </w:r>
      <w:r>
        <w:rPr>
          <w:spacing w:val="10"/>
        </w:rPr>
      </w:r>
      <w:r>
        <w:rPr>
          <w:spacing w:val="-1"/>
        </w:rPr>
        <w:t>对投资者及相关人士的承诺，投资者及相关人士均应当对此保持足够的风险认</w:t>
      </w:r>
      <w:r>
        <w:rPr>
          <w:spacing w:val="9"/>
        </w:rPr>
        <w:t> </w:t>
      </w:r>
      <w:r>
        <w:rPr>
          <w:spacing w:val="9"/>
        </w:rPr>
      </w:r>
      <w:r>
        <w:rPr>
          <w:spacing w:val="-1"/>
        </w:rPr>
        <w:t>识，并且应当理解计划、预测与承诺之间的差异。公司目前不存在影响公司正</w:t>
      </w:r>
      <w:r>
        <w:rPr>
          <w:spacing w:val="10"/>
        </w:rPr>
        <w:t> </w:t>
      </w:r>
      <w:r>
        <w:rPr>
          <w:spacing w:val="10"/>
        </w:rPr>
      </w:r>
      <w:r>
        <w:rPr>
          <w:spacing w:val="-6"/>
        </w:rPr>
        <w:t>常经营的重大风险。公司日常经营中可能面临的风险因素详见</w:t>
      </w:r>
      <w:r>
        <w:rPr>
          <w:rFonts w:ascii="Times New Roman" w:hAnsi="Times New Roman" w:cs="Times New Roman" w:eastAsia="Times New Roman" w:hint="default"/>
          <w:spacing w:val="-6"/>
        </w:rPr>
        <w:t>“</w:t>
      </w:r>
      <w:r>
        <w:rPr>
          <w:spacing w:val="-6"/>
        </w:rPr>
        <w:t>第四节经营情况</w:t>
      </w:r>
      <w:r>
        <w:rPr>
          <w:spacing w:val="37"/>
        </w:rPr>
        <w:t> </w:t>
      </w:r>
      <w:r>
        <w:rPr>
          <w:spacing w:val="37"/>
        </w:rPr>
      </w:r>
      <w:r>
        <w:rPr>
          <w:spacing w:val="-6"/>
        </w:rPr>
        <w:t>讨论与分析</w:t>
      </w:r>
      <w:r>
        <w:rPr>
          <w:rFonts w:ascii="Times New Roman" w:hAnsi="Times New Roman" w:cs="Times New Roman" w:eastAsia="Times New Roman" w:hint="default"/>
          <w:spacing w:val="-6"/>
        </w:rPr>
        <w:t>”</w:t>
      </w:r>
      <w:r>
        <w:rPr>
          <w:spacing w:val="-6"/>
        </w:rPr>
        <w:t>之</w:t>
      </w:r>
      <w:r>
        <w:rPr>
          <w:rFonts w:ascii="Times New Roman" w:hAnsi="Times New Roman" w:cs="Times New Roman" w:eastAsia="Times New Roman" w:hint="default"/>
          <w:spacing w:val="-6"/>
        </w:rPr>
        <w:t>“</w:t>
      </w:r>
      <w:r>
        <w:rPr>
          <w:spacing w:val="-6"/>
        </w:rPr>
        <w:t>九、公司未来发展的展望</w:t>
      </w:r>
      <w:r>
        <w:rPr>
          <w:rFonts w:ascii="Times New Roman" w:hAnsi="Times New Roman" w:cs="Times New Roman" w:eastAsia="Times New Roman" w:hint="default"/>
          <w:spacing w:val="-6"/>
        </w:rPr>
        <w:t>”</w:t>
      </w:r>
      <w:r>
        <w:rPr>
          <w:spacing w:val="-6"/>
        </w:rPr>
        <w:t>中</w:t>
      </w:r>
      <w:r>
        <w:rPr>
          <w:rFonts w:ascii="Times New Roman" w:hAnsi="Times New Roman" w:cs="Times New Roman" w:eastAsia="Times New Roman" w:hint="default"/>
          <w:spacing w:val="-6"/>
        </w:rPr>
        <w:t>“</w:t>
      </w:r>
      <w:r>
        <w:rPr>
          <w:spacing w:val="-6"/>
        </w:rPr>
        <w:t>（四）可能面对的风险</w:t>
      </w:r>
      <w:r>
        <w:rPr>
          <w:rFonts w:ascii="Times New Roman" w:hAnsi="Times New Roman" w:cs="Times New Roman" w:eastAsia="Times New Roman" w:hint="default"/>
          <w:spacing w:val="-6"/>
        </w:rPr>
        <w:t>”</w:t>
      </w:r>
      <w:r>
        <w:rPr>
          <w:spacing w:val="-6"/>
        </w:rPr>
        <w:t>。敬请广</w:t>
      </w:r>
      <w:r>
        <w:rPr>
          <w:spacing w:val="48"/>
        </w:rPr>
        <w:t> </w:t>
      </w:r>
      <w:r>
        <w:rPr>
          <w:spacing w:val="48"/>
        </w:rPr>
      </w:r>
      <w:r>
        <w:rPr>
          <w:spacing w:val="-4"/>
        </w:rPr>
        <w:t>大投资者关注，并注意投资风险。</w:t>
      </w:r>
      <w:r>
        <w:rPr>
          <w:b w:val="0"/>
          <w:bCs w:val="0"/>
          <w:spacing w:val="-4"/>
        </w:rPr>
      </w:r>
    </w:p>
    <w:p>
      <w:pPr>
        <w:pStyle w:val="Heading2"/>
        <w:spacing w:line="240" w:lineRule="auto" w:before="163"/>
        <w:ind w:left="696" w:right="0"/>
        <w:jc w:val="left"/>
        <w:rPr>
          <w:b w:val="0"/>
          <w:bCs w:val="0"/>
        </w:rPr>
      </w:pPr>
      <w:r>
        <w:rPr>
          <w:spacing w:val="-4"/>
        </w:rPr>
        <w:t>公司计划不派发现金红利，不送红股，不以公积金转增股本。</w:t>
      </w:r>
      <w:r>
        <w:rPr>
          <w:b w:val="0"/>
          <w:bCs w:val="0"/>
          <w:spacing w:val="-4"/>
        </w:rPr>
      </w:r>
    </w:p>
    <w:p>
      <w:pPr>
        <w:spacing w:after="0" w:line="240" w:lineRule="auto"/>
        <w:jc w:val="left"/>
        <w:sectPr>
          <w:footerReference w:type="default" r:id="rId8"/>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60" w:lineRule="exact" w:before="0"/>
        <w:ind w:left="1689" w:right="267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39</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62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69</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70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71</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80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87</w:t>
            </w:r>
          </w:hyperlink>
        </w:p>
        <w:p>
          <w:pPr>
            <w:pStyle w:val="TOC1"/>
            <w:tabs>
              <w:tab w:pos="9782" w:val="right" w:leader="dot"/>
            </w:tabs>
            <w:spacing w:line="240" w:lineRule="auto" w:before="111"/>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88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216</w:t>
            </w:r>
          </w:hyperlink>
        </w:p>
        <w:p>
          <w:pPr/>
          <w:r>
            <w:fldChar w:fldCharType="end"/>
          </w:r>
        </w:p>
      </w:sdtContent>
    </w:sdt>
    <w:p>
      <w:pPr>
        <w:spacing w:after="0"/>
        <w:sectPr>
          <w:pgSz w:w="11910" w:h="16850"/>
          <w:pgMar w:header="731" w:footer="981" w:top="1040" w:bottom="1180" w:left="1000" w:right="0"/>
        </w:sectPr>
      </w:pPr>
    </w:p>
    <w:p>
      <w:pPr>
        <w:spacing w:before="953"/>
        <w:ind w:left="1691" w:right="2645"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3"/>
          <w:szCs w:val="13"/>
        </w:rPr>
      </w:pPr>
    </w:p>
    <w:p>
      <w:pPr>
        <w:pStyle w:val="BodyText"/>
        <w:spacing w:line="240" w:lineRule="auto"/>
        <w:ind w:left="0" w:right="1066"/>
        <w:jc w:val="right"/>
      </w:pPr>
      <w:r>
        <w:rPr/>
        <w:pict>
          <v:shape style="position:absolute;margin-left:56.325001pt;margin-top:-83.30825pt;width:484pt;height:605.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413"/>
                    <w:gridCol w:w="6691"/>
                  </w:tblGrid>
                  <w:tr>
                    <w:trPr>
                      <w:trHeight w:val="405"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公司、本公司、宣亚国际</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宣亚国际营销科技（北京）股份有限公司</w:t>
                        </w:r>
                      </w:p>
                    </w:tc>
                  </w:tr>
                  <w:tr>
                    <w:trPr>
                      <w:trHeight w:val="391"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北京宣亚国际投资有限公司，系公司的控股股东</w:t>
                        </w: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北京橙色动力咨询中心（有限合伙</w:t>
                        </w:r>
                        <w:r>
                          <w:rPr>
                            <w:rFonts w:ascii="宋体" w:hAnsi="宋体" w:cs="宋体" w:eastAsia="宋体" w:hint="default"/>
                            <w:spacing w:val="-90"/>
                            <w:sz w:val="18"/>
                            <w:szCs w:val="18"/>
                          </w:rPr>
                          <w:t>）</w:t>
                        </w:r>
                        <w:r>
                          <w:rPr>
                            <w:rFonts w:ascii="宋体" w:hAnsi="宋体" w:cs="宋体" w:eastAsia="宋体" w:hint="default"/>
                            <w:sz w:val="18"/>
                            <w:szCs w:val="18"/>
                          </w:rPr>
                          <w:t>，系公司持股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以上股东之一</w:t>
                        </w:r>
                      </w:p>
                    </w:tc>
                  </w:tr>
                  <w:tr>
                    <w:trPr>
                      <w:trHeight w:val="158" w:hRule="exact"/>
                    </w:trPr>
                    <w:tc>
                      <w:tcPr>
                        <w:tcW w:w="2553" w:type="dxa"/>
                        <w:vMerge w:val="restart"/>
                        <w:tcBorders>
                          <w:top w:val="single" w:sz="6" w:space="0" w:color="000000"/>
                          <w:left w:val="single" w:sz="6" w:space="0" w:color="000000"/>
                          <w:right w:val="single" w:sz="12" w:space="0" w:color="D2D2D2"/>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413"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321" w:lineRule="auto" w:before="44"/>
                          <w:ind w:left="30" w:right="119"/>
                          <w:jc w:val="left"/>
                          <w:rPr>
                            <w:rFonts w:ascii="宋体" w:hAnsi="宋体" w:cs="宋体" w:eastAsia="宋体" w:hint="default"/>
                            <w:sz w:val="18"/>
                            <w:szCs w:val="18"/>
                          </w:rPr>
                        </w:pPr>
                        <w:r>
                          <w:rPr>
                            <w:rFonts w:ascii="宋体" w:hAnsi="宋体" w:cs="宋体" w:eastAsia="宋体" w:hint="default"/>
                            <w:spacing w:val="-13"/>
                            <w:sz w:val="18"/>
                            <w:szCs w:val="18"/>
                          </w:rPr>
                          <w:t>南平伟岸仲合信息咨询中心（有限合伙）（原名：北京伟岸仲合咨询中心（有限合伙））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系公司持股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以上股东之一</w:t>
                        </w:r>
                      </w:p>
                    </w:tc>
                  </w:tr>
                  <w:tr>
                    <w:trPr>
                      <w:trHeight w:val="391" w:hRule="exact"/>
                    </w:trPr>
                    <w:tc>
                      <w:tcPr>
                        <w:tcW w:w="2553" w:type="dxa"/>
                        <w:vMerge/>
                        <w:tcBorders>
                          <w:left w:val="single" w:sz="6" w:space="0" w:color="000000"/>
                          <w:right w:val="single" w:sz="12" w:space="0" w:color="D2D2D2"/>
                        </w:tcBorders>
                      </w:tcPr>
                      <w:p>
                        <w:pPr/>
                      </w:p>
                    </w:tc>
                    <w:tc>
                      <w:tcPr>
                        <w:tcW w:w="41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173" w:hRule="exact"/>
                    </w:trPr>
                    <w:tc>
                      <w:tcPr>
                        <w:tcW w:w="2553" w:type="dxa"/>
                        <w:vMerge/>
                        <w:tcBorders>
                          <w:left w:val="single" w:sz="6" w:space="0" w:color="000000"/>
                          <w:bottom w:val="single" w:sz="6" w:space="0" w:color="000000"/>
                          <w:right w:val="single" w:sz="12" w:space="0" w:color="D2D2D2"/>
                        </w:tcBorders>
                      </w:tcPr>
                      <w:p>
                        <w:pPr/>
                      </w:p>
                    </w:tc>
                    <w:tc>
                      <w:tcPr>
                        <w:tcW w:w="413"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406"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北京金凤银凰咨询中心（有限合伙</w:t>
                        </w:r>
                        <w:r>
                          <w:rPr>
                            <w:rFonts w:ascii="宋体" w:hAnsi="宋体" w:cs="宋体" w:eastAsia="宋体" w:hint="default"/>
                            <w:spacing w:val="-90"/>
                            <w:sz w:val="18"/>
                            <w:szCs w:val="18"/>
                          </w:rPr>
                          <w:t>）</w:t>
                        </w:r>
                        <w:r>
                          <w:rPr>
                            <w:rFonts w:ascii="宋体" w:hAnsi="宋体" w:cs="宋体" w:eastAsia="宋体" w:hint="default"/>
                            <w:sz w:val="18"/>
                            <w:szCs w:val="18"/>
                          </w:rPr>
                          <w:t>，系公司持股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以上股东之一</w:t>
                        </w:r>
                      </w:p>
                    </w:tc>
                  </w:tr>
                  <w:tr>
                    <w:trPr>
                      <w:trHeight w:val="390"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亚太</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Asia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Pacific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，译为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亚太有限公司，系公司的股东之一</w:t>
                        </w: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北京品推宝移动科技有限公司，系公司全资子公司</w:t>
                        </w:r>
                      </w:p>
                    </w:tc>
                  </w:tr>
                  <w:tr>
                    <w:trPr>
                      <w:trHeight w:val="406"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新兵连公司</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北京新兵连文化传媒有限公司，系公司全资子公司</w:t>
                        </w: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秦皇岛公关公司</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秦皇岛宣亚公共关系顾问有限公司，系公司全资子公司</w:t>
                        </w:r>
                      </w:p>
                    </w:tc>
                  </w:tr>
                  <w:tr>
                    <w:trPr>
                      <w:trHeight w:val="158" w:hRule="exact"/>
                    </w:trPr>
                    <w:tc>
                      <w:tcPr>
                        <w:tcW w:w="2553" w:type="dxa"/>
                        <w:vMerge w:val="restart"/>
                        <w:tcBorders>
                          <w:top w:val="single" w:sz="6" w:space="0" w:color="000000"/>
                          <w:left w:val="single" w:sz="6" w:space="0" w:color="000000"/>
                          <w:right w:val="single" w:sz="18" w:space="0" w:color="D2D2D2"/>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宣亚美国</w:t>
                        </w:r>
                      </w:p>
                    </w:tc>
                    <w:tc>
                      <w:tcPr>
                        <w:tcW w:w="413"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288" w:lineRule="auto" w:before="45"/>
                          <w:ind w:left="30" w:right="16"/>
                          <w:jc w:val="left"/>
                          <w:rPr>
                            <w:rFonts w:ascii="宋体" w:hAnsi="宋体" w:cs="宋体" w:eastAsia="宋体" w:hint="default"/>
                            <w:sz w:val="18"/>
                            <w:szCs w:val="18"/>
                          </w:rPr>
                        </w:pPr>
                        <w:r>
                          <w:rPr>
                            <w:rFonts w:ascii="Times New Roman" w:hAnsi="Times New Roman" w:cs="Times New Roman" w:eastAsia="Times New Roman" w:hint="default"/>
                            <w:spacing w:val="-5"/>
                            <w:w w:val="99"/>
                            <w:sz w:val="18"/>
                            <w:szCs w:val="18"/>
                          </w:rPr>
                          <w:t>SHUNYA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INTERNATIONAL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6"/>
                            <w:w w:val="99"/>
                            <w:sz w:val="18"/>
                            <w:szCs w:val="18"/>
                          </w:rPr>
                          <w:t>INC.</w:t>
                        </w:r>
                        <w:r>
                          <w:rPr>
                            <w:rFonts w:ascii="宋体" w:hAnsi="宋体" w:cs="宋体" w:eastAsia="宋体" w:hint="default"/>
                            <w:spacing w:val="-6"/>
                            <w:w w:val="99"/>
                            <w:sz w:val="18"/>
                            <w:szCs w:val="18"/>
                          </w:rPr>
                          <w:t>（译为：宣亚国际有限公司），系公司于美国设立的</w:t>
                        </w:r>
                        <w:r>
                          <w:rPr>
                            <w:rFonts w:ascii="宋体" w:hAnsi="宋体" w:cs="宋体" w:eastAsia="宋体" w:hint="default"/>
                            <w:spacing w:val="-73"/>
                            <w:w w:val="99"/>
                            <w:sz w:val="18"/>
                            <w:szCs w:val="18"/>
                          </w:rPr>
                          <w:t> </w:t>
                        </w:r>
                        <w:r>
                          <w:rPr>
                            <w:rFonts w:ascii="宋体" w:hAnsi="宋体" w:cs="宋体" w:eastAsia="宋体" w:hint="default"/>
                            <w:spacing w:val="-73"/>
                            <w:w w:val="99"/>
                            <w:sz w:val="18"/>
                            <w:szCs w:val="18"/>
                          </w:rPr>
                        </w:r>
                        <w:r>
                          <w:rPr>
                            <w:rFonts w:ascii="宋体" w:hAnsi="宋体" w:cs="宋体" w:eastAsia="宋体" w:hint="default"/>
                            <w:sz w:val="18"/>
                            <w:szCs w:val="18"/>
                          </w:rPr>
                          <w:t>全资子公司</w:t>
                        </w:r>
                      </w:p>
                    </w:tc>
                  </w:tr>
                  <w:tr>
                    <w:trPr>
                      <w:trHeight w:val="390" w:hRule="exact"/>
                    </w:trPr>
                    <w:tc>
                      <w:tcPr>
                        <w:tcW w:w="2553" w:type="dxa"/>
                        <w:vMerge/>
                        <w:tcBorders>
                          <w:left w:val="single" w:sz="6" w:space="0" w:color="000000"/>
                          <w:right w:val="single" w:sz="18" w:space="0" w:color="D2D2D2"/>
                        </w:tcBorders>
                      </w:tcPr>
                      <w:p>
                        <w:pPr/>
                      </w:p>
                    </w:tc>
                    <w:tc>
                      <w:tcPr>
                        <w:tcW w:w="41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158" w:hRule="exact"/>
                    </w:trPr>
                    <w:tc>
                      <w:tcPr>
                        <w:tcW w:w="2553" w:type="dxa"/>
                        <w:vMerge/>
                        <w:tcBorders>
                          <w:left w:val="single" w:sz="6" w:space="0" w:color="000000"/>
                          <w:bottom w:val="single" w:sz="6" w:space="0" w:color="000000"/>
                          <w:right w:val="single" w:sz="18" w:space="0" w:color="D2D2D2"/>
                        </w:tcBorders>
                      </w:tcPr>
                      <w:p>
                        <w:pPr/>
                      </w:p>
                    </w:tc>
                    <w:tc>
                      <w:tcPr>
                        <w:tcW w:w="413"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广州宣亚</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广州宣亚品牌管理有限公司，系公司控股子公司</w:t>
                        </w:r>
                      </w:p>
                    </w:tc>
                  </w:tr>
                  <w:tr>
                    <w:trPr>
                      <w:trHeight w:val="406"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珠海宣亚</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珠海宣亚互动数</w:t>
                        </w:r>
                        <w:r>
                          <w:rPr>
                            <w:rFonts w:ascii="宋体" w:hAnsi="宋体" w:cs="宋体" w:eastAsia="宋体" w:hint="default"/>
                            <w:spacing w:val="3"/>
                            <w:sz w:val="18"/>
                            <w:szCs w:val="18"/>
                          </w:rPr>
                          <w:t> </w:t>
                        </w:r>
                        <w:r>
                          <w:rPr>
                            <w:rFonts w:ascii="宋体" w:hAnsi="宋体" w:cs="宋体" w:eastAsia="宋体" w:hint="default"/>
                            <w:sz w:val="18"/>
                            <w:szCs w:val="18"/>
                          </w:rPr>
                          <w:t>字营销有限公司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系公司控股子公司</w:t>
                        </w:r>
                      </w:p>
                    </w:tc>
                  </w:tr>
                  <w:tr>
                    <w:trPr>
                      <w:trHeight w:val="406"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品牌咨询</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北京宣亚国际品牌咨询有限公司，系公司控股子公司</w:t>
                        </w:r>
                      </w:p>
                    </w:tc>
                  </w:tr>
                  <w:tr>
                    <w:trPr>
                      <w:trHeight w:val="157" w:hRule="exact"/>
                    </w:trPr>
                    <w:tc>
                      <w:tcPr>
                        <w:tcW w:w="2553" w:type="dxa"/>
                        <w:vMerge w:val="restart"/>
                        <w:tcBorders>
                          <w:top w:val="single" w:sz="6" w:space="0" w:color="000000"/>
                          <w:left w:val="single" w:sz="6" w:space="0" w:color="000000"/>
                          <w:right w:val="single" w:sz="18" w:space="0" w:color="D2D2D2"/>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云目未来</w:t>
                        </w:r>
                      </w:p>
                    </w:tc>
                    <w:tc>
                      <w:tcPr>
                        <w:tcW w:w="413"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321" w:lineRule="auto" w:before="29"/>
                          <w:ind w:left="30" w:right="66"/>
                          <w:jc w:val="left"/>
                          <w:rPr>
                            <w:rFonts w:ascii="宋体" w:hAnsi="宋体" w:cs="宋体" w:eastAsia="宋体" w:hint="default"/>
                            <w:sz w:val="18"/>
                            <w:szCs w:val="18"/>
                          </w:rPr>
                        </w:pPr>
                        <w:r>
                          <w:rPr>
                            <w:rFonts w:ascii="宋体" w:hAnsi="宋体" w:cs="宋体" w:eastAsia="宋体" w:hint="default"/>
                            <w:spacing w:val="-3"/>
                            <w:sz w:val="18"/>
                            <w:szCs w:val="18"/>
                          </w:rPr>
                          <w:t>云目未来科技（北京）有限公司（原名：北京宣亚国际数字技术有限公司），系公司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控股子公司</w:t>
                        </w:r>
                      </w:p>
                    </w:tc>
                  </w:tr>
                  <w:tr>
                    <w:trPr>
                      <w:trHeight w:val="390" w:hRule="exact"/>
                    </w:trPr>
                    <w:tc>
                      <w:tcPr>
                        <w:tcW w:w="2553" w:type="dxa"/>
                        <w:vMerge/>
                        <w:tcBorders>
                          <w:left w:val="single" w:sz="6" w:space="0" w:color="000000"/>
                          <w:right w:val="single" w:sz="18" w:space="0" w:color="D2D2D2"/>
                        </w:tcBorders>
                      </w:tcPr>
                      <w:p>
                        <w:pPr/>
                      </w:p>
                    </w:tc>
                    <w:tc>
                      <w:tcPr>
                        <w:tcW w:w="41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158" w:hRule="exact"/>
                    </w:trPr>
                    <w:tc>
                      <w:tcPr>
                        <w:tcW w:w="2553" w:type="dxa"/>
                        <w:vMerge/>
                        <w:tcBorders>
                          <w:left w:val="single" w:sz="6" w:space="0" w:color="000000"/>
                          <w:bottom w:val="single" w:sz="6" w:space="0" w:color="000000"/>
                          <w:right w:val="single" w:sz="18" w:space="0" w:color="D2D2D2"/>
                        </w:tcBorders>
                      </w:tcPr>
                      <w:p>
                        <w:pPr/>
                      </w:p>
                    </w:tc>
                    <w:tc>
                      <w:tcPr>
                        <w:tcW w:w="413"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158" w:hRule="exact"/>
                    </w:trPr>
                    <w:tc>
                      <w:tcPr>
                        <w:tcW w:w="2553" w:type="dxa"/>
                        <w:vMerge w:val="restart"/>
                        <w:tcBorders>
                          <w:top w:val="single" w:sz="6" w:space="0" w:color="000000"/>
                          <w:left w:val="single" w:sz="6" w:space="0" w:color="000000"/>
                          <w:right w:val="single" w:sz="18" w:space="0" w:color="D2D2D2"/>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云目未来（湖南）</w:t>
                        </w:r>
                      </w:p>
                    </w:tc>
                    <w:tc>
                      <w:tcPr>
                        <w:tcW w:w="413"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304" w:lineRule="auto" w:before="45"/>
                          <w:ind w:left="30" w:right="66"/>
                          <w:jc w:val="left"/>
                          <w:rPr>
                            <w:rFonts w:ascii="宋体" w:hAnsi="宋体" w:cs="宋体" w:eastAsia="宋体" w:hint="default"/>
                            <w:sz w:val="18"/>
                            <w:szCs w:val="18"/>
                          </w:rPr>
                        </w:pPr>
                        <w:r>
                          <w:rPr>
                            <w:rFonts w:ascii="宋体" w:hAnsi="宋体" w:cs="宋体" w:eastAsia="宋体" w:hint="default"/>
                            <w:spacing w:val="-3"/>
                            <w:sz w:val="18"/>
                            <w:szCs w:val="18"/>
                          </w:rPr>
                          <w:t>云目未来科技（湖南）有限公司（原名：宣亚国际品牌管理（湖南）有限公司），系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公司控股子公司。</w:t>
                        </w:r>
                      </w:p>
                    </w:tc>
                  </w:tr>
                  <w:tr>
                    <w:trPr>
                      <w:trHeight w:val="406" w:hRule="exact"/>
                    </w:trPr>
                    <w:tc>
                      <w:tcPr>
                        <w:tcW w:w="2553" w:type="dxa"/>
                        <w:vMerge/>
                        <w:tcBorders>
                          <w:left w:val="single" w:sz="6" w:space="0" w:color="000000"/>
                          <w:right w:val="single" w:sz="18" w:space="0" w:color="D2D2D2"/>
                        </w:tcBorders>
                      </w:tcPr>
                      <w:p>
                        <w:pPr/>
                      </w:p>
                    </w:tc>
                    <w:tc>
                      <w:tcPr>
                        <w:tcW w:w="41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158" w:hRule="exact"/>
                    </w:trPr>
                    <w:tc>
                      <w:tcPr>
                        <w:tcW w:w="2553" w:type="dxa"/>
                        <w:vMerge/>
                        <w:tcBorders>
                          <w:left w:val="single" w:sz="6" w:space="0" w:color="000000"/>
                          <w:bottom w:val="single" w:sz="6" w:space="0" w:color="000000"/>
                          <w:right w:val="single" w:sz="18" w:space="0" w:color="D2D2D2"/>
                        </w:tcBorders>
                      </w:tcPr>
                      <w:p>
                        <w:pPr/>
                      </w:p>
                    </w:tc>
                    <w:tc>
                      <w:tcPr>
                        <w:tcW w:w="413"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宣亚人工智能</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上海宣亚人工智能科技有限公司，系公司控股子公司</w:t>
                        </w:r>
                      </w:p>
                    </w:tc>
                  </w:tr>
                  <w:tr>
                    <w:trPr>
                      <w:trHeight w:val="406"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上海至深</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上海至深大数据科技有限公司，系公司控股子公司</w:t>
                        </w:r>
                      </w:p>
                    </w:tc>
                  </w:tr>
                  <w:tr>
                    <w:trPr>
                      <w:trHeight w:val="390"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金色区块</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北京金色区块网络科技有限公司，系公司控股子公司</w:t>
                        </w: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星言云汇</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天津星言云汇网络科技有限公司，系公司控股子公司</w:t>
                        </w:r>
                      </w:p>
                    </w:tc>
                  </w:tr>
                  <w:tr>
                    <w:trPr>
                      <w:trHeight w:val="406"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威维体育</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北京威维体育文化有限公司，系公司参股公司</w:t>
                        </w: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链极科技</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链极智能科技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有限公司，系公司参股公司</w:t>
                        </w: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周同科技</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北京周同科技有限公司，系公司参股公司</w:t>
                        </w:r>
                      </w:p>
                    </w:tc>
                  </w:tr>
                  <w:tr>
                    <w:trPr>
                      <w:trHeight w:val="390"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爱点互动</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北京爱点互动科技有限公司，系公司参股公司</w:t>
                        </w:r>
                      </w:p>
                    </w:tc>
                  </w:tr>
                  <w:tr>
                    <w:trPr>
                      <w:trHeight w:val="406"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RMDS</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R</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pacing w:val="4"/>
                            <w:w w:val="99"/>
                            <w:sz w:val="18"/>
                            <w:szCs w:val="18"/>
                          </w:rPr>
                          <w:t>D</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5"/>
                            <w:sz w:val="18"/>
                            <w:szCs w:val="18"/>
                          </w:rPr>
                          <w:t>La</w:t>
                        </w:r>
                        <w:r>
                          <w:rPr>
                            <w:rFonts w:ascii="Times New Roman" w:hAnsi="Times New Roman" w:cs="Times New Roman" w:eastAsia="Times New Roman" w:hint="default"/>
                            <w:sz w:val="18"/>
                            <w:szCs w:val="18"/>
                          </w:rPr>
                          <w:t>b In</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（译为</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R</w:t>
                        </w:r>
                        <w:r>
                          <w:rPr>
                            <w:rFonts w:ascii="Times New Roman" w:hAnsi="Times New Roman" w:cs="Times New Roman" w:eastAsia="Times New Roman" w:hint="default"/>
                            <w:spacing w:val="19"/>
                            <w:w w:val="99"/>
                            <w:sz w:val="18"/>
                            <w:szCs w:val="18"/>
                          </w:rPr>
                          <w:t>M</w:t>
                        </w:r>
                        <w:r>
                          <w:rPr>
                            <w:rFonts w:ascii="Times New Roman" w:hAnsi="Times New Roman" w:cs="Times New Roman" w:eastAsia="Times New Roman" w:hint="default"/>
                            <w:spacing w:val="4"/>
                            <w:w w:val="99"/>
                            <w:sz w:val="18"/>
                            <w:szCs w:val="18"/>
                          </w:rPr>
                          <w:t>D</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实验室股份有限公司</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系公司参股公司</w:t>
                        </w:r>
                      </w:p>
                    </w:tc>
                  </w:tr>
                  <w:tr>
                    <w:trPr>
                      <w:trHeight w:val="405"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睿链通证</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北京睿链通证网络科技有限公司，系品推宝参股公司</w:t>
                        </w:r>
                      </w:p>
                    </w:tc>
                  </w:tr>
                  <w:tr>
                    <w:trPr>
                      <w:trHeight w:val="390" w:hRule="exact"/>
                    </w:trPr>
                    <w:tc>
                      <w:tcPr>
                        <w:tcW w:w="2553"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星智云创</w:t>
                        </w:r>
                      </w:p>
                    </w:tc>
                    <w:tc>
                      <w:tcPr>
                        <w:tcW w:w="4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星智云创网络科技（北京）有限公司，系品推宝参股公司</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568"/>
        <w:gridCol w:w="398"/>
        <w:gridCol w:w="6691"/>
      </w:tblGrid>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群创天杰</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北京群创天杰科技发展有限责任公司，系公司参股公司</w:t>
            </w:r>
          </w:p>
        </w:tc>
      </w:tr>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宣亚国际上海分公司</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宣亚国际营销科技（北京）股份有限公司上海分公司</w:t>
            </w:r>
          </w:p>
        </w:tc>
      </w:tr>
      <w:tr>
        <w:trPr>
          <w:trHeight w:val="390"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宣亚国际广州分公司</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宣亚国际营销科技（北京）股份有限公司广州分公司</w:t>
            </w:r>
          </w:p>
        </w:tc>
      </w:tr>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6"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立信所、公司会计师</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中德证券、保荐机构、保荐人</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r>
      <w:tr>
        <w:trPr>
          <w:trHeight w:val="406"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73" w:hRule="exact"/>
        </w:trPr>
        <w:tc>
          <w:tcPr>
            <w:tcW w:w="2568" w:type="dxa"/>
            <w:vMerge w:val="restart"/>
            <w:tcBorders>
              <w:top w:val="single" w:sz="6" w:space="0" w:color="000000"/>
              <w:left w:val="single" w:sz="6" w:space="0" w:color="000000"/>
              <w:right w:val="single" w:sz="12"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398"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316" w:lineRule="auto" w:before="45"/>
              <w:ind w:left="30" w:right="21"/>
              <w:jc w:val="both"/>
              <w:rPr>
                <w:rFonts w:ascii="宋体" w:hAnsi="宋体" w:cs="宋体" w:eastAsia="宋体" w:hint="default"/>
                <w:sz w:val="18"/>
                <w:szCs w:val="18"/>
              </w:rPr>
            </w:pPr>
            <w:r>
              <w:rPr>
                <w:rFonts w:ascii="宋体" w:hAnsi="宋体" w:cs="宋体" w:eastAsia="宋体" w:hint="default"/>
                <w:spacing w:val="-2"/>
                <w:sz w:val="18"/>
                <w:szCs w:val="18"/>
              </w:rPr>
              <w:t>数字传播渠道营销服务，是指公司为品牌主提供的以数字营销技术及手段（主要包括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通过互联网、移动互联网等数字媒介形式进行的公关、广告及社会化营销等）为主导</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的整合营销传播服务，公司数字营销的具体服务内容包括策略制定、数字广告、数字</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公关、效果监测、投放优化以及配套的体验营销等。</w:t>
            </w:r>
          </w:p>
        </w:tc>
      </w:tr>
      <w:tr>
        <w:trPr>
          <w:trHeight w:val="390" w:hRule="exact"/>
        </w:trPr>
        <w:tc>
          <w:tcPr>
            <w:tcW w:w="2568" w:type="dxa"/>
            <w:vMerge/>
            <w:tcBorders>
              <w:left w:val="single" w:sz="6" w:space="0" w:color="000000"/>
              <w:right w:val="single" w:sz="12" w:space="0" w:color="D2D2D2"/>
            </w:tcBorders>
          </w:tcPr>
          <w:p>
            <w:pPr/>
          </w:p>
        </w:tc>
        <w:tc>
          <w:tcPr>
            <w:tcW w:w="39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488" w:hRule="exact"/>
        </w:trPr>
        <w:tc>
          <w:tcPr>
            <w:tcW w:w="2568" w:type="dxa"/>
            <w:vMerge/>
            <w:tcBorders>
              <w:left w:val="single" w:sz="6" w:space="0" w:color="000000"/>
              <w:bottom w:val="single" w:sz="6" w:space="0" w:color="000000"/>
              <w:right w:val="single" w:sz="12" w:space="0" w:color="D2D2D2"/>
            </w:tcBorders>
          </w:tcPr>
          <w:p>
            <w:pPr/>
          </w:p>
        </w:tc>
        <w:tc>
          <w:tcPr>
            <w:tcW w:w="398"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390"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pacing w:val="-3"/>
                <w:sz w:val="18"/>
              </w:rPr>
              <w:t>MarTech</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Marketing</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，营销技术</w:t>
            </w:r>
          </w:p>
        </w:tc>
      </w:tr>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ContentTech</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Content</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，内容技术</w:t>
            </w:r>
          </w:p>
        </w:tc>
      </w:tr>
      <w:tr>
        <w:trPr>
          <w:trHeight w:val="406"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pacing w:val="-3"/>
                <w:sz w:val="18"/>
              </w:rPr>
              <w:t>ServiceTech</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，服务技术</w:t>
            </w:r>
          </w:p>
        </w:tc>
      </w:tr>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CDP</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Data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Platform</w:t>
            </w:r>
            <w:r>
              <w:rPr>
                <w:rFonts w:ascii="宋体" w:hAnsi="宋体" w:cs="宋体" w:eastAsia="宋体" w:hint="default"/>
                <w:sz w:val="18"/>
                <w:szCs w:val="18"/>
              </w:rPr>
              <w:t>，客户数据平台</w:t>
            </w:r>
          </w:p>
        </w:tc>
      </w:tr>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CRM</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 Management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，客户关系管理系统</w:t>
            </w:r>
          </w:p>
        </w:tc>
      </w:tr>
      <w:tr>
        <w:trPr>
          <w:trHeight w:val="390"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pacing w:val="-3"/>
                <w:sz w:val="18"/>
              </w:rPr>
              <w:t>SCRM</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Social </w:t>
            </w: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，社会化客户关系管理系统</w:t>
            </w:r>
          </w:p>
        </w:tc>
      </w:tr>
      <w:tr>
        <w:trPr>
          <w:trHeight w:val="158" w:hRule="exact"/>
        </w:trPr>
        <w:tc>
          <w:tcPr>
            <w:tcW w:w="2568" w:type="dxa"/>
            <w:vMerge w:val="restart"/>
            <w:tcBorders>
              <w:top w:val="single" w:sz="6" w:space="0" w:color="000000"/>
              <w:left w:val="single" w:sz="6" w:space="0" w:color="000000"/>
              <w:right w:val="single" w:sz="18" w:space="0" w:color="D2D2D2"/>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大数据舆情分析</w:t>
            </w:r>
          </w:p>
        </w:tc>
        <w:tc>
          <w:tcPr>
            <w:tcW w:w="398"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321" w:lineRule="auto" w:before="44"/>
              <w:ind w:left="30" w:right="36"/>
              <w:jc w:val="left"/>
              <w:rPr>
                <w:rFonts w:ascii="宋体" w:hAnsi="宋体" w:cs="宋体" w:eastAsia="宋体" w:hint="default"/>
                <w:sz w:val="18"/>
                <w:szCs w:val="18"/>
              </w:rPr>
            </w:pPr>
            <w:r>
              <w:rPr>
                <w:rFonts w:ascii="宋体" w:hAnsi="宋体" w:cs="宋体" w:eastAsia="宋体" w:hint="default"/>
                <w:spacing w:val="-2"/>
                <w:sz w:val="18"/>
                <w:szCs w:val="18"/>
              </w:rPr>
              <w:t>通过对互联网海量信息自动获取、提取、分类、聚类、主题监测、专题聚焦，以满足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用户对网络舆情监测和热点事件专题追踪等需求。</w:t>
            </w:r>
          </w:p>
        </w:tc>
      </w:tr>
      <w:tr>
        <w:trPr>
          <w:trHeight w:val="406" w:hRule="exact"/>
        </w:trPr>
        <w:tc>
          <w:tcPr>
            <w:tcW w:w="2568" w:type="dxa"/>
            <w:vMerge/>
            <w:tcBorders>
              <w:left w:val="single" w:sz="6" w:space="0" w:color="000000"/>
              <w:right w:val="single" w:sz="18" w:space="0" w:color="D2D2D2"/>
            </w:tcBorders>
          </w:tcPr>
          <w:p>
            <w:pPr/>
          </w:p>
        </w:tc>
        <w:tc>
          <w:tcPr>
            <w:tcW w:w="39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158" w:hRule="exact"/>
        </w:trPr>
        <w:tc>
          <w:tcPr>
            <w:tcW w:w="2568" w:type="dxa"/>
            <w:vMerge/>
            <w:tcBorders>
              <w:left w:val="single" w:sz="6" w:space="0" w:color="000000"/>
              <w:bottom w:val="single" w:sz="6" w:space="0" w:color="000000"/>
              <w:right w:val="single" w:sz="18" w:space="0" w:color="D2D2D2"/>
            </w:tcBorders>
          </w:tcPr>
          <w:p>
            <w:pPr/>
          </w:p>
        </w:tc>
        <w:tc>
          <w:tcPr>
            <w:tcW w:w="398"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158" w:hRule="exact"/>
        </w:trPr>
        <w:tc>
          <w:tcPr>
            <w:tcW w:w="2568" w:type="dxa"/>
            <w:vMerge w:val="restart"/>
            <w:tcBorders>
              <w:top w:val="single" w:sz="6" w:space="0" w:color="000000"/>
              <w:left w:val="single" w:sz="6" w:space="0" w:color="000000"/>
              <w:right w:val="single" w:sz="12" w:space="0" w:color="D2D2D2"/>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视频结构化</w:t>
            </w:r>
          </w:p>
        </w:tc>
        <w:tc>
          <w:tcPr>
            <w:tcW w:w="398"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304" w:lineRule="auto" w:before="45"/>
              <w:ind w:left="30" w:right="21"/>
              <w:jc w:val="left"/>
              <w:rPr>
                <w:rFonts w:ascii="宋体" w:hAnsi="宋体" w:cs="宋体" w:eastAsia="宋体" w:hint="default"/>
                <w:sz w:val="18"/>
                <w:szCs w:val="18"/>
              </w:rPr>
            </w:pPr>
            <w:r>
              <w:rPr>
                <w:rFonts w:ascii="宋体" w:hAnsi="宋体" w:cs="宋体" w:eastAsia="宋体" w:hint="default"/>
                <w:spacing w:val="-2"/>
                <w:sz w:val="18"/>
                <w:szCs w:val="18"/>
              </w:rPr>
              <w:t>一种视频内容信息提取的技术，它对视频内容按照语义关系，采用时空分割、特征提</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取、对象识别等处理手段，组织成可供计算机和人理解的文本信息的技术。</w:t>
            </w:r>
          </w:p>
        </w:tc>
      </w:tr>
      <w:tr>
        <w:trPr>
          <w:trHeight w:val="391" w:hRule="exact"/>
        </w:trPr>
        <w:tc>
          <w:tcPr>
            <w:tcW w:w="2568" w:type="dxa"/>
            <w:vMerge/>
            <w:tcBorders>
              <w:left w:val="single" w:sz="6" w:space="0" w:color="000000"/>
              <w:right w:val="single" w:sz="12" w:space="0" w:color="D2D2D2"/>
            </w:tcBorders>
          </w:tcPr>
          <w:p>
            <w:pPr/>
          </w:p>
        </w:tc>
        <w:tc>
          <w:tcPr>
            <w:tcW w:w="39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173" w:hRule="exact"/>
        </w:trPr>
        <w:tc>
          <w:tcPr>
            <w:tcW w:w="2568" w:type="dxa"/>
            <w:vMerge/>
            <w:tcBorders>
              <w:left w:val="single" w:sz="6" w:space="0" w:color="000000"/>
              <w:bottom w:val="single" w:sz="6" w:space="0" w:color="000000"/>
              <w:right w:val="single" w:sz="12" w:space="0" w:color="D2D2D2"/>
            </w:tcBorders>
          </w:tcPr>
          <w:p>
            <w:pPr/>
          </w:p>
        </w:tc>
        <w:tc>
          <w:tcPr>
            <w:tcW w:w="398"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158" w:hRule="exact"/>
        </w:trPr>
        <w:tc>
          <w:tcPr>
            <w:tcW w:w="2568" w:type="dxa"/>
            <w:vMerge w:val="restart"/>
            <w:tcBorders>
              <w:top w:val="single" w:sz="6" w:space="0" w:color="000000"/>
              <w:left w:val="single" w:sz="6" w:space="0" w:color="000000"/>
              <w:right w:val="single" w:sz="18" w:space="0" w:color="D2D2D2"/>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私域流量运营平台</w:t>
            </w:r>
          </w:p>
        </w:tc>
        <w:tc>
          <w:tcPr>
            <w:tcW w:w="398"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321" w:lineRule="auto" w:before="30"/>
              <w:ind w:left="30" w:right="36"/>
              <w:jc w:val="left"/>
              <w:rPr>
                <w:rFonts w:ascii="宋体" w:hAnsi="宋体" w:cs="宋体" w:eastAsia="宋体" w:hint="default"/>
                <w:sz w:val="18"/>
                <w:szCs w:val="18"/>
              </w:rPr>
            </w:pPr>
            <w:r>
              <w:rPr>
                <w:rFonts w:ascii="宋体" w:hAnsi="宋体" w:cs="宋体" w:eastAsia="宋体" w:hint="default"/>
                <w:spacing w:val="-2"/>
                <w:sz w:val="18"/>
                <w:szCs w:val="18"/>
              </w:rPr>
              <w:t>企业通过对已掌握的用户进行管理、唤活、维护、运营，从而促进用户的稳定、复购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及裂变。</w:t>
            </w:r>
          </w:p>
        </w:tc>
      </w:tr>
      <w:tr>
        <w:trPr>
          <w:trHeight w:val="390" w:hRule="exact"/>
        </w:trPr>
        <w:tc>
          <w:tcPr>
            <w:tcW w:w="2568" w:type="dxa"/>
            <w:vMerge/>
            <w:tcBorders>
              <w:left w:val="single" w:sz="6" w:space="0" w:color="000000"/>
              <w:right w:val="single" w:sz="18" w:space="0" w:color="D2D2D2"/>
            </w:tcBorders>
          </w:tcPr>
          <w:p>
            <w:pPr/>
          </w:p>
        </w:tc>
        <w:tc>
          <w:tcPr>
            <w:tcW w:w="39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158" w:hRule="exact"/>
        </w:trPr>
        <w:tc>
          <w:tcPr>
            <w:tcW w:w="2568" w:type="dxa"/>
            <w:vMerge/>
            <w:tcBorders>
              <w:left w:val="single" w:sz="6" w:space="0" w:color="000000"/>
              <w:bottom w:val="single" w:sz="6" w:space="0" w:color="000000"/>
              <w:right w:val="single" w:sz="18" w:space="0" w:color="D2D2D2"/>
            </w:tcBorders>
          </w:tcPr>
          <w:p>
            <w:pPr/>
          </w:p>
        </w:tc>
        <w:tc>
          <w:tcPr>
            <w:tcW w:w="398"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spacing w:val="5"/>
                <w:sz w:val="18"/>
              </w:rPr>
              <w:t>AI</w:t>
            </w:r>
            <w:r>
              <w:rPr>
                <w:rFonts w:ascii="Times New Roman"/>
                <w:sz w:val="18"/>
              </w:rPr>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人工智能，</w:t>
            </w:r>
            <w:r>
              <w:rPr>
                <w:rFonts w:ascii="Times New Roman" w:hAnsi="Times New Roman" w:cs="Times New Roman" w:eastAsia="Times New Roman" w:hint="default"/>
                <w:sz w:val="18"/>
                <w:szCs w:val="18"/>
              </w:rPr>
              <w:t>Artificial Intelligence</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的缩写。</w:t>
            </w:r>
          </w:p>
        </w:tc>
      </w:tr>
      <w:tr>
        <w:trPr>
          <w:trHeight w:val="405"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Big</w:t>
            </w:r>
            <w:r>
              <w:rPr>
                <w:rFonts w:ascii="Times New Roman"/>
                <w:spacing w:val="-13"/>
                <w:sz w:val="18"/>
              </w:rPr>
              <w:t> </w:t>
            </w:r>
            <w:r>
              <w:rPr>
                <w:rFonts w:ascii="Times New Roman"/>
                <w:sz w:val="18"/>
              </w:rPr>
              <w:t>Data</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大数据</w:t>
            </w:r>
          </w:p>
        </w:tc>
      </w:tr>
      <w:tr>
        <w:trPr>
          <w:trHeight w:val="406"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Blockchain</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区块链</w:t>
            </w:r>
          </w:p>
        </w:tc>
      </w:tr>
      <w:tr>
        <w:trPr>
          <w:trHeight w:val="458" w:hRule="exact"/>
        </w:trPr>
        <w:tc>
          <w:tcPr>
            <w:tcW w:w="2568" w:type="dxa"/>
            <w:vMerge w:val="restart"/>
            <w:tcBorders>
              <w:top w:val="single" w:sz="6" w:space="0" w:color="000000"/>
              <w:left w:val="single" w:sz="6" w:space="0" w:color="000000"/>
              <w:right w:val="single" w:sz="12"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Times New Roman" w:hAnsi="Times New Roman" w:cs="Times New Roman" w:eastAsia="Times New Roman" w:hint="default"/>
                <w:sz w:val="18"/>
                <w:szCs w:val="18"/>
              </w:rPr>
            </w:pPr>
            <w:r>
              <w:rPr>
                <w:rFonts w:ascii="Times New Roman"/>
                <w:sz w:val="18"/>
              </w:rPr>
              <w:t>SaaS</w:t>
            </w:r>
          </w:p>
        </w:tc>
        <w:tc>
          <w:tcPr>
            <w:tcW w:w="398" w:type="dxa"/>
            <w:tcBorders>
              <w:top w:val="single" w:sz="6" w:space="0" w:color="000000"/>
              <w:left w:val="single" w:sz="6" w:space="0" w:color="000000"/>
              <w:bottom w:val="nil" w:sz="6" w:space="0" w:color="auto"/>
              <w:right w:val="single" w:sz="6" w:space="0" w:color="000000"/>
            </w:tcBorders>
            <w:shd w:val="clear" w:color="auto" w:fill="D2D2D2"/>
          </w:tcPr>
          <w:p>
            <w:pPr/>
          </w:p>
        </w:tc>
        <w:tc>
          <w:tcPr>
            <w:tcW w:w="6691" w:type="dxa"/>
            <w:vMerge w:val="restart"/>
            <w:tcBorders>
              <w:top w:val="single" w:sz="6" w:space="0" w:color="000000"/>
              <w:left w:val="single" w:sz="12" w:space="0" w:color="D2D2D2"/>
              <w:right w:val="single" w:sz="6" w:space="0" w:color="000000"/>
            </w:tcBorders>
          </w:tcPr>
          <w:p>
            <w:pPr>
              <w:pStyle w:val="TableParagraph"/>
              <w:spacing w:line="304" w:lineRule="auto" w:before="44"/>
              <w:ind w:left="30" w:right="15"/>
              <w:jc w:val="both"/>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Software-as-a-Service</w:t>
            </w:r>
            <w:r>
              <w:rPr>
                <w:rFonts w:ascii="宋体" w:hAnsi="宋体" w:cs="宋体" w:eastAsia="宋体" w:hint="default"/>
                <w:spacing w:val="-4"/>
                <w:w w:val="99"/>
                <w:sz w:val="18"/>
                <w:szCs w:val="18"/>
              </w:rPr>
              <w:t>（软件即服务），是一种通过</w:t>
            </w:r>
            <w:r>
              <w:rPr>
                <w:rFonts w:ascii="宋体" w:hAnsi="宋体" w:cs="宋体" w:eastAsia="宋体" w:hint="default"/>
                <w:spacing w:val="-37"/>
                <w:w w:val="99"/>
                <w:sz w:val="18"/>
                <w:szCs w:val="18"/>
              </w:rPr>
              <w:t> </w:t>
            </w:r>
            <w:r>
              <w:rPr>
                <w:rFonts w:ascii="Times New Roman" w:hAnsi="Times New Roman" w:cs="Times New Roman" w:eastAsia="Times New Roman" w:hint="default"/>
                <w:spacing w:val="-1"/>
                <w:sz w:val="18"/>
                <w:szCs w:val="18"/>
              </w:rPr>
              <w:t>Internet</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提供软件的模式，厂商将应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用软件统一部署在自己的服务器上，客户可以根据自己实际需求，通过互联网向厂商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定购所需的应用软件服务，按定购的服务多少和时间长短向厂商支付费用，并通过互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联网获得厂商提供的服务。</w:t>
            </w:r>
          </w:p>
        </w:tc>
      </w:tr>
      <w:tr>
        <w:trPr>
          <w:trHeight w:val="405" w:hRule="exact"/>
        </w:trPr>
        <w:tc>
          <w:tcPr>
            <w:tcW w:w="2568" w:type="dxa"/>
            <w:vMerge/>
            <w:tcBorders>
              <w:left w:val="single" w:sz="6" w:space="0" w:color="000000"/>
              <w:right w:val="single" w:sz="12" w:space="0" w:color="D2D2D2"/>
            </w:tcBorders>
          </w:tcPr>
          <w:p>
            <w:pPr/>
          </w:p>
        </w:tc>
        <w:tc>
          <w:tcPr>
            <w:tcW w:w="39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vMerge/>
            <w:tcBorders>
              <w:left w:val="single" w:sz="12" w:space="0" w:color="D2D2D2"/>
              <w:right w:val="single" w:sz="6" w:space="0" w:color="000000"/>
            </w:tcBorders>
          </w:tcPr>
          <w:p>
            <w:pPr/>
          </w:p>
        </w:tc>
      </w:tr>
      <w:tr>
        <w:trPr>
          <w:trHeight w:val="473" w:hRule="exact"/>
        </w:trPr>
        <w:tc>
          <w:tcPr>
            <w:tcW w:w="2568" w:type="dxa"/>
            <w:vMerge/>
            <w:tcBorders>
              <w:left w:val="single" w:sz="6" w:space="0" w:color="000000"/>
              <w:bottom w:val="single" w:sz="6" w:space="0" w:color="000000"/>
              <w:right w:val="single" w:sz="12" w:space="0" w:color="D2D2D2"/>
            </w:tcBorders>
          </w:tcPr>
          <w:p>
            <w:pPr/>
          </w:p>
        </w:tc>
        <w:tc>
          <w:tcPr>
            <w:tcW w:w="398" w:type="dxa"/>
            <w:tcBorders>
              <w:top w:val="nil" w:sz="6" w:space="0" w:color="auto"/>
              <w:left w:val="single" w:sz="6" w:space="0" w:color="000000"/>
              <w:bottom w:val="single" w:sz="6" w:space="0" w:color="000000"/>
              <w:right w:val="single" w:sz="6" w:space="0" w:color="000000"/>
            </w:tcBorders>
            <w:shd w:val="clear" w:color="auto" w:fill="D2D2D2"/>
          </w:tcPr>
          <w:p>
            <w:pPr/>
          </w:p>
        </w:tc>
        <w:tc>
          <w:tcPr>
            <w:tcW w:w="6691" w:type="dxa"/>
            <w:vMerge/>
            <w:tcBorders>
              <w:left w:val="single" w:sz="12" w:space="0" w:color="D2D2D2"/>
              <w:bottom w:val="single" w:sz="6" w:space="0" w:color="000000"/>
              <w:right w:val="single" w:sz="6" w:space="0" w:color="000000"/>
            </w:tcBorders>
          </w:tcPr>
          <w:p>
            <w:pPr/>
          </w:p>
        </w:tc>
      </w:tr>
      <w:tr>
        <w:trPr>
          <w:trHeight w:val="390" w:hRule="exact"/>
        </w:trPr>
        <w:tc>
          <w:tcPr>
            <w:tcW w:w="256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5G</w:t>
            </w:r>
          </w:p>
        </w:tc>
        <w:tc>
          <w:tcPr>
            <w:tcW w:w="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95"/>
              <w:jc w:val="right"/>
              <w:rPr>
                <w:rFonts w:ascii="宋体" w:hAnsi="宋体" w:cs="宋体" w:eastAsia="宋体" w:hint="default"/>
                <w:sz w:val="18"/>
                <w:szCs w:val="18"/>
              </w:rPr>
            </w:pPr>
            <w:r>
              <w:rPr>
                <w:rFonts w:ascii="宋体" w:hAnsi="宋体" w:cs="宋体" w:eastAsia="宋体" w:hint="default"/>
                <w:sz w:val="18"/>
                <w:szCs w:val="18"/>
              </w:rPr>
              <w:t>指</w:t>
            </w:r>
          </w:p>
        </w:tc>
        <w:tc>
          <w:tcPr>
            <w:tcW w:w="66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第五代移动通信技术</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9"/>
        <w:ind w:left="2709" w:right="0"/>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0"/>
        <w:jc w:val="left"/>
        <w:rPr>
          <w:b w:val="0"/>
          <w:bCs w:val="0"/>
        </w:rPr>
      </w:pPr>
      <w:r>
        <w:rPr/>
        <w:pict>
          <v:group style="position:absolute;margin-left:171.229996pt;margin-top:115.170631pt;width:363.45pt;height:19.55pt;mso-position-horizontal-relative:page;mso-position-vertical-relative:paragraph;z-index:-1197688" coordorigin="3425,2303" coordsize="7269,391">
            <v:group style="position:absolute;left:3425;top:2303;width:30;height:391" coordorigin="3425,2303" coordsize="30,391">
              <v:shape style="position:absolute;left:3425;top:2303;width:30;height:391" coordorigin="3425,2303" coordsize="30,391" path="m3425,2694l3455,2694,3455,2303,3425,2303,3425,2694xe" filled="true" fillcolor="#ffffff" stroked="false">
                <v:path arrowok="t"/>
                <v:fill type="solid"/>
              </v:shape>
            </v:group>
            <v:group style="position:absolute;left:3455;top:2303;width:7239;height:391" coordorigin="3455,2303" coordsize="7239,391">
              <v:shape style="position:absolute;left:3455;top:2303;width:7239;height:391" coordorigin="3455,2303" coordsize="7239,391" path="m3455,2694l10694,2694,10694,2303,3455,2303,3455,2694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300612</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宣亚国际营销科技（北京）股份有限公司</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宣亚国际</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Shunya International Martech </w:t>
            </w:r>
            <w:r>
              <w:rPr>
                <w:rFonts w:ascii="Times New Roman"/>
                <w:spacing w:val="-3"/>
                <w:sz w:val="18"/>
              </w:rPr>
              <w:t>(Beijing) </w:t>
            </w:r>
            <w:r>
              <w:rPr>
                <w:rFonts w:ascii="Times New Roman"/>
                <w:sz w:val="18"/>
              </w:rPr>
              <w:t>Co.,</w:t>
            </w:r>
            <w:r>
              <w:rPr>
                <w:rFonts w:ascii="Times New Roman"/>
                <w:spacing w:val="16"/>
                <w:sz w:val="18"/>
              </w:rPr>
              <w:t> </w:t>
            </w:r>
            <w:r>
              <w:rPr>
                <w:rFonts w:ascii="Times New Roman"/>
                <w:sz w:val="18"/>
              </w:rPr>
              <w:t>Ltd.</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8"/>
                <w:position w:val="1"/>
                <w:sz w:val="18"/>
                <w:szCs w:val="18"/>
              </w:rPr>
              <w:t>）</w:t>
            </w:r>
            <w:r>
              <w:rPr>
                <w:rFonts w:ascii="Times New Roman" w:hAnsi="Times New Roman" w:cs="Times New Roman" w:eastAsia="Times New Roman" w:hint="default"/>
                <w:spacing w:val="-8"/>
                <w:sz w:val="18"/>
                <w:szCs w:val="18"/>
              </w:rPr>
              <w:t>Shunya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International</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邬涛</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CN02-B</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100025</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CN02-B</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100025</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9">
              <w:r>
                <w:rPr>
                  <w:rFonts w:ascii="Times New Roman"/>
                  <w:sz w:val="18"/>
                </w:rPr>
                <w:t>http://www.shunyagroup.com</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r>
    </w:tbl>
    <w:p>
      <w:pPr>
        <w:spacing w:line="240" w:lineRule="auto" w:before="12"/>
        <w:rPr>
          <w:rFonts w:ascii="宋体" w:hAnsi="宋体" w:cs="宋体" w:eastAsia="宋体" w:hint="default"/>
          <w:b/>
          <w:bCs/>
          <w:sz w:val="17"/>
          <w:szCs w:val="17"/>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任翔</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汪晓文</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CN02-B</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CN02-B</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010-85079688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010-85079688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left="14" w:right="0"/>
              <w:jc w:val="left"/>
              <w:rPr>
                <w:rFonts w:ascii="Times New Roman" w:hAnsi="Times New Roman" w:cs="Times New Roman" w:eastAsia="Times New Roman" w:hint="default"/>
                <w:sz w:val="18"/>
                <w:szCs w:val="18"/>
              </w:rPr>
            </w:pPr>
            <w:r>
              <w:rPr>
                <w:rFonts w:ascii="Times New Roman"/>
                <w:sz w:val="18"/>
              </w:rPr>
              <w:t>010-85079555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010-85079555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r>
    </w:tbl>
    <w:p>
      <w:pPr>
        <w:spacing w:line="240" w:lineRule="auto" w:before="12"/>
        <w:rPr>
          <w:rFonts w:ascii="宋体" w:hAnsi="宋体" w:cs="宋体" w:eastAsia="宋体" w:hint="default"/>
          <w:b/>
          <w:bCs/>
          <w:sz w:val="17"/>
          <w:szCs w:val="17"/>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3"/>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6"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w:t>
            </w:r>
            <w:r>
              <w:rPr>
                <w:rFonts w:ascii="宋体" w:hAnsi="宋体" w:cs="宋体" w:eastAsia="宋体" w:hint="default"/>
                <w:spacing w:val="3"/>
                <w:sz w:val="18"/>
                <w:szCs w:val="18"/>
              </w:rPr>
              <w:t>券</w:t>
            </w: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12"/>
        <w:rPr>
          <w:rFonts w:ascii="宋体" w:hAnsi="宋体" w:cs="宋体" w:eastAsia="宋体" w:hint="default"/>
          <w:b/>
          <w:bCs/>
          <w:sz w:val="17"/>
          <w:szCs w:val="17"/>
        </w:rPr>
      </w:pPr>
    </w:p>
    <w:p>
      <w:pPr>
        <w:pStyle w:val="Heading3"/>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公司聘请的会计师事务所</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北京市朝阳区安定路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号楼中海国际中心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许培梅、顾欣</w:t>
            </w:r>
          </w:p>
        </w:tc>
      </w:tr>
    </w:tbl>
    <w:p>
      <w:pPr>
        <w:pStyle w:val="BodyText"/>
        <w:spacing w:line="240" w:lineRule="auto" w:before="44"/>
        <w:ind w:right="0"/>
        <w:jc w:val="left"/>
      </w:pPr>
      <w:r>
        <w:rPr/>
        <w:t>公司聘请的报告期内履行持续督导职责的保荐机构</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4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81 </w:t>
            </w:r>
            <w:r>
              <w:rPr>
                <w:rFonts w:ascii="宋体" w:hAnsi="宋体" w:cs="宋体" w:eastAsia="宋体" w:hint="default"/>
                <w:sz w:val="18"/>
                <w:szCs w:val="18"/>
              </w:rPr>
              <w:t>号华</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贸中心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王僚俊、崔胜朝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4"/>
        <w:ind w:right="0"/>
        <w:jc w:val="left"/>
      </w:pPr>
      <w:r>
        <w:rPr/>
        <w:t>公司聘请的报告期内履行持续督导职责的财务顾问</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354,228,722.98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369,281,216.23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504,510,269.50</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10,349,912.85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21,062,083.21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-50.86%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74,956,482.53</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9,330,361.36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17,002,888.86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-45.12%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74,845,443.29</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39,798,007.04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114,288,360.35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-65.18%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-29,761,510.62</w:t>
            </w:r>
            <w:r>
              <w:rPr>
                <w:rFonts w:ascii="Times New Roman"/>
                <w:sz w:val="18"/>
              </w:rPr>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-46.15%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0.48</w:t>
            </w:r>
          </w:p>
        </w:tc>
      </w:tr>
      <w:tr>
        <w:trPr>
          <w:trHeight w:val="39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-46.15%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0.48</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2.55%</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4.66%</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-2.11%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18.07%</w:t>
            </w:r>
            <w:r>
              <w:rPr>
                <w:rFonts w:ascii="Times New Roman"/>
                <w:sz w:val="18"/>
              </w:rPr>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610,335,399.88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500,505,791.28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21.94%</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618,622,613.22</w:t>
            </w:r>
          </w:p>
        </w:tc>
      </w:tr>
      <w:tr>
        <w:trPr>
          <w:trHeight w:val="7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412,950,177.20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409,334,900.78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0.88%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478,900,637.25</w:t>
            </w:r>
          </w:p>
        </w:tc>
      </w:tr>
    </w:tbl>
    <w:p>
      <w:pPr>
        <w:spacing w:line="240" w:lineRule="auto" w:before="12"/>
        <w:rPr>
          <w:rFonts w:ascii="宋体" w:hAnsi="宋体" w:cs="宋体" w:eastAsia="宋体" w:hint="default"/>
          <w:sz w:val="17"/>
          <w:szCs w:val="17"/>
        </w:rPr>
      </w:pPr>
    </w:p>
    <w:p>
      <w:pPr>
        <w:pStyle w:val="Heading3"/>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39,494,184.42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88,129,066.90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67,914,147.54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158,691,324.12</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-12,180,332.10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3,517,977.44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2,752,177.15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16,260,090.36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-12,183,202.60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3,516,066.83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2,124,971.12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15,872,526.01</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-14,333,287.67</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20,583,902.66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5,105,328.52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28,442,063.53</w:t>
            </w:r>
          </w:p>
        </w:tc>
      </w:tr>
    </w:tbl>
    <w:p>
      <w:pPr>
        <w:pStyle w:val="BodyText"/>
        <w:spacing w:line="240" w:lineRule="auto" w:before="44"/>
        <w:ind w:right="0"/>
        <w:jc w:val="left"/>
      </w:pPr>
      <w:r>
        <w:rPr/>
        <w:t>上述财务指标或其加总数是否与公司已披露季度报告、半年度报告相关财务指标存在重大差异</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24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5"/>
          <w:szCs w:val="25"/>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04"/>
        <w:gridCol w:w="1517"/>
        <w:gridCol w:w="1517"/>
        <w:gridCol w:w="1532"/>
        <w:gridCol w:w="1712"/>
      </w:tblGrid>
      <w:tr>
        <w:trPr>
          <w:trHeight w:val="406"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6"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-24,697.58</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78,260.19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-36,887.79</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103" w:hRule="exact"/>
        </w:trPr>
        <w:tc>
          <w:tcPr>
            <w:tcW w:w="3304" w:type="dxa"/>
            <w:tcBorders>
              <w:top w:val="single" w:sz="6" w:space="0" w:color="000000"/>
              <w:left w:val="single" w:sz="6" w:space="0" w:color="000000"/>
              <w:bottom w:val="nil" w:sz="6" w:space="0" w:color="auto"/>
              <w:right w:val="single" w:sz="6" w:space="0" w:color="000000"/>
            </w:tcBorders>
            <w:shd w:val="clear" w:color="auto" w:fill="D2D2D2"/>
          </w:tcPr>
          <w:p>
            <w:pPr/>
          </w:p>
        </w:tc>
        <w:tc>
          <w:tcPr>
            <w:tcW w:w="1517"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1,022,599.39</w:t>
            </w:r>
          </w:p>
        </w:tc>
        <w:tc>
          <w:tcPr>
            <w:tcW w:w="15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5,408,383.44</w:t>
            </w:r>
          </w:p>
        </w:tc>
        <w:tc>
          <w:tcPr>
            <w:tcW w:w="15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186,588.79</w:t>
            </w:r>
          </w:p>
        </w:tc>
        <w:tc>
          <w:tcPr>
            <w:tcW w:w="1712" w:type="dxa"/>
            <w:vMerge w:val="restart"/>
            <w:tcBorders>
              <w:top w:val="single" w:sz="6" w:space="0" w:color="000000"/>
              <w:left w:val="single" w:sz="6" w:space="0" w:color="000000"/>
              <w:right w:val="single" w:sz="6" w:space="0" w:color="000000"/>
            </w:tcBorders>
          </w:tcPr>
          <w:p>
            <w:pPr>
              <w:pStyle w:val="TableParagraph"/>
              <w:spacing w:line="321" w:lineRule="auto" w:before="45"/>
              <w:ind w:left="15" w:right="29"/>
              <w:jc w:val="both"/>
              <w:rPr>
                <w:rFonts w:ascii="宋体" w:hAnsi="宋体" w:cs="宋体" w:eastAsia="宋体" w:hint="default"/>
                <w:sz w:val="18"/>
                <w:szCs w:val="18"/>
              </w:rPr>
            </w:pPr>
            <w:r>
              <w:rPr>
                <w:rFonts w:ascii="宋体" w:hAnsi="宋体" w:cs="宋体" w:eastAsia="宋体" w:hint="default"/>
                <w:sz w:val="18"/>
                <w:szCs w:val="18"/>
              </w:rPr>
              <w:t>信用体系类支持：根 据《朝阳区促进国家 文化产业创新实验区 建设发展引导资金管 </w:t>
            </w:r>
            <w:r>
              <w:rPr>
                <w:rFonts w:ascii="宋体" w:hAnsi="宋体" w:cs="宋体" w:eastAsia="宋体" w:hint="default"/>
                <w:spacing w:val="-16"/>
                <w:sz w:val="18"/>
                <w:szCs w:val="18"/>
              </w:rPr>
              <w:t>理办法（试行）》给予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78.50 </w:t>
            </w:r>
            <w:r>
              <w:rPr>
                <w:rFonts w:ascii="宋体" w:hAnsi="宋体" w:cs="宋体" w:eastAsia="宋体" w:hint="default"/>
                <w:sz w:val="18"/>
                <w:szCs w:val="18"/>
              </w:rPr>
              <w:t>万元支持，于</w:t>
            </w:r>
          </w:p>
          <w:p>
            <w:pPr>
              <w:pStyle w:val="TableParagraph"/>
              <w:spacing w:line="297" w:lineRule="auto"/>
              <w:ind w:left="15"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月收到该款 项；代扣代缴个税手 续费、稳岗补贴、残</w:t>
            </w:r>
          </w:p>
          <w:p>
            <w:pPr>
              <w:pStyle w:val="TableParagraph"/>
              <w:spacing w:line="240" w:lineRule="auto" w:before="37"/>
              <w:ind w:left="15" w:right="0"/>
              <w:jc w:val="both"/>
              <w:rPr>
                <w:rFonts w:ascii="宋体" w:hAnsi="宋体" w:cs="宋体" w:eastAsia="宋体" w:hint="default"/>
                <w:sz w:val="18"/>
                <w:szCs w:val="18"/>
              </w:rPr>
            </w:pPr>
            <w:r>
              <w:rPr>
                <w:rFonts w:ascii="宋体" w:hAnsi="宋体" w:cs="宋体" w:eastAsia="宋体" w:hint="default"/>
                <w:sz w:val="18"/>
                <w:szCs w:val="18"/>
              </w:rPr>
              <w:t>保金超量奖励返还</w:t>
            </w:r>
          </w:p>
        </w:tc>
      </w:tr>
      <w:tr>
        <w:trPr>
          <w:trHeight w:val="1021" w:hRule="exact"/>
        </w:trPr>
        <w:tc>
          <w:tcPr>
            <w:tcW w:w="330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4" w:lineRule="auto" w:before="45"/>
              <w:ind w:left="15" w:right="3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7" w:type="dxa"/>
            <w:vMerge/>
            <w:tcBorders>
              <w:left w:val="single" w:sz="12" w:space="0" w:color="D2D2D2"/>
              <w:right w:val="single" w:sz="6" w:space="0" w:color="000000"/>
            </w:tcBorders>
          </w:tcPr>
          <w:p>
            <w:pPr/>
          </w:p>
        </w:tc>
        <w:tc>
          <w:tcPr>
            <w:tcW w:w="1517" w:type="dxa"/>
            <w:vMerge/>
            <w:tcBorders>
              <w:left w:val="single" w:sz="6" w:space="0" w:color="000000"/>
              <w:right w:val="single" w:sz="6" w:space="0" w:color="000000"/>
            </w:tcBorders>
          </w:tcPr>
          <w:p>
            <w:pPr/>
          </w:p>
        </w:tc>
        <w:tc>
          <w:tcPr>
            <w:tcW w:w="1532" w:type="dxa"/>
            <w:vMerge/>
            <w:tcBorders>
              <w:left w:val="single" w:sz="6" w:space="0" w:color="000000"/>
              <w:right w:val="single" w:sz="6" w:space="0" w:color="000000"/>
            </w:tcBorders>
          </w:tcPr>
          <w:p>
            <w:pPr/>
          </w:p>
        </w:tc>
        <w:tc>
          <w:tcPr>
            <w:tcW w:w="1712" w:type="dxa"/>
            <w:vMerge/>
            <w:tcBorders>
              <w:left w:val="single" w:sz="6" w:space="0" w:color="000000"/>
              <w:right w:val="single" w:sz="6" w:space="0" w:color="000000"/>
            </w:tcBorders>
          </w:tcPr>
          <w:p>
            <w:pPr/>
          </w:p>
        </w:tc>
      </w:tr>
      <w:tr>
        <w:trPr>
          <w:trHeight w:val="1089" w:hRule="exact"/>
        </w:trPr>
        <w:tc>
          <w:tcPr>
            <w:tcW w:w="330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17" w:type="dxa"/>
            <w:vMerge/>
            <w:tcBorders>
              <w:left w:val="single" w:sz="12" w:space="0" w:color="D2D2D2"/>
              <w:bottom w:val="single" w:sz="6" w:space="0" w:color="000000"/>
              <w:right w:val="single" w:sz="6" w:space="0" w:color="000000"/>
            </w:tcBorders>
          </w:tcPr>
          <w:p>
            <w:pPr/>
          </w:p>
        </w:tc>
        <w:tc>
          <w:tcPr>
            <w:tcW w:w="1517" w:type="dxa"/>
            <w:vMerge/>
            <w:tcBorders>
              <w:left w:val="single" w:sz="6" w:space="0" w:color="000000"/>
              <w:bottom w:val="single" w:sz="6" w:space="0" w:color="000000"/>
              <w:right w:val="single" w:sz="6" w:space="0" w:color="000000"/>
            </w:tcBorders>
          </w:tcPr>
          <w:p>
            <w:pPr/>
          </w:p>
        </w:tc>
        <w:tc>
          <w:tcPr>
            <w:tcW w:w="1532"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r>
        <w:trPr>
          <w:trHeight w:val="322" w:hRule="exact"/>
        </w:trPr>
        <w:tc>
          <w:tcPr>
            <w:tcW w:w="3304" w:type="dxa"/>
            <w:tcBorders>
              <w:top w:val="single" w:sz="6" w:space="0" w:color="000000"/>
              <w:left w:val="single" w:sz="6" w:space="0" w:color="000000"/>
              <w:bottom w:val="nil" w:sz="6" w:space="0" w:color="auto"/>
              <w:right w:val="single" w:sz="6" w:space="0" w:color="000000"/>
            </w:tcBorders>
            <w:shd w:val="clear" w:color="auto" w:fill="D2D2D2"/>
          </w:tcPr>
          <w:p>
            <w:pPr/>
          </w:p>
        </w:tc>
        <w:tc>
          <w:tcPr>
            <w:tcW w:w="1517"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360,174.33</w:t>
            </w:r>
          </w:p>
        </w:tc>
        <w:tc>
          <w:tcPr>
            <w:tcW w:w="1517" w:type="dxa"/>
            <w:vMerge w:val="restart"/>
            <w:tcBorders>
              <w:top w:val="single" w:sz="6" w:space="0" w:color="000000"/>
              <w:left w:val="single" w:sz="6" w:space="0" w:color="000000"/>
              <w:right w:val="single" w:sz="6" w:space="0" w:color="000000"/>
            </w:tcBorders>
          </w:tcPr>
          <w:p>
            <w:pPr/>
          </w:p>
        </w:tc>
        <w:tc>
          <w:tcPr>
            <w:tcW w:w="1532" w:type="dxa"/>
            <w:vMerge w:val="restart"/>
            <w:tcBorders>
              <w:top w:val="single" w:sz="6" w:space="0" w:color="000000"/>
              <w:left w:val="single" w:sz="6" w:space="0" w:color="000000"/>
              <w:right w:val="single" w:sz="6" w:space="0" w:color="000000"/>
            </w:tcBorders>
          </w:tcPr>
          <w:p>
            <w:pPr/>
          </w:p>
        </w:tc>
        <w:tc>
          <w:tcPr>
            <w:tcW w:w="1712" w:type="dxa"/>
            <w:vMerge w:val="restart"/>
            <w:tcBorders>
              <w:top w:val="single" w:sz="6" w:space="0" w:color="000000"/>
              <w:left w:val="single" w:sz="6" w:space="0" w:color="000000"/>
              <w:right w:val="single" w:sz="6" w:space="0" w:color="000000"/>
            </w:tcBorders>
          </w:tcPr>
          <w:p>
            <w:pPr>
              <w:pStyle w:val="TableParagraph"/>
              <w:spacing w:line="316" w:lineRule="auto" w:before="44"/>
              <w:ind w:left="15" w:right="59"/>
              <w:jc w:val="both"/>
              <w:rPr>
                <w:rFonts w:ascii="宋体" w:hAnsi="宋体" w:cs="宋体" w:eastAsia="宋体" w:hint="default"/>
                <w:sz w:val="18"/>
                <w:szCs w:val="18"/>
              </w:rPr>
            </w:pPr>
            <w:r>
              <w:rPr>
                <w:rFonts w:ascii="宋体" w:hAnsi="宋体" w:cs="宋体" w:eastAsia="宋体" w:hint="default"/>
                <w:sz w:val="18"/>
                <w:szCs w:val="18"/>
              </w:rPr>
              <w:t>因《房屋租赁合同》 变更，起租期调整， 向出租方收取提前支 付房屋租金利息</w:t>
            </w:r>
          </w:p>
        </w:tc>
      </w:tr>
      <w:tr>
        <w:trPr>
          <w:trHeight w:val="706" w:hRule="exact"/>
        </w:trPr>
        <w:tc>
          <w:tcPr>
            <w:tcW w:w="330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15" w:right="3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17" w:type="dxa"/>
            <w:vMerge/>
            <w:tcBorders>
              <w:left w:val="single" w:sz="12" w:space="0" w:color="D2D2D2"/>
              <w:right w:val="single" w:sz="6" w:space="0" w:color="000000"/>
            </w:tcBorders>
          </w:tcPr>
          <w:p>
            <w:pPr/>
          </w:p>
        </w:tc>
        <w:tc>
          <w:tcPr>
            <w:tcW w:w="1517" w:type="dxa"/>
            <w:vMerge/>
            <w:tcBorders>
              <w:left w:val="single" w:sz="6" w:space="0" w:color="000000"/>
              <w:right w:val="single" w:sz="6" w:space="0" w:color="000000"/>
            </w:tcBorders>
          </w:tcPr>
          <w:p>
            <w:pPr/>
          </w:p>
        </w:tc>
        <w:tc>
          <w:tcPr>
            <w:tcW w:w="1532" w:type="dxa"/>
            <w:vMerge/>
            <w:tcBorders>
              <w:left w:val="single" w:sz="6" w:space="0" w:color="000000"/>
              <w:right w:val="single" w:sz="6" w:space="0" w:color="000000"/>
            </w:tcBorders>
          </w:tcPr>
          <w:p>
            <w:pPr/>
          </w:p>
        </w:tc>
        <w:tc>
          <w:tcPr>
            <w:tcW w:w="1712" w:type="dxa"/>
            <w:vMerge/>
            <w:tcBorders>
              <w:left w:val="single" w:sz="6" w:space="0" w:color="000000"/>
              <w:right w:val="single" w:sz="6" w:space="0" w:color="000000"/>
            </w:tcBorders>
          </w:tcPr>
          <w:p>
            <w:pPr/>
          </w:p>
        </w:tc>
      </w:tr>
      <w:tr>
        <w:trPr>
          <w:trHeight w:val="323" w:hRule="exact"/>
        </w:trPr>
        <w:tc>
          <w:tcPr>
            <w:tcW w:w="330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17" w:type="dxa"/>
            <w:vMerge/>
            <w:tcBorders>
              <w:left w:val="single" w:sz="12" w:space="0" w:color="D2D2D2"/>
              <w:bottom w:val="single" w:sz="6" w:space="0" w:color="000000"/>
              <w:right w:val="single" w:sz="6" w:space="0" w:color="000000"/>
            </w:tcBorders>
          </w:tcPr>
          <w:p>
            <w:pPr/>
          </w:p>
        </w:tc>
        <w:tc>
          <w:tcPr>
            <w:tcW w:w="1517" w:type="dxa"/>
            <w:vMerge/>
            <w:tcBorders>
              <w:left w:val="single" w:sz="6" w:space="0" w:color="000000"/>
              <w:bottom w:val="single" w:sz="6" w:space="0" w:color="000000"/>
              <w:right w:val="single" w:sz="6" w:space="0" w:color="000000"/>
            </w:tcBorders>
          </w:tcPr>
          <w:p>
            <w:pPr/>
          </w:p>
        </w:tc>
        <w:tc>
          <w:tcPr>
            <w:tcW w:w="1532"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r>
        <w:trPr>
          <w:trHeight w:val="390"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-445.86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-70,138.00</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-591.29</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339,427.36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1,353,729.96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37,277.43</w:t>
            </w: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-1,348.57</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3,581.32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793.04</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1,019,551.49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4,059,194.35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111,039.24</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66"/>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88" w:lineRule="auto" w:before="96"/>
        <w:ind w:right="1112"/>
        <w:jc w:val="left"/>
      </w:pPr>
      <w:r>
        <w:rPr/>
        <w:t>公司报告期不存在将根据《公开发行证券的公司信息披露解释性公告第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288"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20" w:right="0"/>
        <w:jc w:val="left"/>
        <w:rPr>
          <w:b w:val="0"/>
          <w:bCs w:val="0"/>
        </w:rPr>
      </w:pPr>
      <w:bookmarkStart w:name="第三节公司业务概要" w:id="15"/>
      <w:bookmarkEnd w:id="15"/>
      <w:r>
        <w:rPr>
          <w:b w:val="0"/>
          <w:bCs w:val="0"/>
        </w:rPr>
      </w:r>
      <w:bookmarkStart w:name="_bookmark2" w:id="16"/>
      <w:bookmarkEnd w:id="16"/>
      <w:r>
        <w:rPr>
          <w:b w:val="0"/>
          <w:bCs w:val="0"/>
        </w:rPr>
      </w:r>
      <w:r>
        <w:rPr>
          <w:spacing w:val="5"/>
        </w:rPr>
        <w:t>第三节公司业务概要</w:t>
      </w:r>
      <w:r>
        <w:rPr>
          <w:b w:val="0"/>
          <w:bCs w:val="0"/>
          <w:spacing w:val="5"/>
        </w:rPr>
      </w:r>
    </w:p>
    <w:p>
      <w:pPr>
        <w:spacing w:line="240" w:lineRule="auto" w:before="4"/>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1"/>
        <w:rPr>
          <w:rFonts w:ascii="宋体" w:hAnsi="宋体" w:cs="宋体" w:eastAsia="宋体" w:hint="default"/>
          <w:b/>
          <w:bCs/>
          <w:sz w:val="26"/>
          <w:szCs w:val="26"/>
        </w:rPr>
      </w:pPr>
    </w:p>
    <w:p>
      <w:pPr>
        <w:pStyle w:val="BodyText"/>
        <w:spacing w:line="321" w:lineRule="auto"/>
        <w:ind w:right="1084" w:firstLine="360"/>
        <w:jc w:val="left"/>
      </w:pPr>
      <w:r>
        <w:rPr>
          <w:rFonts w:ascii="宋体" w:hAnsi="宋体" w:cs="宋体" w:eastAsia="宋体" w:hint="default"/>
          <w:spacing w:val="-2"/>
        </w:rPr>
        <w:t>2019</w:t>
      </w:r>
      <w:r>
        <w:rPr>
          <w:spacing w:val="-2"/>
        </w:rPr>
        <w:t>年初，公司实施战略转型升级，</w:t>
      </w:r>
      <w:r>
        <w:rPr>
          <w:rFonts w:ascii="宋体" w:hAnsi="宋体" w:cs="宋体" w:eastAsia="宋体" w:hint="default"/>
          <w:b/>
          <w:bCs/>
          <w:spacing w:val="-2"/>
        </w:rPr>
        <w:t>公司新定位</w:t>
      </w:r>
      <w:r>
        <w:rPr>
          <w:rFonts w:ascii="宋体" w:hAnsi="宋体" w:cs="宋体" w:eastAsia="宋体" w:hint="default"/>
          <w:b/>
          <w:bCs/>
          <w:spacing w:val="-71"/>
        </w:rPr>
        <w:t> </w:t>
      </w:r>
      <w:r>
        <w:rPr>
          <w:spacing w:val="-2"/>
        </w:rPr>
        <w:t>是成为营销技术方案运营商，全面赋能产业互联网。</w:t>
      </w:r>
      <w:r>
        <w:rPr>
          <w:rFonts w:ascii="宋体" w:hAnsi="宋体" w:cs="宋体" w:eastAsia="宋体" w:hint="default"/>
          <w:b/>
          <w:bCs/>
          <w:spacing w:val="-2"/>
        </w:rPr>
        <w:t>公司新使命</w:t>
      </w:r>
      <w:r>
        <w:rPr>
          <w:rFonts w:ascii="宋体" w:hAnsi="宋体" w:cs="宋体" w:eastAsia="宋体" w:hint="default"/>
          <w:b/>
          <w:bCs/>
          <w:spacing w:val="-71"/>
        </w:rPr>
        <w:t> </w:t>
      </w:r>
      <w:r>
        <w:rPr/>
        <w:t>是聚焦 客户关注的营销挑战和压力，提供富有竞争力的营销技术解决方案和运营服务，持续为客户创造价值。</w:t>
      </w:r>
    </w:p>
    <w:p>
      <w:pPr>
        <w:pStyle w:val="BodyText"/>
        <w:spacing w:line="314" w:lineRule="auto" w:before="139"/>
        <w:ind w:right="1118" w:firstLine="360"/>
        <w:jc w:val="both"/>
      </w:pPr>
      <w:r>
        <w:rPr>
          <w:spacing w:val="-2"/>
        </w:rPr>
        <w:t>公司作为国内领先的整合营销传播服务商和新一代的营销技术运营商，在行业具有较大的影响力。公司凭借自有品牌竞</w:t>
      </w:r>
      <w:r>
        <w:rPr/>
        <w:t> </w:t>
      </w:r>
      <w:r>
        <w:rPr>
          <w:spacing w:val="-2"/>
        </w:rPr>
        <w:t>争力、领先的“营销技术”运营力、优秀的创意策划能力和高效的执行管理能力，为众多国内外知名企业提供了全方位的整</w:t>
      </w:r>
      <w:r>
        <w:rPr>
          <w:spacing w:val="-56"/>
        </w:rPr>
        <w:t> </w:t>
      </w:r>
      <w:r>
        <w:rPr>
          <w:spacing w:val="-56"/>
        </w:rPr>
      </w:r>
      <w:r>
        <w:rPr/>
        <w:t>合营销传播服务，积累了大批稳定而优质的互联网行业上下游合作伙伴。</w:t>
      </w:r>
    </w:p>
    <w:p>
      <w:pPr>
        <w:pStyle w:val="BodyText"/>
        <w:spacing w:line="319" w:lineRule="auto" w:before="144"/>
        <w:ind w:right="1029" w:firstLine="360"/>
        <w:jc w:val="left"/>
      </w:pPr>
      <w:r>
        <w:rPr>
          <w:spacing w:val="-2"/>
        </w:rPr>
        <w:t>报告期内，公司客户行业分布较广，涵盖了汽车、快速消费品、互联网及信息技术、文旅、金融等各个行业，上述行业</w:t>
      </w:r>
      <w:r>
        <w:rPr/>
        <w:t> 相关的宏观经济形势、行业政策环境、信息化投资需求等存在较大差异。不同客户的行业属性差异、所处发展阶段差异等， </w:t>
      </w:r>
      <w:r>
        <w:rPr>
          <w:spacing w:val="-2"/>
        </w:rPr>
        <w:t>对客户整合营销传播需求有较大影响。例如当客户受经济下行压力以及所处行业竞争态势加剧等因素影响时，客户为应对自</w:t>
      </w:r>
      <w:r>
        <w:rPr>
          <w:spacing w:val="-72"/>
        </w:rPr>
        <w:t> </w:t>
      </w:r>
      <w:r>
        <w:rPr>
          <w:spacing w:val="-72"/>
        </w:rPr>
      </w:r>
      <w:r>
        <w:rPr>
          <w:spacing w:val="-2"/>
        </w:rPr>
        <w:t>身竞争压力，会相应缩减营销预算；反之，当客户处于行业快速发展、业务迅猛扩张时期，其营销预算亦会呈现快速增长趋</w:t>
      </w:r>
      <w:r>
        <w:rPr>
          <w:spacing w:val="-54"/>
        </w:rPr>
        <w:t> </w:t>
      </w:r>
      <w:r>
        <w:rPr>
          <w:spacing w:val="-54"/>
        </w:rPr>
      </w:r>
      <w:r>
        <w:rPr>
          <w:spacing w:val="-2"/>
        </w:rPr>
        <w:t>势。公司基于不同客户的需求痛点和营销特征，通过广泛探索营销全链条技术应用以及整合各种营销技术应用场景，进一步</w:t>
      </w:r>
      <w:r>
        <w:rPr>
          <w:spacing w:val="-75"/>
        </w:rPr>
        <w:t> </w:t>
      </w:r>
      <w:r>
        <w:rPr>
          <w:spacing w:val="-75"/>
        </w:rPr>
      </w:r>
      <w:r>
        <w:rPr>
          <w:spacing w:val="-2"/>
        </w:rPr>
        <w:t>打破营销环节沟壑，链接不同部门间的数据孤岛，更具有针对性的解决客户的营销痛点和压力，为其提供富有竞争力的营销</w:t>
      </w:r>
      <w:r>
        <w:rPr>
          <w:spacing w:val="-75"/>
        </w:rPr>
        <w:t> </w:t>
      </w:r>
      <w:r>
        <w:rPr>
          <w:spacing w:val="-75"/>
        </w:rPr>
      </w:r>
      <w:r>
        <w:rPr>
          <w:spacing w:val="-2"/>
        </w:rPr>
        <w:t>技术解决方案和运营服务，为客户创造最大价值，从而最大限度地减少因客户行业状况及经营情况等变化对公司当期及未来</w:t>
      </w:r>
      <w:r>
        <w:rPr>
          <w:spacing w:val="-72"/>
        </w:rPr>
        <w:t> </w:t>
      </w:r>
      <w:r>
        <w:rPr>
          <w:spacing w:val="-72"/>
        </w:rPr>
      </w:r>
      <w:r>
        <w:rPr/>
        <w:t>发展带来的不利影响，不断巩固并提升公司的行业地位。</w:t>
      </w:r>
    </w:p>
    <w:p>
      <w:pPr>
        <w:pStyle w:val="Heading9"/>
        <w:spacing w:line="240" w:lineRule="auto" w:before="125"/>
        <w:ind w:right="0"/>
        <w:jc w:val="left"/>
        <w:rPr>
          <w:b w:val="0"/>
          <w:bCs w:val="0"/>
        </w:rPr>
      </w:pPr>
      <w:r>
        <w:rPr/>
        <w:t>（一）主要业务概况</w:t>
      </w:r>
      <w:r>
        <w:rPr>
          <w:b w:val="0"/>
          <w:bCs w:val="0"/>
        </w:rPr>
      </w:r>
    </w:p>
    <w:p>
      <w:pPr>
        <w:spacing w:line="240" w:lineRule="auto" w:before="4"/>
        <w:rPr>
          <w:rFonts w:ascii="宋体" w:hAnsi="宋体" w:cs="宋体" w:eastAsia="宋体" w:hint="default"/>
          <w:b/>
          <w:bCs/>
          <w:sz w:val="15"/>
          <w:szCs w:val="15"/>
        </w:rPr>
      </w:pPr>
    </w:p>
    <w:p>
      <w:pPr>
        <w:pStyle w:val="BodyText"/>
        <w:spacing w:line="321" w:lineRule="auto"/>
        <w:ind w:right="0" w:firstLine="360"/>
        <w:jc w:val="left"/>
      </w:pPr>
      <w:r>
        <w:rPr/>
        <w:t>公司始终秉持“</w:t>
      </w:r>
      <w:r>
        <w:rPr>
          <w:rFonts w:ascii="宋体" w:hAnsi="宋体" w:cs="宋体" w:eastAsia="宋体" w:hint="default"/>
          <w:b/>
          <w:bCs/>
        </w:rPr>
        <w:t>合适就是竞争力</w:t>
      </w:r>
      <w:r>
        <w:rPr>
          <w:rFonts w:ascii="宋体" w:hAnsi="宋体" w:cs="宋体" w:eastAsia="宋体" w:hint="default"/>
          <w:b/>
          <w:bCs/>
          <w:spacing w:val="-76"/>
        </w:rPr>
        <w:t> </w:t>
      </w:r>
      <w:r>
        <w:rPr/>
        <w:t>”的传播哲学，顺应“互联网</w:t>
      </w:r>
      <w:r>
        <w:rPr>
          <w:rFonts w:ascii="宋体" w:hAnsi="宋体" w:cs="宋体" w:eastAsia="宋体" w:hint="default"/>
        </w:rPr>
        <w:t>+</w:t>
      </w:r>
      <w:r>
        <w:rPr/>
        <w:t>”的发展趋势，报告期内，深入分析整合营销全链条的 </w:t>
      </w:r>
      <w:r>
        <w:rPr>
          <w:spacing w:val="-2"/>
        </w:rPr>
        <w:t>各个环节，结合客户行业特征和发展趋势，在舆情大数据分析、媒介价值评估、大数据精准营销、智能口碑营销、智能内容</w:t>
      </w:r>
      <w:r>
        <w:rPr>
          <w:spacing w:val="-72"/>
        </w:rPr>
        <w:t> </w:t>
      </w:r>
      <w:r>
        <w:rPr>
          <w:spacing w:val="-72"/>
        </w:rPr>
      </w:r>
      <w:r>
        <w:rPr>
          <w:spacing w:val="-2"/>
        </w:rPr>
        <w:t>创作、盘活存量市场、高质提升增量市场等营销技术应用方面进行了广泛探索和深入研究，并实现了部分营销技术服务的产</w:t>
      </w:r>
      <w:r>
        <w:rPr>
          <w:spacing w:val="-75"/>
        </w:rPr>
        <w:t> </w:t>
      </w:r>
      <w:r>
        <w:rPr>
          <w:spacing w:val="-75"/>
        </w:rPr>
      </w:r>
      <w:r>
        <w:rPr>
          <w:spacing w:val="-3"/>
        </w:rPr>
        <w:t>品化，为公司的汽车、快速消费品、互联网及信息技术、政府、文旅、金融等政企客户提供了综合的“营销技术”解决方案。</w:t>
      </w:r>
    </w:p>
    <w:p>
      <w:pPr>
        <w:pStyle w:val="BodyText"/>
        <w:spacing w:line="321" w:lineRule="auto" w:before="123"/>
        <w:ind w:right="1133" w:firstLine="360"/>
        <w:jc w:val="left"/>
      </w:pPr>
      <w:r>
        <w:rPr>
          <w:spacing w:val="-2"/>
        </w:rPr>
        <w:t>为了更好地满足投资者全面了解公司的经营情况，根据公司的全新转型战略，结合报告期内的具体经营布局，公司的主</w:t>
      </w:r>
      <w:r>
        <w:rPr/>
        <w:t> 营业务主要可划分为：</w:t>
      </w:r>
    </w:p>
    <w:p>
      <w:pPr>
        <w:pStyle w:val="BodyText"/>
        <w:spacing w:line="312" w:lineRule="auto" w:before="153"/>
        <w:ind w:right="1103" w:firstLine="360"/>
        <w:jc w:val="both"/>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）营销解决方案服务：</w:t>
      </w:r>
      <w:r>
        <w:rPr>
          <w:rFonts w:ascii="宋体" w:hAnsi="宋体" w:cs="宋体" w:eastAsia="宋体" w:hint="default"/>
          <w:b/>
          <w:bCs/>
          <w:spacing w:val="-69"/>
        </w:rPr>
        <w:t> </w:t>
      </w:r>
      <w:r>
        <w:rPr/>
        <w:t>主要为配合客户的目标市场及渠道、终端，为客户量身定制从品牌认知到产品体验的全方位 整合营销传播服务。经过多年的行业积累，公司现已形成以营销策略及创意内容为核心、以“传统</w:t>
      </w:r>
      <w:r>
        <w:rPr>
          <w:rFonts w:ascii="宋体" w:hAnsi="宋体" w:cs="宋体" w:eastAsia="宋体" w:hint="default"/>
        </w:rPr>
        <w:t>+</w:t>
      </w:r>
      <w:r>
        <w:rPr/>
        <w:t>数字”渠道为通路的品</w:t>
      </w:r>
      <w:r>
        <w:rPr>
          <w:spacing w:val="-82"/>
        </w:rPr>
        <w:t> </w:t>
      </w:r>
      <w:r>
        <w:rPr>
          <w:spacing w:val="-2"/>
        </w:rPr>
        <w:t>牌全传播服务模式。同时，公司在打破沟壑分明的品牌传播专业壁垒的基础上，整合不同传播手段及专业平台，以全面营销</w:t>
      </w:r>
      <w:r>
        <w:rPr>
          <w:spacing w:val="-42"/>
        </w:rPr>
        <w:t> </w:t>
      </w:r>
      <w:r>
        <w:rPr>
          <w:spacing w:val="-42"/>
        </w:rPr>
      </w:r>
      <w:r>
        <w:rPr/>
        <w:t>解决方案满足客户多元化、多层次、多专业领域的需求，为客户提供一站式营销传播服务。</w:t>
      </w:r>
    </w:p>
    <w:p>
      <w:pPr>
        <w:pStyle w:val="BodyText"/>
        <w:spacing w:line="316" w:lineRule="auto" w:before="161"/>
        <w:ind w:right="0" w:firstLine="36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）营销技术运营服务：</w:t>
      </w:r>
      <w:r>
        <w:rPr>
          <w:rFonts w:ascii="宋体" w:hAnsi="宋体" w:cs="宋体" w:eastAsia="宋体" w:hint="default"/>
          <w:b/>
          <w:bCs/>
          <w:spacing w:val="-71"/>
        </w:rPr>
        <w:t> </w:t>
      </w:r>
      <w:r>
        <w:rPr/>
        <w:t>主要通过自主研发以及与合作伙伴共同开发的一系列营销技术产品为客户提供增值服务。公 </w:t>
      </w:r>
      <w:r>
        <w:rPr>
          <w:spacing w:val="-2"/>
        </w:rPr>
        <w:t>司积极拥抱人工智能、大数据、区块链等领先技术，充分依托客户多元化、多层次、多专业领域的需求，以公司主营业务为</w:t>
      </w:r>
      <w:r>
        <w:rPr>
          <w:spacing w:val="-72"/>
        </w:rPr>
        <w:t> </w:t>
      </w:r>
      <w:r>
        <w:rPr>
          <w:spacing w:val="-72"/>
        </w:rPr>
      </w:r>
      <w:r>
        <w:rPr/>
        <w:t>主要应用场景，通过搭建前台业务团队、中台技术团队和后台服务团队的联动平台，实现了从行业研究、人群洞察、数据分</w:t>
      </w:r>
      <w:r>
        <w:rPr/>
        <w:t> </w:t>
      </w:r>
      <w:r>
        <w:rPr>
          <w:spacing w:val="-4"/>
        </w:rPr>
        <w:t>析、媒介价值研究及评估、消费行为分析到企业发展及品牌生命力分析的整体把握。其中，品推宝自主研发的“机智小编”、</w:t>
      </w:r>
      <w:r>
        <w:rPr>
          <w:spacing w:val="-44"/>
        </w:rPr>
        <w:t> </w:t>
      </w:r>
      <w:r>
        <w:rPr>
          <w:spacing w:val="-44"/>
        </w:rPr>
      </w:r>
      <w:r>
        <w:rPr>
          <w:spacing w:val="-3"/>
        </w:rPr>
        <w:t>“藏经阁”、“品推宝内容营销流程管理系统”、“智能舆情系统”四个高度自动化、智能化组件产品，分别针对内容生产、</w:t>
      </w:r>
      <w:r>
        <w:rPr>
          <w:spacing w:val="-71"/>
        </w:rPr>
        <w:t> </w:t>
      </w:r>
      <w:r>
        <w:rPr>
          <w:spacing w:val="-71"/>
        </w:rPr>
      </w:r>
      <w:r>
        <w:rPr/>
        <w:t>协同与资产管理、内容监测领域的数字化需求，既可以独立使用，更能串联成营销管理闭环，最大程度提升内容营销效能；</w:t>
      </w:r>
      <w:r>
        <w:rPr>
          <w:spacing w:val="-82"/>
        </w:rPr>
        <w:t> </w:t>
      </w:r>
      <w:r>
        <w:rPr>
          <w:spacing w:val="-82"/>
        </w:rPr>
      </w:r>
      <w:r>
        <w:rPr>
          <w:spacing w:val="-2"/>
        </w:rPr>
        <w:t>舆情大数据分析平台依托</w:t>
      </w:r>
      <w:r>
        <w:rPr>
          <w:rFonts w:ascii="宋体" w:hAnsi="宋体" w:cs="宋体" w:eastAsia="宋体" w:hint="default"/>
          <w:spacing w:val="-2"/>
        </w:rPr>
        <w:t>AI</w:t>
      </w:r>
      <w:r>
        <w:rPr>
          <w:spacing w:val="-2"/>
        </w:rPr>
        <w:t>技术实现了智能全媒体监测，为客户极大地提升了服务效率与效益；媒介价值评估系统以长时间</w:t>
      </w:r>
      <w:r>
        <w:rPr>
          <w:spacing w:val="-68"/>
        </w:rPr>
        <w:t> </w:t>
      </w:r>
      <w:r>
        <w:rPr>
          <w:spacing w:val="-68"/>
        </w:rPr>
      </w:r>
      <w:r>
        <w:rPr/>
        <w:t>的媒体端数据积累为基础，结合大数据分析技术，为客户精准化传播、精细化运营提供了全面的解决方案。此外，公司的控</w:t>
      </w:r>
      <w:r>
        <w:rPr/>
        <w:t> </w:t>
      </w:r>
      <w:r>
        <w:rPr>
          <w:spacing w:val="-2"/>
        </w:rPr>
        <w:t>股子公司星言云汇是一家凭借专业数据驱动精准营销与效果营销的解决方案供应商，借助优势移动平台资源，致力于为广告</w:t>
      </w:r>
      <w:r>
        <w:rPr>
          <w:spacing w:val="-72"/>
        </w:rPr>
        <w:t> </w:t>
      </w:r>
      <w:r>
        <w:rPr>
          <w:spacing w:val="-72"/>
        </w:rPr>
      </w:r>
      <w:r>
        <w:rPr>
          <w:spacing w:val="-2"/>
        </w:rPr>
        <w:t>主提供以信息流广告与效果营销为主，策略创意、内容分发、口碑与舆情管理、大数据分析、短视频营销创意素材、短视频</w:t>
      </w:r>
      <w:r>
        <w:rPr>
          <w:spacing w:val="-72"/>
        </w:rPr>
        <w:t> </w:t>
      </w:r>
      <w:r>
        <w:rPr>
          <w:spacing w:val="-72"/>
        </w:rPr>
      </w:r>
      <w:r>
        <w:rPr/>
        <w:t>运营优化等为辅的互联网营销整合解决方案及服务。</w:t>
      </w:r>
    </w:p>
    <w:p>
      <w:pPr>
        <w:spacing w:after="0" w:line="316"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4" w:lineRule="auto" w:before="44"/>
        <w:ind w:right="0" w:firstLine="360"/>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）数据技术产品服务：</w:t>
      </w:r>
      <w:r>
        <w:rPr>
          <w:rFonts w:ascii="宋体" w:hAnsi="宋体" w:cs="宋体" w:eastAsia="宋体" w:hint="default"/>
          <w:b/>
          <w:bCs/>
          <w:spacing w:val="-72"/>
        </w:rPr>
        <w:t> </w:t>
      </w:r>
      <w:r>
        <w:rPr/>
        <w:t>主要依托人工智能、深度学习、计算机视觉等智能专业技术，以海量数据训练的算法模型为 </w:t>
      </w:r>
      <w:r>
        <w:rPr>
          <w:spacing w:val="-2"/>
        </w:rPr>
        <w:t>基础，为政府和企业客户提供专项数据技术产品服务。公司控股子公司云目未来用</w:t>
      </w:r>
      <w:r>
        <w:rPr>
          <w:rFonts w:ascii="宋体" w:hAnsi="宋体" w:cs="宋体" w:eastAsia="宋体" w:hint="default"/>
          <w:spacing w:val="-2"/>
        </w:rPr>
        <w:t>AI</w:t>
      </w:r>
      <w:r>
        <w:rPr>
          <w:spacing w:val="-2"/>
        </w:rPr>
        <w:t>“理解”视频内容，以</w:t>
      </w:r>
      <w:r>
        <w:rPr>
          <w:rFonts w:ascii="宋体" w:hAnsi="宋体" w:cs="宋体" w:eastAsia="宋体" w:hint="default"/>
          <w:spacing w:val="-2"/>
        </w:rPr>
        <w:t>AI</w:t>
      </w:r>
      <w:r>
        <w:rPr>
          <w:spacing w:val="-2"/>
        </w:rPr>
        <w:t>视频技术为核</w:t>
      </w:r>
      <w:r>
        <w:rPr>
          <w:spacing w:val="-45"/>
        </w:rPr>
        <w:t> </w:t>
      </w:r>
      <w:r>
        <w:rPr>
          <w:spacing w:val="-2"/>
        </w:rPr>
        <w:t>心，推动政企提升在视频内容领域智能处理的效率，帮助政企克服未来海量数据对工作的挑战。云目未来与湖南省互联网信</w:t>
      </w:r>
      <w:r>
        <w:rPr>
          <w:spacing w:val="-75"/>
        </w:rPr>
        <w:t> </w:t>
      </w:r>
      <w:r>
        <w:rPr>
          <w:spacing w:val="-75"/>
        </w:rPr>
      </w:r>
      <w:r>
        <w:rPr/>
        <w:t>息办公室于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日在长沙签署了《战略合作框架协议》。云目未来将充分发挥在人工智能、计算机视觉等专业技术 </w:t>
      </w:r>
      <w:r>
        <w:rPr>
          <w:spacing w:val="-4"/>
        </w:rPr>
        <w:t>领域的优势，助力湖南省互联网信息办公室提升在网络视频舆情监测、分析和研判能力，提高保障湖南省网络视频内容安全、</w:t>
      </w:r>
      <w:r>
        <w:rPr>
          <w:spacing w:val="-43"/>
        </w:rPr>
        <w:t> </w:t>
      </w:r>
      <w:r>
        <w:rPr>
          <w:spacing w:val="-43"/>
        </w:rPr>
      </w:r>
      <w:r>
        <w:rPr/>
        <w:t>助推网络视频产业健康发展的能力。</w:t>
      </w:r>
    </w:p>
    <w:p>
      <w:pPr>
        <w:pStyle w:val="Heading9"/>
        <w:spacing w:line="240" w:lineRule="auto" w:before="128"/>
        <w:ind w:right="0"/>
        <w:jc w:val="left"/>
        <w:rPr>
          <w:b w:val="0"/>
          <w:bCs w:val="0"/>
        </w:rPr>
      </w:pPr>
      <w:r>
        <w:rPr/>
        <w:t>（二）年度业绩概况</w:t>
      </w:r>
      <w:r>
        <w:rPr>
          <w:b w:val="0"/>
          <w:bCs w:val="0"/>
        </w:rPr>
      </w:r>
    </w:p>
    <w:p>
      <w:pPr>
        <w:spacing w:line="240" w:lineRule="auto" w:before="5"/>
        <w:rPr>
          <w:rFonts w:ascii="宋体" w:hAnsi="宋体" w:cs="宋体" w:eastAsia="宋体" w:hint="default"/>
          <w:b/>
          <w:bCs/>
          <w:sz w:val="16"/>
          <w:szCs w:val="16"/>
        </w:rPr>
      </w:pPr>
    </w:p>
    <w:p>
      <w:pPr>
        <w:pStyle w:val="BodyText"/>
        <w:spacing w:line="319" w:lineRule="auto"/>
        <w:ind w:right="1029" w:firstLine="360"/>
        <w:jc w:val="left"/>
      </w:pPr>
      <w:r>
        <w:rPr/>
        <w:t>报告期内，公司总体实现营业收入</w:t>
      </w:r>
      <w:r>
        <w:rPr>
          <w:rFonts w:ascii="宋体" w:hAnsi="宋体" w:cs="宋体" w:eastAsia="宋体" w:hint="default"/>
        </w:rPr>
        <w:t>35,422.87</w:t>
      </w:r>
      <w:r>
        <w:rPr>
          <w:rFonts w:ascii="宋体" w:hAnsi="宋体" w:cs="宋体" w:eastAsia="宋体" w:hint="default"/>
          <w:spacing w:val="-65"/>
        </w:rPr>
        <w:t> </w:t>
      </w:r>
      <w:r>
        <w:rPr/>
        <w:t>万元，同比下降</w:t>
      </w:r>
      <w:r>
        <w:rPr>
          <w:rFonts w:ascii="宋体" w:hAnsi="宋体" w:cs="宋体" w:eastAsia="宋体" w:hint="default"/>
        </w:rPr>
        <w:t>4.08%</w:t>
      </w:r>
      <w:r>
        <w:rPr/>
        <w:t>。其中，按业务类型划分，营销解决方案类收入为 </w:t>
      </w:r>
      <w:r>
        <w:rPr>
          <w:rFonts w:ascii="宋体" w:hAnsi="宋体" w:cs="宋体" w:eastAsia="宋体" w:hint="default"/>
        </w:rPr>
        <w:t>30,570.03</w:t>
      </w:r>
      <w:r>
        <w:rPr/>
        <w:t>万元，约占营业收入的</w:t>
      </w:r>
      <w:r>
        <w:rPr>
          <w:rFonts w:ascii="宋体" w:hAnsi="宋体" w:cs="宋体" w:eastAsia="宋体" w:hint="default"/>
        </w:rPr>
        <w:t>86.30%</w:t>
      </w:r>
      <w:r>
        <w:rPr/>
        <w:t>；营销技术运营类收入为</w:t>
      </w:r>
      <w:r>
        <w:rPr>
          <w:rFonts w:ascii="宋体" w:hAnsi="宋体" w:cs="宋体" w:eastAsia="宋体" w:hint="default"/>
        </w:rPr>
        <w:t>4,578.14</w:t>
      </w:r>
      <w:r>
        <w:rPr/>
        <w:t>万元，约占营业收入的</w:t>
      </w:r>
      <w:r>
        <w:rPr>
          <w:rFonts w:ascii="宋体" w:hAnsi="宋体" w:cs="宋体" w:eastAsia="宋体" w:hint="default"/>
        </w:rPr>
        <w:t>12.92%</w:t>
      </w:r>
      <w:r>
        <w:rPr/>
        <w:t>；数据技术产品类</w:t>
      </w:r>
      <w:r>
        <w:rPr>
          <w:spacing w:val="-84"/>
        </w:rPr>
        <w:t> </w:t>
      </w:r>
      <w:r>
        <w:rPr/>
        <w:t>收入为</w:t>
      </w:r>
      <w:r>
        <w:rPr>
          <w:rFonts w:ascii="宋体" w:hAnsi="宋体" w:cs="宋体" w:eastAsia="宋体" w:hint="default"/>
        </w:rPr>
        <w:t>274.71</w:t>
      </w:r>
      <w:r>
        <w:rPr/>
        <w:t>万元，约占营业收入的</w:t>
      </w:r>
      <w:r>
        <w:rPr>
          <w:rFonts w:ascii="宋体" w:hAnsi="宋体" w:cs="宋体" w:eastAsia="宋体" w:hint="default"/>
        </w:rPr>
        <w:t>0.78%</w:t>
      </w:r>
      <w:r>
        <w:rPr/>
        <w:t>。按服务类别划分，营销服务类收入为</w:t>
      </w:r>
      <w:r>
        <w:rPr>
          <w:rFonts w:ascii="宋体" w:hAnsi="宋体" w:cs="宋体" w:eastAsia="宋体" w:hint="default"/>
        </w:rPr>
        <w:t>28,017.21</w:t>
      </w:r>
      <w:r>
        <w:rPr/>
        <w:t>万元，约占营业收入的</w:t>
      </w:r>
      <w:r>
        <w:rPr>
          <w:rFonts w:ascii="宋体" w:hAnsi="宋体" w:cs="宋体" w:eastAsia="宋体" w:hint="default"/>
        </w:rPr>
        <w:t>79.09%</w:t>
      </w:r>
      <w:r>
        <w:rPr/>
        <w:t>；</w:t>
      </w:r>
      <w:r>
        <w:rPr>
          <w:spacing w:val="-82"/>
        </w:rPr>
        <w:t> </w:t>
      </w:r>
      <w:r>
        <w:rPr>
          <w:spacing w:val="-2"/>
        </w:rPr>
        <w:t>广告服务类收入为</w:t>
      </w:r>
      <w:r>
        <w:rPr>
          <w:rFonts w:ascii="宋体" w:hAnsi="宋体" w:cs="宋体" w:eastAsia="宋体" w:hint="default"/>
          <w:spacing w:val="-2"/>
        </w:rPr>
        <w:t>7,405.66</w:t>
      </w:r>
      <w:r>
        <w:rPr>
          <w:spacing w:val="-2"/>
        </w:rPr>
        <w:t>万元，约占营业收入的</w:t>
      </w:r>
      <w:r>
        <w:rPr>
          <w:rFonts w:ascii="宋体" w:hAnsi="宋体" w:cs="宋体" w:eastAsia="宋体" w:hint="default"/>
          <w:spacing w:val="-2"/>
        </w:rPr>
        <w:t>20.91%</w:t>
      </w:r>
      <w:r>
        <w:rPr>
          <w:spacing w:val="-2"/>
        </w:rPr>
        <w:t>。报告期内，由于公司为实现战略转型升级，完善技术布局，进一</w:t>
      </w:r>
      <w:r>
        <w:rPr>
          <w:spacing w:val="-39"/>
        </w:rPr>
        <w:t> </w:t>
      </w:r>
      <w:r>
        <w:rPr>
          <w:spacing w:val="-39"/>
        </w:rPr>
      </w:r>
      <w:r>
        <w:rPr/>
        <w:t>步扩编了研发团队，加大了研发投入，使得研发费用较上年同期有所增加，研发费用投入金额为</w:t>
      </w:r>
      <w:r>
        <w:rPr>
          <w:rFonts w:ascii="宋体" w:hAnsi="宋体" w:cs="宋体" w:eastAsia="宋体" w:hint="default"/>
        </w:rPr>
        <w:t>2,556.02</w:t>
      </w:r>
      <w:r>
        <w:rPr/>
        <w:t>万元，同比增长</w:t>
      </w:r>
      <w:r>
        <w:rPr>
          <w:spacing w:val="4"/>
        </w:rPr>
        <w:t> </w:t>
      </w:r>
      <w:r>
        <w:rPr>
          <w:spacing w:val="4"/>
        </w:rPr>
      </w:r>
      <w:r>
        <w:rPr>
          <w:rFonts w:ascii="宋体" w:hAnsi="宋体" w:cs="宋体" w:eastAsia="宋体" w:hint="default"/>
        </w:rPr>
        <w:t>74.07%</w:t>
      </w:r>
      <w:r>
        <w:rPr/>
        <w:t>。</w:t>
      </w:r>
    </w:p>
    <w:p>
      <w:pPr>
        <w:pStyle w:val="BodyText"/>
        <w:spacing w:line="321" w:lineRule="auto" w:before="125"/>
        <w:ind w:right="1029" w:firstLine="360"/>
        <w:jc w:val="left"/>
      </w:pPr>
      <w:r>
        <w:rPr/>
        <w:t>未来，公司将持续加大研发投入，加快产品迭代速度，不断拓展营销解决方案、营销技术运营和数据技术产品类业务， </w:t>
      </w:r>
      <w:r>
        <w:rPr>
          <w:spacing w:val="-2"/>
        </w:rPr>
        <w:t>逐步在数据、分析和运营三个维度建立起强大的护城河和壁垒，形成极具差异化的体系竞争力，稳步推动公司整体盈利水平</w:t>
      </w:r>
      <w:r>
        <w:rPr>
          <w:spacing w:val="-75"/>
        </w:rPr>
        <w:t> </w:t>
      </w:r>
      <w:r>
        <w:rPr>
          <w:spacing w:val="-75"/>
        </w:rPr>
      </w:r>
      <w:r>
        <w:rPr/>
        <w:t>的提升。</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173"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03"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1"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报告期新增股权投资所致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报告期新增特许权</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报告期增加应收股权转让款所致</w:t>
            </w:r>
          </w:p>
        </w:tc>
      </w:tr>
      <w:tr>
        <w:trPr>
          <w:trHeight w:val="7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04"/>
              <w:jc w:val="left"/>
              <w:rPr>
                <w:rFonts w:ascii="宋体" w:hAnsi="宋体" w:cs="宋体" w:eastAsia="宋体" w:hint="default"/>
                <w:sz w:val="18"/>
                <w:szCs w:val="18"/>
              </w:rPr>
            </w:pPr>
            <w:r>
              <w:rPr>
                <w:rFonts w:ascii="宋体" w:hAnsi="宋体" w:cs="宋体" w:eastAsia="宋体" w:hint="default"/>
                <w:sz w:val="18"/>
                <w:szCs w:val="18"/>
              </w:rPr>
              <w:t>可供出售金融资产减少为公司根据新金融工具准则的要求将原在</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 产</w:t>
            </w:r>
            <w:r>
              <w:rPr>
                <w:rFonts w:ascii="Times New Roman" w:hAnsi="Times New Roman" w:cs="Times New Roman" w:eastAsia="Times New Roman" w:hint="default"/>
                <w:sz w:val="18"/>
                <w:szCs w:val="18"/>
              </w:rPr>
              <w:t>”</w:t>
            </w:r>
            <w:r>
              <w:rPr>
                <w:rFonts w:ascii="宋体" w:hAnsi="宋体" w:cs="宋体" w:eastAsia="宋体" w:hint="default"/>
                <w:sz w:val="18"/>
                <w:szCs w:val="18"/>
              </w:rPr>
              <w:t>核算的股权投资改在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核算所致</w:t>
            </w:r>
          </w:p>
        </w:tc>
      </w:tr>
      <w:tr>
        <w:trPr>
          <w:trHeight w:val="72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30" w:right="89"/>
              <w:jc w:val="left"/>
              <w:rPr>
                <w:rFonts w:ascii="宋体" w:hAnsi="宋体" w:cs="宋体" w:eastAsia="宋体" w:hint="default"/>
                <w:sz w:val="18"/>
                <w:szCs w:val="18"/>
              </w:rPr>
            </w:pPr>
            <w:r>
              <w:rPr>
                <w:rFonts w:ascii="宋体" w:hAnsi="宋体" w:cs="宋体" w:eastAsia="宋体" w:hint="default"/>
                <w:sz w:val="18"/>
                <w:szCs w:val="18"/>
              </w:rPr>
              <w:t>其他权益工具投资增加为公司根据新金融工具准则的要求将原在</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w:t>
            </w:r>
            <w:r>
              <w:rPr>
                <w:rFonts w:ascii="宋体" w:hAnsi="宋体" w:cs="宋体" w:eastAsia="宋体" w:hint="default"/>
                <w:spacing w:val="-74"/>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核算的股权投资改在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核算所致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报告期新增预付办公室装修款</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报告期重大客户回款及业务量下降导致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报告期新增预付软件款</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报告期新增因收购星言云汇部分股权而产生的商誉</w:t>
            </w: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3"/>
        <w:spacing w:line="240" w:lineRule="auto" w:before="26"/>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319" w:lineRule="auto"/>
        <w:ind w:right="1106" w:firstLine="360"/>
        <w:jc w:val="both"/>
      </w:pPr>
      <w:r>
        <w:rPr>
          <w:spacing w:val="-2"/>
        </w:rPr>
        <w:t>报告期内，公司持续秉持“合适就是竞争力”的传播哲学，围绕“营销技术”的战略核心，基于不同客户的需求痛点和</w:t>
      </w:r>
      <w:r>
        <w:rPr/>
        <w:t> </w:t>
      </w:r>
      <w:r>
        <w:rPr>
          <w:spacing w:val="-2"/>
        </w:rPr>
        <w:t>营销特征，通过广泛探索营销全链条技术应用以及整合各种营销技术应用场景，进一步打破营销环节沟壑，链接不同部门间</w:t>
      </w:r>
      <w:r>
        <w:rPr>
          <w:spacing w:val="-75"/>
        </w:rPr>
        <w:t> </w:t>
      </w:r>
      <w:r>
        <w:rPr>
          <w:spacing w:val="-75"/>
        </w:rPr>
      </w:r>
      <w:r>
        <w:rPr>
          <w:spacing w:val="-2"/>
        </w:rPr>
        <w:t>的数据孤岛，更具有针对性的解决客户的营销痛点和压力，从而持续增强公司的品牌影响力和核心竞争力。另外，公司在报</w:t>
      </w:r>
      <w:r>
        <w:rPr>
          <w:spacing w:val="-42"/>
        </w:rPr>
        <w:t> </w:t>
      </w:r>
      <w:r>
        <w:rPr>
          <w:spacing w:val="-42"/>
        </w:rPr>
      </w:r>
      <w:r>
        <w:rPr/>
        <w:t>告期内持续加大研发投入，在“营销技术（</w:t>
      </w:r>
      <w:r>
        <w:rPr>
          <w:rFonts w:ascii="宋体" w:hAnsi="宋体" w:cs="宋体" w:eastAsia="宋体" w:hint="default"/>
        </w:rPr>
        <w:t>MarTech</w:t>
      </w:r>
      <w:r>
        <w:rPr/>
        <w:t>）”“内容技术（</w:t>
      </w:r>
      <w:r>
        <w:rPr>
          <w:rFonts w:ascii="宋体" w:hAnsi="宋体" w:cs="宋体" w:eastAsia="宋体" w:hint="default"/>
        </w:rPr>
        <w:t>ContentTech</w:t>
      </w:r>
      <w:r>
        <w:rPr/>
        <w:t>）”、“服务技术（</w:t>
      </w:r>
      <w:r>
        <w:rPr>
          <w:rFonts w:ascii="宋体" w:hAnsi="宋体" w:cs="宋体" w:eastAsia="宋体" w:hint="default"/>
        </w:rPr>
        <w:t>ServiceTech</w:t>
      </w:r>
      <w:r>
        <w:rPr/>
        <w:t>）”、</w:t>
      </w:r>
      <w:r>
        <w:rPr>
          <w:spacing w:val="-83"/>
        </w:rPr>
        <w:t> </w:t>
      </w:r>
      <w:r>
        <w:rPr>
          <w:spacing w:val="-2"/>
        </w:rPr>
        <w:t>“大数据舆情分析”、“视频结构化”、“私域流量运营平台”等领域储备了丰富的基础技术、开发经验和应用产品，为公</w:t>
      </w:r>
      <w:r>
        <w:rPr>
          <w:spacing w:val="-71"/>
        </w:rPr>
        <w:t> </w:t>
      </w:r>
      <w:r>
        <w:rPr>
          <w:spacing w:val="-71"/>
        </w:rPr>
      </w:r>
      <w:r>
        <w:rPr/>
        <w:t>司核心竞争力的长效提升奠定了扎实的基础。</w:t>
      </w:r>
    </w:p>
    <w:p>
      <w:pPr>
        <w:pStyle w:val="BodyText"/>
        <w:spacing w:line="420" w:lineRule="exact" w:before="15"/>
        <w:ind w:left="501" w:right="0"/>
        <w:jc w:val="left"/>
      </w:pPr>
      <w:r>
        <w:rPr>
          <w:rFonts w:ascii="宋体" w:hAnsi="宋体" w:cs="宋体" w:eastAsia="宋体" w:hint="default"/>
        </w:rPr>
        <w:t>1</w:t>
      </w:r>
      <w:r>
        <w:rPr/>
        <w:t>、稳定优质的客户资源及海量数据资源优势 </w:t>
      </w:r>
      <w:r>
        <w:rPr>
          <w:spacing w:val="-2"/>
        </w:rPr>
        <w:t>报告期内，公司凭借自有品牌竞争力、领先的“营销技术”运营力、优秀的创意策划能力和高效的执行管理能力，不断</w:t>
      </w:r>
    </w:p>
    <w:p>
      <w:pPr>
        <w:pStyle w:val="BodyText"/>
        <w:spacing w:line="321" w:lineRule="auto" w:before="21"/>
        <w:ind w:right="1126"/>
        <w:jc w:val="both"/>
      </w:pPr>
      <w:r>
        <w:rPr>
          <w:spacing w:val="-2"/>
        </w:rPr>
        <w:t>得到客户的认可，在业内建立了良好的口碑，并获得了第十五届中国最佳公共关系案例大赛社会媒体化传播银奖、</w:t>
      </w:r>
      <w:r>
        <w:rPr>
          <w:rFonts w:ascii="宋体" w:hAnsi="宋体" w:cs="宋体" w:eastAsia="宋体" w:hint="default"/>
          <w:spacing w:val="-2"/>
        </w:rPr>
        <w:t>2019</w:t>
      </w:r>
      <w:r>
        <w:rPr>
          <w:spacing w:val="-2"/>
        </w:rPr>
        <w:t>年度</w:t>
      </w:r>
      <w:r>
        <w:rPr>
          <w:spacing w:val="-59"/>
        </w:rPr>
        <w:t> </w:t>
      </w:r>
      <w:r>
        <w:rPr>
          <w:spacing w:val="-2"/>
        </w:rPr>
        <w:t>公关协会最佳经理、</w:t>
      </w:r>
      <w:r>
        <w:rPr>
          <w:rFonts w:ascii="宋体" w:hAnsi="宋体" w:cs="宋体" w:eastAsia="宋体" w:hint="default"/>
          <w:spacing w:val="-2"/>
        </w:rPr>
        <w:t>2019</w:t>
      </w:r>
      <w:r>
        <w:rPr>
          <w:spacing w:val="-2"/>
        </w:rPr>
        <w:t>年度最佳团队等多项荣誉及奖项。公司通过深刻把握客户需求以及对客户品牌的深入洞察，与近百</w:t>
      </w:r>
      <w:r>
        <w:rPr>
          <w:spacing w:val="-68"/>
        </w:rPr>
        <w:t> </w:t>
      </w:r>
      <w:r>
        <w:rPr>
          <w:spacing w:val="-68"/>
        </w:rPr>
      </w:r>
      <w:r>
        <w:rPr>
          <w:spacing w:val="-2"/>
        </w:rPr>
        <w:t>家国内外知名企业客户建立了长期的合作关系，积累了大批稳定而优质的客户资源，同时也积累了丰富的用户特征、行为和</w:t>
      </w:r>
      <w:r>
        <w:rPr>
          <w:spacing w:val="-75"/>
        </w:rPr>
        <w:t> </w:t>
      </w:r>
      <w:r>
        <w:rPr>
          <w:spacing w:val="-75"/>
        </w:rPr>
      </w:r>
      <w:r>
        <w:rPr/>
        <w:t>反馈数据。通过技术系统自动化的数据积累，结合先进的技术分析能力，在数据资源方面建立起一定的竞争优势。</w:t>
      </w:r>
    </w:p>
    <w:p>
      <w:pPr>
        <w:pStyle w:val="BodyText"/>
        <w:spacing w:line="240" w:lineRule="auto" w:before="124"/>
        <w:ind w:left="501" w:right="0"/>
        <w:jc w:val="left"/>
      </w:pPr>
      <w:r>
        <w:rPr>
          <w:rFonts w:ascii="宋体" w:hAnsi="宋体" w:cs="宋体" w:eastAsia="宋体" w:hint="default"/>
        </w:rPr>
        <w:t>2</w:t>
      </w:r>
      <w:r>
        <w:rPr/>
        <w:t>、领先技术平台布局优势</w:t>
      </w:r>
    </w:p>
    <w:p>
      <w:pPr>
        <w:spacing w:line="240" w:lineRule="auto" w:before="4"/>
        <w:rPr>
          <w:rFonts w:ascii="宋体" w:hAnsi="宋体" w:cs="宋体" w:eastAsia="宋体" w:hint="default"/>
          <w:sz w:val="15"/>
          <w:szCs w:val="15"/>
        </w:rPr>
      </w:pPr>
    </w:p>
    <w:p>
      <w:pPr>
        <w:pStyle w:val="BodyText"/>
        <w:spacing w:line="316" w:lineRule="auto"/>
        <w:ind w:right="0" w:firstLine="360"/>
        <w:jc w:val="left"/>
      </w:pPr>
      <w:r>
        <w:rPr/>
        <w:t>公司顺应技术发展与变革的趋势，持续加大了</w:t>
      </w:r>
      <w:r>
        <w:rPr>
          <w:rFonts w:ascii="宋体" w:hAnsi="宋体" w:cs="宋体" w:eastAsia="宋体" w:hint="default"/>
        </w:rPr>
        <w:t>5G</w:t>
      </w:r>
      <w:r>
        <w:rPr/>
        <w:t>、人工智能（</w:t>
      </w:r>
      <w:r>
        <w:rPr>
          <w:rFonts w:ascii="宋体" w:hAnsi="宋体" w:cs="宋体" w:eastAsia="宋体" w:hint="default"/>
        </w:rPr>
        <w:t>AI</w:t>
      </w:r>
      <w:r>
        <w:rPr/>
        <w:t>）、大数据（</w:t>
      </w:r>
      <w:r>
        <w:rPr>
          <w:rFonts w:ascii="宋体" w:hAnsi="宋体" w:cs="宋体" w:eastAsia="宋体" w:hint="default"/>
        </w:rPr>
        <w:t>Big</w:t>
      </w:r>
      <w:r>
        <w:rPr>
          <w:rFonts w:ascii="宋体" w:hAnsi="宋体" w:cs="宋体" w:eastAsia="宋体" w:hint="default"/>
          <w:spacing w:val="-49"/>
        </w:rPr>
        <w:t> </w:t>
      </w:r>
      <w:r>
        <w:rPr>
          <w:rFonts w:ascii="宋体" w:hAnsi="宋体" w:cs="宋体" w:eastAsia="宋体" w:hint="default"/>
        </w:rPr>
        <w:t>Data</w:t>
      </w:r>
      <w:r>
        <w:rPr/>
        <w:t>）、区块链（</w:t>
      </w:r>
      <w:r>
        <w:rPr>
          <w:rFonts w:ascii="宋体" w:hAnsi="宋体" w:cs="宋体" w:eastAsia="宋体" w:hint="default"/>
        </w:rPr>
        <w:t>Blockchain</w:t>
      </w:r>
      <w:r>
        <w:rPr/>
        <w:t>）等技 </w:t>
      </w:r>
      <w:r>
        <w:rPr>
          <w:spacing w:val="-2"/>
        </w:rPr>
        <w:t>术在营销场景应用探索的投入，充分结合客户需求的痛点，通过搭建智慧内容营销数字平台、</w:t>
      </w:r>
      <w:r>
        <w:rPr>
          <w:rFonts w:ascii="宋体" w:hAnsi="宋体" w:cs="宋体" w:eastAsia="宋体" w:hint="default"/>
          <w:spacing w:val="-2"/>
        </w:rPr>
        <w:t>AI</w:t>
      </w:r>
      <w:r>
        <w:rPr>
          <w:spacing w:val="-2"/>
        </w:rPr>
        <w:t>视频数据结构化分析处理平</w:t>
      </w:r>
      <w:r>
        <w:rPr>
          <w:spacing w:val="-64"/>
        </w:rPr>
        <w:t> </w:t>
      </w:r>
      <w:r>
        <w:rPr>
          <w:spacing w:val="-4"/>
        </w:rPr>
        <w:t>台，支持营销各参与方基于营销需求定制化输出解决方案。公司控股子公司云目未来是一家依托深度学习与计算机视觉技术，</w:t>
      </w:r>
      <w:r>
        <w:rPr>
          <w:spacing w:val="-50"/>
        </w:rPr>
        <w:t> </w:t>
      </w:r>
      <w:r>
        <w:rPr>
          <w:spacing w:val="-50"/>
        </w:rPr>
      </w:r>
      <w:r>
        <w:rPr>
          <w:spacing w:val="-2"/>
        </w:rPr>
        <w:t>用</w:t>
      </w:r>
      <w:r>
        <w:rPr>
          <w:rFonts w:ascii="宋体" w:hAnsi="宋体" w:cs="宋体" w:eastAsia="宋体" w:hint="default"/>
          <w:spacing w:val="-2"/>
        </w:rPr>
        <w:t>AI</w:t>
      </w:r>
      <w:r>
        <w:rPr>
          <w:spacing w:val="-2"/>
        </w:rPr>
        <w:t>“理解”视频内容的科技公司。云目未来以海量图像训练的深度学习算法模型为基础，以</w:t>
      </w:r>
      <w:r>
        <w:rPr>
          <w:rFonts w:ascii="宋体" w:hAnsi="宋体" w:cs="宋体" w:eastAsia="宋体" w:hint="default"/>
          <w:spacing w:val="-2"/>
        </w:rPr>
        <w:t>AI</w:t>
      </w:r>
      <w:r>
        <w:rPr>
          <w:spacing w:val="-2"/>
        </w:rPr>
        <w:t>视频技术为核心，推动政企</w:t>
      </w:r>
      <w:r>
        <w:rPr>
          <w:spacing w:val="-46"/>
        </w:rPr>
        <w:t> </w:t>
      </w:r>
      <w:r>
        <w:rPr>
          <w:spacing w:val="-46"/>
        </w:rPr>
      </w:r>
      <w:r>
        <w:rPr/>
        <w:t>提升在视频内容领域智能处理的效率，帮助政企克服未来海量数据对工作的挑战。</w:t>
      </w:r>
    </w:p>
    <w:p>
      <w:pPr>
        <w:pStyle w:val="BodyText"/>
        <w:spacing w:line="436" w:lineRule="exact" w:before="3"/>
        <w:ind w:left="501" w:right="0"/>
        <w:jc w:val="left"/>
      </w:pPr>
      <w:r>
        <w:rPr>
          <w:rFonts w:ascii="宋体" w:hAnsi="宋体" w:cs="宋体" w:eastAsia="宋体" w:hint="default"/>
        </w:rPr>
        <w:t>3</w:t>
      </w:r>
      <w:r>
        <w:rPr/>
        <w:t>、优秀人才储备优势 </w:t>
      </w:r>
      <w:r>
        <w:rPr>
          <w:spacing w:val="-2"/>
        </w:rPr>
        <w:t>近年来公司高度重视研发团队的建设，目前拥有一批专业化技术研发团队。公司积极拥抱领先技术，高度重视领先技术</w:t>
      </w:r>
    </w:p>
    <w:p>
      <w:pPr>
        <w:pStyle w:val="BodyText"/>
        <w:spacing w:line="321" w:lineRule="auto" w:before="17"/>
        <w:ind w:right="1136"/>
        <w:jc w:val="both"/>
      </w:pPr>
      <w:r>
        <w:rPr>
          <w:spacing w:val="-2"/>
        </w:rPr>
        <w:t>在营销领域的应用的同时，以公司主营业务为主要应用场景，搭建了由前台业务团队、中台技术团队和后台服务团队共同组</w:t>
      </w:r>
      <w:r>
        <w:rPr>
          <w:spacing w:val="-75"/>
        </w:rPr>
        <w:t> </w:t>
      </w:r>
      <w:r>
        <w:rPr>
          <w:spacing w:val="-75"/>
        </w:rPr>
      </w:r>
      <w:r>
        <w:rPr/>
        <w:t>成的联动平台，通过具有丰富的各项营销服务环节项目经验的人员互动与支持，为转型升级发展提供有力保障。</w:t>
      </w:r>
    </w:p>
    <w:p>
      <w:pPr>
        <w:pStyle w:val="BodyText"/>
        <w:spacing w:line="240" w:lineRule="auto" w:before="124"/>
        <w:ind w:left="501" w:right="0"/>
        <w:jc w:val="left"/>
      </w:pPr>
      <w:r>
        <w:rPr>
          <w:rFonts w:ascii="宋体" w:hAnsi="宋体" w:cs="宋体" w:eastAsia="宋体" w:hint="default"/>
        </w:rPr>
        <w:t>4</w:t>
      </w:r>
      <w:r>
        <w:rPr/>
        <w:t>、丰富的解决方案实施经验优势</w:t>
      </w:r>
    </w:p>
    <w:p>
      <w:pPr>
        <w:spacing w:line="240" w:lineRule="auto" w:before="3"/>
        <w:rPr>
          <w:rFonts w:ascii="宋体" w:hAnsi="宋体" w:cs="宋体" w:eastAsia="宋体" w:hint="default"/>
          <w:sz w:val="15"/>
          <w:szCs w:val="15"/>
        </w:rPr>
      </w:pPr>
    </w:p>
    <w:p>
      <w:pPr>
        <w:pStyle w:val="BodyText"/>
        <w:spacing w:line="321" w:lineRule="auto"/>
        <w:ind w:right="1029" w:firstLine="360"/>
        <w:jc w:val="left"/>
      </w:pPr>
      <w:r>
        <w:rPr>
          <w:spacing w:val="-2"/>
        </w:rPr>
        <w:t>公司作为国内营销行业领先企业，在行业中积累了大量的高效、高质的项目案例。公司是国内较早运用“全传播”概念</w:t>
      </w:r>
      <w:r>
        <w:rPr/>
        <w:t> </w:t>
      </w:r>
      <w:r>
        <w:rPr>
          <w:spacing w:val="-2"/>
        </w:rPr>
        <w:t>的营销服务公司，在整合各种不同应用场景、打通媒介资源的基础上，逐步深耕营销技术应用、营销数据分析、营销场景创</w:t>
      </w:r>
      <w:r>
        <w:rPr>
          <w:spacing w:val="-57"/>
        </w:rPr>
        <w:t> </w:t>
      </w:r>
      <w:r>
        <w:rPr>
          <w:spacing w:val="-57"/>
        </w:rPr>
      </w:r>
      <w:r>
        <w:rPr/>
        <w:t>新、营销服务运营，初步形成了四位一体的差异化体系竞争力。公司根据过往经验能够更准确的捕捉营销行业痛点及需求，</w:t>
      </w:r>
      <w:r>
        <w:rPr>
          <w:spacing w:val="-85"/>
        </w:rPr>
        <w:t> </w:t>
      </w:r>
      <w:r>
        <w:rPr>
          <w:spacing w:val="-85"/>
        </w:rPr>
      </w:r>
      <w:r>
        <w:rPr/>
        <w:t>运用技术储备，提高公司未来在市场竞标中的核心竞争力。</w:t>
      </w:r>
    </w:p>
    <w:p>
      <w:pPr>
        <w:spacing w:after="0" w:line="321"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四节经营情况讨论与分析" w:id="22"/>
      <w:bookmarkEnd w:id="22"/>
      <w:r>
        <w:rPr>
          <w:b w:val="0"/>
          <w:bCs w:val="0"/>
        </w:rPr>
      </w:r>
      <w:bookmarkStart w:name="_bookmark3" w:id="23"/>
      <w:bookmarkEnd w:id="23"/>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3"/>
        <w:spacing w:line="240" w:lineRule="auto" w:before="26"/>
        <w:ind w:right="0"/>
        <w:jc w:val="both"/>
        <w:rPr>
          <w:b w:val="0"/>
          <w:bCs w:val="0"/>
        </w:rPr>
      </w:pPr>
      <w:bookmarkStart w:name="一、概述" w:id="24"/>
      <w:bookmarkEnd w:id="24"/>
      <w:r>
        <w:rPr>
          <w:b w:val="0"/>
          <w:bCs w:val="0"/>
        </w:rPr>
      </w:r>
      <w:r>
        <w:rPr/>
        <w:t>一、概述</w:t>
      </w:r>
      <w:r>
        <w:rPr>
          <w:b w:val="0"/>
          <w:bCs w:val="0"/>
        </w:rPr>
      </w:r>
    </w:p>
    <w:p>
      <w:pPr>
        <w:pStyle w:val="BodyText"/>
        <w:spacing w:line="420" w:lineRule="atLeast" w:before="157"/>
        <w:ind w:left="501" w:right="0" w:hanging="90"/>
        <w:jc w:val="left"/>
      </w:pPr>
      <w:r>
        <w:rPr/>
        <w:t>（一）</w:t>
      </w:r>
      <w:r>
        <w:rPr>
          <w:rFonts w:ascii="宋体" w:hAnsi="宋体" w:cs="宋体" w:eastAsia="宋体" w:hint="default"/>
        </w:rPr>
        <w:t>2019</w:t>
      </w:r>
      <w:r>
        <w:rPr/>
        <w:t>年度整体经营概述 </w:t>
      </w:r>
      <w:r>
        <w:rPr>
          <w:rFonts w:ascii="宋体" w:hAnsi="宋体" w:cs="宋体" w:eastAsia="宋体" w:hint="default"/>
          <w:spacing w:val="-2"/>
        </w:rPr>
        <w:t>2019</w:t>
      </w:r>
      <w:r>
        <w:rPr>
          <w:spacing w:val="-2"/>
        </w:rPr>
        <w:t>年全球贸易环境不断恶化，国内经济下行压力进一步加大，行业竞争也不断加剧。面对错综复杂的外部环境和不确</w:t>
      </w:r>
    </w:p>
    <w:p>
      <w:pPr>
        <w:pStyle w:val="BodyText"/>
        <w:spacing w:line="321" w:lineRule="auto" w:before="80"/>
        <w:ind w:right="1129"/>
        <w:jc w:val="both"/>
      </w:pPr>
      <w:r>
        <w:rPr>
          <w:spacing w:val="-2"/>
        </w:rPr>
        <w:t>定的低谷周期时长，报告期初，公司提出了向“营销技术运营商”转型升级的全新战略，通过加强技术人才储备、加大营销</w:t>
      </w:r>
      <w:r>
        <w:rPr>
          <w:spacing w:val="-67"/>
        </w:rPr>
        <w:t> </w:t>
      </w:r>
      <w:r>
        <w:rPr>
          <w:spacing w:val="-67"/>
        </w:rPr>
      </w:r>
      <w:r>
        <w:rPr>
          <w:spacing w:val="-2"/>
        </w:rPr>
        <w:t>技术类产品的研发投入、开拓基于公司新产品和新数据的优质客户，逐步增强公司主营业务与客户之间的粘性，稳步提升公</w:t>
      </w:r>
      <w:r>
        <w:rPr>
          <w:spacing w:val="-74"/>
        </w:rPr>
        <w:t> </w:t>
      </w:r>
      <w:r>
        <w:rPr>
          <w:spacing w:val="-74"/>
        </w:rPr>
      </w:r>
      <w:r>
        <w:rPr/>
        <w:t>司的核心竞争力和效益产出。</w:t>
      </w:r>
    </w:p>
    <w:p>
      <w:pPr>
        <w:pStyle w:val="BodyText"/>
        <w:spacing w:line="314" w:lineRule="auto" w:before="139"/>
        <w:ind w:right="1121" w:firstLine="360"/>
        <w:jc w:val="both"/>
      </w:pPr>
      <w:r>
        <w:rPr>
          <w:spacing w:val="-2"/>
        </w:rPr>
        <w:t>基于公司转型升级的全新战略，</w:t>
      </w:r>
      <w:r>
        <w:rPr>
          <w:rFonts w:ascii="宋体" w:hAnsi="宋体" w:cs="宋体" w:eastAsia="宋体" w:hint="default"/>
          <w:spacing w:val="-2"/>
        </w:rPr>
        <w:t>2019</w:t>
      </w:r>
      <w:r>
        <w:rPr>
          <w:spacing w:val="-2"/>
        </w:rPr>
        <w:t>年度，公司的主营业务转型为营销解决方案服务业务、营销技术运营服务业务和数</w:t>
      </w:r>
      <w:r>
        <w:rPr/>
        <w:t> </w:t>
      </w:r>
      <w:r>
        <w:rPr>
          <w:spacing w:val="-2"/>
        </w:rPr>
        <w:t>据技术产品服务业务。报告期内，公司积极广泛地参与招投标活动，拓展优质客户，实现新增客户四十余个，主要分布在汽</w:t>
      </w:r>
      <w:r>
        <w:rPr>
          <w:spacing w:val="-57"/>
        </w:rPr>
        <w:t> </w:t>
      </w:r>
      <w:r>
        <w:rPr>
          <w:spacing w:val="-57"/>
        </w:rPr>
      </w:r>
      <w:r>
        <w:rPr/>
        <w:t>车、互联网及信息技术、快速消费品、电子消费品、文旅、金融等行业。</w:t>
      </w:r>
    </w:p>
    <w:p>
      <w:pPr>
        <w:pStyle w:val="BodyText"/>
        <w:spacing w:line="316" w:lineRule="auto" w:before="144"/>
        <w:ind w:right="1097" w:firstLine="360"/>
        <w:jc w:val="both"/>
      </w:pPr>
      <w:r>
        <w:rPr>
          <w:spacing w:val="-2"/>
        </w:rPr>
        <w:t>报告期内，公司总体实现营业收入</w:t>
      </w:r>
      <w:r>
        <w:rPr>
          <w:rFonts w:ascii="宋体" w:hAnsi="宋体" w:cs="宋体" w:eastAsia="宋体" w:hint="default"/>
          <w:spacing w:val="-2"/>
        </w:rPr>
        <w:t>35,422.87</w:t>
      </w:r>
      <w:r>
        <w:rPr>
          <w:spacing w:val="-2"/>
        </w:rPr>
        <w:t>万元，同比下降</w:t>
      </w:r>
      <w:r>
        <w:rPr>
          <w:rFonts w:ascii="宋体" w:hAnsi="宋体" w:cs="宋体" w:eastAsia="宋体" w:hint="default"/>
          <w:spacing w:val="-2"/>
        </w:rPr>
        <w:t>4.08%</w:t>
      </w:r>
      <w:r>
        <w:rPr>
          <w:spacing w:val="-2"/>
        </w:rPr>
        <w:t>。其中，营销技术运营类收入为</w:t>
      </w:r>
      <w:r>
        <w:rPr>
          <w:rFonts w:ascii="宋体" w:hAnsi="宋体" w:cs="宋体" w:eastAsia="宋体" w:hint="default"/>
          <w:spacing w:val="-2"/>
        </w:rPr>
        <w:t>4,578.14</w:t>
      </w:r>
      <w:r>
        <w:rPr>
          <w:spacing w:val="-2"/>
        </w:rPr>
        <w:t>万元，约占</w:t>
      </w:r>
      <w:r>
        <w:rPr/>
        <w:t> </w:t>
      </w:r>
      <w:r>
        <w:rPr>
          <w:spacing w:val="-1"/>
        </w:rPr>
        <w:t>营业收入的</w:t>
      </w:r>
      <w:r>
        <w:rPr>
          <w:rFonts w:ascii="宋体" w:hAnsi="宋体" w:cs="宋体" w:eastAsia="宋体" w:hint="default"/>
          <w:spacing w:val="-1"/>
        </w:rPr>
        <w:t>12.92%</w:t>
      </w:r>
      <w:r>
        <w:rPr>
          <w:spacing w:val="-1"/>
        </w:rPr>
        <w:t>。公司实现归属于上市公司股东的净利润</w:t>
      </w:r>
      <w:r>
        <w:rPr>
          <w:rFonts w:ascii="宋体" w:hAnsi="宋体" w:cs="宋体" w:eastAsia="宋体" w:hint="default"/>
          <w:spacing w:val="-1"/>
        </w:rPr>
        <w:t>1,034.99</w:t>
      </w:r>
      <w:r>
        <w:rPr>
          <w:spacing w:val="-1"/>
        </w:rPr>
        <w:t>万元，同比下降</w:t>
      </w:r>
      <w:r>
        <w:rPr>
          <w:rFonts w:ascii="宋体" w:hAnsi="宋体" w:cs="宋体" w:eastAsia="宋体" w:hint="default"/>
          <w:spacing w:val="-1"/>
        </w:rPr>
        <w:t>50.86%</w:t>
      </w:r>
      <w:r>
        <w:rPr>
          <w:spacing w:val="-1"/>
        </w:rPr>
        <w:t>。同时，由于公司为实现战略转</w:t>
      </w:r>
      <w:r>
        <w:rPr>
          <w:spacing w:val="-81"/>
        </w:rPr>
        <w:t> </w:t>
      </w:r>
      <w:r>
        <w:rPr>
          <w:spacing w:val="-81"/>
        </w:rPr>
      </w:r>
      <w:r>
        <w:rPr>
          <w:spacing w:val="-2"/>
        </w:rPr>
        <w:t>型升级，完善技术布局，进一步扩编了研发团队，加大了研发投入，使得研发费用较上年同期有所增加，研发费用投入金额</w:t>
      </w:r>
      <w:r>
        <w:rPr>
          <w:spacing w:val="-57"/>
        </w:rPr>
        <w:t> </w:t>
      </w:r>
      <w:r>
        <w:rPr>
          <w:spacing w:val="-57"/>
        </w:rPr>
      </w:r>
      <w:r>
        <w:rPr/>
        <w:t>为</w:t>
      </w:r>
      <w:r>
        <w:rPr>
          <w:rFonts w:ascii="宋体" w:hAnsi="宋体" w:cs="宋体" w:eastAsia="宋体" w:hint="default"/>
        </w:rPr>
        <w:t>2,556.02</w:t>
      </w:r>
      <w:r>
        <w:rPr/>
        <w:t>万元，同比增长</w:t>
      </w:r>
      <w:r>
        <w:rPr>
          <w:rFonts w:ascii="宋体" w:hAnsi="宋体" w:cs="宋体" w:eastAsia="宋体" w:hint="default"/>
        </w:rPr>
        <w:t>74.07%</w:t>
      </w:r>
      <w:r>
        <w:rPr/>
        <w:t>。</w:t>
      </w:r>
    </w:p>
    <w:p>
      <w:pPr>
        <w:pStyle w:val="BodyText"/>
        <w:spacing w:line="436" w:lineRule="exact" w:before="3"/>
        <w:ind w:left="501" w:right="0" w:hanging="90"/>
        <w:jc w:val="left"/>
      </w:pPr>
      <w:r>
        <w:rPr/>
        <w:t>（二）</w:t>
      </w:r>
      <w:r>
        <w:rPr>
          <w:rFonts w:ascii="宋体" w:hAnsi="宋体" w:cs="宋体" w:eastAsia="宋体" w:hint="default"/>
        </w:rPr>
        <w:t>2019</w:t>
      </w:r>
      <w:r>
        <w:rPr/>
        <w:t>年度主要业务回顾 </w:t>
      </w:r>
      <w:r>
        <w:rPr>
          <w:rFonts w:ascii="宋体" w:hAnsi="宋体" w:cs="宋体" w:eastAsia="宋体" w:hint="default"/>
          <w:spacing w:val="-2"/>
        </w:rPr>
        <w:t>2019</w:t>
      </w:r>
      <w:r>
        <w:rPr>
          <w:spacing w:val="-2"/>
        </w:rPr>
        <w:t>年初，公司实施战略转型升级，公司新定位是成为营销技术方案运营商，全面赋能产业互联网。公司新使命是聚焦</w:t>
      </w:r>
    </w:p>
    <w:p>
      <w:pPr>
        <w:pStyle w:val="BodyText"/>
        <w:spacing w:line="321" w:lineRule="auto" w:before="17"/>
        <w:ind w:right="1099"/>
        <w:jc w:val="both"/>
      </w:pPr>
      <w:r>
        <w:rPr>
          <w:spacing w:val="-1"/>
        </w:rPr>
        <w:t>客户关注的营销挑战和压力，提供富有竞争力的营销技术解决方案和运营服务，持续为客户创造价值。报告期内，公司的主</w:t>
      </w:r>
      <w:r>
        <w:rPr/>
        <w:t> 要业务情况如下：</w:t>
      </w:r>
    </w:p>
    <w:p>
      <w:pPr>
        <w:pStyle w:val="BodyText"/>
        <w:spacing w:line="321" w:lineRule="auto" w:before="123"/>
        <w:ind w:right="1097" w:firstLine="360"/>
        <w:jc w:val="both"/>
      </w:pPr>
      <w:r>
        <w:rPr>
          <w:rFonts w:ascii="宋体" w:hAnsi="宋体" w:cs="宋体" w:eastAsia="宋体" w:hint="default"/>
        </w:rPr>
        <w:t>1</w:t>
      </w:r>
      <w:r>
        <w:rPr/>
        <w:t>、营销解决方案业务：公司延续多年积累的整合营销领域服务经验，主要为汽车、快消、文旅、金融、互联网及信息 </w:t>
      </w:r>
      <w:r>
        <w:rPr>
          <w:spacing w:val="7"/>
        </w:rPr>
        <w:t>技术等行业客户提供了以数字营销为主的整合营销综合解决方案，报告期实现营业收入</w:t>
      </w:r>
      <w:r>
        <w:rPr>
          <w:spacing w:val="-46"/>
        </w:rPr>
        <w:t> </w:t>
      </w:r>
      <w:r>
        <w:rPr>
          <w:rFonts w:ascii="宋体" w:hAnsi="宋体" w:cs="宋体" w:eastAsia="宋体" w:hint="default"/>
          <w:spacing w:val="3"/>
        </w:rPr>
        <w:t>30,570.03</w:t>
      </w:r>
      <w:r>
        <w:rPr>
          <w:spacing w:val="3"/>
        </w:rPr>
        <w:t>万元，约占总收入的</w:t>
      </w:r>
      <w:r>
        <w:rPr>
          <w:spacing w:val="-77"/>
        </w:rPr>
        <w:t> </w:t>
      </w:r>
      <w:r>
        <w:rPr>
          <w:spacing w:val="-77"/>
        </w:rPr>
      </w:r>
      <w:r>
        <w:rPr>
          <w:rFonts w:ascii="宋体" w:hAnsi="宋体" w:cs="宋体" w:eastAsia="宋体" w:hint="default"/>
        </w:rPr>
        <w:t>86.30%</w:t>
      </w:r>
      <w:r>
        <w:rPr/>
        <w:t>。</w:t>
      </w:r>
    </w:p>
    <w:p>
      <w:pPr>
        <w:pStyle w:val="BodyText"/>
        <w:spacing w:line="316" w:lineRule="auto" w:before="138"/>
        <w:ind w:right="1121" w:firstLine="360"/>
        <w:jc w:val="both"/>
      </w:pPr>
      <w:r>
        <w:rPr>
          <w:rFonts w:ascii="宋体" w:hAnsi="宋体" w:cs="宋体" w:eastAsia="宋体" w:hint="default"/>
        </w:rPr>
        <w:t>2</w:t>
      </w:r>
      <w:r>
        <w:rPr/>
        <w:t>、营销技术运营业务：报告期内，公司及子公司主要通过自主研发以及与合作伙伴共同开发的一系列营销技术产品为 </w:t>
      </w:r>
      <w:r>
        <w:rPr>
          <w:spacing w:val="-5"/>
        </w:rPr>
        <w:t>客户提供增值服务。公司全资子公司品推宝自主研发的“机智小编”、“藏经阁”、“品推宝内容营销流程管理系统”、“智</w:t>
      </w:r>
      <w:r>
        <w:rPr>
          <w:spacing w:val="-77"/>
        </w:rPr>
        <w:t> </w:t>
      </w:r>
      <w:r>
        <w:rPr>
          <w:spacing w:val="-77"/>
        </w:rPr>
      </w:r>
      <w:r>
        <w:rPr>
          <w:spacing w:val="-2"/>
        </w:rPr>
        <w:t>能舆情系统”四个高度自动化、智能化组件产品，分别针对内容生产、协同与资产管理、内容监测领域的数字化需求，既可</w:t>
      </w:r>
      <w:r>
        <w:rPr>
          <w:spacing w:val="-72"/>
        </w:rPr>
        <w:t> </w:t>
      </w:r>
      <w:r>
        <w:rPr>
          <w:spacing w:val="-72"/>
        </w:rPr>
      </w:r>
      <w:r>
        <w:rPr/>
        <w:t>以独立使用，更能串联成营销管理闭环，最大程度提升内容营销效能。上海分公司研发的“全媒体价值评估系统”、“</w:t>
      </w:r>
      <w:r>
        <w:rPr>
          <w:rFonts w:ascii="宋体" w:hAnsi="宋体" w:cs="宋体" w:eastAsia="宋体" w:hint="default"/>
        </w:rPr>
        <w:t>AI</w:t>
      </w:r>
      <w:r>
        <w:rPr>
          <w:rFonts w:ascii="宋体" w:hAnsi="宋体" w:cs="宋体" w:eastAsia="宋体" w:hint="default"/>
          <w:spacing w:val="5"/>
        </w:rPr>
        <w:t> </w:t>
      </w:r>
      <w:r>
        <w:rPr>
          <w:spacing w:val="-2"/>
        </w:rPr>
        <w:t>内容生产系统”、“品牌舆情及用户口碑健康度评估系统”，分别针对企业媒体精准投放及效果评估、内容智能化生产及自</w:t>
      </w:r>
      <w:r>
        <w:rPr>
          <w:spacing w:val="-68"/>
        </w:rPr>
        <w:t> </w:t>
      </w:r>
      <w:r>
        <w:rPr>
          <w:spacing w:val="-68"/>
        </w:rPr>
      </w:r>
      <w:r>
        <w:rPr>
          <w:spacing w:val="-2"/>
        </w:rPr>
        <w:t>动化分发、舆论环境及用户口碑洞察，达到品牌传播业务数据化、智能化、自动化的效果。公司的控股子公司星言云汇是一</w:t>
      </w:r>
      <w:r>
        <w:rPr>
          <w:spacing w:val="-57"/>
        </w:rPr>
        <w:t> </w:t>
      </w:r>
      <w:r>
        <w:rPr>
          <w:spacing w:val="-57"/>
        </w:rPr>
      </w:r>
      <w:r>
        <w:rPr>
          <w:spacing w:val="-2"/>
        </w:rPr>
        <w:t>家凭借专业数据驱动精准营销与效果营销的解决方案供应商，借助优势移动平台资源，致力于为广告主提供以信息流广告与</w:t>
      </w:r>
      <w:r>
        <w:rPr>
          <w:spacing w:val="-63"/>
        </w:rPr>
        <w:t> </w:t>
      </w:r>
      <w:r>
        <w:rPr>
          <w:spacing w:val="-63"/>
        </w:rPr>
      </w:r>
      <w:r>
        <w:rPr>
          <w:spacing w:val="-2"/>
        </w:rPr>
        <w:t>效果营销为主，策略创意、内容分发、口碑与舆情管理、大数据分析、短视频营销创意素材、短视频运营优化等为辅的互联</w:t>
      </w:r>
      <w:r>
        <w:rPr>
          <w:spacing w:val="-72"/>
        </w:rPr>
        <w:t> </w:t>
      </w:r>
      <w:r>
        <w:rPr>
          <w:spacing w:val="-72"/>
        </w:rPr>
      </w:r>
      <w:r>
        <w:rPr/>
        <w:t>网营销整合解决方案及服务。报告期实现营业收入</w:t>
      </w:r>
      <w:r>
        <w:rPr>
          <w:rFonts w:ascii="宋体" w:hAnsi="宋体" w:cs="宋体" w:eastAsia="宋体" w:hint="default"/>
        </w:rPr>
        <w:t>4,578.14</w:t>
      </w:r>
      <w:r>
        <w:rPr/>
        <w:t>万元，约占总收入的</w:t>
      </w:r>
      <w:r>
        <w:rPr>
          <w:rFonts w:ascii="宋体" w:hAnsi="宋体" w:cs="宋体" w:eastAsia="宋体" w:hint="default"/>
        </w:rPr>
        <w:t>12.92%</w:t>
      </w:r>
      <w:r>
        <w:rPr/>
        <w:t>。</w:t>
      </w:r>
    </w:p>
    <w:p>
      <w:pPr>
        <w:pStyle w:val="BodyText"/>
        <w:spacing w:line="316" w:lineRule="auto" w:before="142"/>
        <w:ind w:right="1029" w:firstLine="360"/>
        <w:jc w:val="left"/>
      </w:pPr>
      <w:r>
        <w:rPr>
          <w:rFonts w:ascii="宋体" w:hAnsi="宋体" w:cs="宋体" w:eastAsia="宋体" w:hint="default"/>
        </w:rPr>
        <w:t>3</w:t>
      </w:r>
      <w:r>
        <w:rPr/>
        <w:t>、数据技术产品业务：公司控股子公司云目未来是一家依托深度学习与计算机视觉技术，用</w:t>
      </w:r>
      <w:r>
        <w:rPr>
          <w:rFonts w:ascii="宋体" w:hAnsi="宋体" w:cs="宋体" w:eastAsia="宋体" w:hint="default"/>
        </w:rPr>
        <w:t>AI</w:t>
      </w:r>
      <w:r>
        <w:rPr/>
        <w:t>“理解”视频内容的科 </w:t>
      </w:r>
      <w:r>
        <w:rPr>
          <w:spacing w:val="-1"/>
        </w:rPr>
        <w:t>技公司。自成立以来，以数亿级图像训练的深度学习算法模型为基础，以</w:t>
      </w:r>
      <w:r>
        <w:rPr>
          <w:rFonts w:ascii="宋体" w:hAnsi="宋体" w:cs="宋体" w:eastAsia="宋体" w:hint="default"/>
          <w:spacing w:val="-1"/>
        </w:rPr>
        <w:t>AI</w:t>
      </w:r>
      <w:r>
        <w:rPr>
          <w:spacing w:val="-1"/>
        </w:rPr>
        <w:t>视频技术为核心，推动政企在视频等媒体内容领</w:t>
      </w:r>
      <w:r>
        <w:rPr/>
        <w:t> 域智能处理，帮助政企克服未来海量数据对工作的挑战。云目未来拥有国内领先的算法团队，报告期内，在由中央网信办、</w:t>
      </w:r>
      <w:r>
        <w:rPr>
          <w:spacing w:val="-82"/>
        </w:rPr>
        <w:t> </w:t>
      </w:r>
      <w:r>
        <w:rPr>
          <w:spacing w:val="-82"/>
        </w:rPr>
      </w:r>
      <w:r>
        <w:rPr/>
        <w:t>工信部、公安部联合指导，厦门市政府主办的“首届中国人工智能峰会”上斩获了“特定物体识别”的最高级别</w:t>
      </w:r>
      <w:r>
        <w:rPr>
          <w:rFonts w:ascii="宋体" w:hAnsi="宋体" w:cs="宋体" w:eastAsia="宋体" w:hint="default"/>
        </w:rPr>
        <w:t>A</w:t>
      </w:r>
      <w:r>
        <w:rPr/>
        <w:t>级证书和</w:t>
      </w:r>
      <w:r>
        <w:rPr>
          <w:spacing w:val="-82"/>
        </w:rPr>
        <w:t> </w:t>
      </w:r>
      <w:r>
        <w:rPr/>
        <w:t>“印刷文本</w:t>
      </w:r>
      <w:r>
        <w:rPr>
          <w:rFonts w:ascii="宋体" w:hAnsi="宋体" w:cs="宋体" w:eastAsia="宋体" w:hint="default"/>
        </w:rPr>
        <w:t>OCR</w:t>
      </w:r>
      <w:r>
        <w:rPr/>
        <w:t>”的</w:t>
      </w:r>
      <w:r>
        <w:rPr>
          <w:rFonts w:ascii="宋体" w:hAnsi="宋体" w:cs="宋体" w:eastAsia="宋体" w:hint="default"/>
        </w:rPr>
        <w:t>B</w:t>
      </w:r>
      <w:r>
        <w:rPr/>
        <w:t>级证书两大奖项。报告期实现营业收入</w:t>
      </w:r>
      <w:r>
        <w:rPr>
          <w:rFonts w:ascii="宋体" w:hAnsi="宋体" w:cs="宋体" w:eastAsia="宋体" w:hint="default"/>
        </w:rPr>
        <w:t>274.71</w:t>
      </w:r>
      <w:r>
        <w:rPr/>
        <w:t>万元，约占总收入的</w:t>
      </w:r>
      <w:r>
        <w:rPr>
          <w:rFonts w:ascii="宋体" w:hAnsi="宋体" w:cs="宋体" w:eastAsia="宋体" w:hint="default"/>
        </w:rPr>
        <w:t>0.78%</w:t>
      </w:r>
      <w:r>
        <w:rPr/>
        <w:t>。</w:t>
      </w:r>
    </w:p>
    <w:p>
      <w:pPr>
        <w:spacing w:after="0" w:line="316"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right="1115"/>
        <w:jc w:val="left"/>
      </w:pPr>
      <w:r>
        <w:rPr>
          <w:spacing w:val="-2"/>
        </w:rPr>
        <w:t>公司需遵守《深圳证券交易所创业板行业信息披露指引第</w:t>
      </w:r>
      <w:r>
        <w:rPr/>
        <w:t>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spacing w:val="-2"/>
        </w:rPr>
        <w:t>号</w:t>
      </w:r>
      <w:r>
        <w:rPr>
          <w:rFonts w:ascii="Times New Roman" w:hAnsi="Times New Roman" w:cs="Times New Roman" w:eastAsia="Times New Roman" w:hint="default"/>
          <w:spacing w:val="-2"/>
        </w:rPr>
        <w:t>——</w:t>
      </w:r>
      <w:r>
        <w:rPr>
          <w:spacing w:val="-2"/>
        </w:rPr>
        <w:t>上市公司从事互联网营销及数据服务相关业务》的披露要</w:t>
      </w:r>
      <w:r>
        <w:rPr/>
        <w:t> 求：</w:t>
      </w:r>
    </w:p>
    <w:p>
      <w:pPr>
        <w:pStyle w:val="BodyText"/>
        <w:spacing w:line="240" w:lineRule="auto" w:before="89"/>
        <w:ind w:right="0"/>
        <w:jc w:val="left"/>
      </w:pPr>
      <w:r>
        <w:rPr/>
        <w:t>（</w:t>
      </w:r>
      <w:r>
        <w:rPr>
          <w:rFonts w:ascii="Times New Roman" w:hAnsi="Times New Roman" w:cs="Times New Roman" w:eastAsia="Times New Roman" w:hint="default"/>
        </w:rPr>
        <w:t>1</w:t>
      </w:r>
      <w:r>
        <w:rPr/>
        <w:t>）互联网营销收入整体情况</w:t>
      </w:r>
    </w:p>
    <w:p>
      <w:pPr>
        <w:pStyle w:val="BodyText"/>
        <w:spacing w:line="240" w:lineRule="auto" w:before="111"/>
        <w:ind w:left="0" w:right="1109"/>
        <w:jc w:val="right"/>
      </w:pPr>
      <w:r>
        <w:rPr>
          <w:spacing w:val="-2"/>
        </w:rPr>
        <w:t>单位</w:t>
      </w:r>
      <w:r>
        <w:rPr>
          <w:rFonts w:ascii="Times New Roman" w:hAnsi="Times New Roman" w:cs="Times New Roman" w:eastAsia="Times New Roman" w:hint="default"/>
          <w:spacing w:val="-2"/>
        </w:rPr>
        <w:t>:</w:t>
      </w:r>
      <w:r>
        <w:rPr>
          <w:spacing w:val="-2"/>
        </w:rPr>
        <w:t>元</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1592"/>
        <w:gridCol w:w="1599"/>
        <w:gridCol w:w="1592"/>
        <w:gridCol w:w="1592"/>
        <w:gridCol w:w="1592"/>
        <w:gridCol w:w="1607"/>
      </w:tblGrid>
      <w:tr>
        <w:trPr>
          <w:trHeight w:val="203" w:hRule="exact"/>
        </w:trPr>
        <w:tc>
          <w:tcPr>
            <w:tcW w:w="15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7"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92" w:type="dxa"/>
            <w:vMerge w:val="restart"/>
            <w:tcBorders>
              <w:top w:val="nil" w:sz="6" w:space="0" w:color="auto"/>
              <w:left w:val="single" w:sz="6" w:space="0" w:color="000000"/>
              <w:right w:val="single" w:sz="6" w:space="0" w:color="000000"/>
            </w:tcBorders>
            <w:shd w:val="clear" w:color="auto" w:fill="D2D2D2"/>
          </w:tcPr>
          <w:p>
            <w:pPr/>
          </w:p>
        </w:tc>
        <w:tc>
          <w:tcPr>
            <w:tcW w:w="3192" w:type="dxa"/>
            <w:gridSpan w:val="2"/>
            <w:vMerge/>
            <w:tcBorders>
              <w:left w:val="single" w:sz="6" w:space="0" w:color="000000"/>
              <w:bottom w:val="single" w:sz="6" w:space="0" w:color="000000"/>
              <w:right w:val="single" w:sz="6" w:space="0" w:color="000000"/>
            </w:tcBorders>
            <w:shd w:val="clear" w:color="auto" w:fill="D2D2D2"/>
          </w:tcPr>
          <w:p>
            <w:pPr/>
          </w:p>
        </w:tc>
        <w:tc>
          <w:tcPr>
            <w:tcW w:w="3184" w:type="dxa"/>
            <w:gridSpan w:val="2"/>
            <w:vMerge/>
            <w:tcBorders>
              <w:left w:val="single" w:sz="6" w:space="0" w:color="000000"/>
              <w:bottom w:val="single" w:sz="6" w:space="0" w:color="000000"/>
              <w:right w:val="single" w:sz="6" w:space="0" w:color="000000"/>
            </w:tcBorders>
            <w:shd w:val="clear" w:color="auto" w:fill="D2D2D2"/>
          </w:tcPr>
          <w:p>
            <w:pPr/>
          </w:p>
        </w:tc>
        <w:tc>
          <w:tcPr>
            <w:tcW w:w="16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8" w:hRule="exact"/>
        </w:trPr>
        <w:tc>
          <w:tcPr>
            <w:tcW w:w="1592" w:type="dxa"/>
            <w:vMerge/>
            <w:tcBorders>
              <w:left w:val="single" w:sz="6" w:space="0" w:color="000000"/>
              <w:bottom w:val="nil" w:sz="6" w:space="0" w:color="auto"/>
              <w:right w:val="single" w:sz="6" w:space="0" w:color="000000"/>
            </w:tcBorders>
            <w:shd w:val="clear" w:color="auto" w:fill="D2D2D2"/>
          </w:tcPr>
          <w:p>
            <w:pPr/>
          </w:p>
        </w:tc>
        <w:tc>
          <w:tcPr>
            <w:tcW w:w="15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tcBorders>
              <w:left w:val="single" w:sz="6" w:space="0" w:color="000000"/>
              <w:bottom w:val="nil" w:sz="6" w:space="0" w:color="auto"/>
              <w:right w:val="single" w:sz="6" w:space="0" w:color="000000"/>
            </w:tcBorders>
            <w:shd w:val="clear" w:color="auto" w:fill="D2D2D2"/>
          </w:tcPr>
          <w:p>
            <w:pPr/>
          </w:p>
        </w:tc>
      </w:tr>
      <w:tr>
        <w:trPr>
          <w:trHeight w:val="217" w:hRule="exact"/>
        </w:trPr>
        <w:tc>
          <w:tcPr>
            <w:tcW w:w="15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9"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27"/>
              <w:jc w:val="left"/>
              <w:rPr>
                <w:rFonts w:ascii="宋体" w:hAnsi="宋体" w:cs="宋体" w:eastAsia="宋体" w:hint="default"/>
                <w:sz w:val="18"/>
                <w:szCs w:val="18"/>
              </w:rPr>
            </w:pPr>
            <w:r>
              <w:rPr>
                <w:rFonts w:ascii="宋体" w:hAnsi="宋体" w:cs="宋体" w:eastAsia="宋体" w:hint="default"/>
                <w:sz w:val="18"/>
                <w:szCs w:val="18"/>
              </w:rPr>
              <w:t>互联网营销收入合 计</w:t>
            </w:r>
          </w:p>
        </w:tc>
        <w:tc>
          <w:tcPr>
            <w:tcW w:w="15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32,191,983.99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9.08%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9"/>
        <w:ind w:right="0"/>
        <w:jc w:val="left"/>
      </w:pPr>
      <w:r>
        <w:rPr/>
        <w:t>（</w:t>
      </w:r>
      <w:r>
        <w:rPr>
          <w:rFonts w:ascii="Times New Roman" w:hAnsi="Times New Roman" w:cs="Times New Roman" w:eastAsia="Times New Roman" w:hint="default"/>
        </w:rPr>
        <w:t>2</w:t>
      </w:r>
      <w:r>
        <w:rPr/>
        <w:t>）广告主所处的主要行业领域</w:t>
      </w:r>
    </w:p>
    <w:p>
      <w:pPr>
        <w:pStyle w:val="BodyText"/>
        <w:spacing w:line="240" w:lineRule="auto" w:before="96"/>
        <w:ind w:left="0" w:right="1109"/>
        <w:jc w:val="right"/>
      </w:pPr>
      <w:r>
        <w:rPr>
          <w:spacing w:val="-2"/>
        </w:rPr>
        <w:t>单位</w:t>
      </w:r>
      <w:r>
        <w:rPr>
          <w:rFonts w:ascii="Times New Roman" w:hAnsi="Times New Roman" w:cs="Times New Roman" w:eastAsia="Times New Roman" w:hint="default"/>
          <w:spacing w:val="-2"/>
        </w:rPr>
        <w:t>:</w:t>
      </w:r>
      <w:r>
        <w:rPr>
          <w:spacing w:val="-2"/>
        </w:rPr>
        <w:t>元</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行业领域</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31,633,021.74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快速消费品</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471,698.10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87,264.15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60"/>
        <w:ind w:right="0"/>
        <w:jc w:val="left"/>
      </w:pPr>
      <w:r>
        <w:rPr/>
        <w:t>（</w:t>
      </w:r>
      <w:r>
        <w:rPr>
          <w:rFonts w:ascii="Times New Roman" w:hAnsi="Times New Roman" w:cs="Times New Roman" w:eastAsia="Times New Roman" w:hint="default"/>
        </w:rPr>
        <w:t>3</w:t>
      </w:r>
      <w:r>
        <w:rPr/>
        <w:t>）直接类客户和代理类客户情况</w:t>
      </w:r>
    </w:p>
    <w:p>
      <w:pPr>
        <w:pStyle w:val="BodyText"/>
        <w:spacing w:line="240" w:lineRule="auto" w:before="96"/>
        <w:ind w:left="0" w:right="1109"/>
        <w:jc w:val="right"/>
      </w:pPr>
      <w:r>
        <w:rPr>
          <w:spacing w:val="-2"/>
        </w:rPr>
        <w:t>单位</w:t>
      </w:r>
      <w:r>
        <w:rPr>
          <w:rFonts w:ascii="Times New Roman" w:hAnsi="Times New Roman" w:cs="Times New Roman" w:eastAsia="Times New Roman" w:hint="default"/>
          <w:spacing w:val="-2"/>
        </w:rPr>
        <w:t>:</w:t>
      </w:r>
      <w:r>
        <w:rPr>
          <w:spacing w:val="-2"/>
        </w:rPr>
        <w:t>元</w:t>
      </w:r>
    </w:p>
    <w:p>
      <w:pPr>
        <w:spacing w:line="240" w:lineRule="auto" w:before="4"/>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359"/>
        <w:gridCol w:w="1367"/>
        <w:gridCol w:w="1367"/>
        <w:gridCol w:w="1382"/>
        <w:gridCol w:w="1366"/>
        <w:gridCol w:w="1367"/>
        <w:gridCol w:w="1367"/>
      </w:tblGrid>
      <w:tr>
        <w:trPr>
          <w:trHeight w:val="405" w:hRule="exact"/>
        </w:trPr>
        <w:tc>
          <w:tcPr>
            <w:tcW w:w="13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92" w:right="0"/>
              <w:jc w:val="left"/>
              <w:rPr>
                <w:rFonts w:ascii="宋体" w:hAnsi="宋体" w:cs="宋体" w:eastAsia="宋体" w:hint="default"/>
                <w:sz w:val="18"/>
                <w:szCs w:val="18"/>
              </w:rPr>
            </w:pPr>
            <w:r>
              <w:rPr>
                <w:rFonts w:ascii="宋体" w:hAnsi="宋体" w:cs="宋体" w:eastAsia="宋体" w:hint="default"/>
                <w:sz w:val="18"/>
                <w:szCs w:val="18"/>
              </w:rPr>
              <w:t>客户类型</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r>
      <w:tr>
        <w:trPr>
          <w:trHeight w:val="158" w:hRule="exact"/>
        </w:trPr>
        <w:tc>
          <w:tcPr>
            <w:tcW w:w="1359" w:type="dxa"/>
            <w:vMerge/>
            <w:tcBorders>
              <w:left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05" w:right="61" w:hanging="361"/>
              <w:jc w:val="left"/>
              <w:rPr>
                <w:rFonts w:ascii="宋体" w:hAnsi="宋体" w:cs="宋体" w:eastAsia="宋体" w:hint="default"/>
                <w:sz w:val="18"/>
                <w:szCs w:val="18"/>
              </w:rPr>
            </w:pPr>
            <w:r>
              <w:rPr>
                <w:rFonts w:ascii="宋体" w:hAnsi="宋体" w:cs="宋体" w:eastAsia="宋体" w:hint="default"/>
                <w:sz w:val="18"/>
                <w:szCs w:val="18"/>
              </w:rPr>
              <w:t>客户留存率（如 适用）</w:t>
            </w:r>
          </w:p>
        </w:tc>
        <w:tc>
          <w:tcPr>
            <w:tcW w:w="13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90" w:right="59" w:hanging="361"/>
              <w:jc w:val="left"/>
              <w:rPr>
                <w:rFonts w:ascii="宋体" w:hAnsi="宋体" w:cs="宋体" w:eastAsia="宋体" w:hint="default"/>
                <w:sz w:val="18"/>
                <w:szCs w:val="18"/>
              </w:rPr>
            </w:pPr>
            <w:r>
              <w:rPr>
                <w:rFonts w:ascii="宋体" w:hAnsi="宋体" w:cs="宋体" w:eastAsia="宋体" w:hint="default"/>
                <w:sz w:val="18"/>
                <w:szCs w:val="18"/>
              </w:rPr>
              <w:t>客户留存率（如 适用）</w:t>
            </w:r>
          </w:p>
        </w:tc>
      </w:tr>
      <w:tr>
        <w:trPr>
          <w:trHeight w:val="391" w:hRule="exact"/>
        </w:trPr>
        <w:tc>
          <w:tcPr>
            <w:tcW w:w="1359" w:type="dxa"/>
            <w:vMerge/>
            <w:tcBorders>
              <w:left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客户数量</w:t>
            </w:r>
          </w:p>
        </w:tc>
        <w:tc>
          <w:tcPr>
            <w:tcW w:w="13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382" w:type="dxa"/>
            <w:vMerge/>
            <w:tcBorders>
              <w:left w:val="single" w:sz="6" w:space="0" w:color="000000"/>
              <w:right w:val="single" w:sz="6" w:space="0" w:color="000000"/>
            </w:tcBorders>
            <w:shd w:val="clear" w:color="auto" w:fill="D2D2D2"/>
          </w:tcPr>
          <w:p>
            <w:pPr/>
          </w:p>
        </w:tc>
        <w:tc>
          <w:tcPr>
            <w:tcW w:w="136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客户数量</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367" w:type="dxa"/>
            <w:vMerge/>
            <w:tcBorders>
              <w:left w:val="single" w:sz="6" w:space="0" w:color="000000"/>
              <w:right w:val="single" w:sz="6" w:space="0" w:color="000000"/>
            </w:tcBorders>
            <w:shd w:val="clear" w:color="auto" w:fill="D2D2D2"/>
          </w:tcPr>
          <w:p>
            <w:pPr/>
          </w:p>
        </w:tc>
      </w:tr>
      <w:tr>
        <w:trPr>
          <w:trHeight w:val="158"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直接类客户</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4,430,207.44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代理类客户</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27,761,776.55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7"/>
          <w:szCs w:val="17"/>
        </w:rPr>
      </w:pPr>
    </w:p>
    <w:p>
      <w:pPr>
        <w:pStyle w:val="Heading3"/>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240" w:lineRule="auto" w:before="44"/>
        <w:ind w:right="0"/>
        <w:jc w:val="left"/>
      </w:pPr>
      <w:r>
        <w:rPr/>
        <w:t>营业收入整体情况</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47"/>
        <w:gridCol w:w="1564"/>
        <w:gridCol w:w="1380"/>
        <w:gridCol w:w="1596"/>
        <w:gridCol w:w="1590"/>
        <w:gridCol w:w="1605"/>
      </w:tblGrid>
      <w:tr>
        <w:trPr>
          <w:trHeight w:val="202" w:hRule="exact"/>
        </w:trPr>
        <w:tc>
          <w:tcPr>
            <w:tcW w:w="1847" w:type="dxa"/>
            <w:vMerge w:val="restart"/>
            <w:tcBorders>
              <w:top w:val="single" w:sz="6" w:space="0" w:color="000000"/>
              <w:left w:val="single" w:sz="6" w:space="0" w:color="000000"/>
              <w:right w:val="single" w:sz="6" w:space="0" w:color="000000"/>
            </w:tcBorders>
            <w:shd w:val="clear" w:color="auto" w:fill="D2D2D2"/>
          </w:tcPr>
          <w:p>
            <w:pPr/>
          </w:p>
        </w:tc>
        <w:tc>
          <w:tcPr>
            <w:tcW w:w="294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847" w:type="dxa"/>
            <w:vMerge/>
            <w:tcBorders>
              <w:left w:val="single" w:sz="6" w:space="0" w:color="000000"/>
              <w:right w:val="single" w:sz="6" w:space="0" w:color="000000"/>
            </w:tcBorders>
            <w:shd w:val="clear" w:color="auto" w:fill="D2D2D2"/>
          </w:tcPr>
          <w:p>
            <w:pPr/>
          </w:p>
        </w:tc>
        <w:tc>
          <w:tcPr>
            <w:tcW w:w="2944"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8" w:hRule="exact"/>
        </w:trPr>
        <w:tc>
          <w:tcPr>
            <w:tcW w:w="1847" w:type="dxa"/>
            <w:vMerge/>
            <w:tcBorders>
              <w:left w:val="single" w:sz="6" w:space="0" w:color="000000"/>
              <w:right w:val="single" w:sz="6" w:space="0" w:color="000000"/>
            </w:tcBorders>
            <w:shd w:val="clear" w:color="auto" w:fill="D2D2D2"/>
          </w:tcPr>
          <w:p>
            <w:pPr/>
          </w:p>
        </w:tc>
        <w:tc>
          <w:tcPr>
            <w:tcW w:w="156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38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4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17" w:hRule="exact"/>
        </w:trPr>
        <w:tc>
          <w:tcPr>
            <w:tcW w:w="1847" w:type="dxa"/>
            <w:vMerge/>
            <w:tcBorders>
              <w:left w:val="single" w:sz="6" w:space="0" w:color="000000"/>
              <w:bottom w:val="single" w:sz="6" w:space="0" w:color="000000"/>
              <w:right w:val="single" w:sz="6" w:space="0" w:color="000000"/>
            </w:tcBorders>
            <w:shd w:val="clear" w:color="auto" w:fill="D2D2D2"/>
          </w:tcPr>
          <w:p>
            <w:pPr/>
          </w:p>
        </w:tc>
        <w:tc>
          <w:tcPr>
            <w:tcW w:w="1564" w:type="dxa"/>
            <w:vMerge/>
            <w:tcBorders>
              <w:left w:val="single" w:sz="6" w:space="0" w:color="000000"/>
              <w:bottom w:val="single" w:sz="6" w:space="0" w:color="000000"/>
              <w:right w:val="single" w:sz="6" w:space="0" w:color="000000"/>
            </w:tcBorders>
            <w:shd w:val="clear" w:color="auto" w:fill="D2D2D2"/>
          </w:tcPr>
          <w:p>
            <w:pPr/>
          </w:p>
        </w:tc>
        <w:tc>
          <w:tcPr>
            <w:tcW w:w="138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8"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4"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23"/>
              <w:jc w:val="right"/>
              <w:rPr>
                <w:rFonts w:ascii="Times New Roman" w:hAnsi="Times New Roman" w:cs="Times New Roman" w:eastAsia="Times New Roman" w:hint="default"/>
                <w:sz w:val="18"/>
                <w:szCs w:val="18"/>
              </w:rPr>
            </w:pPr>
            <w:r>
              <w:rPr>
                <w:rFonts w:ascii="Times New Roman"/>
                <w:sz w:val="18"/>
              </w:rPr>
              <w:t>354,228,722.98</w:t>
            </w:r>
          </w:p>
        </w:tc>
        <w:tc>
          <w:tcPr>
            <w:tcW w:w="13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z w:val="18"/>
              </w:rPr>
              <w:t>369,281,216.23</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-4.08%</w:t>
            </w:r>
          </w:p>
        </w:tc>
      </w:tr>
      <w:tr>
        <w:trPr>
          <w:trHeight w:val="398"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208,591,316.90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58.89%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173,802,939.27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47.07%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20.02%</w:t>
            </w:r>
            <w:r>
              <w:rPr>
                <w:rFonts w:ascii="Times New Roman"/>
                <w:sz w:val="18"/>
              </w:rPr>
            </w:r>
          </w:p>
        </w:tc>
      </w:tr>
      <w:tr>
        <w:trPr>
          <w:trHeight w:val="4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互联网及信息技术</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61,261,147.92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17.29%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78,834,763.32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21.35%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-22.29%</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33,077,392.72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9.34%</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35,124,008.27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9.51%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-5.83%</w:t>
            </w:r>
          </w:p>
        </w:tc>
      </w:tr>
      <w:tr>
        <w:trPr>
          <w:trHeight w:val="39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17,051,689.65</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4.81%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27,593,075.79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7.47%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-38.20%</w:t>
            </w:r>
          </w:p>
        </w:tc>
      </w:tr>
      <w:tr>
        <w:trPr>
          <w:trHeight w:val="4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快速消费品</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14,517,931.28</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4.10%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23,772,527.98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6.44%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-38.93%</w:t>
            </w:r>
          </w:p>
        </w:tc>
      </w:tr>
      <w:tr>
        <w:trPr>
          <w:trHeight w:val="4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教育、培训</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6,047,785.09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1.71%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零售业</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3,004,252.61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0.85%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w:t>
            </w:r>
            <w:r>
              <w:rPr>
                <w:rFonts w:ascii="Times New Roman" w:hAnsi="Times New Roman" w:cs="Times New Roman" w:eastAsia="Times New Roman" w:hint="default"/>
                <w:sz w:val="18"/>
                <w:szCs w:val="18"/>
              </w:rPr>
              <w:t>/</w:t>
            </w:r>
            <w:r>
              <w:rPr>
                <w:rFonts w:ascii="宋体" w:hAnsi="宋体" w:cs="宋体" w:eastAsia="宋体" w:hint="default"/>
                <w:sz w:val="18"/>
                <w:szCs w:val="18"/>
              </w:rPr>
              <w:t>非盈利机构</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2,734,160.33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0.77%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文化</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2,362,510.31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0.67%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15,204,409.57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4.12%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-84.46%</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1,878,324.56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231,772.65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710.42%</w:t>
            </w:r>
            <w:r>
              <w:rPr>
                <w:rFonts w:ascii="Times New Roman"/>
                <w:sz w:val="18"/>
              </w:rPr>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交通运输业</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935,499.97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1,768,476.40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-47.10%</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2,766,711.64</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0.78%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12,949,242.98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3.50%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-78.63%</w:t>
            </w:r>
          </w:p>
        </w:tc>
      </w:tr>
      <w:tr>
        <w:trPr>
          <w:trHeight w:val="406"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营销解决方案类收入</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305,700,302.21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86.30%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369,281,216.23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-17.22%</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营销技术运营类收入</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sz w:val="18"/>
              </w:rPr>
              <w:t>45,781,356.10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12.92%</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数据技术产品类收入</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2,747,064.67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0.78%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6"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1"/>
              <w:jc w:val="right"/>
              <w:rPr>
                <w:rFonts w:ascii="Times New Roman" w:hAnsi="Times New Roman" w:cs="Times New Roman" w:eastAsia="Times New Roman" w:hint="default"/>
                <w:sz w:val="18"/>
                <w:szCs w:val="18"/>
              </w:rPr>
            </w:pPr>
            <w:r>
              <w:rPr>
                <w:rFonts w:ascii="Times New Roman"/>
                <w:sz w:val="18"/>
              </w:rPr>
              <w:t>351,309,590.56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w w:val="95"/>
                <w:sz w:val="18"/>
              </w:rPr>
              <w:t>99.18%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367,776,274.05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w w:val="95"/>
                <w:sz w:val="18"/>
              </w:rPr>
              <w:t>99.59%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-4.48%</w:t>
            </w:r>
          </w:p>
        </w:tc>
      </w:tr>
      <w:tr>
        <w:trPr>
          <w:trHeight w:val="39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2,919,132.42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1,504,942.18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93.97%</w:t>
            </w:r>
            <w:r>
              <w:rPr>
                <w:rFonts w:ascii="Times New Roman"/>
                <w:sz w:val="18"/>
              </w:rPr>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97"/>
        <w:gridCol w:w="1276"/>
        <w:gridCol w:w="1427"/>
        <w:gridCol w:w="1066"/>
        <w:gridCol w:w="1382"/>
        <w:gridCol w:w="1367"/>
        <w:gridCol w:w="1367"/>
      </w:tblGrid>
      <w:tr>
        <w:trPr>
          <w:trHeight w:val="886"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120"/>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120"/>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120"/>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208,591,316.90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131,071,998.40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37.16%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20.02%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19.45%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互联网及信息技术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61,261,147.92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33,073,648.46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46.01%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-16.66%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97"/>
        <w:gridCol w:w="1276"/>
        <w:gridCol w:w="1427"/>
        <w:gridCol w:w="1066"/>
        <w:gridCol w:w="1382"/>
        <w:gridCol w:w="1367"/>
        <w:gridCol w:w="1367"/>
      </w:tblGrid>
      <w:tr>
        <w:trPr>
          <w:trHeight w:val="885"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119"/>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119"/>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119"/>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营销解决方案类收入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305,700,302.21</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176,122,838.43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42.39%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2.28%</w:t>
            </w:r>
            <w:r>
              <w:rPr>
                <w:rFonts w:ascii="Times New Roman"/>
                <w:sz w:val="18"/>
              </w:rPr>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营销技术运营类收入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45,781,356.10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34,420,199.38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24.82%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351,309,590.56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209,408,116.35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40.39%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0.37%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59"/>
        <w:ind w:right="-19"/>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9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8789" w:space="148"/>
            <w:col w:w="1973"/>
          </w:cols>
        </w:sectPr>
      </w:pP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营销解决方案类 收入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305,700,302.21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176,122,838.43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42.39%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2.28%</w:t>
            </w:r>
            <w:r>
              <w:rPr>
                <w:rFonts w:ascii="Times New Roman"/>
                <w:sz w:val="18"/>
              </w:rPr>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营销技术运营类 收入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45,781,356.10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34,420,199.38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24.82%</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336" w:lineRule="auto" w:before="45"/>
        <w:ind w:right="0"/>
        <w:jc w:val="left"/>
      </w:pPr>
      <w:r>
        <w:rPr/>
        <w:t>变更口径的理由 </w:t>
      </w:r>
      <w:r>
        <w:rPr>
          <w:spacing w:val="-2"/>
        </w:rPr>
        <w:t>基于公司转型升级的全新战略，结合报告期内的具体经营布局，公司的主营业务数据统计口径重新划分为营销解决方案类收</w:t>
      </w:r>
      <w:r>
        <w:rPr>
          <w:spacing w:val="-72"/>
        </w:rPr>
        <w:t> </w:t>
      </w:r>
      <w:r>
        <w:rPr>
          <w:spacing w:val="-72"/>
        </w:rPr>
      </w:r>
      <w:r>
        <w:rPr/>
        <w:t>入、营销技术运营类收入和数据技术产品类收入。</w:t>
      </w:r>
    </w:p>
    <w:p>
      <w:pPr>
        <w:spacing w:line="240" w:lineRule="auto" w:before="2"/>
        <w:rPr>
          <w:rFonts w:ascii="宋体" w:hAnsi="宋体" w:cs="宋体" w:eastAsia="宋体" w:hint="default"/>
          <w:sz w:val="23"/>
          <w:szCs w:val="23"/>
        </w:rPr>
      </w:pPr>
    </w:p>
    <w:p>
      <w:pPr>
        <w:pStyle w:val="Heading5"/>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type w:val="continuous"/>
          <w:pgSz w:w="11910" w:h="16850"/>
          <w:pgMar w:top="1040" w:bottom="1180" w:left="100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5"/>
        <w:spacing w:line="240" w:lineRule="auto" w:before="35"/>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产品分类</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97"/>
        <w:gridCol w:w="1036"/>
        <w:gridCol w:w="1382"/>
        <w:gridCol w:w="1367"/>
        <w:gridCol w:w="1366"/>
        <w:gridCol w:w="1367"/>
        <w:gridCol w:w="1367"/>
      </w:tblGrid>
      <w:tr>
        <w:trPr>
          <w:trHeight w:val="406" w:hRule="exact"/>
        </w:trPr>
        <w:tc>
          <w:tcPr>
            <w:tcW w:w="16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697" w:type="dxa"/>
            <w:vMerge/>
            <w:tcBorders>
              <w:left w:val="single" w:sz="6" w:space="0" w:color="000000"/>
              <w:bottom w:val="single" w:sz="6" w:space="0" w:color="000000"/>
              <w:right w:val="single" w:sz="6" w:space="0" w:color="000000"/>
            </w:tcBorders>
            <w:shd w:val="clear" w:color="auto" w:fill="D2D2D2"/>
          </w:tcPr>
          <w:p>
            <w:pPr/>
          </w:p>
        </w:tc>
        <w:tc>
          <w:tcPr>
            <w:tcW w:w="1036"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营销解决方案类收入</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176,122,838.43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83.55%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221,176,989.52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-20.37%</w:t>
            </w:r>
          </w:p>
        </w:tc>
      </w:tr>
      <w:tr>
        <w:trPr>
          <w:trHeight w:val="391"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营销技术运营类收入</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34,420,199.38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16.33%</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数据技术产品类收入</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257,483.00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3"/>
        <w:rPr>
          <w:rFonts w:ascii="宋体" w:hAnsi="宋体" w:cs="宋体" w:eastAsia="宋体" w:hint="default"/>
          <w:sz w:val="14"/>
          <w:szCs w:val="14"/>
        </w:rPr>
      </w:pPr>
    </w:p>
    <w:p>
      <w:pPr>
        <w:pStyle w:val="BodyText"/>
        <w:spacing w:line="314" w:lineRule="auto"/>
        <w:ind w:right="1113" w:firstLine="360"/>
        <w:jc w:val="both"/>
      </w:pPr>
      <w:r>
        <w:rPr>
          <w:rFonts w:ascii="宋体" w:hAnsi="宋体" w:cs="宋体" w:eastAsia="宋体" w:hint="default"/>
          <w:spacing w:val="-2"/>
        </w:rPr>
        <w:t>1</w:t>
      </w:r>
      <w:r>
        <w:rPr>
          <w:spacing w:val="-2"/>
        </w:rPr>
        <w:t>、本公司之全资子公司北京品推宝移动科技有限公司（以下简称“品推宝”）于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日与上海聚虎信息科技有</w:t>
      </w:r>
      <w:r>
        <w:rPr/>
        <w:t> 限公司共同成立上海宣亚人工智能科技有限公司。品推宝认缴出资</w:t>
      </w:r>
      <w:r>
        <w:rPr>
          <w:rFonts w:ascii="宋体" w:hAnsi="宋体" w:cs="宋体" w:eastAsia="宋体" w:hint="default"/>
        </w:rPr>
        <w:t>102</w:t>
      </w:r>
      <w:r>
        <w:rPr/>
        <w:t>万元，持股</w:t>
      </w:r>
      <w:r>
        <w:rPr>
          <w:rFonts w:ascii="宋体" w:hAnsi="宋体" w:cs="宋体" w:eastAsia="宋体" w:hint="default"/>
        </w:rPr>
        <w:t>51%</w:t>
      </w:r>
      <w:r>
        <w:rPr/>
        <w:t>，已于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27</w:t>
      </w:r>
      <w:r>
        <w:rPr/>
        <w:t>日支付首笔入资款</w:t>
      </w:r>
      <w:r>
        <w:rPr>
          <w:spacing w:val="-83"/>
        </w:rPr>
        <w:t> </w:t>
      </w:r>
      <w:r>
        <w:rPr>
          <w:rFonts w:ascii="宋体" w:hAnsi="宋体" w:cs="宋体" w:eastAsia="宋体" w:hint="default"/>
        </w:rPr>
        <w:t>25.50</w:t>
      </w:r>
      <w:r>
        <w:rPr/>
        <w:t>万元。公司本期将上海宣亚人工智能科技有限公司纳入合并范围。</w:t>
      </w:r>
    </w:p>
    <w:p>
      <w:pPr>
        <w:pStyle w:val="BodyText"/>
        <w:spacing w:line="321" w:lineRule="auto" w:before="129"/>
        <w:ind w:right="1126" w:firstLine="360"/>
        <w:jc w:val="both"/>
      </w:pPr>
      <w:r>
        <w:rPr>
          <w:rFonts w:ascii="宋体" w:hAnsi="宋体" w:cs="宋体" w:eastAsia="宋体" w:hint="default"/>
          <w:spacing w:val="-3"/>
        </w:rPr>
        <w:t>2</w:t>
      </w:r>
      <w:r>
        <w:rPr>
          <w:spacing w:val="-3"/>
        </w:rPr>
        <w:t>、品推宝于</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21</w:t>
      </w:r>
      <w:r>
        <w:rPr>
          <w:spacing w:val="-3"/>
        </w:rPr>
        <w:t>日与北京清博大数据科技有限公司共同成立上海至深大数据科技有限公司。品推宝认缴出资</w:t>
      </w:r>
      <w:r>
        <w:rPr>
          <w:rFonts w:ascii="宋体" w:hAnsi="宋体" w:cs="宋体" w:eastAsia="宋体" w:hint="default"/>
          <w:spacing w:val="-3"/>
        </w:rPr>
        <w:t>102</w:t>
      </w:r>
      <w:r>
        <w:rPr>
          <w:rFonts w:ascii="宋体" w:hAnsi="宋体" w:cs="宋体" w:eastAsia="宋体" w:hint="default"/>
        </w:rPr>
        <w:t> </w:t>
      </w:r>
      <w:r>
        <w:rPr/>
        <w:t>万元，持股</w:t>
      </w:r>
      <w:r>
        <w:rPr>
          <w:rFonts w:ascii="宋体" w:hAnsi="宋体" w:cs="宋体" w:eastAsia="宋体" w:hint="default"/>
        </w:rPr>
        <w:t>51%</w:t>
      </w:r>
      <w:r>
        <w:rPr/>
        <w:t>，已于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26</w:t>
      </w:r>
      <w:r>
        <w:rPr/>
        <w:t>日支付首笔入资款</w:t>
      </w:r>
      <w:r>
        <w:rPr>
          <w:rFonts w:ascii="宋体" w:hAnsi="宋体" w:cs="宋体" w:eastAsia="宋体" w:hint="default"/>
        </w:rPr>
        <w:t>51</w:t>
      </w:r>
      <w:r>
        <w:rPr/>
        <w:t>万元。公司将上海至深大数据科技有限公司纳入合并范围。</w:t>
      </w:r>
    </w:p>
    <w:p>
      <w:pPr>
        <w:pStyle w:val="BodyText"/>
        <w:spacing w:line="240" w:lineRule="auto" w:before="138"/>
        <w:ind w:left="501" w:right="0"/>
        <w:jc w:val="left"/>
      </w:pPr>
      <w:r>
        <w:rPr>
          <w:rFonts w:ascii="宋体" w:hAnsi="宋体" w:cs="宋体" w:eastAsia="宋体" w:hint="default"/>
        </w:rPr>
        <w:t>3</w:t>
      </w:r>
      <w:r>
        <w:rPr/>
        <w:t>、本公司之控股子公司珠海宣亚互动数字营销有限公司本年度注销。</w:t>
      </w:r>
    </w:p>
    <w:p>
      <w:pPr>
        <w:spacing w:line="240" w:lineRule="auto" w:before="4"/>
        <w:rPr>
          <w:rFonts w:ascii="宋体" w:hAnsi="宋体" w:cs="宋体" w:eastAsia="宋体" w:hint="default"/>
          <w:sz w:val="15"/>
          <w:szCs w:val="15"/>
        </w:rPr>
      </w:pPr>
    </w:p>
    <w:p>
      <w:pPr>
        <w:pStyle w:val="BodyText"/>
        <w:spacing w:line="319" w:lineRule="auto"/>
        <w:ind w:right="1126" w:firstLine="360"/>
        <w:jc w:val="both"/>
      </w:pPr>
      <w:r>
        <w:rPr>
          <w:rFonts w:ascii="宋体" w:hAnsi="宋体" w:cs="宋体" w:eastAsia="宋体" w:hint="default"/>
        </w:rPr>
        <w:t>4</w:t>
      </w:r>
      <w:r>
        <w:rPr/>
        <w:t>、本公司于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日，向天津星言云汇网络科技有限公司（以下简称“星言云汇”）增资人民币</w:t>
      </w:r>
      <w:r>
        <w:rPr>
          <w:rFonts w:ascii="宋体" w:hAnsi="宋体" w:cs="宋体" w:eastAsia="宋体" w:hint="default"/>
        </w:rPr>
        <w:t>2,000</w:t>
      </w:r>
      <w:r>
        <w:rPr/>
        <w:t>万元，增 资完成后持有星言云汇</w:t>
      </w:r>
      <w:r>
        <w:rPr>
          <w:rFonts w:ascii="宋体" w:hAnsi="宋体" w:cs="宋体" w:eastAsia="宋体" w:hint="default"/>
        </w:rPr>
        <w:t>20%</w:t>
      </w:r>
      <w:r>
        <w:rPr/>
        <w:t>的股权。</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29</w:t>
      </w:r>
      <w:r>
        <w:rPr/>
        <w:t>日经第三届董事会第十八次会议批准，以自有资金人民币</w:t>
      </w:r>
      <w:r>
        <w:rPr>
          <w:rFonts w:ascii="宋体" w:hAnsi="宋体" w:cs="宋体" w:eastAsia="宋体" w:hint="default"/>
        </w:rPr>
        <w:t>3,600</w:t>
      </w:r>
      <w:r>
        <w:rPr/>
        <w:t>万元购买星</w:t>
      </w:r>
      <w:r>
        <w:rPr>
          <w:spacing w:val="-81"/>
        </w:rPr>
        <w:t> </w:t>
      </w:r>
      <w:r>
        <w:rPr/>
        <w:t>言云汇股东菏泽众行企业管理咨询中心（有限合伙）（原名：天津众行有道企业管理咨询中心（有限合伙））持有的</w:t>
      </w:r>
      <w:r>
        <w:rPr>
          <w:rFonts w:ascii="宋体" w:hAnsi="宋体" w:cs="宋体" w:eastAsia="宋体" w:hint="default"/>
        </w:rPr>
        <w:t>20%</w:t>
      </w:r>
      <w:r>
        <w:rPr/>
        <w:t>股</w:t>
      </w:r>
      <w:r>
        <w:rPr>
          <w:spacing w:val="-79"/>
        </w:rPr>
        <w:t> </w:t>
      </w:r>
      <w:r>
        <w:rPr/>
        <w:t>权。星言云汇于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日召开股东大会，股东大会选举了新一届董事会成员，共有</w:t>
      </w:r>
      <w:r>
        <w:rPr>
          <w:rFonts w:ascii="宋体" w:hAnsi="宋体" w:cs="宋体" w:eastAsia="宋体" w:hint="default"/>
        </w:rPr>
        <w:t>3</w:t>
      </w:r>
      <w:r>
        <w:rPr/>
        <w:t>名董事，本公司派出</w:t>
      </w:r>
      <w:r>
        <w:rPr>
          <w:rFonts w:ascii="宋体" w:hAnsi="宋体" w:cs="宋体" w:eastAsia="宋体" w:hint="default"/>
        </w:rPr>
        <w:t>2</w:t>
      </w:r>
      <w:r>
        <w:rPr/>
        <w:t>名董事。同</w:t>
      </w:r>
      <w:r>
        <w:rPr>
          <w:spacing w:val="-81"/>
        </w:rPr>
        <w:t> </w:t>
      </w:r>
      <w:r>
        <w:rPr/>
        <w:t>日，召开第一届董事会会议，选举本公司委派的董事邬涛为新任董事长并派驻一名财务经理。综上所述：公司出资</w:t>
      </w:r>
      <w:r>
        <w:rPr>
          <w:rFonts w:ascii="宋体" w:hAnsi="宋体" w:cs="宋体" w:eastAsia="宋体" w:hint="default"/>
        </w:rPr>
        <w:t>5,600</w:t>
      </w:r>
      <w:r>
        <w:rPr/>
        <w:t>万</w:t>
      </w:r>
      <w:r>
        <w:rPr>
          <w:spacing w:val="-79"/>
        </w:rPr>
        <w:t> </w:t>
      </w:r>
      <w:r>
        <w:rPr/>
        <w:t>元取得星言云汇</w:t>
      </w:r>
      <w:r>
        <w:rPr>
          <w:rFonts w:ascii="宋体" w:hAnsi="宋体" w:cs="宋体" w:eastAsia="宋体" w:hint="default"/>
        </w:rPr>
        <w:t>40%</w:t>
      </w:r>
      <w:r>
        <w:rPr/>
        <w:t>的股权，由于在其董事会中占有多数席位，达到控制，故纳入合并范围，合并日为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公司主要销售客户情况</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390"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149,304,744.98</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42.15%</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53,117,155.88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15.00%</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33,100,892.50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9.34%</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22,936,579.40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6.48%</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20,733,711.26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5.85%</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19,416,405.94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5.48%</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149,304,744.98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42.15%</w:t>
            </w:r>
            <w:r>
              <w:rPr>
                <w:rFonts w:ascii="Times New Roman"/>
                <w:sz w:val="18"/>
              </w:rPr>
            </w:r>
          </w:p>
        </w:tc>
      </w:tr>
    </w:tbl>
    <w:p>
      <w:pPr>
        <w:pStyle w:val="BodyText"/>
        <w:spacing w:line="240" w:lineRule="auto" w:before="45"/>
        <w:ind w:right="0"/>
        <w:jc w:val="left"/>
      </w:pPr>
      <w:r>
        <w:rPr/>
        <w:t>主要客户其他情况说明</w:t>
      </w:r>
    </w:p>
    <w:p>
      <w:pPr>
        <w:pStyle w:val="BodyText"/>
        <w:spacing w:line="319"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line="240" w:lineRule="auto" w:before="13"/>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53,305,653.87</w:t>
            </w:r>
          </w:p>
        </w:tc>
      </w:tr>
      <w:tr>
        <w:trPr>
          <w:trHeight w:val="390"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23.52%</w:t>
            </w:r>
            <w:r>
              <w:rPr>
                <w:rFonts w:ascii="Times New Roman"/>
                <w:sz w:val="18"/>
              </w:rPr>
            </w:r>
          </w:p>
        </w:tc>
      </w:tr>
      <w:tr>
        <w:trPr>
          <w:trHeight w:val="721"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22,140,461.07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9.77%</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11,063,157.35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4.88%</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8,836,701.00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3.90%</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6,682,834.45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2.95%</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4,582,500.00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2.02%</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53,305,653.87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23.52%</w:t>
            </w:r>
            <w:r>
              <w:rPr>
                <w:rFonts w:ascii="Times New Roman"/>
                <w:sz w:val="18"/>
              </w:rPr>
            </w:r>
          </w:p>
        </w:tc>
      </w:tr>
    </w:tbl>
    <w:p>
      <w:pPr>
        <w:pStyle w:val="BodyText"/>
        <w:spacing w:line="240" w:lineRule="auto" w:before="45"/>
        <w:ind w:right="0"/>
        <w:jc w:val="left"/>
      </w:pPr>
      <w:r>
        <w:rPr/>
        <w:t>主要供应商其他情况说明</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652"/>
        <w:gridCol w:w="1637"/>
        <w:gridCol w:w="1457"/>
        <w:gridCol w:w="2929"/>
      </w:tblGrid>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15"/>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555" w:right="0"/>
              <w:jc w:val="left"/>
              <w:rPr>
                <w:rFonts w:ascii="Times New Roman" w:hAnsi="Times New Roman" w:cs="Times New Roman" w:eastAsia="Times New Roman" w:hint="default"/>
                <w:sz w:val="18"/>
                <w:szCs w:val="18"/>
              </w:rPr>
            </w:pPr>
            <w:r>
              <w:rPr>
                <w:rFonts w:ascii="Times New Roman"/>
                <w:sz w:val="18"/>
              </w:rPr>
              <w:t>66,919,776.11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77,909,360.25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-14.11%</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555" w:right="0"/>
              <w:jc w:val="left"/>
              <w:rPr>
                <w:rFonts w:ascii="Times New Roman" w:hAnsi="Times New Roman" w:cs="Times New Roman" w:eastAsia="Times New Roman" w:hint="default"/>
                <w:sz w:val="18"/>
                <w:szCs w:val="18"/>
              </w:rPr>
            </w:pPr>
            <w:r>
              <w:rPr>
                <w:rFonts w:ascii="Times New Roman"/>
                <w:sz w:val="18"/>
              </w:rPr>
              <w:t>22,275,637.63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25,843,835.43</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-13.81%</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585" w:right="0"/>
              <w:jc w:val="left"/>
              <w:rPr>
                <w:rFonts w:ascii="Times New Roman" w:hAnsi="Times New Roman" w:cs="Times New Roman" w:eastAsia="Times New Roman" w:hint="default"/>
                <w:sz w:val="18"/>
                <w:szCs w:val="18"/>
              </w:rPr>
            </w:pPr>
            <w:r>
              <w:rPr>
                <w:rFonts w:ascii="Times New Roman"/>
                <w:sz w:val="18"/>
              </w:rPr>
              <w:t>-1,652,797.46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-177,990.38</w:t>
            </w:r>
            <w:r>
              <w:rPr>
                <w:rFonts w:ascii="Times New Roman"/>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-828.59%</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01"/>
              <w:jc w:val="right"/>
              <w:rPr>
                <w:rFonts w:ascii="宋体" w:hAnsi="宋体" w:cs="宋体" w:eastAsia="宋体" w:hint="default"/>
                <w:sz w:val="18"/>
                <w:szCs w:val="18"/>
              </w:rPr>
            </w:pPr>
            <w:r>
              <w:rPr>
                <w:rFonts w:ascii="宋体" w:hAnsi="宋体" w:cs="宋体" w:eastAsia="宋体" w:hint="default"/>
                <w:sz w:val="18"/>
                <w:szCs w:val="18"/>
              </w:rPr>
              <w:t>报告期利息支出减少所致</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555" w:right="0"/>
              <w:jc w:val="left"/>
              <w:rPr>
                <w:rFonts w:ascii="Times New Roman" w:hAnsi="Times New Roman" w:cs="Times New Roman" w:eastAsia="Times New Roman" w:hint="default"/>
                <w:sz w:val="18"/>
                <w:szCs w:val="18"/>
              </w:rPr>
            </w:pPr>
            <w:r>
              <w:rPr>
                <w:rFonts w:ascii="Times New Roman"/>
                <w:sz w:val="18"/>
              </w:rPr>
              <w:t>25,560,231.05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14,684,127.72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74.07%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01"/>
              <w:jc w:val="right"/>
              <w:rPr>
                <w:rFonts w:ascii="宋体" w:hAnsi="宋体" w:cs="宋体" w:eastAsia="宋体" w:hint="default"/>
                <w:sz w:val="18"/>
                <w:szCs w:val="18"/>
              </w:rPr>
            </w:pPr>
            <w:r>
              <w:rPr>
                <w:rFonts w:ascii="宋体" w:hAnsi="宋体" w:cs="宋体" w:eastAsia="宋体" w:hint="default"/>
                <w:sz w:val="18"/>
                <w:szCs w:val="18"/>
              </w:rPr>
              <w:t>报告期持续加大研发投入</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pStyle w:val="BodyText"/>
        <w:spacing w:line="400" w:lineRule="atLeast" w:before="194"/>
        <w:ind w:left="501" w:right="111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公司持续顺应技术发展与变革的趋势，积极优化数字营销平台建设项目，报告期内，公司加大了人工智能（</w:t>
      </w:r>
      <w:r>
        <w:rPr>
          <w:rFonts w:ascii="宋体" w:hAnsi="宋体" w:cs="宋体" w:eastAsia="宋体" w:hint="default"/>
          <w:spacing w:val="-2"/>
        </w:rPr>
        <w:t>AI</w:t>
      </w:r>
      <w:r>
        <w:rPr>
          <w:spacing w:val="-2"/>
        </w:rPr>
        <w:t>）、大数</w:t>
      </w:r>
    </w:p>
    <w:p>
      <w:pPr>
        <w:pStyle w:val="BodyText"/>
        <w:spacing w:line="321" w:lineRule="auto" w:before="64"/>
        <w:ind w:right="1096"/>
        <w:jc w:val="both"/>
      </w:pPr>
      <w:r>
        <w:rPr/>
        <w:t>据（</w:t>
      </w:r>
      <w:r>
        <w:rPr>
          <w:rFonts w:ascii="宋体" w:hAnsi="宋体" w:cs="宋体" w:eastAsia="宋体" w:hint="default"/>
        </w:rPr>
        <w:t>Big</w:t>
      </w:r>
      <w:r>
        <w:rPr>
          <w:rFonts w:ascii="宋体" w:hAnsi="宋体" w:cs="宋体" w:eastAsia="宋体" w:hint="default"/>
          <w:spacing w:val="-56"/>
        </w:rPr>
        <w:t> </w:t>
      </w:r>
      <w:r>
        <w:rPr>
          <w:rFonts w:ascii="宋体" w:hAnsi="宋体" w:cs="宋体" w:eastAsia="宋体" w:hint="default"/>
        </w:rPr>
        <w:t>Data</w:t>
      </w:r>
      <w:r>
        <w:rPr/>
        <w:t>）、区块链（</w:t>
      </w:r>
      <w:r>
        <w:rPr>
          <w:rFonts w:ascii="宋体" w:hAnsi="宋体" w:cs="宋体" w:eastAsia="宋体" w:hint="default"/>
        </w:rPr>
        <w:t>Blockchain</w:t>
      </w:r>
      <w:r>
        <w:rPr/>
        <w:t>）技术在营销场景应用探索的投入，充分结合客户需求的痛点，研发了舆情大数据分 </w:t>
      </w:r>
      <w:r>
        <w:rPr>
          <w:spacing w:val="-1"/>
        </w:rPr>
        <w:t>析、内容智能创作、媒介价值评估等一系列数字营销平台应用产品。其中，舆情大数据分析平台依托</w:t>
      </w:r>
      <w:r>
        <w:rPr>
          <w:rFonts w:ascii="宋体" w:hAnsi="宋体" w:cs="宋体" w:eastAsia="宋体" w:hint="default"/>
          <w:spacing w:val="-1"/>
        </w:rPr>
        <w:t>AI</w:t>
      </w:r>
      <w:r>
        <w:rPr>
          <w:spacing w:val="-1"/>
        </w:rPr>
        <w:t>技术实现了智能全媒</w:t>
      </w:r>
      <w:r>
        <w:rPr>
          <w:spacing w:val="-86"/>
        </w:rPr>
        <w:t> </w:t>
      </w:r>
      <w:r>
        <w:rPr>
          <w:spacing w:val="-2"/>
        </w:rPr>
        <w:t>体监测，为客户极大地提升了服务效率与效益；内容智能创作平台打造了从内容智能生产、分发及效果反馈闭环产品解决方</w:t>
      </w:r>
      <w:r>
        <w:rPr>
          <w:spacing w:val="-75"/>
        </w:rPr>
        <w:t> </w:t>
      </w:r>
      <w:r>
        <w:rPr>
          <w:spacing w:val="-75"/>
        </w:rPr>
      </w:r>
      <w:r>
        <w:rPr>
          <w:spacing w:val="-2"/>
        </w:rPr>
        <w:t>案，为内容营销行业的参与者提供一个高效制作、协作平台；根据长时间在媒体端数据积累，结合大数据分析技术研发了媒</w:t>
      </w:r>
      <w:r>
        <w:rPr>
          <w:spacing w:val="-42"/>
        </w:rPr>
        <w:t> </w:t>
      </w:r>
      <w:r>
        <w:rPr>
          <w:spacing w:val="-42"/>
        </w:rPr>
      </w:r>
      <w:r>
        <w:rPr/>
        <w:t>体价值评估系统，为客户推荐适合自己品牌的媒体，为客户精准化传播、精细化运营提供综合解决方案。</w:t>
      </w:r>
    </w:p>
    <w:p>
      <w:pPr>
        <w:pStyle w:val="BodyText"/>
        <w:spacing w:line="240" w:lineRule="auto" w:before="48"/>
        <w:ind w:right="0"/>
        <w:jc w:val="both"/>
      </w:pPr>
      <w:r>
        <w:rPr/>
        <w:t>近三年公司研发投入金额及占营业收入的比例</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23.27%</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12.84%</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12.47%</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29,553,996.29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14,684,127.72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18,842,176.87</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8.34%</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3.98%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3.73%</w:t>
            </w:r>
            <w:r>
              <w:rPr>
                <w:rFonts w:ascii="Times New Roman"/>
                <w:sz w:val="18"/>
              </w:rPr>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3,993,765.24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13.51%</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38.59%</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45"/>
        <w:ind w:right="0"/>
        <w:jc w:val="left"/>
      </w:pPr>
      <w:r>
        <w:rPr/>
        <w:t>研发投入总额占营业收入的比重较上年发生显著变化的原因</w:t>
      </w:r>
    </w:p>
    <w:p>
      <w:pPr>
        <w:pStyle w:val="BodyText"/>
        <w:spacing w:line="333" w:lineRule="auto" w:before="12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研发投入资本化率大幅变动的原因及其合理性说明</w:t>
      </w:r>
    </w:p>
    <w:p>
      <w:pPr>
        <w:pStyle w:val="BodyText"/>
        <w:spacing w:line="240" w:lineRule="auto" w:before="5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p>
      <w:pPr>
        <w:pStyle w:val="BodyText"/>
        <w:spacing w:line="314" w:lineRule="auto"/>
        <w:ind w:right="1111" w:firstLine="360"/>
        <w:jc w:val="both"/>
      </w:pPr>
      <w:r>
        <w:rPr>
          <w:spacing w:val="-2"/>
        </w:rPr>
        <w:t>随着公司研发投入的增加，逐渐形成完善的产品，公司已成功申请取得软著证书（云目未来科技视频分拣系统</w:t>
      </w:r>
      <w:r>
        <w:rPr>
          <w:rFonts w:ascii="宋体" w:hAnsi="宋体" w:cs="宋体" w:eastAsia="宋体" w:hint="default"/>
          <w:spacing w:val="-2"/>
        </w:rPr>
        <w:t>v1.0</w:t>
      </w:r>
      <w:r>
        <w:rPr>
          <w:spacing w:val="-2"/>
        </w:rPr>
        <w:t>、云</w:t>
      </w:r>
      <w:r>
        <w:rPr>
          <w:spacing w:val="-15"/>
        </w:rPr>
        <w:t> </w:t>
      </w:r>
      <w:r>
        <w:rPr>
          <w:spacing w:val="-2"/>
        </w:rPr>
        <w:t>目未来科技标注系统</w:t>
      </w:r>
      <w:r>
        <w:rPr>
          <w:rFonts w:ascii="宋体" w:hAnsi="宋体" w:cs="宋体" w:eastAsia="宋体" w:hint="default"/>
          <w:spacing w:val="-2"/>
        </w:rPr>
        <w:t>v1.0</w:t>
      </w:r>
      <w:r>
        <w:rPr>
          <w:spacing w:val="-2"/>
        </w:rPr>
        <w:t>、云目未来科技数据中心软件</w:t>
      </w:r>
      <w:r>
        <w:rPr>
          <w:rFonts w:ascii="宋体" w:hAnsi="宋体" w:cs="宋体" w:eastAsia="宋体" w:hint="default"/>
          <w:spacing w:val="-2"/>
        </w:rPr>
        <w:t>v1.0</w:t>
      </w:r>
      <w:r>
        <w:rPr>
          <w:spacing w:val="-2"/>
        </w:rPr>
        <w:t>、云目未来科技图片分拣系统</w:t>
      </w:r>
      <w:r>
        <w:rPr>
          <w:rFonts w:ascii="宋体" w:hAnsi="宋体" w:cs="宋体" w:eastAsia="宋体" w:hint="default"/>
          <w:spacing w:val="-2"/>
        </w:rPr>
        <w:t>v1.0</w:t>
      </w:r>
      <w:r>
        <w:rPr>
          <w:spacing w:val="-2"/>
        </w:rPr>
        <w:t>、云目未来科技文本分拣系统</w:t>
      </w:r>
      <w:r>
        <w:rPr>
          <w:spacing w:val="-55"/>
        </w:rPr>
        <w:t> </w:t>
      </w:r>
      <w:r>
        <w:rPr>
          <w:spacing w:val="-55"/>
        </w:rPr>
      </w:r>
      <w:r>
        <w:rPr/>
        <w:t>软件</w:t>
      </w:r>
      <w:r>
        <w:rPr>
          <w:rFonts w:ascii="宋体" w:hAnsi="宋体" w:cs="宋体" w:eastAsia="宋体" w:hint="default"/>
        </w:rPr>
        <w:t>v1.0</w:t>
      </w:r>
      <w:r>
        <w:rPr/>
        <w:t>等）。</w:t>
      </w:r>
    </w:p>
    <w:p>
      <w:pPr>
        <w:spacing w:line="240" w:lineRule="auto" w:before="5"/>
        <w:rPr>
          <w:rFonts w:ascii="宋体" w:hAnsi="宋体" w:cs="宋体" w:eastAsia="宋体" w:hint="default"/>
          <w:sz w:val="24"/>
          <w:szCs w:val="24"/>
        </w:rPr>
      </w:pPr>
    </w:p>
    <w:p>
      <w:pPr>
        <w:pStyle w:val="Heading5"/>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538"/>
        <w:gridCol w:w="2246"/>
        <w:gridCol w:w="2388"/>
        <w:gridCol w:w="2403"/>
      </w:tblGrid>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406,591,641.60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591,179,960.16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-31.22%</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366,793,634.56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476,891,599.81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-23.09%</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39,798,007.04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114,288,360.35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-65.18%</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25,809,879.70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32,162.35%</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145,730,693.32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71,849,789.22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102.83%</w:t>
            </w:r>
            <w:r>
              <w:rPr>
                <w:rFonts w:ascii="Times New Roman"/>
                <w:sz w:val="18"/>
              </w:rPr>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-119,920,813.62</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-71,769,789.22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-67.09%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538"/>
        <w:gridCol w:w="2246"/>
        <w:gridCol w:w="2388"/>
        <w:gridCol w:w="2403"/>
      </w:tblGrid>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10,185,000.00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56,860,000.00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-82.09%</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10,787,785.38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150,015,289.27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-92.81%</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-602,785.38</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-93,155,289.27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99.35%</w:t>
            </w:r>
            <w:r>
              <w:rPr>
                <w:rFonts w:ascii="Times New Roman"/>
                <w:sz w:val="18"/>
              </w:rPr>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-80,064,949.43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-48,091,598.49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-66.48%</w:t>
            </w:r>
          </w:p>
        </w:tc>
      </w:tr>
    </w:tbl>
    <w:p>
      <w:pPr>
        <w:pStyle w:val="BodyText"/>
        <w:spacing w:line="240" w:lineRule="auto" w:before="45"/>
        <w:ind w:right="0"/>
        <w:jc w:val="left"/>
      </w:pPr>
      <w:r>
        <w:rPr/>
        <w:t>相关数据同比发生重大变动的主要影响因素说明</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0"/>
        <w:jc w:val="left"/>
      </w:pPr>
      <w:r>
        <w:rPr>
          <w:rFonts w:ascii="Times New Roman" w:hAnsi="Times New Roman" w:cs="Times New Roman" w:eastAsia="Times New Roman" w:hint="default"/>
        </w:rPr>
        <w:t>2019</w:t>
      </w:r>
      <w:r>
        <w:rPr/>
        <w:t>年应收账款的回款期与应付账款的付款账期的差异，导致公司现金流量需求增加</w:t>
      </w:r>
      <w:r>
        <w:rPr>
          <w:spacing w:val="-8"/>
        </w:rPr>
        <w:t> </w:t>
      </w:r>
      <w:r>
        <w:rPr/>
        <w:t>。</w:t>
      </w:r>
    </w:p>
    <w:p>
      <w:pPr>
        <w:pStyle w:val="BodyText"/>
        <w:spacing w:line="240" w:lineRule="auto" w:before="66"/>
        <w:ind w:right="0"/>
        <w:jc w:val="left"/>
      </w:pPr>
      <w:r>
        <w:rPr>
          <w:rFonts w:ascii="Times New Roman" w:hAnsi="Times New Roman" w:cs="Times New Roman" w:eastAsia="Times New Roman" w:hint="default"/>
        </w:rPr>
        <w:t>2019</w:t>
      </w:r>
      <w:r>
        <w:rPr/>
        <w:t>年投资活动现金流入为收回对外投资收回的现金金额。</w:t>
      </w:r>
    </w:p>
    <w:p>
      <w:pPr>
        <w:pStyle w:val="BodyText"/>
        <w:spacing w:line="240" w:lineRule="auto" w:before="66"/>
        <w:ind w:right="0"/>
        <w:jc w:val="left"/>
      </w:pPr>
      <w:r>
        <w:rPr>
          <w:rFonts w:ascii="Times New Roman" w:hAnsi="Times New Roman" w:cs="Times New Roman" w:eastAsia="Times New Roman" w:hint="default"/>
        </w:rPr>
        <w:t>2019</w:t>
      </w:r>
      <w:r>
        <w:rPr/>
        <w:t>年投资活动的现金流出为新增股权投资及支付新办公地装修款。</w:t>
      </w:r>
    </w:p>
    <w:p>
      <w:pPr>
        <w:pStyle w:val="BodyText"/>
        <w:spacing w:line="240" w:lineRule="auto" w:before="66"/>
        <w:ind w:right="0"/>
        <w:jc w:val="left"/>
      </w:pPr>
      <w:r>
        <w:rPr>
          <w:rFonts w:ascii="Times New Roman" w:hAnsi="Times New Roman" w:cs="Times New Roman" w:eastAsia="Times New Roman" w:hint="default"/>
        </w:rPr>
        <w:t>2019</w:t>
      </w:r>
      <w:r>
        <w:rPr/>
        <w:t>年筹资活动现金流入减少主要系公司吸收投资少于</w:t>
      </w:r>
      <w:r>
        <w:rPr>
          <w:rFonts w:ascii="Times New Roman" w:hAnsi="Times New Roman" w:cs="Times New Roman" w:eastAsia="Times New Roman" w:hint="default"/>
        </w:rPr>
        <w:t>2018</w:t>
      </w:r>
      <w:r>
        <w:rPr/>
        <w:t>年取得银行贷款及吸收投资合计金额。</w:t>
      </w:r>
    </w:p>
    <w:p>
      <w:pPr>
        <w:pStyle w:val="BodyText"/>
        <w:spacing w:line="290" w:lineRule="auto" w:before="51"/>
        <w:ind w:right="1209"/>
        <w:jc w:val="left"/>
      </w:pPr>
      <w:r>
        <w:rPr>
          <w:rFonts w:ascii="Times New Roman" w:hAnsi="Times New Roman" w:cs="Times New Roman" w:eastAsia="Times New Roman" w:hint="default"/>
        </w:rPr>
        <w:t>2018</w:t>
      </w:r>
      <w:r>
        <w:rPr/>
        <w:t>年筹资活动现金流出减少主要系公司回购公司股份金额少于</w:t>
      </w:r>
      <w:r>
        <w:rPr>
          <w:rFonts w:ascii="Times New Roman" w:hAnsi="Times New Roman" w:cs="Times New Roman" w:eastAsia="Times New Roman" w:hint="default"/>
        </w:rPr>
        <w:t>2018</w:t>
      </w:r>
      <w:r>
        <w:rPr/>
        <w:t>年偿还银行贷款、分配股利及回购公司股份金额之合</w:t>
      </w:r>
      <w:r>
        <w:rPr>
          <w:spacing w:val="-85"/>
        </w:rPr>
        <w:t> </w:t>
      </w:r>
      <w:r>
        <w:rPr/>
        <w:t>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报告期内公司经营活动产生的现金净流量与本年度净利润存在重大差异的原因说明</w:t>
      </w:r>
    </w:p>
    <w:p>
      <w:pPr>
        <w:pStyle w:val="BodyText"/>
        <w:spacing w:line="319"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报告期随着收款管理的加强，公司经营现金流量净额持续改善增加，应收款项回款期与应付款项付款期的差异，造成经营活</w:t>
      </w:r>
      <w:r>
        <w:rPr>
          <w:spacing w:val="-70"/>
        </w:rPr>
        <w:t> </w:t>
      </w:r>
      <w:r>
        <w:rPr>
          <w:spacing w:val="-70"/>
        </w:rPr>
      </w:r>
      <w:r>
        <w:rPr/>
        <w:t>动产生的现金净流量与年度净利润存在差异。</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10"/>
        <w:gridCol w:w="1922"/>
        <w:gridCol w:w="1622"/>
        <w:gridCol w:w="2178"/>
        <w:gridCol w:w="2343"/>
      </w:tblGrid>
      <w:tr>
        <w:trPr>
          <w:trHeight w:val="405"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90"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-8,590,833.54</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-58.28%</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长期股权投资损失</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445.86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22"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1,544,449.30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10.48%</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22"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-26,333.00</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-0.18%</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22"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-6,664,246.93</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-45.21%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3"/>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62"/>
        <w:gridCol w:w="1276"/>
        <w:gridCol w:w="856"/>
        <w:gridCol w:w="1277"/>
        <w:gridCol w:w="886"/>
        <w:gridCol w:w="796"/>
        <w:gridCol w:w="2929"/>
      </w:tblGrid>
      <w:tr>
        <w:trPr>
          <w:trHeight w:val="405" w:hRule="exact"/>
        </w:trPr>
        <w:tc>
          <w:tcPr>
            <w:tcW w:w="1562" w:type="dxa"/>
            <w:vMerge w:val="restart"/>
            <w:tcBorders>
              <w:top w:val="single" w:sz="6" w:space="0" w:color="000000"/>
              <w:left w:val="single" w:sz="6" w:space="0" w:color="000000"/>
              <w:right w:val="single" w:sz="6" w:space="0" w:color="000000"/>
            </w:tcBorders>
            <w:shd w:val="clear" w:color="auto" w:fill="D2D2D2"/>
          </w:tcPr>
          <w:p>
            <w:pP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16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20" w:hRule="exact"/>
        </w:trPr>
        <w:tc>
          <w:tcPr>
            <w:tcW w:w="1562"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25" w:right="75"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75"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130,883,932.96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21.44%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210,949,768.73</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42.15%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-20.71%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报告期股权及其他权益工具投资增 加所致</w:t>
            </w:r>
          </w:p>
        </w:tc>
      </w:tr>
      <w:tr>
        <w:trPr>
          <w:trHeight w:val="4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193,378,696.98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31.68%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140,540,231.26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报告期应收账款增加导致</w:t>
            </w:r>
          </w:p>
        </w:tc>
      </w:tr>
      <w:tr>
        <w:trPr>
          <w:trHeight w:val="721"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15,562,610.18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2.55%</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14,646,178.30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2.93%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-0.38%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报告期跨年度未结束项目实际花费 金额增加导致</w:t>
            </w:r>
          </w:p>
        </w:tc>
      </w:tr>
      <w:tr>
        <w:trPr>
          <w:trHeight w:val="4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49,177,119.17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8.06%</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36,590,096.82</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7.31%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0.75%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报告期股权投资增加所致</w:t>
            </w:r>
          </w:p>
        </w:tc>
      </w:tr>
      <w:tr>
        <w:trPr>
          <w:trHeight w:val="4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5,112,590.15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0.84%</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6,952,349.64</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-0.55%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6"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14,063,619.70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2.30%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4,773,939.89</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left"/>
              <w:rPr>
                <w:rFonts w:ascii="宋体" w:hAnsi="宋体" w:cs="宋体" w:eastAsia="宋体" w:hint="default"/>
                <w:sz w:val="18"/>
                <w:szCs w:val="18"/>
              </w:rPr>
            </w:pPr>
            <w:r>
              <w:rPr>
                <w:rFonts w:ascii="宋体" w:hAnsi="宋体" w:cs="宋体" w:eastAsia="宋体" w:hint="default"/>
                <w:sz w:val="18"/>
                <w:szCs w:val="18"/>
              </w:rPr>
              <w:t>报告期内应收对外投资减资款增加 所致</w:t>
            </w:r>
          </w:p>
        </w:tc>
      </w:tr>
      <w:tr>
        <w:trPr>
          <w:trHeight w:val="4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18,221,304.20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2.99%</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16,984,595.19</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-0.40%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336" w:hRule="exact"/>
        </w:trPr>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50,233,669.58</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-10.04%</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28"/>
              <w:jc w:val="left"/>
              <w:rPr>
                <w:rFonts w:ascii="宋体" w:hAnsi="宋体" w:cs="宋体" w:eastAsia="宋体" w:hint="default"/>
                <w:sz w:val="18"/>
                <w:szCs w:val="18"/>
              </w:rPr>
            </w:pPr>
            <w:r>
              <w:rPr>
                <w:rFonts w:ascii="宋体" w:hAnsi="宋体" w:cs="宋体" w:eastAsia="宋体" w:hint="default"/>
                <w:sz w:val="18"/>
                <w:szCs w:val="18"/>
              </w:rPr>
              <w:t>公司根据新金融工具准则的要求将 </w:t>
            </w:r>
            <w:r>
              <w:rPr>
                <w:rFonts w:ascii="宋体" w:hAnsi="宋体" w:cs="宋体" w:eastAsia="宋体" w:hint="default"/>
                <w:spacing w:val="-2"/>
                <w:sz w:val="18"/>
                <w:szCs w:val="18"/>
              </w:rPr>
              <w:t>原在“可供出售金融资产”核算的股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权投资改在“其他权益工具投资”核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算所致</w:t>
            </w:r>
          </w:p>
        </w:tc>
      </w:tr>
      <w:tr>
        <w:trPr>
          <w:trHeight w:val="1336" w:hRule="exact"/>
        </w:trPr>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73,284,651.36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12.01%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28"/>
              <w:jc w:val="left"/>
              <w:rPr>
                <w:rFonts w:ascii="宋体" w:hAnsi="宋体" w:cs="宋体" w:eastAsia="宋体" w:hint="default"/>
                <w:sz w:val="18"/>
                <w:szCs w:val="18"/>
              </w:rPr>
            </w:pPr>
            <w:r>
              <w:rPr>
                <w:rFonts w:ascii="宋体" w:hAnsi="宋体" w:cs="宋体" w:eastAsia="宋体" w:hint="default"/>
                <w:sz w:val="18"/>
                <w:szCs w:val="18"/>
              </w:rPr>
              <w:t>公司根据新金融工具准则的要求将 </w:t>
            </w:r>
            <w:r>
              <w:rPr>
                <w:rFonts w:ascii="宋体" w:hAnsi="宋体" w:cs="宋体" w:eastAsia="宋体" w:hint="default"/>
                <w:spacing w:val="-2"/>
                <w:sz w:val="18"/>
                <w:szCs w:val="18"/>
              </w:rPr>
              <w:t>原在“可供出售金融资产”核算的股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权投资改在“其他权益工具投资”核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w:t>
            </w:r>
            <w:r>
              <w:rPr>
                <w:rFonts w:ascii="宋体" w:hAnsi="宋体" w:cs="宋体" w:eastAsia="宋体" w:hint="default"/>
                <w:sz w:val="18"/>
                <w:szCs w:val="18"/>
              </w:rPr>
              <w:t>,</w:t>
            </w:r>
            <w:r>
              <w:rPr>
                <w:rFonts w:ascii="宋体" w:hAnsi="宋体" w:cs="宋体" w:eastAsia="宋体" w:hint="default"/>
                <w:sz w:val="18"/>
                <w:szCs w:val="18"/>
              </w:rPr>
              <w:t>报告期新增股权投资所致</w:t>
            </w:r>
          </w:p>
        </w:tc>
      </w:tr>
      <w:tr>
        <w:trPr>
          <w:trHeight w:val="4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38,242,214.91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6.27%</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1,404,383.56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5.99%</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报告期新增特许权</w:t>
            </w:r>
          </w:p>
        </w:tc>
      </w:tr>
      <w:tr>
        <w:trPr>
          <w:trHeight w:val="406" w:hRule="exact"/>
        </w:trPr>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32,840,454.75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5.38%</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798,691.06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报告期新增星言云汇商誉所致</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412"/>
        <w:gridCol w:w="856"/>
        <w:gridCol w:w="988"/>
        <w:gridCol w:w="1423"/>
        <w:gridCol w:w="1130"/>
        <w:gridCol w:w="856"/>
        <w:gridCol w:w="849"/>
        <w:gridCol w:w="1130"/>
        <w:gridCol w:w="931"/>
      </w:tblGrid>
      <w:tr>
        <w:trPr>
          <w:trHeight w:val="158" w:hRule="exact"/>
        </w:trPr>
        <w:tc>
          <w:tcPr>
            <w:tcW w:w="1412" w:type="dxa"/>
            <w:tcBorders>
              <w:top w:val="single" w:sz="6" w:space="0" w:color="000000"/>
              <w:left w:val="single" w:sz="6" w:space="0" w:color="000000"/>
              <w:bottom w:val="nil" w:sz="6" w:space="0" w:color="auto"/>
              <w:right w:val="single" w:sz="6" w:space="0" w:color="000000"/>
            </w:tcBorders>
            <w:shd w:val="clear" w:color="auto" w:fill="D2D2D2"/>
          </w:tcPr>
          <w:p>
            <w:pPr/>
          </w:p>
        </w:tc>
        <w:tc>
          <w:tcPr>
            <w:tcW w:w="856" w:type="dxa"/>
            <w:tcBorders>
              <w:top w:val="single" w:sz="6" w:space="0" w:color="000000"/>
              <w:left w:val="single" w:sz="6" w:space="0" w:color="000000"/>
              <w:bottom w:val="nil" w:sz="6" w:space="0" w:color="auto"/>
              <w:right w:val="single" w:sz="6" w:space="0" w:color="000000"/>
            </w:tcBorders>
            <w:shd w:val="clear" w:color="auto" w:fill="D2D2D2"/>
          </w:tcPr>
          <w:p>
            <w:pPr/>
          </w:p>
        </w:tc>
        <w:tc>
          <w:tcPr>
            <w:tcW w:w="988"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7" w:right="3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2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61" w:right="75"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13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75" w:right="107"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85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36" w:right="62"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849"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36" w:right="55"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130"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41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5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88" w:type="dxa"/>
            <w:vMerge/>
            <w:tcBorders>
              <w:left w:val="single" w:sz="6" w:space="0" w:color="000000"/>
              <w:right w:val="single" w:sz="6" w:space="0" w:color="000000"/>
            </w:tcBorders>
            <w:shd w:val="clear" w:color="auto" w:fill="D2D2D2"/>
          </w:tcPr>
          <w:p>
            <w:pPr/>
          </w:p>
        </w:tc>
        <w:tc>
          <w:tcPr>
            <w:tcW w:w="1423" w:type="dxa"/>
            <w:vMerge/>
            <w:tcBorders>
              <w:left w:val="single" w:sz="6" w:space="0" w:color="000000"/>
              <w:right w:val="single" w:sz="6" w:space="0" w:color="000000"/>
            </w:tcBorders>
            <w:shd w:val="clear" w:color="auto" w:fill="D2D2D2"/>
          </w:tcPr>
          <w:p>
            <w:pPr/>
          </w:p>
        </w:tc>
        <w:tc>
          <w:tcPr>
            <w:tcW w:w="1130"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9" w:type="dxa"/>
            <w:vMerge/>
            <w:tcBorders>
              <w:left w:val="single" w:sz="6" w:space="0" w:color="000000"/>
              <w:right w:val="single" w:sz="6" w:space="0" w:color="000000"/>
            </w:tcBorders>
            <w:shd w:val="clear" w:color="auto" w:fill="D2D2D2"/>
          </w:tcPr>
          <w:p>
            <w:pPr/>
          </w:p>
        </w:tc>
        <w:tc>
          <w:tcPr>
            <w:tcW w:w="113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9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3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8" w:hRule="exact"/>
        </w:trPr>
        <w:tc>
          <w:tcPr>
            <w:tcW w:w="1412" w:type="dxa"/>
            <w:tcBorders>
              <w:top w:val="nil" w:sz="6" w:space="0" w:color="auto"/>
              <w:left w:val="single" w:sz="6" w:space="0" w:color="000000"/>
              <w:bottom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988" w:type="dxa"/>
            <w:vMerge/>
            <w:tcBorders>
              <w:left w:val="single" w:sz="6" w:space="0" w:color="000000"/>
              <w:bottom w:val="single" w:sz="6" w:space="0" w:color="000000"/>
              <w:right w:val="single" w:sz="6" w:space="0" w:color="000000"/>
            </w:tcBorders>
            <w:shd w:val="clear" w:color="auto" w:fill="D2D2D2"/>
          </w:tcPr>
          <w:p>
            <w:pPr/>
          </w:p>
        </w:tc>
        <w:tc>
          <w:tcPr>
            <w:tcW w:w="1423" w:type="dxa"/>
            <w:vMerge/>
            <w:tcBorders>
              <w:left w:val="single" w:sz="6" w:space="0" w:color="000000"/>
              <w:bottom w:val="single" w:sz="6" w:space="0" w:color="000000"/>
              <w:right w:val="single" w:sz="6" w:space="0" w:color="000000"/>
            </w:tcBorders>
            <w:shd w:val="clear" w:color="auto" w:fill="D2D2D2"/>
          </w:tcPr>
          <w:p>
            <w:pPr/>
          </w:p>
        </w:tc>
        <w:tc>
          <w:tcPr>
            <w:tcW w:w="1130"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9" w:type="dxa"/>
            <w:vMerge/>
            <w:tcBorders>
              <w:left w:val="single" w:sz="6" w:space="0" w:color="000000"/>
              <w:bottom w:val="single" w:sz="6" w:space="0" w:color="000000"/>
              <w:right w:val="single" w:sz="6" w:space="0" w:color="000000"/>
            </w:tcBorders>
            <w:shd w:val="clear" w:color="auto" w:fill="D2D2D2"/>
          </w:tcPr>
          <w:p>
            <w:pPr/>
          </w:p>
        </w:tc>
        <w:tc>
          <w:tcPr>
            <w:tcW w:w="1130"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9574"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3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 </w:t>
            </w:r>
            <w:r>
              <w:rPr>
                <w:rFonts w:ascii="宋体" w:hAnsi="宋体" w:cs="宋体" w:eastAsia="宋体" w:hint="default"/>
                <w:spacing w:val="-10"/>
                <w:sz w:val="18"/>
                <w:szCs w:val="18"/>
              </w:rPr>
              <w:t>产（不含衍生金融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85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8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400,000.00</w:t>
            </w:r>
          </w:p>
        </w:tc>
      </w:tr>
      <w:tr>
        <w:trPr>
          <w:trHeight w:val="390"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85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0.00</w:t>
            </w:r>
          </w:p>
        </w:tc>
        <w:tc>
          <w:tcPr>
            <w:tcW w:w="98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400,000.00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400,000.00</w:t>
            </w:r>
          </w:p>
        </w:tc>
      </w:tr>
      <w:tr>
        <w:trPr>
          <w:trHeight w:val="40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85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0.00</w:t>
            </w:r>
          </w:p>
        </w:tc>
        <w:tc>
          <w:tcPr>
            <w:tcW w:w="98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5"/>
        <w:ind w:right="0"/>
        <w:jc w:val="left"/>
      </w:pPr>
      <w:r>
        <w:rPr/>
        <w:t>其他变动的内容</w:t>
      </w:r>
    </w:p>
    <w:p>
      <w:pPr>
        <w:spacing w:line="240" w:lineRule="auto" w:before="3"/>
        <w:rPr>
          <w:rFonts w:ascii="宋体" w:hAnsi="宋体" w:cs="宋体" w:eastAsia="宋体" w:hint="default"/>
          <w:sz w:val="15"/>
          <w:szCs w:val="15"/>
        </w:rPr>
      </w:pPr>
    </w:p>
    <w:p>
      <w:pPr>
        <w:pStyle w:val="BodyText"/>
        <w:spacing w:line="352" w:lineRule="auto"/>
        <w:ind w:right="2469"/>
        <w:jc w:val="left"/>
      </w:pPr>
      <w:r>
        <w:rPr/>
        <w:t>以公允价值计量且其变动计入当期损益的金融资产：北京米和花影业有限公司项目投资款</w:t>
      </w:r>
      <w:r>
        <w:rPr>
          <w:rFonts w:ascii="宋体" w:hAnsi="宋体" w:cs="宋体" w:eastAsia="宋体" w:hint="default"/>
        </w:rPr>
        <w:t>400,000.00</w:t>
      </w:r>
      <w:r>
        <w:rPr/>
        <w:t>元。</w:t>
      </w:r>
      <w:r>
        <w:rPr>
          <w:spacing w:val="-81"/>
        </w:rPr>
        <w:t> </w:t>
      </w:r>
      <w:r>
        <w:rPr/>
        <w:t>报告期内公司主要资产计量属性是否发生重大变化</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027" w:right="0"/>
              <w:jc w:val="left"/>
              <w:rPr>
                <w:rFonts w:ascii="Times New Roman" w:hAnsi="Times New Roman" w:cs="Times New Roman" w:eastAsia="Times New Roman" w:hint="default"/>
                <w:sz w:val="18"/>
                <w:szCs w:val="18"/>
              </w:rPr>
            </w:pPr>
            <w:r>
              <w:rPr>
                <w:rFonts w:ascii="Times New Roman"/>
                <w:sz w:val="18"/>
              </w:rPr>
              <w:t>132,763,838.52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76,291,270.00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74.02%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2"/>
        <w:rPr>
          <w:rFonts w:ascii="宋体" w:hAnsi="宋体" w:cs="宋体" w:eastAsia="宋体" w:hint="default"/>
          <w:sz w:val="4"/>
          <w:szCs w:val="4"/>
        </w:rPr>
      </w:pPr>
    </w:p>
    <w:p>
      <w:pPr>
        <w:spacing w:line="20" w:lineRule="exact"/>
        <w:ind w:left="483" w:right="0" w:firstLine="0"/>
        <w:rPr>
          <w:rFonts w:ascii="宋体" w:hAnsi="宋体" w:cs="宋体" w:eastAsia="宋体" w:hint="default"/>
          <w:sz w:val="2"/>
          <w:szCs w:val="2"/>
        </w:rPr>
      </w:pPr>
      <w:r>
        <w:rPr>
          <w:rFonts w:ascii="宋体" w:hAnsi="宋体" w:cs="宋体" w:eastAsia="宋体"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5"/>
        <w:spacing w:line="240" w:lineRule="auto" w:before="35"/>
        <w:ind w:left="521"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52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506"/>
        <w:jc w:val="right"/>
      </w:pPr>
      <w:r>
        <w:rPr/>
        <w:t>单位：元</w:t>
      </w:r>
    </w:p>
    <w:p>
      <w:pPr>
        <w:spacing w:line="240" w:lineRule="auto" w:before="6"/>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36"/>
        <w:gridCol w:w="1336"/>
        <w:gridCol w:w="571"/>
        <w:gridCol w:w="1276"/>
        <w:gridCol w:w="781"/>
        <w:gridCol w:w="976"/>
        <w:gridCol w:w="976"/>
        <w:gridCol w:w="961"/>
        <w:gridCol w:w="1862"/>
        <w:gridCol w:w="856"/>
        <w:gridCol w:w="1291"/>
        <w:gridCol w:w="991"/>
        <w:gridCol w:w="990"/>
        <w:gridCol w:w="871"/>
      </w:tblGrid>
      <w:tr>
        <w:trPr>
          <w:trHeight w:val="976" w:hRule="exact"/>
        </w:trPr>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330" w:right="60"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05" w:right="8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285" w:right="118"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64"/>
              <w:ind w:left="1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64"/>
              <w:ind w:left="75"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6068" w:hRule="exact"/>
        </w:trPr>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97" w:lineRule="auto"/>
              <w:ind w:left="30"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RMDS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实验</w:t>
            </w:r>
            <w:r>
              <w:rPr>
                <w:rFonts w:ascii="宋体" w:hAnsi="宋体" w:cs="宋体" w:eastAsia="宋体" w:hint="default"/>
                <w:spacing w:val="-88"/>
                <w:sz w:val="18"/>
                <w:szCs w:val="18"/>
              </w:rPr>
              <w:t> </w:t>
            </w:r>
            <w:r>
              <w:rPr>
                <w:rFonts w:ascii="宋体" w:hAnsi="宋体" w:cs="宋体" w:eastAsia="宋体" w:hint="default"/>
                <w:sz w:val="18"/>
                <w:szCs w:val="18"/>
              </w:rPr>
              <w:t>室股份有限 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21" w:lineRule="auto"/>
              <w:ind w:left="15" w:right="13"/>
              <w:jc w:val="left"/>
              <w:rPr>
                <w:rFonts w:ascii="宋体" w:hAnsi="宋体" w:cs="宋体" w:eastAsia="宋体" w:hint="default"/>
                <w:sz w:val="18"/>
                <w:szCs w:val="18"/>
              </w:rPr>
            </w:pPr>
            <w:r>
              <w:rPr>
                <w:rFonts w:ascii="宋体" w:hAnsi="宋体" w:cs="宋体" w:eastAsia="宋体" w:hint="default"/>
                <w:sz w:val="18"/>
                <w:szCs w:val="18"/>
              </w:rPr>
              <w:t>研发最前端的大 数据和人工智能</w:t>
            </w:r>
          </w:p>
          <w:p>
            <w:pPr>
              <w:pStyle w:val="TableParagraph"/>
              <w:spacing w:line="276" w:lineRule="auto" w:before="33"/>
              <w:ind w:left="15" w:right="13"/>
              <w:jc w:val="left"/>
              <w:rPr>
                <w:rFonts w:ascii="宋体" w:hAnsi="宋体" w:cs="宋体" w:eastAsia="宋体" w:hint="default"/>
                <w:sz w:val="18"/>
                <w:szCs w:val="18"/>
              </w:rPr>
            </w:pPr>
            <w:r>
              <w:rPr>
                <w:rFonts w:ascii="宋体" w:hAnsi="宋体" w:cs="宋体" w:eastAsia="宋体" w:hint="default"/>
                <w:spacing w:val="-6"/>
                <w:sz w:val="18"/>
                <w:szCs w:val="18"/>
              </w:rPr>
              <w:t>技术，提供</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研究</w:t>
            </w:r>
            <w:r>
              <w:rPr>
                <w:rFonts w:ascii="宋体" w:hAnsi="宋体" w:cs="宋体" w:eastAsia="宋体" w:hint="default"/>
                <w:spacing w:val="-87"/>
                <w:sz w:val="18"/>
                <w:szCs w:val="18"/>
              </w:rPr>
              <w:t> </w:t>
            </w:r>
            <w:r>
              <w:rPr>
                <w:rFonts w:ascii="宋体" w:hAnsi="宋体" w:cs="宋体" w:eastAsia="宋体" w:hint="default"/>
                <w:sz w:val="18"/>
                <w:szCs w:val="18"/>
              </w:rPr>
              <w:t>方法与数据科学</w:t>
            </w:r>
          </w:p>
          <w:p>
            <w:pPr>
              <w:pStyle w:val="TableParagraph"/>
              <w:spacing w:line="290" w:lineRule="auto" w:before="68"/>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相关的科技开 发和系统服务</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20,624,100.00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Alex</w:t>
            </w:r>
            <w:r>
              <w:rPr>
                <w:rFonts w:ascii="Times New Roman"/>
                <w:spacing w:val="-6"/>
                <w:sz w:val="18"/>
              </w:rPr>
              <w:t> </w:t>
            </w:r>
            <w:r>
              <w:rPr>
                <w:rFonts w:ascii="Times New Roman"/>
                <w:spacing w:val="-4"/>
                <w:sz w:val="18"/>
              </w:rPr>
              <w:t>Liu</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无固定期</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321" w:lineRule="auto"/>
              <w:ind w:left="30" w:right="14"/>
              <w:jc w:val="left"/>
              <w:rPr>
                <w:rFonts w:ascii="宋体" w:hAnsi="宋体" w:cs="宋体" w:eastAsia="宋体" w:hint="default"/>
                <w:sz w:val="18"/>
                <w:szCs w:val="18"/>
              </w:rPr>
            </w:pPr>
            <w:r>
              <w:rPr>
                <w:rFonts w:ascii="宋体" w:hAnsi="宋体" w:cs="宋体" w:eastAsia="宋体" w:hint="default"/>
                <w:sz w:val="18"/>
                <w:szCs w:val="18"/>
              </w:rPr>
              <w:t>利用人工智能和相关解 决方案进一步开发 </w:t>
            </w:r>
            <w:r>
              <w:rPr>
                <w:rFonts w:ascii="Times New Roman" w:hAnsi="Times New Roman" w:cs="Times New Roman" w:eastAsia="Times New Roman" w:hint="default"/>
                <w:sz w:val="18"/>
                <w:szCs w:val="18"/>
              </w:rPr>
              <w:t>RMDS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分析框架的活</w:t>
            </w:r>
          </w:p>
          <w:p>
            <w:pPr>
              <w:pStyle w:val="TableParagraph"/>
              <w:spacing w:line="219" w:lineRule="exact"/>
              <w:ind w:left="30" w:right="0"/>
              <w:jc w:val="left"/>
              <w:rPr>
                <w:rFonts w:ascii="宋体" w:hAnsi="宋体" w:cs="宋体" w:eastAsia="宋体" w:hint="default"/>
                <w:sz w:val="18"/>
                <w:szCs w:val="18"/>
              </w:rPr>
            </w:pPr>
            <w:r>
              <w:rPr>
                <w:rFonts w:ascii="宋体" w:hAnsi="宋体" w:cs="宋体" w:eastAsia="宋体" w:hint="default"/>
                <w:sz w:val="18"/>
                <w:szCs w:val="18"/>
              </w:rPr>
              <w:t>动，包括但不限于营销</w:t>
            </w:r>
          </w:p>
          <w:p>
            <w:pPr>
              <w:pStyle w:val="TableParagraph"/>
              <w:spacing w:line="314" w:lineRule="auto" w:before="80"/>
              <w:ind w:left="30" w:right="13"/>
              <w:jc w:val="both"/>
              <w:rPr>
                <w:rFonts w:ascii="宋体" w:hAnsi="宋体" w:cs="宋体" w:eastAsia="宋体" w:hint="default"/>
                <w:sz w:val="18"/>
                <w:szCs w:val="18"/>
              </w:rPr>
            </w:pPr>
            <w:r>
              <w:rPr>
                <w:rFonts w:ascii="宋体" w:hAnsi="宋体" w:cs="宋体" w:eastAsia="宋体" w:hint="default"/>
                <w:sz w:val="18"/>
                <w:szCs w:val="18"/>
              </w:rPr>
              <w:t>和销售分析及利用人工 智能进行相应的解决方 案。</w:t>
            </w:r>
          </w:p>
        </w:tc>
        <w:tc>
          <w:tcPr>
            <w:tcW w:w="856"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-1,519,901.90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33"/>
              <w:ind w:left="30" w:right="105"/>
              <w:jc w:val="both"/>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55" w:lineRule="auto" w:before="44"/>
              <w:ind w:left="30"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 info.com.c n)</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76"/>
        <w:ind w:left="0" w:right="504"/>
        <w:jc w:val="right"/>
        <w:rPr>
          <w:rFonts w:ascii="Times New Roman" w:hAnsi="Times New Roman" w:cs="Times New Roman" w:eastAsia="Times New Roman" w:hint="default"/>
        </w:rPr>
      </w:pPr>
      <w:r>
        <w:rPr>
          <w:rFonts w:ascii="Times New Roman"/>
        </w:rPr>
        <w:t>23</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371" w:lineRule="exact"/>
        <w:ind w:left="108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12"/>
          <w:footerReference w:type="default" r:id="rId13"/>
          <w:pgSz w:w="16850" w:h="11910" w:orient="landscape"/>
          <w:pgMar w:header="857" w:footer="0" w:top="1040" w:bottom="0" w:left="920" w:right="920"/>
        </w:sectPr>
      </w:pPr>
    </w:p>
    <w:p>
      <w:pPr>
        <w:spacing w:line="240" w:lineRule="auto" w:before="9"/>
        <w:rPr>
          <w:rFonts w:ascii="Times New Roman" w:hAnsi="Times New Roman" w:cs="Times New Roman" w:eastAsia="Times New Roman" w:hint="default"/>
          <w:sz w:val="4"/>
          <w:szCs w:val="4"/>
        </w:rPr>
      </w:pPr>
      <w:r>
        <w:rPr/>
        <w:pict>
          <v:shape style="position:absolute;margin-left:128.352997pt;margin-top:105.879997pt;width:70.6pt;height:208.8pt;mso-position-horizontal-relative:page;mso-position-vertical-relative:page;z-index:-1197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4"/>
                      <w:szCs w:val="24"/>
                    </w:rPr>
                  </w:pPr>
                </w:p>
                <w:p>
                  <w:pPr>
                    <w:pStyle w:val="BodyText"/>
                    <w:spacing w:line="240" w:lineRule="auto"/>
                    <w:ind w:left="0" w:right="0"/>
                    <w:jc w:val="left"/>
                  </w:pPr>
                  <w:r>
                    <w:rPr/>
                    <w:t>技术服务；</w:t>
                  </w:r>
                </w:p>
              </w:txbxContent>
            </v:textbox>
            <w10:wrap type="none"/>
          </v:shape>
        </w:pict>
      </w:r>
      <w:r>
        <w:rPr/>
        <w:pict>
          <v:shape style="position:absolute;margin-left:128.352997pt;margin-top:334.174988pt;width:70.6pt;height:209.5pt;mso-position-horizontal-relative:page;mso-position-vertical-relative:page;z-index:-1197616" type="#_x0000_t202" filled="false" stroked="false">
            <v:textbox inset="0,0,0,0">
              <w:txbxContent>
                <w:p>
                  <w:pPr>
                    <w:spacing w:line="240" w:lineRule="auto" w:before="9"/>
                    <w:rPr>
                      <w:rFonts w:ascii="Times New Roman" w:hAnsi="Times New Roman" w:cs="Times New Roman" w:eastAsia="Times New Roman" w:hint="default"/>
                      <w:sz w:val="24"/>
                      <w:szCs w:val="24"/>
                    </w:rPr>
                  </w:pPr>
                </w:p>
                <w:p>
                  <w:pPr>
                    <w:pStyle w:val="BodyText"/>
                    <w:spacing w:line="240" w:lineRule="auto"/>
                    <w:ind w:left="0" w:right="0"/>
                    <w:jc w:val="left"/>
                  </w:pPr>
                  <w:r>
                    <w:rPr/>
                    <w:t>市场调查；</w:t>
                  </w:r>
                </w:p>
              </w:txbxContent>
            </v:textbox>
            <w10:wrap type="none"/>
          </v:shape>
        </w:pict>
      </w:r>
      <w:r>
        <w:rPr/>
        <w:pict>
          <v:shape style="position:absolute;margin-left:747.650024pt;margin-top:365.704987pt;width:42.8pt;height:179.75pt;mso-position-horizontal-relative:page;mso-position-vertical-relative:page;z-index:-1197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03" w:lineRule="exact"/>
                    <w:ind w:left="0" w:right="103"/>
                    <w:jc w:val="center"/>
                    <w:rPr>
                      <w:rFonts w:ascii="Times New Roman" w:hAnsi="Times New Roman" w:cs="Times New Roman" w:eastAsia="Times New Roman" w:hint="default"/>
                    </w:rPr>
                  </w:pPr>
                  <w:r>
                    <w:rPr>
                      <w:rFonts w:ascii="Times New Roman"/>
                    </w:rPr>
                    <w:t>24</w:t>
                  </w:r>
                </w:p>
              </w:txbxContent>
            </v:textbox>
            <w10:wrap type="none"/>
          </v:shape>
        </w:pict>
      </w:r>
      <w:r>
        <w:rPr/>
        <w:pict>
          <v:group style="position:absolute;margin-left:170.399994pt;margin-top:105.879997pt;width:28.55pt;height:208.8pt;mso-position-horizontal-relative:page;mso-position-vertical-relative:page;z-index:-1197568" coordorigin="3408,2118" coordsize="571,4176">
            <v:shape style="position:absolute;left:3408;top:2118;width:571;height:4176" coordorigin="3408,2118" coordsize="571,4176" path="m3408,6293l3978,6293,3978,2118,3408,2118,3408,6293xe" filled="true" fillcolor="#ffffff" stroked="false">
              <v:path arrowok="t"/>
              <v:fill type="solid"/>
            </v:shape>
            <w10:wrap type="none"/>
          </v:group>
        </w:pict>
      </w:r>
      <w:r>
        <w:rPr/>
        <w:pict>
          <v:group style="position:absolute;margin-left:170.399994pt;margin-top:334.174988pt;width:28.55pt;height:209.5pt;mso-position-horizontal-relative:page;mso-position-vertical-relative:page;z-index:-1197544" coordorigin="3408,6683" coordsize="571,4190">
            <v:shape style="position:absolute;left:3408;top:6683;width:571;height:4190" coordorigin="3408,6683" coordsize="571,4190" path="m3408,10873l3978,10873,3978,6683,3408,6683,3408,10873xe" filled="true" fillcolor="#ffffff" stroked="false">
              <v:path arrowok="t"/>
              <v:fill type="solid"/>
            </v:shape>
            <w10:wrap type="none"/>
          </v:group>
        </w:pict>
      </w:r>
      <w:r>
        <w:rPr/>
        <w:pict>
          <v:group style="position:absolute;margin-left:747.650024pt;margin-top:365.704987pt;width:42.8pt;height:178pt;mso-position-horizontal-relative:page;mso-position-vertical-relative:page;z-index:-1197520" coordorigin="14953,7314" coordsize="856,3560">
            <v:shape style="position:absolute;left:14953;top:7314;width:856;height:3560" coordorigin="14953,7314" coordsize="856,3560" path="m14953,10873l15809,10873,15809,7314,14953,7314,14953,10873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1036"/>
        <w:gridCol w:w="1336"/>
        <w:gridCol w:w="571"/>
        <w:gridCol w:w="1276"/>
        <w:gridCol w:w="781"/>
        <w:gridCol w:w="976"/>
        <w:gridCol w:w="976"/>
        <w:gridCol w:w="961"/>
        <w:gridCol w:w="1862"/>
        <w:gridCol w:w="856"/>
        <w:gridCol w:w="1291"/>
        <w:gridCol w:w="991"/>
        <w:gridCol w:w="990"/>
        <w:gridCol w:w="871"/>
      </w:tblGrid>
      <w:tr>
        <w:trPr>
          <w:trHeight w:val="976" w:hRule="exact"/>
        </w:trPr>
        <w:tc>
          <w:tcPr>
            <w:tcW w:w="103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330" w:right="60"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33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30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105" w:right="8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5"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8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285" w:right="118"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6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1862"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57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59"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2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20"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990"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65"/>
              <w:ind w:left="1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65"/>
              <w:ind w:left="75"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8756" w:hRule="exact"/>
        </w:trPr>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致维科技</w:t>
            </w:r>
          </w:p>
          <w:p>
            <w:pPr>
              <w:pStyle w:val="TableParagraph"/>
              <w:spacing w:line="321" w:lineRule="auto" w:before="79"/>
              <w:ind w:left="30" w:right="90"/>
              <w:jc w:val="left"/>
              <w:rPr>
                <w:rFonts w:ascii="宋体" w:hAnsi="宋体" w:cs="宋体" w:eastAsia="宋体" w:hint="default"/>
                <w:sz w:val="18"/>
                <w:szCs w:val="18"/>
              </w:rPr>
            </w:pPr>
            <w:r>
              <w:rPr>
                <w:rFonts w:ascii="宋体" w:hAnsi="宋体" w:cs="宋体" w:eastAsia="宋体" w:hint="default"/>
                <w:sz w:val="18"/>
                <w:szCs w:val="18"/>
              </w:rPr>
              <w:t>（北京）有 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15" w:right="45"/>
              <w:jc w:val="left"/>
              <w:rPr>
                <w:rFonts w:ascii="宋体" w:hAnsi="宋体" w:cs="宋体" w:eastAsia="宋体" w:hint="default"/>
                <w:sz w:val="18"/>
                <w:szCs w:val="18"/>
              </w:rPr>
            </w:pPr>
            <w:r>
              <w:rPr>
                <w:rFonts w:ascii="宋体" w:hAnsi="宋体" w:cs="宋体" w:eastAsia="宋体" w:hint="default"/>
                <w:sz w:val="18"/>
                <w:szCs w:val="18"/>
              </w:rPr>
              <w:t>技术开发、技术 咨询、 软件开发；企业 策划；设计、制 作、代理、发布 广告； 企业管理咨询。</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5" w:right="-1"/>
              <w:jc w:val="left"/>
              <w:rPr>
                <w:rFonts w:ascii="Times New Roman" w:hAnsi="Times New Roman" w:cs="Times New Roman" w:eastAsia="Times New Roman" w:hint="default"/>
                <w:sz w:val="18"/>
                <w:szCs w:val="18"/>
              </w:rPr>
            </w:pPr>
            <w:r>
              <w:rPr>
                <w:rFonts w:ascii="Times New Roman"/>
                <w:sz w:val="18"/>
              </w:rPr>
              <w:t>30,000,000.00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70" w:right="0"/>
              <w:jc w:val="left"/>
              <w:rPr>
                <w:rFonts w:ascii="Times New Roman" w:hAnsi="Times New Roman" w:cs="Times New Roman" w:eastAsia="Times New Roman" w:hint="default"/>
                <w:sz w:val="18"/>
                <w:szCs w:val="18"/>
              </w:rPr>
            </w:pPr>
            <w:r>
              <w:rPr>
                <w:rFonts w:ascii="Times New Roman"/>
                <w:sz w:val="18"/>
              </w:rPr>
              <w:t>4.12%</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30" w:right="14"/>
              <w:jc w:val="both"/>
              <w:rPr>
                <w:rFonts w:ascii="宋体" w:hAnsi="宋体" w:cs="宋体" w:eastAsia="宋体" w:hint="default"/>
                <w:sz w:val="18"/>
                <w:szCs w:val="18"/>
              </w:rPr>
            </w:pPr>
            <w:r>
              <w:rPr>
                <w:rFonts w:ascii="宋体" w:hAnsi="宋体" w:cs="宋体" w:eastAsia="宋体" w:hint="default"/>
                <w:sz w:val="18"/>
                <w:szCs w:val="18"/>
              </w:rPr>
              <w:t>天津蓝鹰股 权投资合伙 企业（有限 </w:t>
            </w:r>
            <w:r>
              <w:rPr>
                <w:rFonts w:ascii="宋体" w:hAnsi="宋体" w:cs="宋体" w:eastAsia="宋体" w:hint="default"/>
                <w:spacing w:val="-28"/>
                <w:sz w:val="18"/>
                <w:szCs w:val="18"/>
              </w:rPr>
              <w:t>合伙）、共青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城众维投资 管理合伙企 业（有限合 </w:t>
            </w:r>
            <w:r>
              <w:rPr>
                <w:rFonts w:ascii="宋体" w:hAnsi="宋体" w:cs="宋体" w:eastAsia="宋体" w:hint="default"/>
                <w:spacing w:val="-28"/>
                <w:sz w:val="18"/>
                <w:szCs w:val="18"/>
              </w:rPr>
              <w:t>伙）、共青城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湛美投资管 理合伙企业</w:t>
            </w:r>
          </w:p>
          <w:p>
            <w:pPr>
              <w:pStyle w:val="TableParagraph"/>
              <w:spacing w:line="316" w:lineRule="auto" w:before="22"/>
              <w:ind w:left="30" w:right="14"/>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8"/>
                <w:sz w:val="18"/>
                <w:szCs w:val="18"/>
              </w:rPr>
              <w:t>伙）、共青城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万世一合投 资管理合伙 企业（有限 </w:t>
            </w:r>
            <w:r>
              <w:rPr>
                <w:rFonts w:ascii="宋体" w:hAnsi="宋体" w:cs="宋体" w:eastAsia="宋体" w:hint="default"/>
                <w:spacing w:val="-28"/>
                <w:sz w:val="18"/>
                <w:szCs w:val="18"/>
              </w:rPr>
              <w:t>合伙）、齐艳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彬、刘伟</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无固定期</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30" w:right="14"/>
              <w:jc w:val="both"/>
              <w:rPr>
                <w:rFonts w:ascii="宋体" w:hAnsi="宋体" w:cs="宋体" w:eastAsia="宋体" w:hint="default"/>
                <w:sz w:val="18"/>
                <w:szCs w:val="18"/>
              </w:rPr>
            </w:pPr>
            <w:r>
              <w:rPr>
                <w:rFonts w:ascii="宋体" w:hAnsi="宋体" w:cs="宋体" w:eastAsia="宋体" w:hint="default"/>
                <w:sz w:val="18"/>
                <w:szCs w:val="18"/>
              </w:rPr>
              <w:t>互联网整合营销解决方 案提供商，为客户提供 以搜索引擎营销服务、 信息流营销服务为主， 程序化直接购买、应用 分发营销服务为辅的全 案互联网营销解决方案 及服务。</w:t>
            </w:r>
          </w:p>
        </w:tc>
        <w:tc>
          <w:tcPr>
            <w:tcW w:w="856"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07" w:lineRule="auto"/>
              <w:ind w:left="30" w:right="105"/>
              <w:jc w:val="both"/>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55" w:lineRule="auto" w:before="44"/>
              <w:ind w:left="30"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 info.com.c n)</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line="371" w:lineRule="exact"/>
        <w:ind w:left="108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15"/>
          <w:footerReference w:type="default" r:id="rId16"/>
          <w:pgSz w:w="16850" w:h="11910" w:orient="landscape"/>
          <w:pgMar w:header="857" w:footer="0" w:top="1040" w:bottom="0" w:left="920" w:right="920"/>
        </w:sectPr>
      </w:pPr>
    </w:p>
    <w:p>
      <w:pPr>
        <w:spacing w:line="240" w:lineRule="auto" w:before="9"/>
        <w:rPr>
          <w:rFonts w:ascii="Times New Roman" w:hAnsi="Times New Roman" w:cs="Times New Roman" w:eastAsia="Times New Roman" w:hint="default"/>
          <w:sz w:val="4"/>
          <w:szCs w:val="4"/>
        </w:rPr>
      </w:pPr>
      <w:r>
        <w:rPr/>
        <w:pict>
          <v:shape style="position:absolute;margin-left:747.650024pt;margin-top:355.195007pt;width:42.8pt;height:229.05pt;mso-position-horizontal-relative:page;mso-position-vertical-relative:page;z-index:-1197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103"/>
                    <w:jc w:val="center"/>
                    <w:rPr>
                      <w:rFonts w:ascii="Times New Roman" w:hAnsi="Times New Roman" w:cs="Times New Roman" w:eastAsia="Times New Roman" w:hint="default"/>
                    </w:rPr>
                  </w:pPr>
                  <w:r>
                    <w:rPr>
                      <w:rFonts w:ascii="Times New Roman"/>
                    </w:rPr>
                    <w:t>25</w:t>
                  </w:r>
                </w:p>
              </w:txbxContent>
            </v:textbox>
            <w10:wrap type="none"/>
          </v:shape>
        </w:pict>
      </w:r>
      <w:r>
        <w:rPr/>
        <w:pict>
          <v:group style="position:absolute;margin-left:747.650024pt;margin-top:355.195007pt;width:42.8pt;height:229.05pt;mso-position-horizontal-relative:page;mso-position-vertical-relative:page;z-index:-1197472" coordorigin="14953,7104" coordsize="856,4581">
            <v:shape style="position:absolute;left:14953;top:7104;width:856;height:4581" coordorigin="14953,7104" coordsize="856,4581" path="m14953,11685l15809,11685,15809,7104,14953,7104,14953,11685xe" filled="true" fillcolor="#ffffff" stroked="false">
              <v:path arrowok="t"/>
              <v:fill type="solid"/>
            </v:shape>
            <w10:wrap type="none"/>
          </v:group>
        </w:pict>
      </w:r>
      <w:r>
        <w:rPr/>
        <w:pict>
          <v:shape style="position:absolute;margin-left:589.447021pt;margin-top:570.603027pt;width:41.264999pt;height:18.585pt;mso-position-horizontal-relative:page;mso-position-vertical-relative:page;z-index:-1197448" type="#_x0000_t75" stroked="false">
            <v:imagedata r:id="rId14" o:title=""/>
          </v:shape>
        </w:pict>
      </w:r>
    </w:p>
    <w:tbl>
      <w:tblPr>
        <w:tblW w:w="0" w:type="auto"/>
        <w:jc w:val="left"/>
        <w:tblInd w:w="101" w:type="dxa"/>
        <w:tblLayout w:type="fixed"/>
        <w:tblCellMar>
          <w:top w:w="0" w:type="dxa"/>
          <w:left w:w="0" w:type="dxa"/>
          <w:bottom w:w="0" w:type="dxa"/>
          <w:right w:w="0" w:type="dxa"/>
        </w:tblCellMar>
        <w:tblLook w:val="01E0"/>
      </w:tblPr>
      <w:tblGrid>
        <w:gridCol w:w="1036"/>
        <w:gridCol w:w="1336"/>
        <w:gridCol w:w="571"/>
        <w:gridCol w:w="1276"/>
        <w:gridCol w:w="781"/>
        <w:gridCol w:w="976"/>
        <w:gridCol w:w="976"/>
        <w:gridCol w:w="961"/>
        <w:gridCol w:w="1862"/>
        <w:gridCol w:w="856"/>
        <w:gridCol w:w="1291"/>
        <w:gridCol w:w="991"/>
        <w:gridCol w:w="990"/>
        <w:gridCol w:w="871"/>
      </w:tblGrid>
      <w:tr>
        <w:trPr>
          <w:trHeight w:val="976" w:hRule="exact"/>
        </w:trPr>
        <w:tc>
          <w:tcPr>
            <w:tcW w:w="103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330" w:right="60"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33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30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105" w:right="8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5"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8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285" w:right="118"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6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1862"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57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59"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2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20"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990"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65"/>
              <w:ind w:left="1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65"/>
              <w:ind w:left="75"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9582" w:hRule="exact"/>
        </w:trPr>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30" w:right="90"/>
              <w:jc w:val="both"/>
              <w:rPr>
                <w:rFonts w:ascii="宋体" w:hAnsi="宋体" w:cs="宋体" w:eastAsia="宋体" w:hint="default"/>
                <w:sz w:val="18"/>
                <w:szCs w:val="18"/>
              </w:rPr>
            </w:pPr>
            <w:r>
              <w:rPr>
                <w:rFonts w:ascii="宋体" w:hAnsi="宋体" w:cs="宋体" w:eastAsia="宋体" w:hint="default"/>
                <w:sz w:val="18"/>
                <w:szCs w:val="18"/>
              </w:rPr>
              <w:t>天津星言云 汇网络科技 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16" w:lineRule="auto"/>
              <w:ind w:left="15" w:right="45"/>
              <w:jc w:val="both"/>
              <w:rPr>
                <w:rFonts w:ascii="宋体" w:hAnsi="宋体" w:cs="宋体" w:eastAsia="宋体" w:hint="default"/>
                <w:sz w:val="18"/>
                <w:szCs w:val="18"/>
              </w:rPr>
            </w:pPr>
            <w:r>
              <w:rPr>
                <w:rFonts w:ascii="宋体" w:hAnsi="宋体" w:cs="宋体" w:eastAsia="宋体" w:hint="default"/>
                <w:sz w:val="18"/>
                <w:szCs w:val="18"/>
              </w:rPr>
              <w:t>企业管理咨询， 会议及展览展示 服务，组织文化 艺术交流活动， 市场营销策划， 计算机技术、网 络技术开发、咨 询服务、转让。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25" w:right="0"/>
              <w:jc w:val="left"/>
              <w:rPr>
                <w:rFonts w:ascii="Times New Roman" w:hAnsi="Times New Roman" w:cs="Times New Roman" w:eastAsia="Times New Roman" w:hint="default"/>
                <w:sz w:val="18"/>
                <w:szCs w:val="18"/>
              </w:rPr>
            </w:pPr>
            <w:r>
              <w:rPr>
                <w:rFonts w:ascii="Times New Roman"/>
                <w:sz w:val="18"/>
              </w:rPr>
              <w:t>20,000,000.00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80" w:right="0"/>
              <w:jc w:val="left"/>
              <w:rPr>
                <w:rFonts w:ascii="Times New Roman" w:hAnsi="Times New Roman" w:cs="Times New Roman" w:eastAsia="Times New Roman" w:hint="default"/>
                <w:sz w:val="18"/>
                <w:szCs w:val="18"/>
              </w:rPr>
            </w:pPr>
            <w:r>
              <w:rPr>
                <w:rFonts w:ascii="Times New Roman"/>
                <w:sz w:val="18"/>
              </w:rPr>
              <w:t>20.00%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30" w:right="30"/>
              <w:jc w:val="left"/>
              <w:rPr>
                <w:rFonts w:ascii="宋体" w:hAnsi="宋体" w:cs="宋体" w:eastAsia="宋体" w:hint="default"/>
                <w:sz w:val="18"/>
                <w:szCs w:val="18"/>
              </w:rPr>
            </w:pPr>
            <w:r>
              <w:rPr>
                <w:rFonts w:ascii="宋体" w:hAnsi="宋体" w:cs="宋体" w:eastAsia="宋体" w:hint="default"/>
                <w:sz w:val="18"/>
                <w:szCs w:val="18"/>
              </w:rPr>
              <w:t>菏泽众行企 业管理咨询 中心（有限 </w:t>
            </w:r>
            <w:r>
              <w:rPr>
                <w:rFonts w:ascii="宋体" w:hAnsi="宋体" w:cs="宋体" w:eastAsia="宋体" w:hint="default"/>
                <w:spacing w:val="-18"/>
                <w:sz w:val="18"/>
                <w:szCs w:val="18"/>
              </w:rPr>
              <w:t>合伙）（原</w:t>
            </w:r>
            <w:r>
              <w:rPr>
                <w:rFonts w:ascii="宋体" w:hAnsi="宋体" w:cs="宋体" w:eastAsia="宋体" w:hint="default"/>
                <w:sz w:val="18"/>
                <w:szCs w:val="18"/>
              </w:rPr>
              <w:t> 名：天津众 行有道企业 管理咨询中 心（有限合 </w:t>
            </w:r>
            <w:r>
              <w:rPr>
                <w:rFonts w:ascii="宋体" w:hAnsi="宋体" w:cs="宋体" w:eastAsia="宋体" w:hint="default"/>
                <w:spacing w:val="-30"/>
                <w:sz w:val="18"/>
                <w:szCs w:val="18"/>
              </w:rPr>
              <w:t>伙））、汤斯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无固定期</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30" w:right="14"/>
              <w:jc w:val="both"/>
              <w:rPr>
                <w:rFonts w:ascii="宋体" w:hAnsi="宋体" w:cs="宋体" w:eastAsia="宋体" w:hint="default"/>
                <w:sz w:val="18"/>
                <w:szCs w:val="18"/>
              </w:rPr>
            </w:pPr>
            <w:r>
              <w:rPr>
                <w:rFonts w:ascii="宋体" w:hAnsi="宋体" w:cs="宋体" w:eastAsia="宋体" w:hint="default"/>
                <w:sz w:val="18"/>
                <w:szCs w:val="18"/>
              </w:rPr>
              <w:t>专业的数据驱动的精准 营销与效果营销解决方 案供应商。借助优势移 动平台资源，致力于为 广告主提供以信息流广 告与效果营销为主，策 略创意、内容分发、口 碑与舆情管理、大数据 分析、舆情监测为辅的 互联网营销整合解决方 案及服务。</w:t>
            </w:r>
          </w:p>
        </w:tc>
        <w:tc>
          <w:tcPr>
            <w:tcW w:w="856"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0"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headerReference w:type="default" r:id="rId17"/>
          <w:footerReference w:type="default" r:id="rId18"/>
          <w:pgSz w:w="16850" w:h="11910" w:orient="landscape"/>
          <w:pgMar w:header="857" w:footer="0" w:top="1040" w:bottom="0" w:left="920" w:right="920"/>
        </w:sectPr>
      </w:pPr>
    </w:p>
    <w:p>
      <w:pPr>
        <w:spacing w:line="240" w:lineRule="auto" w:before="9"/>
        <w:rPr>
          <w:rFonts w:ascii="Times New Roman" w:hAnsi="Times New Roman" w:cs="Times New Roman" w:eastAsia="Times New Roman" w:hint="default"/>
          <w:sz w:val="4"/>
          <w:szCs w:val="4"/>
        </w:rPr>
      </w:pPr>
      <w:r>
        <w:rPr/>
        <w:pict>
          <v:shape style="position:absolute;margin-left:747.650024pt;margin-top:385.975006pt;width:42.8pt;height:198.25pt;mso-position-horizontal-relative:page;mso-position-vertical-relative:page;z-index:-11974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pStyle w:val="BodyText"/>
                    <w:spacing w:line="240" w:lineRule="auto"/>
                    <w:ind w:left="0" w:right="103"/>
                    <w:jc w:val="center"/>
                    <w:rPr>
                      <w:rFonts w:ascii="Times New Roman" w:hAnsi="Times New Roman" w:cs="Times New Roman" w:eastAsia="Times New Roman" w:hint="default"/>
                    </w:rPr>
                  </w:pPr>
                  <w:r>
                    <w:rPr>
                      <w:rFonts w:ascii="Times New Roman"/>
                    </w:rPr>
                    <w:t>26</w:t>
                  </w:r>
                </w:p>
              </w:txbxContent>
            </v:textbox>
            <w10:wrap type="none"/>
          </v:shape>
        </w:pict>
      </w:r>
      <w:r>
        <w:rPr/>
        <w:pict>
          <v:group style="position:absolute;margin-left:747.650024pt;margin-top:385.975006pt;width:42.8pt;height:198.25pt;mso-position-horizontal-relative:page;mso-position-vertical-relative:page;z-index:-1197400" coordorigin="14953,7720" coordsize="856,3965">
            <v:shape style="position:absolute;left:14953;top:7720;width:856;height:3965" coordorigin="14953,7720" coordsize="856,3965" path="m14953,11685l15809,11685,15809,7720,14953,7720,14953,11685xe" filled="true" fillcolor="#ffffff" stroked="false">
              <v:path arrowok="t"/>
              <v:fill type="solid"/>
            </v:shape>
            <w10:wrap type="none"/>
          </v:group>
        </w:pict>
      </w:r>
      <w:r>
        <w:rPr/>
        <w:pict>
          <v:shape style="position:absolute;margin-left:589.447021pt;margin-top:570.603027pt;width:41.264999pt;height:18.585pt;mso-position-horizontal-relative:page;mso-position-vertical-relative:page;z-index:-1197376" type="#_x0000_t75" stroked="false">
            <v:imagedata r:id="rId14" o:title=""/>
          </v:shape>
        </w:pict>
      </w:r>
    </w:p>
    <w:tbl>
      <w:tblPr>
        <w:tblW w:w="0" w:type="auto"/>
        <w:jc w:val="left"/>
        <w:tblInd w:w="101" w:type="dxa"/>
        <w:tblLayout w:type="fixed"/>
        <w:tblCellMar>
          <w:top w:w="0" w:type="dxa"/>
          <w:left w:w="0" w:type="dxa"/>
          <w:bottom w:w="0" w:type="dxa"/>
          <w:right w:w="0" w:type="dxa"/>
        </w:tblCellMar>
        <w:tblLook w:val="01E0"/>
      </w:tblPr>
      <w:tblGrid>
        <w:gridCol w:w="1036"/>
        <w:gridCol w:w="1336"/>
        <w:gridCol w:w="571"/>
        <w:gridCol w:w="1276"/>
        <w:gridCol w:w="781"/>
        <w:gridCol w:w="976"/>
        <w:gridCol w:w="976"/>
        <w:gridCol w:w="961"/>
        <w:gridCol w:w="1862"/>
        <w:gridCol w:w="856"/>
        <w:gridCol w:w="1291"/>
        <w:gridCol w:w="991"/>
        <w:gridCol w:w="990"/>
        <w:gridCol w:w="871"/>
      </w:tblGrid>
      <w:tr>
        <w:trPr>
          <w:trHeight w:val="976" w:hRule="exact"/>
        </w:trPr>
        <w:tc>
          <w:tcPr>
            <w:tcW w:w="103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330" w:right="60"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33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30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105" w:right="8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5"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8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285" w:right="118"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6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1862"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57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59"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2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20"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990"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65"/>
              <w:ind w:left="1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65"/>
              <w:ind w:left="75"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9582" w:hRule="exact"/>
        </w:trPr>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30" w:right="90"/>
              <w:jc w:val="both"/>
              <w:rPr>
                <w:rFonts w:ascii="宋体" w:hAnsi="宋体" w:cs="宋体" w:eastAsia="宋体" w:hint="default"/>
                <w:sz w:val="18"/>
                <w:szCs w:val="18"/>
              </w:rPr>
            </w:pPr>
            <w:r>
              <w:rPr>
                <w:rFonts w:ascii="宋体" w:hAnsi="宋体" w:cs="宋体" w:eastAsia="宋体" w:hint="default"/>
                <w:sz w:val="18"/>
                <w:szCs w:val="18"/>
              </w:rPr>
              <w:t>天津星言云 汇网络科技 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16" w:lineRule="auto"/>
              <w:ind w:left="15" w:right="44"/>
              <w:jc w:val="both"/>
              <w:rPr>
                <w:rFonts w:ascii="宋体" w:hAnsi="宋体" w:cs="宋体" w:eastAsia="宋体" w:hint="default"/>
                <w:sz w:val="18"/>
                <w:szCs w:val="18"/>
              </w:rPr>
            </w:pPr>
            <w:r>
              <w:rPr>
                <w:rFonts w:ascii="宋体" w:hAnsi="宋体" w:cs="宋体" w:eastAsia="宋体" w:hint="default"/>
                <w:sz w:val="18"/>
                <w:szCs w:val="18"/>
              </w:rPr>
              <w:t>企业管理咨询， 会议及展览展示 服务，组织文化 艺术交流活动， 市场营销策划， 计算机技术、网 络技术开发、咨 询服务、转让。</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25" w:right="0"/>
              <w:jc w:val="left"/>
              <w:rPr>
                <w:rFonts w:ascii="Times New Roman" w:hAnsi="Times New Roman" w:cs="Times New Roman" w:eastAsia="Times New Roman" w:hint="default"/>
                <w:sz w:val="18"/>
                <w:szCs w:val="18"/>
              </w:rPr>
            </w:pPr>
            <w:r>
              <w:rPr>
                <w:rFonts w:ascii="Times New Roman"/>
                <w:sz w:val="18"/>
              </w:rPr>
              <w:t>36,000,000.00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80" w:right="0"/>
              <w:jc w:val="left"/>
              <w:rPr>
                <w:rFonts w:ascii="Times New Roman" w:hAnsi="Times New Roman" w:cs="Times New Roman" w:eastAsia="Times New Roman" w:hint="default"/>
                <w:sz w:val="18"/>
                <w:szCs w:val="18"/>
              </w:rPr>
            </w:pPr>
            <w:r>
              <w:rPr>
                <w:rFonts w:ascii="Times New Roman"/>
                <w:sz w:val="18"/>
              </w:rPr>
              <w:t>20.00%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30" w:right="30"/>
              <w:jc w:val="left"/>
              <w:rPr>
                <w:rFonts w:ascii="宋体" w:hAnsi="宋体" w:cs="宋体" w:eastAsia="宋体" w:hint="default"/>
                <w:sz w:val="18"/>
                <w:szCs w:val="18"/>
              </w:rPr>
            </w:pPr>
            <w:r>
              <w:rPr>
                <w:rFonts w:ascii="宋体" w:hAnsi="宋体" w:cs="宋体" w:eastAsia="宋体" w:hint="default"/>
                <w:sz w:val="18"/>
                <w:szCs w:val="18"/>
              </w:rPr>
              <w:t>菏泽众行企 业管理咨询 中心（有限 </w:t>
            </w:r>
            <w:r>
              <w:rPr>
                <w:rFonts w:ascii="宋体" w:hAnsi="宋体" w:cs="宋体" w:eastAsia="宋体" w:hint="default"/>
                <w:spacing w:val="-18"/>
                <w:sz w:val="18"/>
                <w:szCs w:val="18"/>
              </w:rPr>
              <w:t>合伙）（原</w:t>
            </w:r>
            <w:r>
              <w:rPr>
                <w:rFonts w:ascii="宋体" w:hAnsi="宋体" w:cs="宋体" w:eastAsia="宋体" w:hint="default"/>
                <w:sz w:val="18"/>
                <w:szCs w:val="18"/>
              </w:rPr>
              <w:t> 名：天津众 行有道企业 管理咨询中 心（有限合 </w:t>
            </w:r>
            <w:r>
              <w:rPr>
                <w:rFonts w:ascii="宋体" w:hAnsi="宋体" w:cs="宋体" w:eastAsia="宋体" w:hint="default"/>
                <w:spacing w:val="-30"/>
                <w:sz w:val="18"/>
                <w:szCs w:val="18"/>
              </w:rPr>
              <w:t>伙））、汤斯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无固定期</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30" w:right="14"/>
              <w:jc w:val="both"/>
              <w:rPr>
                <w:rFonts w:ascii="宋体" w:hAnsi="宋体" w:cs="宋体" w:eastAsia="宋体" w:hint="default"/>
                <w:sz w:val="18"/>
                <w:szCs w:val="18"/>
              </w:rPr>
            </w:pPr>
            <w:r>
              <w:rPr>
                <w:rFonts w:ascii="宋体" w:hAnsi="宋体" w:cs="宋体" w:eastAsia="宋体" w:hint="default"/>
                <w:sz w:val="18"/>
                <w:szCs w:val="18"/>
              </w:rPr>
              <w:t>专业的数据驱动的精准 营销与效果营销解决方 案供应商。借助优势移 动平台资源，致力于为 广告主提供以信息流广 告与效果营销为主，策 略创意、内容分发、口 碑与舆情管理、大数据 分析、舆情监测为辅的 互联网营销整合解决方 案及服务。</w:t>
            </w:r>
          </w:p>
        </w:tc>
        <w:tc>
          <w:tcPr>
            <w:tcW w:w="856"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450" w:right="0"/>
              <w:jc w:val="left"/>
              <w:rPr>
                <w:rFonts w:ascii="Times New Roman" w:hAnsi="Times New Roman" w:cs="Times New Roman" w:eastAsia="Times New Roman" w:hint="default"/>
                <w:sz w:val="18"/>
                <w:szCs w:val="18"/>
              </w:rPr>
            </w:pPr>
            <w:r>
              <w:rPr>
                <w:rFonts w:ascii="Times New Roman"/>
                <w:sz w:val="18"/>
              </w:rPr>
              <w:t>713,078.89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07" w:lineRule="auto"/>
              <w:ind w:left="30" w:right="105"/>
              <w:jc w:val="both"/>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55" w:lineRule="auto" w:before="44"/>
              <w:ind w:left="30"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 info.com.c n)</w:t>
            </w:r>
          </w:p>
        </w:tc>
      </w:tr>
    </w:tbl>
    <w:p>
      <w:pPr>
        <w:spacing w:after="0" w:line="355" w:lineRule="auto"/>
        <w:jc w:val="both"/>
        <w:rPr>
          <w:rFonts w:ascii="Times New Roman" w:hAnsi="Times New Roman" w:cs="Times New Roman" w:eastAsia="Times New Roman" w:hint="default"/>
          <w:sz w:val="18"/>
          <w:szCs w:val="18"/>
        </w:rPr>
        <w:sectPr>
          <w:headerReference w:type="default" r:id="rId19"/>
          <w:footerReference w:type="default" r:id="rId20"/>
          <w:pgSz w:w="16850" w:h="11910" w:orient="landscape"/>
          <w:pgMar w:header="857" w:footer="0" w:top="1040" w:bottom="0" w:left="920" w:right="920"/>
        </w:sectPr>
      </w:pPr>
    </w:p>
    <w:p>
      <w:pPr>
        <w:spacing w:line="240" w:lineRule="auto" w:before="9"/>
        <w:rPr>
          <w:rFonts w:ascii="Times New Roman" w:hAnsi="Times New Roman" w:cs="Times New Roman" w:eastAsia="Times New Roman"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014"/>
        <w:gridCol w:w="1344"/>
        <w:gridCol w:w="563"/>
        <w:gridCol w:w="1299"/>
        <w:gridCol w:w="758"/>
        <w:gridCol w:w="983"/>
        <w:gridCol w:w="976"/>
        <w:gridCol w:w="961"/>
        <w:gridCol w:w="1862"/>
        <w:gridCol w:w="856"/>
        <w:gridCol w:w="1291"/>
        <w:gridCol w:w="991"/>
        <w:gridCol w:w="1005"/>
        <w:gridCol w:w="856"/>
      </w:tblGrid>
      <w:tr>
        <w:trPr>
          <w:trHeight w:val="142" w:hRule="exact"/>
        </w:trPr>
        <w:tc>
          <w:tcPr>
            <w:tcW w:w="1014" w:type="dxa"/>
            <w:tcBorders>
              <w:top w:val="single" w:sz="18" w:space="0" w:color="000000"/>
              <w:left w:val="single" w:sz="6" w:space="0" w:color="000000"/>
              <w:bottom w:val="nil" w:sz="6" w:space="0" w:color="auto"/>
              <w:right w:val="single" w:sz="6" w:space="0" w:color="000000"/>
            </w:tcBorders>
            <w:shd w:val="clear" w:color="auto" w:fill="D2D2D2"/>
          </w:tcPr>
          <w:p>
            <w:pPr/>
          </w:p>
        </w:tc>
        <w:tc>
          <w:tcPr>
            <w:tcW w:w="1344" w:type="dxa"/>
            <w:vMerge w:val="restart"/>
            <w:tcBorders>
              <w:top w:val="single" w:sz="18" w:space="0" w:color="000000"/>
              <w:left w:val="single" w:sz="6" w:space="0" w:color="000000"/>
              <w:right w:val="single" w:sz="6" w:space="0" w:color="000000"/>
            </w:tcBorders>
            <w:shd w:val="clear" w:color="auto" w:fill="D2D2D2"/>
          </w:tcPr>
          <w:p>
            <w:pPr/>
          </w:p>
        </w:tc>
        <w:tc>
          <w:tcPr>
            <w:tcW w:w="563" w:type="dxa"/>
            <w:tcBorders>
              <w:top w:val="single" w:sz="18" w:space="0" w:color="000000"/>
              <w:left w:val="single" w:sz="6" w:space="0" w:color="000000"/>
              <w:bottom w:val="nil" w:sz="6" w:space="0" w:color="auto"/>
              <w:right w:val="single" w:sz="6" w:space="0" w:color="000000"/>
            </w:tcBorders>
            <w:shd w:val="clear" w:color="auto" w:fill="D2D2D2"/>
          </w:tcPr>
          <w:p>
            <w:pPr/>
          </w:p>
        </w:tc>
        <w:tc>
          <w:tcPr>
            <w:tcW w:w="1299" w:type="dxa"/>
            <w:vMerge w:val="restart"/>
            <w:tcBorders>
              <w:top w:val="single" w:sz="18" w:space="0" w:color="000000"/>
              <w:left w:val="single" w:sz="6" w:space="0" w:color="000000"/>
              <w:right w:val="single" w:sz="6" w:space="0" w:color="000000"/>
            </w:tcBorders>
            <w:shd w:val="clear" w:color="auto" w:fill="D2D2D2"/>
          </w:tcPr>
          <w:p>
            <w:pPr/>
          </w:p>
        </w:tc>
        <w:tc>
          <w:tcPr>
            <w:tcW w:w="758" w:type="dxa"/>
            <w:vMerge w:val="restart"/>
            <w:tcBorders>
              <w:top w:val="single" w:sz="18"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270" w:right="111"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3" w:type="dxa"/>
            <w:vMerge w:val="restart"/>
            <w:tcBorders>
              <w:top w:val="single" w:sz="18" w:space="0" w:color="000000"/>
              <w:left w:val="single" w:sz="6" w:space="0" w:color="000000"/>
              <w:right w:val="single" w:sz="6" w:space="0" w:color="000000"/>
            </w:tcBorders>
            <w:shd w:val="clear" w:color="auto" w:fill="D2D2D2"/>
          </w:tcPr>
          <w:p>
            <w:pPr/>
          </w:p>
        </w:tc>
        <w:tc>
          <w:tcPr>
            <w:tcW w:w="976" w:type="dxa"/>
            <w:vMerge w:val="restart"/>
            <w:tcBorders>
              <w:top w:val="single" w:sz="18" w:space="0" w:color="000000"/>
              <w:left w:val="single" w:sz="6" w:space="0" w:color="000000"/>
              <w:right w:val="single" w:sz="6" w:space="0" w:color="000000"/>
            </w:tcBorders>
            <w:shd w:val="clear" w:color="auto" w:fill="D2D2D2"/>
          </w:tcPr>
          <w:p>
            <w:pPr/>
          </w:p>
        </w:tc>
        <w:tc>
          <w:tcPr>
            <w:tcW w:w="961" w:type="dxa"/>
            <w:vMerge w:val="restart"/>
            <w:tcBorders>
              <w:top w:val="single" w:sz="18" w:space="0" w:color="000000"/>
              <w:left w:val="single" w:sz="6" w:space="0" w:color="000000"/>
              <w:right w:val="single" w:sz="6" w:space="0" w:color="000000"/>
            </w:tcBorders>
            <w:shd w:val="clear" w:color="auto" w:fill="D2D2D2"/>
          </w:tcPr>
          <w:p>
            <w:pPr/>
          </w:p>
        </w:tc>
        <w:tc>
          <w:tcPr>
            <w:tcW w:w="1862" w:type="dxa"/>
            <w:vMerge w:val="restart"/>
            <w:tcBorders>
              <w:top w:val="single" w:sz="18" w:space="0" w:color="000000"/>
              <w:left w:val="single" w:sz="6" w:space="0" w:color="000000"/>
              <w:right w:val="single" w:sz="6" w:space="0" w:color="000000"/>
            </w:tcBorders>
            <w:shd w:val="clear" w:color="auto" w:fill="D2D2D2"/>
          </w:tcPr>
          <w:p>
            <w:pPr/>
          </w:p>
        </w:tc>
        <w:tc>
          <w:tcPr>
            <w:tcW w:w="856" w:type="dxa"/>
            <w:vMerge w:val="restart"/>
            <w:tcBorders>
              <w:top w:val="single" w:sz="18" w:space="0" w:color="000000"/>
              <w:left w:val="single" w:sz="6" w:space="0" w:color="000000"/>
              <w:right w:val="single" w:sz="6" w:space="0" w:color="000000"/>
            </w:tcBorders>
            <w:shd w:val="clear" w:color="auto" w:fill="D2D2D2"/>
          </w:tcPr>
          <w:p>
            <w:pPr/>
          </w:p>
        </w:tc>
        <w:tc>
          <w:tcPr>
            <w:tcW w:w="1291" w:type="dxa"/>
            <w:vMerge w:val="restart"/>
            <w:tcBorders>
              <w:top w:val="single" w:sz="18" w:space="0" w:color="000000"/>
              <w:left w:val="single" w:sz="6" w:space="0" w:color="000000"/>
              <w:right w:val="single" w:sz="6" w:space="0" w:color="000000"/>
            </w:tcBorders>
            <w:shd w:val="clear" w:color="auto" w:fill="D2D2D2"/>
          </w:tcPr>
          <w:p>
            <w:pPr/>
          </w:p>
        </w:tc>
        <w:tc>
          <w:tcPr>
            <w:tcW w:w="991" w:type="dxa"/>
            <w:vMerge w:val="restart"/>
            <w:tcBorders>
              <w:top w:val="single" w:sz="18" w:space="0" w:color="000000"/>
              <w:left w:val="single" w:sz="6" w:space="0" w:color="000000"/>
              <w:right w:val="single" w:sz="6" w:space="0" w:color="FFFFFF"/>
            </w:tcBorders>
            <w:shd w:val="clear" w:color="auto" w:fill="D2D2D2"/>
          </w:tcPr>
          <w:p>
            <w:pPr/>
          </w:p>
        </w:tc>
        <w:tc>
          <w:tcPr>
            <w:tcW w:w="1005" w:type="dxa"/>
            <w:tcBorders>
              <w:top w:val="single" w:sz="18" w:space="0" w:color="000000"/>
              <w:left w:val="single" w:sz="6" w:space="0" w:color="FFFFFF"/>
              <w:bottom w:val="nil" w:sz="6" w:space="0" w:color="auto"/>
              <w:right w:val="single" w:sz="6" w:space="0" w:color="000000"/>
            </w:tcBorders>
            <w:shd w:val="clear" w:color="auto" w:fill="D2D2D2"/>
          </w:tcPr>
          <w:p>
            <w:pPr/>
          </w:p>
        </w:tc>
        <w:tc>
          <w:tcPr>
            <w:tcW w:w="856" w:type="dxa"/>
            <w:tcBorders>
              <w:top w:val="single" w:sz="18"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014"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5"/>
              <w:ind w:left="315" w:right="5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344" w:type="dxa"/>
            <w:vMerge/>
            <w:tcBorders>
              <w:left w:val="single" w:sz="6" w:space="0" w:color="000000"/>
              <w:bottom w:val="nil" w:sz="6" w:space="0" w:color="auto"/>
              <w:right w:val="single" w:sz="6" w:space="0" w:color="000000"/>
            </w:tcBorders>
            <w:shd w:val="clear" w:color="auto" w:fill="D2D2D2"/>
          </w:tcPr>
          <w:p>
            <w:pPr/>
          </w:p>
        </w:tc>
        <w:tc>
          <w:tcPr>
            <w:tcW w:w="563"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5"/>
              <w:ind w:left="105" w:right="81"/>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99" w:type="dxa"/>
            <w:vMerge/>
            <w:tcBorders>
              <w:left w:val="single" w:sz="6" w:space="0" w:color="000000"/>
              <w:bottom w:val="nil" w:sz="6" w:space="0" w:color="auto"/>
              <w:right w:val="single" w:sz="6" w:space="0" w:color="000000"/>
            </w:tcBorders>
            <w:shd w:val="clear" w:color="auto" w:fill="D2D2D2"/>
          </w:tcPr>
          <w:p>
            <w:pPr/>
          </w:p>
        </w:tc>
        <w:tc>
          <w:tcPr>
            <w:tcW w:w="758" w:type="dxa"/>
            <w:vMerge/>
            <w:tcBorders>
              <w:left w:val="single" w:sz="6" w:space="0" w:color="000000"/>
              <w:right w:val="single" w:sz="6" w:space="0" w:color="000000"/>
            </w:tcBorders>
            <w:shd w:val="clear" w:color="auto" w:fill="D2D2D2"/>
          </w:tcPr>
          <w:p>
            <w:pPr/>
          </w:p>
        </w:tc>
        <w:tc>
          <w:tcPr>
            <w:tcW w:w="983" w:type="dxa"/>
            <w:vMerge/>
            <w:tcBorders>
              <w:left w:val="single" w:sz="6" w:space="0" w:color="000000"/>
              <w:bottom w:val="nil" w:sz="6" w:space="0" w:color="auto"/>
              <w:right w:val="single" w:sz="6" w:space="0" w:color="000000"/>
            </w:tcBorders>
            <w:shd w:val="clear" w:color="auto" w:fill="D2D2D2"/>
          </w:tcPr>
          <w:p>
            <w:pPr/>
          </w:p>
        </w:tc>
        <w:tc>
          <w:tcPr>
            <w:tcW w:w="976" w:type="dxa"/>
            <w:vMerge/>
            <w:tcBorders>
              <w:left w:val="single" w:sz="6" w:space="0" w:color="000000"/>
              <w:bottom w:val="nil" w:sz="6" w:space="0" w:color="auto"/>
              <w:right w:val="single" w:sz="6" w:space="0" w:color="000000"/>
            </w:tcBorders>
            <w:shd w:val="clear" w:color="auto" w:fill="D2D2D2"/>
          </w:tcPr>
          <w:p>
            <w:pPr/>
          </w:p>
        </w:tc>
        <w:tc>
          <w:tcPr>
            <w:tcW w:w="961" w:type="dxa"/>
            <w:vMerge/>
            <w:tcBorders>
              <w:left w:val="single" w:sz="6" w:space="0" w:color="000000"/>
              <w:bottom w:val="nil" w:sz="6" w:space="0" w:color="auto"/>
              <w:right w:val="single" w:sz="6" w:space="0" w:color="000000"/>
            </w:tcBorders>
            <w:shd w:val="clear" w:color="auto" w:fill="D2D2D2"/>
          </w:tcPr>
          <w:p>
            <w:pPr/>
          </w:p>
        </w:tc>
        <w:tc>
          <w:tcPr>
            <w:tcW w:w="1862"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291"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FFFFFF"/>
            </w:tcBorders>
            <w:shd w:val="clear" w:color="auto" w:fill="D2D2D2"/>
          </w:tcPr>
          <w:p>
            <w:pPr/>
          </w:p>
        </w:tc>
        <w:tc>
          <w:tcPr>
            <w:tcW w:w="1005" w:type="dxa"/>
            <w:vMerge w:val="restart"/>
            <w:tcBorders>
              <w:top w:val="nil" w:sz="6" w:space="0" w:color="auto"/>
              <w:left w:val="single" w:sz="6" w:space="0" w:color="FFFFFF"/>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65"/>
              <w:ind w:left="1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65"/>
              <w:ind w:left="60"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390" w:hRule="exact"/>
        </w:trPr>
        <w:tc>
          <w:tcPr>
            <w:tcW w:w="1014" w:type="dxa"/>
            <w:vMerge/>
            <w:tcBorders>
              <w:left w:val="single" w:sz="6" w:space="0" w:color="000000"/>
              <w:right w:val="single" w:sz="6" w:space="0" w:color="000000"/>
            </w:tcBorders>
            <w:shd w:val="clear" w:color="auto" w:fill="D2D2D2"/>
          </w:tcPr>
          <w:p>
            <w:pPr/>
          </w:p>
        </w:tc>
        <w:tc>
          <w:tcPr>
            <w:tcW w:w="13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3" w:type="dxa"/>
            <w:vMerge/>
            <w:tcBorders>
              <w:left w:val="single" w:sz="6" w:space="0" w:color="000000"/>
              <w:right w:val="single" w:sz="6" w:space="0" w:color="000000"/>
            </w:tcBorders>
            <w:shd w:val="clear" w:color="auto" w:fill="D2D2D2"/>
          </w:tcPr>
          <w:p>
            <w:pPr/>
          </w:p>
        </w:tc>
        <w:tc>
          <w:tcPr>
            <w:tcW w:w="129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58" w:type="dxa"/>
            <w:vMerge/>
            <w:tcBorders>
              <w:left w:val="single" w:sz="6" w:space="0" w:color="000000"/>
              <w:right w:val="single" w:sz="6" w:space="0" w:color="000000"/>
            </w:tcBorders>
            <w:shd w:val="clear" w:color="auto" w:fill="D2D2D2"/>
          </w:tcPr>
          <w:p>
            <w:pPr/>
          </w:p>
        </w:tc>
        <w:tc>
          <w:tcPr>
            <w:tcW w:w="98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96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投资期限</w:t>
            </w:r>
          </w:p>
        </w:tc>
        <w:tc>
          <w:tcPr>
            <w:tcW w:w="186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85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129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991" w:type="dxa"/>
            <w:tcBorders>
              <w:top w:val="nil" w:sz="6" w:space="0" w:color="auto"/>
              <w:left w:val="single" w:sz="6" w:space="0" w:color="000000"/>
              <w:bottom w:val="nil" w:sz="6" w:space="0" w:color="auto"/>
              <w:right w:val="single" w:sz="6" w:space="0" w:color="FFFFFF"/>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是否涉诉</w:t>
            </w:r>
          </w:p>
        </w:tc>
        <w:tc>
          <w:tcPr>
            <w:tcW w:w="1005" w:type="dxa"/>
            <w:vMerge/>
            <w:tcBorders>
              <w:left w:val="single" w:sz="6" w:space="0" w:color="FFFFFF"/>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r>
      <w:tr>
        <w:trPr>
          <w:trHeight w:val="293" w:hRule="exact"/>
        </w:trPr>
        <w:tc>
          <w:tcPr>
            <w:tcW w:w="1014" w:type="dxa"/>
            <w:vMerge/>
            <w:tcBorders>
              <w:left w:val="single" w:sz="6" w:space="0" w:color="000000"/>
              <w:bottom w:val="single" w:sz="6" w:space="0" w:color="000000"/>
              <w:right w:val="single" w:sz="6" w:space="0" w:color="000000"/>
            </w:tcBorders>
            <w:shd w:val="clear" w:color="auto" w:fill="D2D2D2"/>
          </w:tcPr>
          <w:p>
            <w:pPr/>
          </w:p>
        </w:tc>
        <w:tc>
          <w:tcPr>
            <w:tcW w:w="1344" w:type="dxa"/>
            <w:tcBorders>
              <w:top w:val="nil" w:sz="6" w:space="0" w:color="auto"/>
              <w:left w:val="single" w:sz="6" w:space="0" w:color="000000"/>
              <w:bottom w:val="single" w:sz="6" w:space="0" w:color="000000"/>
              <w:right w:val="single" w:sz="6" w:space="0" w:color="000000"/>
            </w:tcBorders>
            <w:shd w:val="clear" w:color="auto" w:fill="D2D2D2"/>
          </w:tcPr>
          <w:p>
            <w:pPr/>
          </w:p>
        </w:tc>
        <w:tc>
          <w:tcPr>
            <w:tcW w:w="563" w:type="dxa"/>
            <w:vMerge/>
            <w:tcBorders>
              <w:left w:val="single" w:sz="6" w:space="0" w:color="000000"/>
              <w:bottom w:val="single" w:sz="6" w:space="0" w:color="000000"/>
              <w:right w:val="single" w:sz="6" w:space="0" w:color="000000"/>
            </w:tcBorders>
            <w:shd w:val="clear" w:color="auto" w:fill="D2D2D2"/>
          </w:tcPr>
          <w:p>
            <w:pPr/>
          </w:p>
        </w:tc>
        <w:tc>
          <w:tcPr>
            <w:tcW w:w="1299" w:type="dxa"/>
            <w:tcBorders>
              <w:top w:val="nil" w:sz="6" w:space="0" w:color="auto"/>
              <w:left w:val="single" w:sz="6" w:space="0" w:color="000000"/>
              <w:bottom w:val="single" w:sz="6" w:space="0" w:color="000000"/>
              <w:right w:val="single" w:sz="6" w:space="0" w:color="000000"/>
            </w:tcBorders>
            <w:shd w:val="clear" w:color="auto" w:fill="D2D2D2"/>
          </w:tcPr>
          <w:p>
            <w:pPr/>
          </w:p>
        </w:tc>
        <w:tc>
          <w:tcPr>
            <w:tcW w:w="758" w:type="dxa"/>
            <w:vMerge/>
            <w:tcBorders>
              <w:left w:val="single" w:sz="6" w:space="0" w:color="000000"/>
              <w:bottom w:val="single" w:sz="6" w:space="0" w:color="000000"/>
              <w:right w:val="single" w:sz="6" w:space="0" w:color="000000"/>
            </w:tcBorders>
            <w:shd w:val="clear" w:color="auto" w:fill="D2D2D2"/>
          </w:tcPr>
          <w:p>
            <w:pPr/>
          </w:p>
        </w:tc>
        <w:tc>
          <w:tcPr>
            <w:tcW w:w="983" w:type="dxa"/>
            <w:vMerge/>
            <w:tcBorders>
              <w:left w:val="single" w:sz="6" w:space="0" w:color="000000"/>
              <w:bottom w:val="single" w:sz="6" w:space="0" w:color="000000"/>
              <w:right w:val="single" w:sz="6" w:space="0" w:color="000000"/>
            </w:tcBorders>
            <w:shd w:val="clear" w:color="auto" w:fill="D2D2D2"/>
          </w:tcPr>
          <w:p>
            <w:pPr/>
          </w:p>
        </w:tc>
        <w:tc>
          <w:tcPr>
            <w:tcW w:w="976" w:type="dxa"/>
            <w:tcBorders>
              <w:top w:val="nil" w:sz="6" w:space="0" w:color="auto"/>
              <w:left w:val="single" w:sz="6" w:space="0" w:color="000000"/>
              <w:bottom w:val="single" w:sz="6" w:space="0" w:color="000000"/>
              <w:right w:val="single" w:sz="6" w:space="0" w:color="000000"/>
            </w:tcBorders>
            <w:shd w:val="clear" w:color="auto" w:fill="D2D2D2"/>
          </w:tcPr>
          <w:p>
            <w:pPr/>
          </w:p>
        </w:tc>
        <w:tc>
          <w:tcPr>
            <w:tcW w:w="961" w:type="dxa"/>
            <w:tcBorders>
              <w:top w:val="nil" w:sz="6" w:space="0" w:color="auto"/>
              <w:left w:val="single" w:sz="6" w:space="0" w:color="000000"/>
              <w:bottom w:val="single" w:sz="6" w:space="0" w:color="000000"/>
              <w:right w:val="single" w:sz="6" w:space="0" w:color="000000"/>
            </w:tcBorders>
            <w:shd w:val="clear" w:color="auto" w:fill="D2D2D2"/>
          </w:tcPr>
          <w:p>
            <w:pPr/>
          </w:p>
        </w:tc>
        <w:tc>
          <w:tcPr>
            <w:tcW w:w="1862" w:type="dxa"/>
            <w:tcBorders>
              <w:top w:val="nil" w:sz="6" w:space="0" w:color="auto"/>
              <w:left w:val="single" w:sz="6" w:space="0" w:color="000000"/>
              <w:bottom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91" w:type="dxa"/>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tcBorders>
              <w:top w:val="nil" w:sz="6" w:space="0" w:color="auto"/>
              <w:left w:val="single" w:sz="6" w:space="0" w:color="000000"/>
              <w:bottom w:val="single" w:sz="6" w:space="0" w:color="000000"/>
              <w:right w:val="single" w:sz="6" w:space="0" w:color="FFFFFF"/>
            </w:tcBorders>
            <w:shd w:val="clear" w:color="auto" w:fill="D2D2D2"/>
          </w:tcPr>
          <w:p>
            <w:pPr/>
          </w:p>
        </w:tc>
        <w:tc>
          <w:tcPr>
            <w:tcW w:w="1005" w:type="dxa"/>
            <w:vMerge/>
            <w:tcBorders>
              <w:left w:val="single" w:sz="6" w:space="0" w:color="FFFFFF"/>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0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5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1" w:right="0"/>
              <w:jc w:val="center"/>
              <w:rPr>
                <w:rFonts w:ascii="Times New Roman" w:hAnsi="Times New Roman" w:cs="Times New Roman" w:eastAsia="Times New Roman" w:hint="default"/>
                <w:sz w:val="18"/>
                <w:szCs w:val="18"/>
              </w:rPr>
            </w:pPr>
            <w:r>
              <w:rPr>
                <w:rFonts w:ascii="Times New Roman"/>
                <w:sz w:val="18"/>
              </w:rPr>
              <w:t>--</w:t>
            </w:r>
          </w:p>
        </w:tc>
        <w:tc>
          <w:tcPr>
            <w:tcW w:w="1299" w:type="dxa"/>
            <w:tcBorders>
              <w:top w:val="single" w:sz="6" w:space="0" w:color="000000"/>
              <w:left w:val="single" w:sz="12" w:space="0" w:color="D2D2D2"/>
              <w:bottom w:val="single" w:sz="6" w:space="0" w:color="000000"/>
              <w:right w:val="single" w:sz="18"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106,624,100.00</w:t>
            </w:r>
          </w:p>
        </w:tc>
        <w:tc>
          <w:tcPr>
            <w:tcW w:w="7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0"/>
              <w:jc w:val="center"/>
              <w:rPr>
                <w:rFonts w:ascii="Times New Roman" w:hAnsi="Times New Roman" w:cs="Times New Roman" w:eastAsia="Times New Roman" w:hint="default"/>
                <w:sz w:val="18"/>
                <w:szCs w:val="18"/>
              </w:rPr>
            </w:pPr>
            <w:r>
              <w:rPr>
                <w:rFonts w:ascii="Times New Roman"/>
                <w:sz w:val="18"/>
              </w:rPr>
              <w:t>--</w:t>
            </w:r>
          </w:p>
        </w:tc>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1"/>
              <w:jc w:val="center"/>
              <w:rPr>
                <w:rFonts w:ascii="Times New Roman" w:hAnsi="Times New Roman" w:cs="Times New Roman" w:eastAsia="Times New Roman" w:hint="default"/>
                <w:sz w:val="18"/>
                <w:szCs w:val="18"/>
              </w:rPr>
            </w:pPr>
            <w:r>
              <w:rPr>
                <w:rFonts w:ascii="Times New Roman"/>
                <w:sz w:val="18"/>
              </w:rPr>
              <w:t>--</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-806,823.01</w:t>
            </w:r>
          </w:p>
        </w:tc>
        <w:tc>
          <w:tcPr>
            <w:tcW w:w="991" w:type="dxa"/>
            <w:tcBorders>
              <w:top w:val="single" w:sz="6" w:space="0" w:color="000000"/>
              <w:left w:val="single" w:sz="6" w:space="0" w:color="000000"/>
              <w:bottom w:val="single" w:sz="6" w:space="0" w:color="000000"/>
              <w:right w:val="single" w:sz="6" w:space="0" w:color="FFFFFF"/>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005" w:type="dxa"/>
            <w:tcBorders>
              <w:top w:val="single" w:sz="6" w:space="0" w:color="000000"/>
              <w:left w:val="single" w:sz="6" w:space="0" w:color="FFFFFF"/>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left="521"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2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5"/>
        <w:spacing w:line="240" w:lineRule="auto"/>
        <w:ind w:left="521"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2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76"/>
        <w:ind w:left="0" w:right="504"/>
        <w:jc w:val="right"/>
        <w:rPr>
          <w:rFonts w:ascii="Times New Roman" w:hAnsi="Times New Roman" w:cs="Times New Roman" w:eastAsia="Times New Roman" w:hint="default"/>
        </w:rPr>
      </w:pPr>
      <w:r>
        <w:rPr>
          <w:rFonts w:ascii="Times New Roman"/>
        </w:rPr>
        <w:t>27</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371" w:lineRule="exact"/>
        <w:ind w:left="108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21"/>
          <w:footerReference w:type="default" r:id="rId22"/>
          <w:pgSz w:w="16850" w:h="11910" w:orient="landscape"/>
          <w:pgMar w:header="857" w:footer="0" w:top="1040" w:bottom="0" w:left="920" w:right="920"/>
        </w:sectPr>
      </w:pPr>
    </w:p>
    <w:p>
      <w:pPr>
        <w:spacing w:line="240" w:lineRule="auto" w:before="11"/>
        <w:rPr>
          <w:rFonts w:ascii="Times New Roman" w:hAnsi="Times New Roman" w:cs="Times New Roman" w:eastAsia="Times New Roman" w:hint="default"/>
          <w:sz w:val="23"/>
          <w:szCs w:val="23"/>
        </w:rPr>
      </w:pPr>
    </w:p>
    <w:p>
      <w:pPr>
        <w:pStyle w:val="Heading5"/>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1"/>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2"/>
        <w:gridCol w:w="871"/>
      </w:tblGrid>
      <w:tr>
        <w:trPr>
          <w:trHeight w:val="13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07" w:lineRule="auto"/>
              <w:ind w:left="240"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24,867.04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2,306.14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20,144.48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5,616.53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22.59%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4,722.56</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19"/>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24,867.04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2,306.14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20,144.48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5,616.53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22.59%</w:t>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4,722.56</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4"/>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67" w:hRule="exact"/>
        </w:trPr>
        <w:tc>
          <w:tcPr>
            <w:tcW w:w="958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经中国证券监督管理委员会《关于核准宣亚国际品牌管理（北京）股份有限公司首次公开发行股票的批复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p>
          <w:p>
            <w:pPr>
              <w:pStyle w:val="TableParagraph"/>
              <w:spacing w:line="240" w:lineRule="auto" w:before="9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[2017]124 </w:t>
            </w:r>
            <w:r>
              <w:rPr>
                <w:rFonts w:ascii="宋体" w:hAnsi="宋体" w:cs="宋体" w:eastAsia="宋体" w:hint="default"/>
                <w:sz w:val="18"/>
                <w:szCs w:val="18"/>
              </w:rPr>
              <w:t>号）核准，公司首次公开发行人民币普通股（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万股，每股发行价格为人民币 </w:t>
            </w:r>
            <w:r>
              <w:rPr>
                <w:rFonts w:ascii="Times New Roman" w:hAnsi="Times New Roman" w:cs="Times New Roman" w:eastAsia="Times New Roman" w:hint="default"/>
                <w:sz w:val="18"/>
                <w:szCs w:val="18"/>
              </w:rPr>
              <w:t>16.14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元，募集资金总</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额人民币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29,052.00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万元，扣除承销费、保荐费、审计费、律师费、信息披露等发行费用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4,184.96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万元后，实际募集资金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净额为人民币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24,867.04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日，本公司累计使用募集资金人民币</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24,324.55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万元（含支付发行费</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尚未使</w:t>
            </w:r>
            <w:r>
              <w:rPr>
                <w:rFonts w:ascii="宋体" w:hAnsi="宋体" w:cs="宋体" w:eastAsia="宋体" w:hint="default"/>
                <w:spacing w:val="1"/>
                <w:sz w:val="18"/>
                <w:szCs w:val="18"/>
              </w:rPr>
              <w:t>用</w:t>
            </w:r>
            <w:r>
              <w:rPr>
                <w:rFonts w:ascii="宋体" w:hAnsi="宋体" w:cs="宋体" w:eastAsia="宋体" w:hint="default"/>
                <w:sz w:val="18"/>
                <w:szCs w:val="18"/>
              </w:rPr>
              <w:t>的金额为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4,827.74 </w:t>
            </w:r>
            <w:r>
              <w:rPr>
                <w:rFonts w:ascii="宋体" w:hAnsi="宋体" w:cs="宋体" w:eastAsia="宋体" w:hint="default"/>
                <w:sz w:val="18"/>
                <w:szCs w:val="18"/>
              </w:rPr>
              <w:t>万</w:t>
            </w:r>
            <w:r>
              <w:rPr>
                <w:rFonts w:ascii="宋体" w:hAnsi="宋体" w:cs="宋体" w:eastAsia="宋体" w:hint="default"/>
                <w:spacing w:val="-31"/>
                <w:sz w:val="18"/>
                <w:szCs w:val="18"/>
              </w:rPr>
              <w:t>元</w:t>
            </w:r>
            <w:r>
              <w:rPr>
                <w:rFonts w:ascii="宋体" w:hAnsi="宋体" w:cs="宋体" w:eastAsia="宋体" w:hint="default"/>
                <w:sz w:val="18"/>
                <w:szCs w:val="18"/>
              </w:rPr>
              <w:t>（其中使用部分闲置募集资金暂时补充流动资金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4,600 </w:t>
            </w:r>
            <w:r>
              <w:rPr>
                <w:rFonts w:ascii="宋体" w:hAnsi="宋体" w:cs="宋体" w:eastAsia="宋体" w:hint="default"/>
                <w:sz w:val="18"/>
                <w:szCs w:val="18"/>
              </w:rPr>
              <w:t>万元</w:t>
            </w:r>
            <w:r>
              <w:rPr>
                <w:rFonts w:ascii="宋体" w:hAnsi="宋体" w:cs="宋体" w:eastAsia="宋体" w:hint="default"/>
                <w:spacing w:val="-31"/>
                <w:sz w:val="18"/>
                <w:szCs w:val="18"/>
              </w:rPr>
              <w:t>，</w:t>
            </w:r>
            <w:r>
              <w:rPr>
                <w:rFonts w:ascii="宋体" w:hAnsi="宋体" w:cs="宋体" w:eastAsia="宋体" w:hint="default"/>
                <w:sz w:val="18"/>
                <w:szCs w:val="18"/>
              </w:rPr>
              <w:t>募集资金专户余额人民</w:t>
            </w:r>
          </w:p>
          <w:p>
            <w:pPr>
              <w:pStyle w:val="TableParagraph"/>
              <w:spacing w:line="288" w:lineRule="auto" w:before="66"/>
              <w:ind w:left="15" w:right="91"/>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227.74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万元），与实际募集资金总额人民币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29,052.00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万元的差异人民币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100.29 </w:t>
            </w:r>
            <w:r>
              <w:rPr>
                <w:rFonts w:ascii="宋体" w:hAnsi="宋体" w:cs="宋体" w:eastAsia="宋体" w:hint="default"/>
                <w:sz w:val="18"/>
                <w:szCs w:val="18"/>
              </w:rPr>
              <w:t>万元，系募集资金银行存款累计利息收 入扣除银行手续费支出后的净额。</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21"/>
        <w:gridCol w:w="736"/>
        <w:gridCol w:w="887"/>
        <w:gridCol w:w="901"/>
        <w:gridCol w:w="721"/>
        <w:gridCol w:w="901"/>
        <w:gridCol w:w="901"/>
        <w:gridCol w:w="736"/>
        <w:gridCol w:w="721"/>
        <w:gridCol w:w="901"/>
        <w:gridCol w:w="721"/>
        <w:gridCol w:w="736"/>
      </w:tblGrid>
      <w:tr>
        <w:trPr>
          <w:trHeight w:val="1651"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75" w:right="90"/>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5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7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75" w:right="58"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4" w:right="8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8" w:lineRule="auto"/>
              <w:ind w:left="89"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8" w:lineRule="auto"/>
              <w:ind w:left="90" w:right="7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89" w:right="8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8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0" w:right="7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9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90" w:right="8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1"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50"/>
              <w:jc w:val="both"/>
              <w:rPr>
                <w:rFonts w:ascii="宋体" w:hAnsi="宋体" w:cs="宋体" w:eastAsia="宋体" w:hint="default"/>
                <w:sz w:val="18"/>
                <w:szCs w:val="18"/>
              </w:rPr>
            </w:pPr>
            <w:r>
              <w:rPr>
                <w:rFonts w:ascii="宋体" w:hAnsi="宋体" w:cs="宋体" w:eastAsia="宋体" w:hint="default"/>
                <w:sz w:val="18"/>
                <w:szCs w:val="18"/>
              </w:rPr>
              <w:t>数字营 销平台 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10,961.33</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10,945.57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1,872.61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6,598.79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60.29%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23"/>
          <w:footerReference w:type="default" r:id="rId24"/>
          <w:pgSz w:w="11910" w:h="16850"/>
          <w:pgMar w:header="866" w:footer="981" w:top="1120" w:bottom="1180" w:left="1000" w:right="0"/>
          <w:pgNumType w:start="28"/>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729"/>
        <w:gridCol w:w="728"/>
        <w:gridCol w:w="887"/>
        <w:gridCol w:w="901"/>
        <w:gridCol w:w="721"/>
        <w:gridCol w:w="901"/>
        <w:gridCol w:w="901"/>
        <w:gridCol w:w="736"/>
        <w:gridCol w:w="721"/>
        <w:gridCol w:w="901"/>
        <w:gridCol w:w="721"/>
        <w:gridCol w:w="736"/>
      </w:tblGrid>
      <w:tr>
        <w:trPr>
          <w:trHeight w:val="1651" w:hRule="exact"/>
        </w:trPr>
        <w:tc>
          <w:tcPr>
            <w:tcW w:w="7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96"/>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52" w:right="5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75" w:right="7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75" w:right="58"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74" w:right="8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38"/>
              <w:ind w:left="89"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8" w:lineRule="auto"/>
              <w:ind w:left="90" w:right="7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89" w:right="8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75" w:right="8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90" w:right="7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75" w:right="9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8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1337" w:hRule="exact"/>
        </w:trPr>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56"/>
              <w:jc w:val="both"/>
              <w:rPr>
                <w:rFonts w:ascii="宋体" w:hAnsi="宋体" w:cs="宋体" w:eastAsia="宋体" w:hint="default"/>
                <w:sz w:val="18"/>
                <w:szCs w:val="18"/>
              </w:rPr>
            </w:pPr>
            <w:r>
              <w:rPr>
                <w:rFonts w:ascii="宋体" w:hAnsi="宋体" w:cs="宋体" w:eastAsia="宋体" w:hint="default"/>
                <w:sz w:val="18"/>
                <w:szCs w:val="18"/>
              </w:rPr>
              <w:t>信息化 数字平 台升级 项目</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5"/>
              <w:jc w:val="right"/>
              <w:rPr>
                <w:rFonts w:ascii="Times New Roman" w:hAnsi="Times New Roman" w:cs="Times New Roman" w:eastAsia="Times New Roman" w:hint="default"/>
                <w:sz w:val="18"/>
                <w:szCs w:val="18"/>
              </w:rPr>
            </w:pPr>
            <w:r>
              <w:rPr>
                <w:rFonts w:ascii="Times New Roman"/>
                <w:sz w:val="18"/>
              </w:rPr>
              <w:t>936.42</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
              <w:jc w:val="right"/>
              <w:rPr>
                <w:rFonts w:ascii="Times New Roman" w:hAnsi="Times New Roman" w:cs="Times New Roman" w:eastAsia="Times New Roman" w:hint="default"/>
                <w:sz w:val="18"/>
                <w:szCs w:val="18"/>
              </w:rPr>
            </w:pPr>
            <w:r>
              <w:rPr>
                <w:rFonts w:ascii="Times New Roman"/>
                <w:sz w:val="18"/>
              </w:rPr>
              <w:t>935.07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433.53</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
              <w:jc w:val="right"/>
              <w:rPr>
                <w:rFonts w:ascii="Times New Roman" w:hAnsi="Times New Roman" w:cs="Times New Roman" w:eastAsia="Times New Roman" w:hint="default"/>
                <w:sz w:val="18"/>
                <w:szCs w:val="18"/>
              </w:rPr>
            </w:pPr>
            <w:r>
              <w:rPr>
                <w:rFonts w:ascii="Times New Roman"/>
                <w:sz w:val="18"/>
              </w:rPr>
              <w:t>516.21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
              <w:jc w:val="right"/>
              <w:rPr>
                <w:rFonts w:ascii="Times New Roman" w:hAnsi="Times New Roman" w:cs="Times New Roman" w:eastAsia="Times New Roman" w:hint="default"/>
                <w:sz w:val="18"/>
                <w:szCs w:val="18"/>
              </w:rPr>
            </w:pPr>
            <w:r>
              <w:rPr>
                <w:rFonts w:ascii="Times New Roman"/>
                <w:sz w:val="18"/>
              </w:rPr>
              <w:t>55.21%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6" w:hRule="exact"/>
        </w:trPr>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56"/>
              <w:jc w:val="both"/>
              <w:rPr>
                <w:rFonts w:ascii="宋体" w:hAnsi="宋体" w:cs="宋体" w:eastAsia="宋体" w:hint="default"/>
                <w:sz w:val="18"/>
                <w:szCs w:val="18"/>
              </w:rPr>
            </w:pPr>
            <w:r>
              <w:rPr>
                <w:rFonts w:ascii="宋体" w:hAnsi="宋体" w:cs="宋体" w:eastAsia="宋体" w:hint="default"/>
                <w:sz w:val="18"/>
                <w:szCs w:val="18"/>
              </w:rPr>
              <w:t>境内业 务网络 扩建项 目</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1,626.85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已终止</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52" w:hRule="exact"/>
        </w:trPr>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56"/>
              <w:jc w:val="both"/>
              <w:rPr>
                <w:rFonts w:ascii="宋体" w:hAnsi="宋体" w:cs="宋体" w:eastAsia="宋体" w:hint="default"/>
                <w:sz w:val="18"/>
                <w:szCs w:val="18"/>
              </w:rPr>
            </w:pPr>
            <w:r>
              <w:rPr>
                <w:rFonts w:ascii="宋体" w:hAnsi="宋体" w:cs="宋体" w:eastAsia="宋体" w:hint="default"/>
                <w:sz w:val="18"/>
                <w:szCs w:val="18"/>
              </w:rPr>
              <w:t>境外业 务网络 建设项 目</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3,997.76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已终止</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0" w:hRule="exact"/>
        </w:trPr>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6"/>
              <w:jc w:val="both"/>
              <w:rPr>
                <w:rFonts w:ascii="宋体" w:hAnsi="宋体" w:cs="宋体" w:eastAsia="宋体" w:hint="default"/>
                <w:sz w:val="18"/>
                <w:szCs w:val="18"/>
              </w:rPr>
            </w:pPr>
            <w:r>
              <w:rPr>
                <w:rFonts w:ascii="宋体" w:hAnsi="宋体" w:cs="宋体" w:eastAsia="宋体" w:hint="default"/>
                <w:sz w:val="18"/>
                <w:szCs w:val="18"/>
              </w:rPr>
              <w:t>补充流 动资金 项目</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7,380.48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12,986.4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13,029.48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100.33%</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8" w:hRule="exact"/>
        </w:trPr>
        <w:tc>
          <w:tcPr>
            <w:tcW w:w="729"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15" w:right="156"/>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8" w:type="dxa"/>
            <w:tcBorders>
              <w:top w:val="single" w:sz="6" w:space="0" w:color="000000"/>
              <w:left w:val="single" w:sz="6" w:space="0" w:color="000000"/>
              <w:bottom w:val="nil" w:sz="6" w:space="0" w:color="auto"/>
              <w:right w:val="single" w:sz="6" w:space="0" w:color="000000"/>
            </w:tcBorders>
            <w:shd w:val="clear" w:color="auto" w:fill="D2D2D2"/>
          </w:tcPr>
          <w:p>
            <w:pPr/>
          </w:p>
        </w:tc>
        <w:tc>
          <w:tcPr>
            <w:tcW w:w="887"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24,902.84</w:t>
            </w:r>
          </w:p>
        </w:tc>
        <w:tc>
          <w:tcPr>
            <w:tcW w:w="9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24,867.04</w:t>
            </w:r>
          </w:p>
        </w:tc>
        <w:tc>
          <w:tcPr>
            <w:tcW w:w="72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2,306.14</w:t>
            </w:r>
          </w:p>
        </w:tc>
        <w:tc>
          <w:tcPr>
            <w:tcW w:w="901" w:type="dxa"/>
            <w:vMerge w:val="restart"/>
            <w:tcBorders>
              <w:top w:val="single" w:sz="6" w:space="0" w:color="000000"/>
              <w:left w:val="single" w:sz="6" w:space="0" w:color="000000"/>
              <w:right w:val="single" w:sz="12"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20,144.48</w:t>
            </w:r>
          </w:p>
        </w:tc>
        <w:tc>
          <w:tcPr>
            <w:tcW w:w="901" w:type="dxa"/>
            <w:tcBorders>
              <w:top w:val="single" w:sz="6" w:space="0" w:color="000000"/>
              <w:left w:val="single" w:sz="6" w:space="0" w:color="000000"/>
              <w:bottom w:val="nil" w:sz="6" w:space="0" w:color="auto"/>
              <w:right w:val="single" w:sz="6" w:space="0" w:color="000000"/>
            </w:tcBorders>
            <w:shd w:val="clear" w:color="auto" w:fill="D2D2D2"/>
          </w:tcPr>
          <w:p>
            <w:pP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406" w:hRule="exact"/>
        </w:trPr>
        <w:tc>
          <w:tcPr>
            <w:tcW w:w="729" w:type="dxa"/>
            <w:vMerge/>
            <w:tcBorders>
              <w:left w:val="single" w:sz="6" w:space="0" w:color="000000"/>
              <w:right w:val="single" w:sz="6" w:space="0" w:color="000000"/>
            </w:tcBorders>
            <w:shd w:val="clear" w:color="auto" w:fill="D2D2D2"/>
          </w:tcPr>
          <w:p>
            <w:pPr/>
          </w:p>
        </w:tc>
        <w:tc>
          <w:tcPr>
            <w:tcW w:w="72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887" w:type="dxa"/>
            <w:vMerge/>
            <w:tcBorders>
              <w:left w:val="single" w:sz="12" w:space="0" w:color="D2D2D2"/>
              <w:right w:val="single" w:sz="6" w:space="0" w:color="000000"/>
            </w:tcBorders>
          </w:tcPr>
          <w:p>
            <w:pPr/>
          </w:p>
        </w:tc>
        <w:tc>
          <w:tcPr>
            <w:tcW w:w="901" w:type="dxa"/>
            <w:vMerge/>
            <w:tcBorders>
              <w:left w:val="single" w:sz="6" w:space="0" w:color="000000"/>
              <w:right w:val="single" w:sz="6" w:space="0" w:color="000000"/>
            </w:tcBorders>
          </w:tcPr>
          <w:p>
            <w:pPr/>
          </w:p>
        </w:tc>
        <w:tc>
          <w:tcPr>
            <w:tcW w:w="721" w:type="dxa"/>
            <w:vMerge/>
            <w:tcBorders>
              <w:left w:val="single" w:sz="6" w:space="0" w:color="000000"/>
              <w:right w:val="single" w:sz="6" w:space="0" w:color="000000"/>
            </w:tcBorders>
          </w:tcPr>
          <w:p>
            <w:pPr/>
          </w:p>
        </w:tc>
        <w:tc>
          <w:tcPr>
            <w:tcW w:w="901" w:type="dxa"/>
            <w:vMerge/>
            <w:tcBorders>
              <w:left w:val="single" w:sz="6" w:space="0" w:color="000000"/>
              <w:right w:val="single" w:sz="12" w:space="0" w:color="D2D2D2"/>
            </w:tcBorders>
          </w:tcPr>
          <w:p>
            <w:pPr/>
          </w:p>
        </w:tc>
        <w:tc>
          <w:tcPr>
            <w:tcW w:w="9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2" w:space="0" w:color="D2D2D2"/>
              <w:right w:val="single" w:sz="6" w:space="0" w:color="000000"/>
            </w:tcBorders>
          </w:tcPr>
          <w:p>
            <w:pPr/>
          </w:p>
        </w:tc>
        <w:tc>
          <w:tcPr>
            <w:tcW w:w="901" w:type="dxa"/>
            <w:vMerge/>
            <w:tcBorders>
              <w:left w:val="single" w:sz="6" w:space="0" w:color="000000"/>
              <w:right w:val="single" w:sz="6" w:space="0" w:color="000000"/>
            </w:tcBorders>
          </w:tcPr>
          <w:p>
            <w:pPr/>
          </w:p>
        </w:tc>
        <w:tc>
          <w:tcPr>
            <w:tcW w:w="72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r>
      <w:tr>
        <w:trPr>
          <w:trHeight w:val="315" w:hRule="exact"/>
        </w:trPr>
        <w:tc>
          <w:tcPr>
            <w:tcW w:w="729" w:type="dxa"/>
            <w:vMerge/>
            <w:tcBorders>
              <w:left w:val="single" w:sz="6" w:space="0" w:color="000000"/>
              <w:bottom w:val="single" w:sz="6" w:space="0" w:color="000000"/>
              <w:right w:val="single" w:sz="6" w:space="0" w:color="000000"/>
            </w:tcBorders>
            <w:shd w:val="clear" w:color="auto" w:fill="D2D2D2"/>
          </w:tcPr>
          <w:p>
            <w:pPr/>
          </w:p>
        </w:tc>
        <w:tc>
          <w:tcPr>
            <w:tcW w:w="728" w:type="dxa"/>
            <w:tcBorders>
              <w:top w:val="nil" w:sz="6" w:space="0" w:color="auto"/>
              <w:left w:val="single" w:sz="6" w:space="0" w:color="000000"/>
              <w:bottom w:val="single" w:sz="6" w:space="0" w:color="000000"/>
              <w:right w:val="single" w:sz="6" w:space="0" w:color="000000"/>
            </w:tcBorders>
            <w:shd w:val="clear" w:color="auto" w:fill="D2D2D2"/>
          </w:tcPr>
          <w:p>
            <w:pPr/>
          </w:p>
        </w:tc>
        <w:tc>
          <w:tcPr>
            <w:tcW w:w="887" w:type="dxa"/>
            <w:vMerge/>
            <w:tcBorders>
              <w:left w:val="single" w:sz="12" w:space="0" w:color="D2D2D2"/>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6" w:space="0" w:color="000000"/>
            </w:tcBorders>
          </w:tcPr>
          <w:p>
            <w:pPr/>
          </w:p>
        </w:tc>
        <w:tc>
          <w:tcPr>
            <w:tcW w:w="721" w:type="dxa"/>
            <w:vMerge/>
            <w:tcBorders>
              <w:left w:val="single" w:sz="6" w:space="0" w:color="000000"/>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12" w:space="0" w:color="D2D2D2"/>
            </w:tcBorders>
          </w:tcPr>
          <w:p>
            <w:pPr/>
          </w:p>
        </w:tc>
        <w:tc>
          <w:tcPr>
            <w:tcW w:w="901" w:type="dxa"/>
            <w:tcBorders>
              <w:top w:val="nil" w:sz="6" w:space="0" w:color="auto"/>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c>
          <w:tcPr>
            <w:tcW w:w="721" w:type="dxa"/>
            <w:vMerge/>
            <w:tcBorders>
              <w:left w:val="single" w:sz="12" w:space="0" w:color="D2D2D2"/>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8"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5" w:hRule="exact"/>
        </w:trPr>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8"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24,902.84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24,867.04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2,306.14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20,144.48</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r>
      <w:tr>
        <w:trPr>
          <w:trHeight w:val="4144" w:hRule="exact"/>
        </w:trPr>
        <w:tc>
          <w:tcPr>
            <w:tcW w:w="729"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5" w:right="141"/>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21" w:lineRule="auto" w:before="20"/>
              <w:ind w:left="15" w:right="-37"/>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53" w:type="dxa"/>
            <w:gridSpan w:val="11"/>
            <w:tcBorders>
              <w:top w:val="single" w:sz="6" w:space="0" w:color="000000"/>
              <w:left w:val="single" w:sz="18" w:space="0" w:color="FFFFFF"/>
              <w:bottom w:val="single" w:sz="6" w:space="0" w:color="000000"/>
              <w:right w:val="single" w:sz="6" w:space="0" w:color="000000"/>
            </w:tcBorders>
          </w:tcPr>
          <w:p>
            <w:pPr>
              <w:pStyle w:val="TableParagraph"/>
              <w:spacing w:line="312" w:lineRule="auto" w:before="45"/>
              <w:ind w:left="7"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、数字营销平台项目：延长</w:t>
            </w:r>
            <w:r>
              <w:rPr>
                <w:rFonts w:ascii="Times New Roman" w:hAnsi="Times New Roman" w:cs="Times New Roman" w:eastAsia="Times New Roman" w:hint="default"/>
                <w:sz w:val="18"/>
                <w:szCs w:val="18"/>
              </w:rPr>
              <w:t>“</w:t>
            </w:r>
            <w:r>
              <w:rPr>
                <w:rFonts w:ascii="宋体" w:hAnsi="宋体" w:cs="宋体" w:eastAsia="宋体" w:hint="default"/>
                <w:sz w:val="18"/>
                <w:szCs w:val="18"/>
              </w:rPr>
              <w:t>数字营销平台项目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建设期的原因主要系在移动互联网和数字传播技术迅猛发展的</w:t>
            </w:r>
            <w:r>
              <w:rPr>
                <w:rFonts w:ascii="宋体" w:hAnsi="宋体" w:cs="宋体" w:eastAsia="宋体" w:hint="default"/>
                <w:spacing w:val="-82"/>
                <w:sz w:val="18"/>
                <w:szCs w:val="18"/>
              </w:rPr>
              <w:t> </w:t>
            </w:r>
            <w:r>
              <w:rPr>
                <w:rFonts w:ascii="宋体" w:hAnsi="宋体" w:cs="宋体" w:eastAsia="宋体" w:hint="default"/>
                <w:sz w:val="18"/>
                <w:szCs w:val="18"/>
              </w:rPr>
              <w:t>大趋势下，面对媒体、传播形态和公众信息获取方式、消费态度的颠覆性变化，公司经综合考量，放缓了投资进</w:t>
            </w:r>
            <w:r>
              <w:rPr>
                <w:rFonts w:ascii="宋体" w:hAnsi="宋体" w:cs="宋体" w:eastAsia="宋体" w:hint="default"/>
                <w:sz w:val="18"/>
                <w:szCs w:val="18"/>
              </w:rPr>
              <w:t> 程。由于市场变化较快，媒介渠道、客户需求变化迅速，技术迭代加速、</w:t>
            </w:r>
            <w:r>
              <w:rPr>
                <w:rFonts w:ascii="Times New Roman" w:hAnsi="Times New Roman" w:cs="Times New Roman" w:eastAsia="Times New Roman" w:hint="default"/>
                <w:sz w:val="18"/>
                <w:szCs w:val="18"/>
              </w:rPr>
              <w:t>IT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技术人员及项目执行等高素质人才</w:t>
            </w:r>
          </w:p>
          <w:p>
            <w:pPr>
              <w:pStyle w:val="TableParagraph"/>
              <w:spacing w:line="321" w:lineRule="auto"/>
              <w:ind w:left="7" w:right="-5"/>
              <w:jc w:val="both"/>
              <w:rPr>
                <w:rFonts w:ascii="宋体" w:hAnsi="宋体" w:cs="宋体" w:eastAsia="宋体" w:hint="default"/>
                <w:sz w:val="18"/>
                <w:szCs w:val="18"/>
              </w:rPr>
            </w:pPr>
            <w:r>
              <w:rPr>
                <w:rFonts w:ascii="宋体" w:hAnsi="宋体" w:cs="宋体" w:eastAsia="宋体" w:hint="default"/>
                <w:sz w:val="18"/>
                <w:szCs w:val="18"/>
              </w:rPr>
              <w:t>流失等诸多因素，公司若仍按照原计划进行投资，可能导致项目投入产出比无法达到预期效果，从而影响公司的 持续盈利能力。本着对全体投资者负责的态度，避免因盲目追求募投项目投资进度带来的投资风险，为确保募集 资金使用的高效性，实现公司与投资者的利益最大化，公司在已使用部分募集资金进行研发、软硬件等合理投入 的基础上，采取了较为审慎的募集资金投入策略。因此，根据目前项目实施的具体情况，经慎重考虑，公司董事 会决定延长数字营销平台项目建设期，将建设期延长至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、信息化数字平台升级项目：延长</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信</w:t>
            </w:r>
          </w:p>
          <w:p>
            <w:pPr>
              <w:pStyle w:val="TableParagraph"/>
              <w:spacing w:line="297" w:lineRule="auto"/>
              <w:ind w:left="7" w:right="-5"/>
              <w:jc w:val="left"/>
              <w:rPr>
                <w:rFonts w:ascii="宋体" w:hAnsi="宋体" w:cs="宋体" w:eastAsia="宋体" w:hint="default"/>
                <w:sz w:val="18"/>
                <w:szCs w:val="18"/>
              </w:rPr>
            </w:pPr>
            <w:r>
              <w:rPr>
                <w:rFonts w:ascii="宋体" w:hAnsi="宋体" w:cs="宋体" w:eastAsia="宋体" w:hint="default"/>
                <w:sz w:val="18"/>
                <w:szCs w:val="18"/>
              </w:rPr>
              <w:t>息化数字平台升级项目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建设期的原因主要系公司所处行业发生的变化。随着近年来互联网和移动互联网营销市 场环境和技术环境发生较大变化，公司为精准改造内部管理系统，以全面对接移动互联时代的管理和办公需求， 从而更好地适应业务发展和业务技术全面升级的需要。公司管理层秉持谨慎投资的态度，经反复研讨论证，该项</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目已于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月正式启动</w:t>
            </w:r>
            <w:r>
              <w:rPr>
                <w:rFonts w:ascii="宋体" w:hAnsi="宋体" w:cs="宋体" w:eastAsia="宋体" w:hint="default"/>
                <w:spacing w:val="-90"/>
                <w:sz w:val="18"/>
                <w:szCs w:val="18"/>
              </w:rPr>
              <w:t>，</w:t>
            </w:r>
            <w:r>
              <w:rPr>
                <w:rFonts w:ascii="宋体" w:hAnsi="宋体" w:cs="宋体" w:eastAsia="宋体" w:hint="default"/>
                <w:sz w:val="18"/>
                <w:szCs w:val="18"/>
              </w:rPr>
              <w:t>因启动时间延期</w:t>
            </w:r>
            <w:r>
              <w:rPr>
                <w:rFonts w:ascii="宋体" w:hAnsi="宋体" w:cs="宋体" w:eastAsia="宋体" w:hint="default"/>
                <w:spacing w:val="-90"/>
                <w:sz w:val="18"/>
                <w:szCs w:val="18"/>
              </w:rPr>
              <w:t>，</w:t>
            </w:r>
            <w:r>
              <w:rPr>
                <w:rFonts w:ascii="宋体" w:hAnsi="宋体" w:cs="宋体" w:eastAsia="宋体" w:hint="default"/>
                <w:sz w:val="18"/>
                <w:szCs w:val="18"/>
              </w:rPr>
              <w:t>该募投项目的完成日期也将相应延期</w:t>
            </w:r>
            <w:r>
              <w:rPr>
                <w:rFonts w:ascii="宋体" w:hAnsi="宋体" w:cs="宋体" w:eastAsia="宋体" w:hint="default"/>
                <w:spacing w:val="-90"/>
                <w:sz w:val="18"/>
                <w:szCs w:val="18"/>
              </w:rPr>
              <w:t>，</w:t>
            </w:r>
            <w:r>
              <w:rPr>
                <w:rFonts w:ascii="宋体" w:hAnsi="宋体" w:cs="宋体" w:eastAsia="宋体" w:hint="default"/>
                <w:sz w:val="18"/>
                <w:szCs w:val="18"/>
              </w:rPr>
              <w:t>将建设期延长至</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706"/>
        <w:gridCol w:w="736"/>
        <w:gridCol w:w="901"/>
        <w:gridCol w:w="894"/>
        <w:gridCol w:w="729"/>
        <w:gridCol w:w="901"/>
        <w:gridCol w:w="901"/>
        <w:gridCol w:w="721"/>
        <w:gridCol w:w="736"/>
        <w:gridCol w:w="894"/>
        <w:gridCol w:w="729"/>
        <w:gridCol w:w="728"/>
      </w:tblGrid>
      <w:tr>
        <w:trPr>
          <w:trHeight w:val="158" w:hRule="exact"/>
        </w:trPr>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67" w:right="81"/>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c>
          <w:tcPr>
            <w:tcW w:w="901" w:type="dxa"/>
            <w:vMerge w:val="restart"/>
            <w:tcBorders>
              <w:top w:val="single" w:sz="6" w:space="0" w:color="000000"/>
              <w:left w:val="single" w:sz="6" w:space="0" w:color="000000"/>
              <w:right w:val="single" w:sz="6" w:space="0" w:color="000000"/>
            </w:tcBorders>
            <w:shd w:val="clear" w:color="auto" w:fill="D2D2D2"/>
          </w:tcPr>
          <w:p>
            <w:pPr/>
          </w:p>
        </w:tc>
        <w:tc>
          <w:tcPr>
            <w:tcW w:w="894" w:type="dxa"/>
            <w:vMerge w:val="restart"/>
            <w:tcBorders>
              <w:top w:val="single" w:sz="6" w:space="0" w:color="000000"/>
              <w:left w:val="single" w:sz="6" w:space="0" w:color="000000"/>
              <w:right w:val="single" w:sz="6" w:space="0" w:color="000000"/>
            </w:tcBorders>
            <w:shd w:val="clear" w:color="auto" w:fill="D2D2D2"/>
          </w:tcPr>
          <w:p>
            <w:pPr/>
          </w:p>
        </w:tc>
        <w:tc>
          <w:tcPr>
            <w:tcW w:w="729" w:type="dxa"/>
            <w:vMerge w:val="restart"/>
            <w:tcBorders>
              <w:top w:val="single" w:sz="6" w:space="0" w:color="000000"/>
              <w:left w:val="single" w:sz="6" w:space="0" w:color="000000"/>
              <w:right w:val="single" w:sz="6" w:space="0" w:color="000000"/>
            </w:tcBorders>
            <w:shd w:val="clear" w:color="auto" w:fill="D2D2D2"/>
          </w:tcPr>
          <w:p>
            <w:pPr/>
          </w:p>
        </w:tc>
        <w:tc>
          <w:tcPr>
            <w:tcW w:w="901" w:type="dxa"/>
            <w:vMerge w:val="restart"/>
            <w:tcBorders>
              <w:top w:val="single" w:sz="6" w:space="0" w:color="000000"/>
              <w:left w:val="single" w:sz="6" w:space="0" w:color="000000"/>
              <w:right w:val="single" w:sz="6" w:space="0" w:color="000000"/>
            </w:tcBorders>
            <w:shd w:val="clear" w:color="auto" w:fill="D2D2D2"/>
          </w:tcPr>
          <w:p>
            <w:pPr/>
          </w:p>
        </w:tc>
        <w:tc>
          <w:tcPr>
            <w:tcW w:w="901"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82" w:right="81"/>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82" w:right="9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4" w:type="dxa"/>
            <w:tcBorders>
              <w:top w:val="single" w:sz="6" w:space="0" w:color="000000"/>
              <w:left w:val="single" w:sz="6" w:space="0" w:color="000000"/>
              <w:bottom w:val="nil" w:sz="6" w:space="0" w:color="auto"/>
              <w:right w:val="single" w:sz="6" w:space="0" w:color="000000"/>
            </w:tcBorders>
            <w:shd w:val="clear" w:color="auto" w:fill="D2D2D2"/>
          </w:tcPr>
          <w:p>
            <w:pPr/>
          </w:p>
        </w:tc>
        <w:tc>
          <w:tcPr>
            <w:tcW w:w="729" w:type="dxa"/>
            <w:vMerge w:val="restart"/>
            <w:tcBorders>
              <w:top w:val="single" w:sz="6" w:space="0" w:color="000000"/>
              <w:left w:val="single" w:sz="6" w:space="0" w:color="000000"/>
              <w:right w:val="single" w:sz="6" w:space="0" w:color="000000"/>
            </w:tcBorders>
            <w:shd w:val="clear" w:color="auto" w:fill="D2D2D2"/>
          </w:tcPr>
          <w:p>
            <w:pPr/>
          </w:p>
        </w:tc>
        <w:tc>
          <w:tcPr>
            <w:tcW w:w="72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82" w:right="8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150" w:hRule="exact"/>
        </w:trPr>
        <w:tc>
          <w:tcPr>
            <w:tcW w:w="706" w:type="dxa"/>
            <w:vMerge/>
            <w:tcBorders>
              <w:left w:val="single" w:sz="6" w:space="0" w:color="000000"/>
              <w:right w:val="single" w:sz="6" w:space="0" w:color="000000"/>
            </w:tcBorders>
            <w:shd w:val="clear" w:color="auto" w:fill="D2D2D2"/>
          </w:tcPr>
          <w:p>
            <w:pPr/>
          </w:p>
        </w:tc>
        <w:tc>
          <w:tcPr>
            <w:tcW w:w="73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7" w:right="50"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01" w:type="dxa"/>
            <w:vMerge/>
            <w:tcBorders>
              <w:left w:val="single" w:sz="6" w:space="0" w:color="000000"/>
              <w:bottom w:val="nil" w:sz="6" w:space="0" w:color="auto"/>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tcBorders>
              <w:left w:val="single" w:sz="6" w:space="0" w:color="000000"/>
              <w:bottom w:val="nil" w:sz="6" w:space="0" w:color="auto"/>
              <w:right w:val="single" w:sz="6" w:space="0" w:color="000000"/>
            </w:tcBorders>
            <w:shd w:val="clear" w:color="auto" w:fill="D2D2D2"/>
          </w:tcPr>
          <w:p>
            <w:pPr/>
          </w:p>
        </w:tc>
        <w:tc>
          <w:tcPr>
            <w:tcW w:w="901" w:type="dxa"/>
            <w:vMerge/>
            <w:tcBorders>
              <w:left w:val="single" w:sz="6" w:space="0" w:color="000000"/>
              <w:bottom w:val="nil" w:sz="6" w:space="0" w:color="auto"/>
              <w:right w:val="single" w:sz="6" w:space="0" w:color="000000"/>
            </w:tcBorders>
            <w:shd w:val="clear" w:color="auto" w:fill="D2D2D2"/>
          </w:tcPr>
          <w:p>
            <w:pPr/>
          </w:p>
        </w:tc>
        <w:tc>
          <w:tcPr>
            <w:tcW w:w="901" w:type="dxa"/>
            <w:vMerge w:val="restart"/>
            <w:tcBorders>
              <w:top w:val="nil" w:sz="6" w:space="0" w:color="auto"/>
              <w:left w:val="single" w:sz="6" w:space="0" w:color="000000"/>
              <w:right w:val="single" w:sz="6" w:space="0" w:color="000000"/>
            </w:tcBorders>
            <w:shd w:val="clear" w:color="auto" w:fill="D2D2D2"/>
          </w:tcPr>
          <w:p>
            <w:pPr>
              <w:pStyle w:val="TableParagraph"/>
              <w:spacing w:line="328" w:lineRule="auto" w:before="44"/>
              <w:ind w:left="82" w:right="8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82" w:right="7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9" w:type="dxa"/>
            <w:vMerge/>
            <w:tcBorders>
              <w:left w:val="single" w:sz="6" w:space="0" w:color="000000"/>
              <w:bottom w:val="nil" w:sz="6" w:space="0" w:color="auto"/>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65" w:hRule="exact"/>
        </w:trPr>
        <w:tc>
          <w:tcPr>
            <w:tcW w:w="706"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90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82" w:right="8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4" w:type="dxa"/>
            <w:vMerge/>
            <w:tcBorders>
              <w:left w:val="single" w:sz="6" w:space="0" w:color="000000"/>
              <w:bottom w:val="nil" w:sz="6" w:space="0" w:color="auto"/>
              <w:right w:val="single" w:sz="6" w:space="0" w:color="000000"/>
            </w:tcBorders>
            <w:shd w:val="clear" w:color="auto" w:fill="D2D2D2"/>
          </w:tcPr>
          <w:p>
            <w:pPr/>
          </w:p>
        </w:tc>
        <w:tc>
          <w:tcPr>
            <w:tcW w:w="729"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74" w:right="9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01" w:type="dxa"/>
            <w:vMerge w:val="restart"/>
            <w:tcBorders>
              <w:top w:val="nil" w:sz="6" w:space="0" w:color="auto"/>
              <w:left w:val="single" w:sz="6" w:space="0" w:color="000000"/>
              <w:right w:val="single" w:sz="6" w:space="0" w:color="000000"/>
            </w:tcBorders>
            <w:shd w:val="clear" w:color="auto" w:fill="D2D2D2"/>
          </w:tcPr>
          <w:p>
            <w:pPr>
              <w:pStyle w:val="TableParagraph"/>
              <w:spacing w:line="328" w:lineRule="auto" w:before="45"/>
              <w:ind w:left="82"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01"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75" w:right="9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8" w:type="dxa"/>
            <w:vMerge/>
            <w:tcBorders>
              <w:left w:val="single" w:sz="6" w:space="0" w:color="000000"/>
              <w:right w:val="single" w:sz="6" w:space="0" w:color="000000"/>
            </w:tcBorders>
            <w:shd w:val="clear" w:color="auto" w:fill="D2D2D2"/>
          </w:tcPr>
          <w:p>
            <w:pPr/>
          </w:p>
        </w:tc>
      </w:tr>
      <w:tr>
        <w:trPr>
          <w:trHeight w:val="706" w:hRule="exact"/>
        </w:trPr>
        <w:tc>
          <w:tcPr>
            <w:tcW w:w="706"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8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67" w:right="58"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9"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tcBorders>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0" w:hRule="exact"/>
        </w:trPr>
        <w:tc>
          <w:tcPr>
            <w:tcW w:w="706"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901" w:type="dxa"/>
            <w:vMerge/>
            <w:tcBorders>
              <w:left w:val="single" w:sz="6" w:space="0" w:color="000000"/>
              <w:bottom w:val="nil" w:sz="6" w:space="0" w:color="auto"/>
              <w:right w:val="single" w:sz="6" w:space="0" w:color="000000"/>
            </w:tcBorders>
            <w:shd w:val="clear" w:color="auto" w:fill="D2D2D2"/>
          </w:tcPr>
          <w:p>
            <w:pPr/>
          </w:p>
        </w:tc>
        <w:tc>
          <w:tcPr>
            <w:tcW w:w="894" w:type="dxa"/>
            <w:vMerge w:val="restart"/>
            <w:tcBorders>
              <w:top w:val="nil" w:sz="6" w:space="0" w:color="auto"/>
              <w:left w:val="single" w:sz="6" w:space="0" w:color="000000"/>
              <w:right w:val="single" w:sz="6" w:space="0" w:color="000000"/>
            </w:tcBorders>
            <w:shd w:val="clear" w:color="auto" w:fill="D2D2D2"/>
          </w:tcPr>
          <w:p>
            <w:pPr/>
          </w:p>
        </w:tc>
        <w:tc>
          <w:tcPr>
            <w:tcW w:w="729" w:type="dxa"/>
            <w:vMerge/>
            <w:tcBorders>
              <w:left w:val="single" w:sz="6" w:space="0" w:color="000000"/>
              <w:bottom w:val="nil" w:sz="6" w:space="0" w:color="auto"/>
              <w:right w:val="single" w:sz="6" w:space="0" w:color="000000"/>
            </w:tcBorders>
            <w:shd w:val="clear" w:color="auto" w:fill="D2D2D2"/>
          </w:tcPr>
          <w:p>
            <w:pPr/>
          </w:p>
        </w:tc>
        <w:tc>
          <w:tcPr>
            <w:tcW w:w="901" w:type="dxa"/>
            <w:vMerge/>
            <w:tcBorders>
              <w:left w:val="single" w:sz="6" w:space="0" w:color="000000"/>
              <w:bottom w:val="nil" w:sz="6" w:space="0" w:color="auto"/>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tcBorders>
              <w:left w:val="single" w:sz="6" w:space="0" w:color="000000"/>
              <w:bottom w:val="nil" w:sz="6" w:space="0" w:color="auto"/>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65" w:hRule="exact"/>
        </w:trPr>
        <w:tc>
          <w:tcPr>
            <w:tcW w:w="706" w:type="dxa"/>
            <w:vMerge/>
            <w:tcBorders>
              <w:left w:val="single" w:sz="6" w:space="0" w:color="000000"/>
              <w:right w:val="single" w:sz="6" w:space="0" w:color="000000"/>
            </w:tcBorders>
            <w:shd w:val="clear" w:color="auto" w:fill="D2D2D2"/>
          </w:tcPr>
          <w:p>
            <w:pPr/>
          </w:p>
        </w:tc>
        <w:tc>
          <w:tcPr>
            <w:tcW w:w="736" w:type="dxa"/>
            <w:vMerge/>
            <w:tcBorders>
              <w:left w:val="single" w:sz="6" w:space="0" w:color="000000"/>
              <w:bottom w:val="nil" w:sz="6" w:space="0" w:color="auto"/>
              <w:right w:val="single" w:sz="6" w:space="0" w:color="000000"/>
            </w:tcBorders>
            <w:shd w:val="clear" w:color="auto" w:fill="D2D2D2"/>
          </w:tcPr>
          <w:p>
            <w:pPr/>
          </w:p>
        </w:tc>
        <w:tc>
          <w:tcPr>
            <w:tcW w:w="901" w:type="dxa"/>
            <w:vMerge w:val="restart"/>
            <w:tcBorders>
              <w:top w:val="nil" w:sz="6" w:space="0" w:color="auto"/>
              <w:left w:val="single" w:sz="6" w:space="0" w:color="000000"/>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val="restart"/>
            <w:tcBorders>
              <w:top w:val="nil" w:sz="6" w:space="0" w:color="auto"/>
              <w:left w:val="single" w:sz="6" w:space="0" w:color="000000"/>
              <w:right w:val="single" w:sz="6" w:space="0" w:color="000000"/>
            </w:tcBorders>
            <w:shd w:val="clear" w:color="auto" w:fill="D2D2D2"/>
          </w:tcPr>
          <w:p>
            <w:pPr/>
          </w:p>
        </w:tc>
        <w:tc>
          <w:tcPr>
            <w:tcW w:w="901" w:type="dxa"/>
            <w:vMerge w:val="restart"/>
            <w:tcBorders>
              <w:top w:val="nil" w:sz="6" w:space="0" w:color="auto"/>
              <w:left w:val="single" w:sz="6" w:space="0" w:color="000000"/>
              <w:right w:val="single" w:sz="6" w:space="0" w:color="000000"/>
            </w:tcBorders>
            <w:shd w:val="clear" w:color="auto" w:fill="D2D2D2"/>
          </w:tcPr>
          <w:p>
            <w:pPr/>
          </w:p>
        </w:tc>
        <w:tc>
          <w:tcPr>
            <w:tcW w:w="901"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tcBorders>
              <w:left w:val="single" w:sz="6" w:space="0" w:color="000000"/>
              <w:bottom w:val="nil" w:sz="6" w:space="0" w:color="auto"/>
              <w:right w:val="single" w:sz="6" w:space="0" w:color="000000"/>
            </w:tcBorders>
            <w:shd w:val="clear" w:color="auto" w:fill="D2D2D2"/>
          </w:tcPr>
          <w:p>
            <w:pPr/>
          </w:p>
        </w:tc>
        <w:tc>
          <w:tcPr>
            <w:tcW w:w="729" w:type="dxa"/>
            <w:vMerge w:val="restart"/>
            <w:tcBorders>
              <w:top w:val="nil" w:sz="6" w:space="0" w:color="auto"/>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7" w:hRule="exact"/>
        </w:trPr>
        <w:tc>
          <w:tcPr>
            <w:tcW w:w="70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894" w:type="dxa"/>
            <w:vMerge/>
            <w:tcBorders>
              <w:left w:val="single" w:sz="6" w:space="0" w:color="000000"/>
              <w:bottom w:val="single" w:sz="6" w:space="0" w:color="000000"/>
              <w:right w:val="single" w:sz="6" w:space="0" w:color="000000"/>
            </w:tcBorders>
            <w:shd w:val="clear" w:color="auto" w:fill="D2D2D2"/>
          </w:tcPr>
          <w:p>
            <w:pPr/>
          </w:p>
        </w:tc>
        <w:tc>
          <w:tcPr>
            <w:tcW w:w="729" w:type="dxa"/>
            <w:vMerge/>
            <w:tcBorders>
              <w:left w:val="single" w:sz="6"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901" w:type="dxa"/>
            <w:tcBorders>
              <w:top w:val="nil" w:sz="6" w:space="0" w:color="auto"/>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894" w:type="dxa"/>
            <w:tcBorders>
              <w:top w:val="nil" w:sz="6" w:space="0" w:color="auto"/>
              <w:left w:val="single" w:sz="6" w:space="0" w:color="000000"/>
              <w:bottom w:val="single" w:sz="6" w:space="0" w:color="000000"/>
              <w:right w:val="single" w:sz="6" w:space="0" w:color="000000"/>
            </w:tcBorders>
            <w:shd w:val="clear" w:color="auto" w:fill="D2D2D2"/>
          </w:tcPr>
          <w:p>
            <w:pPr/>
          </w:p>
        </w:tc>
        <w:tc>
          <w:tcPr>
            <w:tcW w:w="729" w:type="dxa"/>
            <w:vMerge/>
            <w:tcBorders>
              <w:left w:val="single" w:sz="6" w:space="0" w:color="000000"/>
              <w:bottom w:val="single" w:sz="6" w:space="0" w:color="000000"/>
              <w:right w:val="single" w:sz="6" w:space="0" w:color="000000"/>
            </w:tcBorders>
            <w:shd w:val="clear" w:color="auto" w:fill="D2D2D2"/>
          </w:tcPr>
          <w:p>
            <w:pPr/>
          </w:p>
        </w:tc>
        <w:tc>
          <w:tcPr>
            <w:tcW w:w="728" w:type="dxa"/>
            <w:vMerge/>
            <w:tcBorders>
              <w:left w:val="single" w:sz="6" w:space="0" w:color="000000"/>
              <w:bottom w:val="single" w:sz="6" w:space="0" w:color="000000"/>
              <w:right w:val="single" w:sz="6" w:space="0" w:color="000000"/>
            </w:tcBorders>
            <w:shd w:val="clear" w:color="auto" w:fill="D2D2D2"/>
          </w:tcPr>
          <w:p>
            <w:pPr/>
          </w:p>
        </w:tc>
      </w:tr>
      <w:tr>
        <w:trPr>
          <w:trHeight w:val="1967" w:hRule="exact"/>
        </w:trPr>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42"/>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6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6" w:hRule="exact"/>
        </w:trPr>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29"/>
              <w:ind w:left="7" w:right="21"/>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5"/>
                <w:sz w:val="18"/>
                <w:szCs w:val="18"/>
              </w:rPr>
              <w:t>额、用途</w:t>
            </w:r>
            <w:r>
              <w:rPr>
                <w:rFonts w:ascii="宋体" w:hAnsi="宋体" w:cs="宋体" w:eastAsia="宋体" w:hint="default"/>
                <w:sz w:val="18"/>
                <w:szCs w:val="18"/>
              </w:rPr>
              <w:t> 及使用 进展情 况</w:t>
            </w:r>
          </w:p>
        </w:tc>
        <w:tc>
          <w:tcPr>
            <w:tcW w:w="886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06" w:type="dxa"/>
            <w:vMerge/>
            <w:tcBorders>
              <w:left w:val="single" w:sz="6" w:space="0" w:color="000000"/>
              <w:bottom w:val="single" w:sz="6" w:space="0" w:color="000000"/>
              <w:right w:val="single" w:sz="6" w:space="0" w:color="000000"/>
            </w:tcBorders>
            <w:shd w:val="clear" w:color="auto" w:fill="D2D2D2"/>
          </w:tcPr>
          <w:p>
            <w:pPr/>
          </w:p>
        </w:tc>
        <w:tc>
          <w:tcPr>
            <w:tcW w:w="8868" w:type="dxa"/>
            <w:gridSpan w:val="11"/>
            <w:tcBorders>
              <w:top w:val="single" w:sz="6" w:space="0" w:color="000000"/>
              <w:left w:val="single" w:sz="12" w:space="0" w:color="000000"/>
              <w:bottom w:val="single" w:sz="6" w:space="0" w:color="000000"/>
              <w:right w:val="single" w:sz="6" w:space="0" w:color="000000"/>
            </w:tcBorders>
          </w:tcPr>
          <w:p>
            <w:pPr/>
          </w:p>
        </w:tc>
      </w:tr>
      <w:tr>
        <w:trPr>
          <w:trHeight w:val="391" w:hRule="exact"/>
        </w:trPr>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30"/>
              <w:ind w:left="7" w:right="141"/>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6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706" w:type="dxa"/>
            <w:vMerge/>
            <w:tcBorders>
              <w:left w:val="single" w:sz="6" w:space="0" w:color="000000"/>
              <w:right w:val="single" w:sz="6" w:space="0" w:color="000000"/>
            </w:tcBorders>
            <w:shd w:val="clear" w:color="auto" w:fill="D2D2D2"/>
          </w:tcPr>
          <w:p>
            <w:pPr/>
          </w:p>
        </w:tc>
        <w:tc>
          <w:tcPr>
            <w:tcW w:w="8868" w:type="dxa"/>
            <w:gridSpan w:val="11"/>
            <w:tcBorders>
              <w:top w:val="single" w:sz="6" w:space="0" w:color="000000"/>
              <w:left w:val="single" w:sz="12" w:space="0" w:color="000000"/>
              <w:bottom w:val="single" w:sz="6" w:space="0" w:color="000000"/>
              <w:right w:val="single" w:sz="6" w:space="0" w:color="000000"/>
            </w:tcBorders>
          </w:tcPr>
          <w:p>
            <w:pPr/>
          </w:p>
        </w:tc>
      </w:tr>
      <w:tr>
        <w:trPr>
          <w:trHeight w:val="1156" w:hRule="exact"/>
        </w:trPr>
        <w:tc>
          <w:tcPr>
            <w:tcW w:w="706" w:type="dxa"/>
            <w:vMerge/>
            <w:tcBorders>
              <w:left w:val="single" w:sz="6" w:space="0" w:color="000000"/>
              <w:bottom w:val="single" w:sz="6" w:space="0" w:color="000000"/>
              <w:right w:val="single" w:sz="6" w:space="0" w:color="000000"/>
            </w:tcBorders>
            <w:shd w:val="clear" w:color="auto" w:fill="D2D2D2"/>
          </w:tcPr>
          <w:p>
            <w:pPr/>
          </w:p>
        </w:tc>
        <w:tc>
          <w:tcPr>
            <w:tcW w:w="8868" w:type="dxa"/>
            <w:gridSpan w:val="11"/>
            <w:tcBorders>
              <w:top w:val="single" w:sz="6" w:space="0" w:color="000000"/>
              <w:left w:val="single" w:sz="12" w:space="0" w:color="000000"/>
              <w:bottom w:val="single" w:sz="6" w:space="0" w:color="000000"/>
              <w:right w:val="single" w:sz="6" w:space="0" w:color="000000"/>
            </w:tcBorders>
          </w:tcPr>
          <w:p>
            <w:pPr/>
          </w:p>
        </w:tc>
      </w:tr>
      <w:tr>
        <w:trPr>
          <w:trHeight w:val="406" w:hRule="exact"/>
        </w:trPr>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44"/>
              <w:ind w:left="7" w:right="141"/>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6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706" w:type="dxa"/>
            <w:vMerge/>
            <w:tcBorders>
              <w:left w:val="single" w:sz="6" w:space="0" w:color="000000"/>
              <w:right w:val="single" w:sz="6" w:space="0" w:color="000000"/>
            </w:tcBorders>
            <w:shd w:val="clear" w:color="auto" w:fill="D2D2D2"/>
          </w:tcPr>
          <w:p>
            <w:pPr/>
          </w:p>
        </w:tc>
        <w:tc>
          <w:tcPr>
            <w:tcW w:w="8868" w:type="dxa"/>
            <w:gridSpan w:val="11"/>
            <w:tcBorders>
              <w:top w:val="single" w:sz="6" w:space="0" w:color="000000"/>
              <w:left w:val="single" w:sz="12" w:space="0" w:color="000000"/>
              <w:bottom w:val="single" w:sz="6" w:space="0" w:color="000000"/>
              <w:right w:val="single" w:sz="6" w:space="0" w:color="000000"/>
            </w:tcBorders>
          </w:tcPr>
          <w:p>
            <w:pPr/>
          </w:p>
        </w:tc>
      </w:tr>
      <w:tr>
        <w:trPr>
          <w:trHeight w:val="1156" w:hRule="exact"/>
        </w:trPr>
        <w:tc>
          <w:tcPr>
            <w:tcW w:w="706" w:type="dxa"/>
            <w:vMerge/>
            <w:tcBorders>
              <w:left w:val="single" w:sz="6" w:space="0" w:color="000000"/>
              <w:bottom w:val="single" w:sz="6" w:space="0" w:color="000000"/>
              <w:right w:val="single" w:sz="6" w:space="0" w:color="000000"/>
            </w:tcBorders>
            <w:shd w:val="clear" w:color="auto" w:fill="D2D2D2"/>
          </w:tcPr>
          <w:p>
            <w:pPr/>
          </w:p>
        </w:tc>
        <w:tc>
          <w:tcPr>
            <w:tcW w:w="8868" w:type="dxa"/>
            <w:gridSpan w:val="11"/>
            <w:tcBorders>
              <w:top w:val="single" w:sz="6" w:space="0" w:color="000000"/>
              <w:left w:val="single" w:sz="12" w:space="0" w:color="000000"/>
              <w:bottom w:val="single" w:sz="6" w:space="0" w:color="000000"/>
              <w:right w:val="single" w:sz="6" w:space="0" w:color="000000"/>
            </w:tcBorders>
          </w:tcPr>
          <w:p>
            <w:pPr/>
          </w:p>
        </w:tc>
      </w:tr>
      <w:tr>
        <w:trPr>
          <w:trHeight w:val="405" w:hRule="exact"/>
        </w:trPr>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90"/>
              <w:ind w:left="7" w:right="141"/>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6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2" w:hRule="exact"/>
        </w:trPr>
        <w:tc>
          <w:tcPr>
            <w:tcW w:w="706" w:type="dxa"/>
            <w:vMerge/>
            <w:tcBorders>
              <w:left w:val="single" w:sz="6" w:space="0" w:color="000000"/>
              <w:bottom w:val="single" w:sz="6" w:space="0" w:color="000000"/>
              <w:right w:val="single" w:sz="6" w:space="0" w:color="000000"/>
            </w:tcBorders>
            <w:shd w:val="clear" w:color="auto" w:fill="D2D2D2"/>
          </w:tcPr>
          <w:p>
            <w:pPr/>
          </w:p>
        </w:tc>
        <w:tc>
          <w:tcPr>
            <w:tcW w:w="886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76" w:lineRule="auto" w:before="59"/>
              <w:ind w:left="30" w:right="28"/>
              <w:jc w:val="left"/>
              <w:rPr>
                <w:rFonts w:ascii="宋体" w:hAnsi="宋体" w:cs="宋体" w:eastAsia="宋体" w:hint="default"/>
                <w:sz w:val="18"/>
                <w:szCs w:val="18"/>
              </w:rPr>
            </w:pPr>
            <w:r>
              <w:rPr>
                <w:rFonts w:ascii="宋体" w:hAnsi="宋体" w:cs="宋体" w:eastAsia="宋体" w:hint="default"/>
                <w:sz w:val="18"/>
                <w:szCs w:val="18"/>
              </w:rPr>
              <w:t>根据《深圳证券交易所创业板上市公司规范运作指引》等法律法规的有关规定，本公司于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 </w:t>
            </w:r>
            <w:r>
              <w:rPr>
                <w:rFonts w:ascii="宋体" w:hAnsi="宋体" w:cs="宋体" w:eastAsia="宋体" w:hint="default"/>
                <w:spacing w:val="-1"/>
                <w:sz w:val="18"/>
                <w:szCs w:val="18"/>
              </w:rPr>
              <w:t>第二届董事会第十七次会议、第三届监事会第五次会议，会议审议通过了《关于使用募集资金置换预先投入募投</w:t>
            </w:r>
          </w:p>
          <w:p>
            <w:pPr>
              <w:pStyle w:val="TableParagraph"/>
              <w:spacing w:line="240" w:lineRule="auto" w:before="68"/>
              <w:ind w:left="30" w:right="0"/>
              <w:jc w:val="left"/>
              <w:rPr>
                <w:rFonts w:ascii="宋体" w:hAnsi="宋体" w:cs="宋体" w:eastAsia="宋体" w:hint="default"/>
                <w:sz w:val="18"/>
                <w:szCs w:val="18"/>
              </w:rPr>
            </w:pPr>
            <w:r>
              <w:rPr>
                <w:rFonts w:ascii="宋体" w:hAnsi="宋体" w:cs="宋体" w:eastAsia="宋体" w:hint="default"/>
                <w:sz w:val="18"/>
                <w:szCs w:val="18"/>
              </w:rPr>
              <w:t>项目的自筹资金的议案</w:t>
            </w:r>
            <w:r>
              <w:rPr>
                <w:rFonts w:ascii="宋体" w:hAnsi="宋体" w:cs="宋体" w:eastAsia="宋体" w:hint="default"/>
                <w:spacing w:val="-90"/>
                <w:sz w:val="18"/>
                <w:szCs w:val="18"/>
              </w:rPr>
              <w:t>》</w:t>
            </w:r>
            <w:r>
              <w:rPr>
                <w:rFonts w:ascii="宋体" w:hAnsi="宋体" w:cs="宋体" w:eastAsia="宋体" w:hint="default"/>
                <w:sz w:val="18"/>
                <w:szCs w:val="18"/>
              </w:rPr>
              <w:t>，同意使用募集资金置换预先投入募投项目的自筹资金，置换</w:t>
            </w:r>
            <w:r>
              <w:rPr>
                <w:rFonts w:ascii="宋体" w:hAnsi="宋体" w:cs="宋体" w:eastAsia="宋体" w:hint="default"/>
                <w:spacing w:val="8"/>
                <w:sz w:val="18"/>
                <w:szCs w:val="18"/>
              </w:rPr>
              <w:t>资</w:t>
            </w:r>
            <w:r>
              <w:rPr>
                <w:rFonts w:ascii="宋体" w:hAnsi="宋体" w:cs="宋体" w:eastAsia="宋体" w:hint="default"/>
                <w:sz w:val="18"/>
                <w:szCs w:val="18"/>
              </w:rPr>
              <w:t>金总额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2,131.07 </w:t>
            </w:r>
            <w:r>
              <w:rPr>
                <w:rFonts w:ascii="宋体" w:hAnsi="宋体" w:cs="宋体" w:eastAsia="宋体" w:hint="default"/>
                <w:sz w:val="18"/>
                <w:szCs w:val="18"/>
              </w:rPr>
              <w:t>万元，</w:t>
            </w:r>
          </w:p>
          <w:p>
            <w:pPr>
              <w:pStyle w:val="TableParagraph"/>
              <w:spacing w:line="304" w:lineRule="auto" w:before="66"/>
              <w:ind w:left="30" w:right="16"/>
              <w:jc w:val="left"/>
              <w:rPr>
                <w:rFonts w:ascii="宋体" w:hAnsi="宋体" w:cs="宋体" w:eastAsia="宋体" w:hint="default"/>
                <w:sz w:val="18"/>
                <w:szCs w:val="18"/>
              </w:rPr>
            </w:pPr>
            <w:r>
              <w:rPr>
                <w:rFonts w:ascii="宋体" w:hAnsi="宋体" w:cs="宋体" w:eastAsia="宋体" w:hint="default"/>
                <w:sz w:val="18"/>
                <w:szCs w:val="18"/>
              </w:rPr>
              <w:t>实际完成置换金额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2,131.07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万元。具体内容详见公司于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日刊登在中国证监会指定的创业板信息披 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）上的相关公告。</w:t>
            </w:r>
          </w:p>
        </w:tc>
      </w:tr>
      <w:tr>
        <w:trPr>
          <w:trHeight w:val="2026" w:hRule="exact"/>
        </w:trPr>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74"/>
              <w:ind w:left="7" w:right="141"/>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6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721"/>
        <w:gridCol w:w="728"/>
        <w:gridCol w:w="901"/>
        <w:gridCol w:w="894"/>
        <w:gridCol w:w="729"/>
        <w:gridCol w:w="901"/>
        <w:gridCol w:w="901"/>
        <w:gridCol w:w="721"/>
        <w:gridCol w:w="736"/>
        <w:gridCol w:w="894"/>
        <w:gridCol w:w="729"/>
        <w:gridCol w:w="728"/>
      </w:tblGrid>
      <w:tr>
        <w:trPr>
          <w:trHeight w:val="158"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75" w:right="90"/>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8" w:type="dxa"/>
            <w:tcBorders>
              <w:top w:val="single" w:sz="6" w:space="0" w:color="000000"/>
              <w:left w:val="single" w:sz="6" w:space="0" w:color="000000"/>
              <w:bottom w:val="nil" w:sz="6" w:space="0" w:color="auto"/>
              <w:right w:val="single" w:sz="6" w:space="0" w:color="000000"/>
            </w:tcBorders>
            <w:shd w:val="clear" w:color="auto" w:fill="D2D2D2"/>
          </w:tcPr>
          <w:p>
            <w:pPr/>
          </w:p>
        </w:tc>
        <w:tc>
          <w:tcPr>
            <w:tcW w:w="901" w:type="dxa"/>
            <w:vMerge w:val="restart"/>
            <w:tcBorders>
              <w:top w:val="single" w:sz="6" w:space="0" w:color="000000"/>
              <w:left w:val="single" w:sz="6" w:space="0" w:color="000000"/>
              <w:right w:val="single" w:sz="6" w:space="0" w:color="000000"/>
            </w:tcBorders>
            <w:shd w:val="clear" w:color="auto" w:fill="D2D2D2"/>
          </w:tcPr>
          <w:p>
            <w:pPr/>
          </w:p>
        </w:tc>
        <w:tc>
          <w:tcPr>
            <w:tcW w:w="894" w:type="dxa"/>
            <w:vMerge w:val="restart"/>
            <w:tcBorders>
              <w:top w:val="single" w:sz="6" w:space="0" w:color="000000"/>
              <w:left w:val="single" w:sz="6" w:space="0" w:color="000000"/>
              <w:right w:val="single" w:sz="6" w:space="0" w:color="000000"/>
            </w:tcBorders>
            <w:shd w:val="clear" w:color="auto" w:fill="D2D2D2"/>
          </w:tcPr>
          <w:p>
            <w:pPr/>
          </w:p>
        </w:tc>
        <w:tc>
          <w:tcPr>
            <w:tcW w:w="729" w:type="dxa"/>
            <w:vMerge w:val="restart"/>
            <w:tcBorders>
              <w:top w:val="single" w:sz="6" w:space="0" w:color="000000"/>
              <w:left w:val="single" w:sz="6" w:space="0" w:color="000000"/>
              <w:right w:val="single" w:sz="6" w:space="0" w:color="000000"/>
            </w:tcBorders>
            <w:shd w:val="clear" w:color="auto" w:fill="D2D2D2"/>
          </w:tcPr>
          <w:p>
            <w:pPr/>
          </w:p>
        </w:tc>
        <w:tc>
          <w:tcPr>
            <w:tcW w:w="901" w:type="dxa"/>
            <w:vMerge w:val="restart"/>
            <w:tcBorders>
              <w:top w:val="single" w:sz="6" w:space="0" w:color="000000"/>
              <w:left w:val="single" w:sz="6" w:space="0" w:color="000000"/>
              <w:right w:val="single" w:sz="6" w:space="0" w:color="000000"/>
            </w:tcBorders>
            <w:shd w:val="clear" w:color="auto" w:fill="D2D2D2"/>
          </w:tcPr>
          <w:p>
            <w:pPr/>
          </w:p>
        </w:tc>
        <w:tc>
          <w:tcPr>
            <w:tcW w:w="901"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82" w:right="81"/>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82" w:right="9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4" w:type="dxa"/>
            <w:tcBorders>
              <w:top w:val="single" w:sz="6" w:space="0" w:color="000000"/>
              <w:left w:val="single" w:sz="6" w:space="0" w:color="000000"/>
              <w:bottom w:val="nil" w:sz="6" w:space="0" w:color="auto"/>
              <w:right w:val="single" w:sz="6" w:space="0" w:color="000000"/>
            </w:tcBorders>
            <w:shd w:val="clear" w:color="auto" w:fill="D2D2D2"/>
          </w:tcPr>
          <w:p>
            <w:pPr/>
          </w:p>
        </w:tc>
        <w:tc>
          <w:tcPr>
            <w:tcW w:w="729" w:type="dxa"/>
            <w:vMerge w:val="restart"/>
            <w:tcBorders>
              <w:top w:val="single" w:sz="6" w:space="0" w:color="000000"/>
              <w:left w:val="single" w:sz="6" w:space="0" w:color="000000"/>
              <w:right w:val="single" w:sz="6" w:space="0" w:color="000000"/>
            </w:tcBorders>
            <w:shd w:val="clear" w:color="auto" w:fill="D2D2D2"/>
          </w:tcPr>
          <w:p>
            <w:pPr/>
          </w:p>
        </w:tc>
        <w:tc>
          <w:tcPr>
            <w:tcW w:w="72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82" w:right="8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150" w:hRule="exact"/>
        </w:trPr>
        <w:tc>
          <w:tcPr>
            <w:tcW w:w="721" w:type="dxa"/>
            <w:vMerge/>
            <w:tcBorders>
              <w:left w:val="single" w:sz="6" w:space="0" w:color="000000"/>
              <w:right w:val="single" w:sz="6" w:space="0" w:color="000000"/>
            </w:tcBorders>
            <w:shd w:val="clear" w:color="auto" w:fill="D2D2D2"/>
          </w:tcPr>
          <w:p>
            <w:pPr/>
          </w:p>
        </w:tc>
        <w:tc>
          <w:tcPr>
            <w:tcW w:w="728"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0" w:right="50"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01" w:type="dxa"/>
            <w:vMerge/>
            <w:tcBorders>
              <w:left w:val="single" w:sz="6" w:space="0" w:color="000000"/>
              <w:bottom w:val="nil" w:sz="6" w:space="0" w:color="auto"/>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tcBorders>
              <w:left w:val="single" w:sz="6" w:space="0" w:color="000000"/>
              <w:bottom w:val="nil" w:sz="6" w:space="0" w:color="auto"/>
              <w:right w:val="single" w:sz="6" w:space="0" w:color="000000"/>
            </w:tcBorders>
            <w:shd w:val="clear" w:color="auto" w:fill="D2D2D2"/>
          </w:tcPr>
          <w:p>
            <w:pPr/>
          </w:p>
        </w:tc>
        <w:tc>
          <w:tcPr>
            <w:tcW w:w="901" w:type="dxa"/>
            <w:vMerge/>
            <w:tcBorders>
              <w:left w:val="single" w:sz="6" w:space="0" w:color="000000"/>
              <w:bottom w:val="nil" w:sz="6" w:space="0" w:color="auto"/>
              <w:right w:val="single" w:sz="6" w:space="0" w:color="000000"/>
            </w:tcBorders>
            <w:shd w:val="clear" w:color="auto" w:fill="D2D2D2"/>
          </w:tcPr>
          <w:p>
            <w:pPr/>
          </w:p>
        </w:tc>
        <w:tc>
          <w:tcPr>
            <w:tcW w:w="901" w:type="dxa"/>
            <w:vMerge w:val="restart"/>
            <w:tcBorders>
              <w:top w:val="nil" w:sz="6" w:space="0" w:color="auto"/>
              <w:left w:val="single" w:sz="6" w:space="0" w:color="000000"/>
              <w:right w:val="single" w:sz="6" w:space="0" w:color="000000"/>
            </w:tcBorders>
            <w:shd w:val="clear" w:color="auto" w:fill="D2D2D2"/>
          </w:tcPr>
          <w:p>
            <w:pPr>
              <w:pStyle w:val="TableParagraph"/>
              <w:spacing w:line="328" w:lineRule="auto" w:before="44"/>
              <w:ind w:left="82" w:right="8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82" w:right="7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9" w:type="dxa"/>
            <w:vMerge/>
            <w:tcBorders>
              <w:left w:val="single" w:sz="6" w:space="0" w:color="000000"/>
              <w:bottom w:val="nil" w:sz="6" w:space="0" w:color="auto"/>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65" w:hRule="exact"/>
        </w:trPr>
        <w:tc>
          <w:tcPr>
            <w:tcW w:w="721" w:type="dxa"/>
            <w:vMerge/>
            <w:tcBorders>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c>
          <w:tcPr>
            <w:tcW w:w="90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82" w:right="8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4" w:type="dxa"/>
            <w:vMerge/>
            <w:tcBorders>
              <w:left w:val="single" w:sz="6" w:space="0" w:color="000000"/>
              <w:bottom w:val="nil" w:sz="6" w:space="0" w:color="auto"/>
              <w:right w:val="single" w:sz="6" w:space="0" w:color="000000"/>
            </w:tcBorders>
            <w:shd w:val="clear" w:color="auto" w:fill="D2D2D2"/>
          </w:tcPr>
          <w:p>
            <w:pPr/>
          </w:p>
        </w:tc>
        <w:tc>
          <w:tcPr>
            <w:tcW w:w="729"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74" w:right="9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01" w:type="dxa"/>
            <w:vMerge w:val="restart"/>
            <w:tcBorders>
              <w:top w:val="nil" w:sz="6" w:space="0" w:color="auto"/>
              <w:left w:val="single" w:sz="6" w:space="0" w:color="000000"/>
              <w:right w:val="single" w:sz="6" w:space="0" w:color="000000"/>
            </w:tcBorders>
            <w:shd w:val="clear" w:color="auto" w:fill="D2D2D2"/>
          </w:tcPr>
          <w:p>
            <w:pPr>
              <w:pStyle w:val="TableParagraph"/>
              <w:spacing w:line="328" w:lineRule="auto" w:before="45"/>
              <w:ind w:left="82"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01"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75" w:right="9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8" w:type="dxa"/>
            <w:vMerge/>
            <w:tcBorders>
              <w:left w:val="single" w:sz="6" w:space="0" w:color="000000"/>
              <w:right w:val="single" w:sz="6" w:space="0" w:color="000000"/>
            </w:tcBorders>
            <w:shd w:val="clear" w:color="auto" w:fill="D2D2D2"/>
          </w:tcPr>
          <w:p>
            <w:pPr/>
          </w:p>
        </w:tc>
      </w:tr>
      <w:tr>
        <w:trPr>
          <w:trHeight w:val="706" w:hRule="exact"/>
        </w:trPr>
        <w:tc>
          <w:tcPr>
            <w:tcW w:w="721" w:type="dxa"/>
            <w:vMerge/>
            <w:tcBorders>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8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67" w:right="58"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9"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tcBorders>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0" w:hRule="exact"/>
        </w:trPr>
        <w:tc>
          <w:tcPr>
            <w:tcW w:w="721" w:type="dxa"/>
            <w:vMerge/>
            <w:tcBorders>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c>
          <w:tcPr>
            <w:tcW w:w="901" w:type="dxa"/>
            <w:vMerge/>
            <w:tcBorders>
              <w:left w:val="single" w:sz="6" w:space="0" w:color="000000"/>
              <w:bottom w:val="nil" w:sz="6" w:space="0" w:color="auto"/>
              <w:right w:val="single" w:sz="6" w:space="0" w:color="000000"/>
            </w:tcBorders>
            <w:shd w:val="clear" w:color="auto" w:fill="D2D2D2"/>
          </w:tcPr>
          <w:p>
            <w:pPr/>
          </w:p>
        </w:tc>
        <w:tc>
          <w:tcPr>
            <w:tcW w:w="894" w:type="dxa"/>
            <w:vMerge w:val="restart"/>
            <w:tcBorders>
              <w:top w:val="nil" w:sz="6" w:space="0" w:color="auto"/>
              <w:left w:val="single" w:sz="6" w:space="0" w:color="000000"/>
              <w:right w:val="single" w:sz="6" w:space="0" w:color="000000"/>
            </w:tcBorders>
            <w:shd w:val="clear" w:color="auto" w:fill="D2D2D2"/>
          </w:tcPr>
          <w:p>
            <w:pPr/>
          </w:p>
        </w:tc>
        <w:tc>
          <w:tcPr>
            <w:tcW w:w="729" w:type="dxa"/>
            <w:vMerge/>
            <w:tcBorders>
              <w:left w:val="single" w:sz="6" w:space="0" w:color="000000"/>
              <w:bottom w:val="nil" w:sz="6" w:space="0" w:color="auto"/>
              <w:right w:val="single" w:sz="6" w:space="0" w:color="000000"/>
            </w:tcBorders>
            <w:shd w:val="clear" w:color="auto" w:fill="D2D2D2"/>
          </w:tcPr>
          <w:p>
            <w:pPr/>
          </w:p>
        </w:tc>
        <w:tc>
          <w:tcPr>
            <w:tcW w:w="901" w:type="dxa"/>
            <w:vMerge/>
            <w:tcBorders>
              <w:left w:val="single" w:sz="6" w:space="0" w:color="000000"/>
              <w:bottom w:val="nil" w:sz="6" w:space="0" w:color="auto"/>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tcBorders>
              <w:left w:val="single" w:sz="6" w:space="0" w:color="000000"/>
              <w:bottom w:val="nil" w:sz="6" w:space="0" w:color="auto"/>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65" w:hRule="exact"/>
        </w:trPr>
        <w:tc>
          <w:tcPr>
            <w:tcW w:w="721" w:type="dxa"/>
            <w:vMerge/>
            <w:tcBorders>
              <w:left w:val="single" w:sz="6" w:space="0" w:color="000000"/>
              <w:right w:val="single" w:sz="6" w:space="0" w:color="000000"/>
            </w:tcBorders>
            <w:shd w:val="clear" w:color="auto" w:fill="D2D2D2"/>
          </w:tcPr>
          <w:p>
            <w:pPr/>
          </w:p>
        </w:tc>
        <w:tc>
          <w:tcPr>
            <w:tcW w:w="728" w:type="dxa"/>
            <w:vMerge/>
            <w:tcBorders>
              <w:left w:val="single" w:sz="6" w:space="0" w:color="000000"/>
              <w:bottom w:val="nil" w:sz="6" w:space="0" w:color="auto"/>
              <w:right w:val="single" w:sz="6" w:space="0" w:color="000000"/>
            </w:tcBorders>
            <w:shd w:val="clear" w:color="auto" w:fill="D2D2D2"/>
          </w:tcPr>
          <w:p>
            <w:pPr/>
          </w:p>
        </w:tc>
        <w:tc>
          <w:tcPr>
            <w:tcW w:w="901" w:type="dxa"/>
            <w:vMerge w:val="restart"/>
            <w:tcBorders>
              <w:top w:val="nil" w:sz="6" w:space="0" w:color="auto"/>
              <w:left w:val="single" w:sz="6" w:space="0" w:color="000000"/>
              <w:right w:val="single" w:sz="6" w:space="0" w:color="000000"/>
            </w:tcBorders>
            <w:shd w:val="clear" w:color="auto" w:fill="D2D2D2"/>
          </w:tcPr>
          <w:p>
            <w:pPr/>
          </w:p>
        </w:tc>
        <w:tc>
          <w:tcPr>
            <w:tcW w:w="894" w:type="dxa"/>
            <w:vMerge/>
            <w:tcBorders>
              <w:left w:val="single" w:sz="6" w:space="0" w:color="000000"/>
              <w:right w:val="single" w:sz="6" w:space="0" w:color="000000"/>
            </w:tcBorders>
            <w:shd w:val="clear" w:color="auto" w:fill="D2D2D2"/>
          </w:tcPr>
          <w:p>
            <w:pPr/>
          </w:p>
        </w:tc>
        <w:tc>
          <w:tcPr>
            <w:tcW w:w="729" w:type="dxa"/>
            <w:vMerge w:val="restart"/>
            <w:tcBorders>
              <w:top w:val="nil" w:sz="6" w:space="0" w:color="auto"/>
              <w:left w:val="single" w:sz="6" w:space="0" w:color="000000"/>
              <w:right w:val="single" w:sz="6" w:space="0" w:color="000000"/>
            </w:tcBorders>
            <w:shd w:val="clear" w:color="auto" w:fill="D2D2D2"/>
          </w:tcPr>
          <w:p>
            <w:pPr/>
          </w:p>
        </w:tc>
        <w:tc>
          <w:tcPr>
            <w:tcW w:w="901" w:type="dxa"/>
            <w:vMerge w:val="restart"/>
            <w:tcBorders>
              <w:top w:val="nil" w:sz="6" w:space="0" w:color="auto"/>
              <w:left w:val="single" w:sz="6" w:space="0" w:color="000000"/>
              <w:right w:val="single" w:sz="6" w:space="0" w:color="000000"/>
            </w:tcBorders>
            <w:shd w:val="clear" w:color="auto" w:fill="D2D2D2"/>
          </w:tcPr>
          <w:p>
            <w:pPr/>
          </w:p>
        </w:tc>
        <w:tc>
          <w:tcPr>
            <w:tcW w:w="901"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894" w:type="dxa"/>
            <w:vMerge/>
            <w:tcBorders>
              <w:left w:val="single" w:sz="6" w:space="0" w:color="000000"/>
              <w:bottom w:val="nil" w:sz="6" w:space="0" w:color="auto"/>
              <w:right w:val="single" w:sz="6" w:space="0" w:color="000000"/>
            </w:tcBorders>
            <w:shd w:val="clear" w:color="auto" w:fill="D2D2D2"/>
          </w:tcPr>
          <w:p>
            <w:pPr/>
          </w:p>
        </w:tc>
        <w:tc>
          <w:tcPr>
            <w:tcW w:w="729" w:type="dxa"/>
            <w:vMerge w:val="restart"/>
            <w:tcBorders>
              <w:top w:val="nil" w:sz="6" w:space="0" w:color="auto"/>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7"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728" w:type="dxa"/>
            <w:tcBorders>
              <w:top w:val="nil" w:sz="6" w:space="0" w:color="auto"/>
              <w:left w:val="single" w:sz="6"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894" w:type="dxa"/>
            <w:vMerge/>
            <w:tcBorders>
              <w:left w:val="single" w:sz="6" w:space="0" w:color="000000"/>
              <w:bottom w:val="single" w:sz="6" w:space="0" w:color="000000"/>
              <w:right w:val="single" w:sz="6" w:space="0" w:color="000000"/>
            </w:tcBorders>
            <w:shd w:val="clear" w:color="auto" w:fill="D2D2D2"/>
          </w:tcPr>
          <w:p>
            <w:pPr/>
          </w:p>
        </w:tc>
        <w:tc>
          <w:tcPr>
            <w:tcW w:w="729" w:type="dxa"/>
            <w:vMerge/>
            <w:tcBorders>
              <w:left w:val="single" w:sz="6"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901" w:type="dxa"/>
            <w:tcBorders>
              <w:top w:val="nil" w:sz="6" w:space="0" w:color="auto"/>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894" w:type="dxa"/>
            <w:tcBorders>
              <w:top w:val="nil" w:sz="6" w:space="0" w:color="auto"/>
              <w:left w:val="single" w:sz="6" w:space="0" w:color="000000"/>
              <w:bottom w:val="single" w:sz="6" w:space="0" w:color="000000"/>
              <w:right w:val="single" w:sz="6" w:space="0" w:color="000000"/>
            </w:tcBorders>
            <w:shd w:val="clear" w:color="auto" w:fill="D2D2D2"/>
          </w:tcPr>
          <w:p>
            <w:pPr/>
          </w:p>
        </w:tc>
        <w:tc>
          <w:tcPr>
            <w:tcW w:w="729" w:type="dxa"/>
            <w:vMerge/>
            <w:tcBorders>
              <w:left w:val="single" w:sz="6" w:space="0" w:color="000000"/>
              <w:bottom w:val="single" w:sz="6" w:space="0" w:color="000000"/>
              <w:right w:val="single" w:sz="6" w:space="0" w:color="000000"/>
            </w:tcBorders>
            <w:shd w:val="clear" w:color="auto" w:fill="D2D2D2"/>
          </w:tcPr>
          <w:p>
            <w:pPr/>
          </w:p>
        </w:tc>
        <w:tc>
          <w:tcPr>
            <w:tcW w:w="728" w:type="dxa"/>
            <w:vMerge/>
            <w:tcBorders>
              <w:left w:val="single" w:sz="6" w:space="0" w:color="000000"/>
              <w:bottom w:val="single" w:sz="6" w:space="0" w:color="000000"/>
              <w:right w:val="single" w:sz="6" w:space="0" w:color="000000"/>
            </w:tcBorders>
            <w:shd w:val="clear" w:color="auto" w:fill="D2D2D2"/>
          </w:tcPr>
          <w:p>
            <w:pPr/>
          </w:p>
        </w:tc>
      </w:tr>
      <w:tr>
        <w:trPr>
          <w:trHeight w:val="3033"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86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3" w:lineRule="auto"/>
              <w:ind w:left="30"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日，本公司召开第三届董事会第十一次会议、第四届监事会第十次会议，审议通过了《关于使用 </w:t>
            </w:r>
            <w:r>
              <w:rPr>
                <w:rFonts w:ascii="宋体" w:hAnsi="宋体" w:cs="宋体" w:eastAsia="宋体" w:hint="default"/>
                <w:spacing w:val="-2"/>
                <w:sz w:val="18"/>
                <w:szCs w:val="18"/>
              </w:rPr>
              <w:t>部分闲置募集资金暂时补充流动资金的议案》，同意公司在保证募集资金投资项目建设的资金需求及募投项目正</w:t>
            </w:r>
          </w:p>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常进行的前提下，使用部分闲置募集资金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万元暂时补充公司流动资金，使用期限为自董事会审议通过之日</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个月，到期归还至募集资金专用账户。截至本报告期末，本年度使用部分闲置募集资金暂时补充流</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日，公司已将用于暂时补充流动资金的募集资金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万元全部归还至募集资</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pacing w:val="-3"/>
                <w:sz w:val="18"/>
                <w:szCs w:val="18"/>
              </w:rPr>
              <w:t>金专用账户，使用期限未超过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个月。具体内容详见公司于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）上披露的相关公告。</w:t>
            </w:r>
          </w:p>
        </w:tc>
      </w:tr>
      <w:tr>
        <w:trPr>
          <w:trHeight w:val="405"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61"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gridSpan w:val="11"/>
            <w:tcBorders>
              <w:top w:val="single" w:sz="6" w:space="0" w:color="000000"/>
              <w:left w:val="single" w:sz="12" w:space="0" w:color="000000"/>
              <w:bottom w:val="single" w:sz="6" w:space="0" w:color="000000"/>
              <w:right w:val="single" w:sz="6" w:space="0" w:color="000000"/>
            </w:tcBorders>
          </w:tcPr>
          <w:p>
            <w:pPr/>
          </w:p>
        </w:tc>
      </w:tr>
      <w:tr>
        <w:trPr>
          <w:trHeight w:val="2327"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5" w:right="150"/>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61"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04" w:lineRule="auto"/>
              <w:ind w:left="22" w:right="37"/>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日，公司第三届董事会第十一次会议、第四届监事会第十次会议审议通过了《关于使用部分闲置 </w:t>
            </w:r>
            <w:r>
              <w:rPr>
                <w:rFonts w:ascii="宋体" w:hAnsi="宋体" w:cs="宋体" w:eastAsia="宋体" w:hint="default"/>
                <w:spacing w:val="-2"/>
                <w:sz w:val="18"/>
                <w:szCs w:val="18"/>
              </w:rPr>
              <w:t>募集资金暂时补充流动资金的议案》，同意公司在保证募投项目建设的资金需求及募投项目正常进行的前提下，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使用闲置募集资金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万元暂时补充流动资金，使用期限自公司董事会审议通过之日起不超过</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w:t>
            </w:r>
          </w:p>
          <w:p>
            <w:pPr>
              <w:pStyle w:val="TableParagraph"/>
              <w:spacing w:line="288" w:lineRule="auto" w:before="12"/>
              <w:ind w:left="22" w:right="34"/>
              <w:jc w:val="both"/>
              <w:rPr>
                <w:rFonts w:ascii="宋体" w:hAnsi="宋体" w:cs="宋体" w:eastAsia="宋体" w:hint="default"/>
                <w:sz w:val="18"/>
                <w:szCs w:val="18"/>
              </w:rPr>
            </w:pPr>
            <w:r>
              <w:rPr>
                <w:rFonts w:ascii="宋体" w:hAnsi="宋体" w:cs="宋体" w:eastAsia="宋体" w:hint="default"/>
                <w:sz w:val="18"/>
                <w:szCs w:val="18"/>
              </w:rPr>
              <w:t>归还至募集资金专用账户。截至本报告期末，公司使用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4,600 </w:t>
            </w:r>
            <w:r>
              <w:rPr>
                <w:rFonts w:ascii="宋体" w:hAnsi="宋体" w:cs="宋体" w:eastAsia="宋体" w:hint="default"/>
                <w:sz w:val="18"/>
                <w:szCs w:val="18"/>
              </w:rPr>
              <w:t>万元闲置募集资金暂时补充流动资金，其余尚未使 用的募集资金存放于募集资金专用账户。</w:t>
            </w:r>
          </w:p>
        </w:tc>
      </w:tr>
      <w:tr>
        <w:trPr>
          <w:trHeight w:val="2282"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5"/>
              <w:ind w:left="15" w:right="150"/>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61"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11"/>
        <w:rPr>
          <w:rFonts w:ascii="Times New Roman" w:hAnsi="Times New Roman" w:cs="Times New Roman" w:eastAsia="Times New Roman" w:hint="default"/>
          <w:sz w:val="23"/>
          <w:szCs w:val="23"/>
        </w:rPr>
      </w:pPr>
    </w:p>
    <w:p>
      <w:pPr>
        <w:pStyle w:val="Heading5"/>
        <w:spacing w:line="240" w:lineRule="auto" w:before="35"/>
        <w:ind w:left="461" w:right="1119"/>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461"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44"/>
        <w:ind w:left="0" w:right="722"/>
        <w:jc w:val="right"/>
      </w:pPr>
      <w:r>
        <w:rPr/>
        <w:pict>
          <v:shape style="position:absolute;margin-left:39.049999pt;margin-top:-169.698303pt;width:518.5500pt;height:513.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6"/>
                    <w:gridCol w:w="1157"/>
                    <w:gridCol w:w="1036"/>
                    <w:gridCol w:w="1021"/>
                    <w:gridCol w:w="1037"/>
                    <w:gridCol w:w="1036"/>
                    <w:gridCol w:w="1036"/>
                    <w:gridCol w:w="1037"/>
                    <w:gridCol w:w="1036"/>
                    <w:gridCol w:w="1036"/>
                  </w:tblGrid>
                  <w:tr>
                    <w:trPr>
                      <w:trHeight w:val="133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90" w:hanging="181"/>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90" w:right="29" w:hanging="361"/>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58"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w:t>
                        </w:r>
                        <w:r>
                          <w:rPr>
                            <w:rFonts w:ascii="Times New Roman" w:hAnsi="Times New Roman" w:cs="Times New Roman" w:eastAsia="Times New Roman" w:hint="default"/>
                            <w:sz w:val="18"/>
                            <w:szCs w:val="18"/>
                          </w:rPr>
                          <w:t>(1)</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5" w:right="60"/>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60" w:right="60"/>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(3)=(2)/(1)</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6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35" w:right="74"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25" w:right="75"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5" w:right="7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永久补充 流动资金</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29"/>
                          <w:jc w:val="both"/>
                          <w:rPr>
                            <w:rFonts w:ascii="宋体" w:hAnsi="宋体" w:cs="宋体" w:eastAsia="宋体" w:hint="default"/>
                            <w:sz w:val="18"/>
                            <w:szCs w:val="18"/>
                          </w:rPr>
                        </w:pPr>
                        <w:r>
                          <w:rPr>
                            <w:rFonts w:ascii="宋体" w:hAnsi="宋体" w:cs="宋体" w:eastAsia="宋体" w:hint="default"/>
                            <w:sz w:val="18"/>
                            <w:szCs w:val="18"/>
                          </w:rPr>
                          <w:t>境内业务网络 扩建项目、境 外业务网络建 设项目</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5,616.53</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5,659.61</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100.77%</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46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5,616.53</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5,659.61</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463"/>
                          <w:jc w:val="right"/>
                          <w:rPr>
                            <w:rFonts w:ascii="Times New Roman" w:hAnsi="Times New Roman" w:cs="Times New Roman" w:eastAsia="Times New Roman" w:hint="default"/>
                            <w:sz w:val="18"/>
                            <w:szCs w:val="18"/>
                          </w:rPr>
                        </w:pPr>
                        <w:r>
                          <w:rPr>
                            <w:rFonts w:ascii="Times New Roman"/>
                            <w:sz w:val="18"/>
                          </w:rPr>
                          <w:t>--</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r>
                    <w:trPr>
                      <w:trHeight w:val="5750" w:hRule="exact"/>
                    </w:trPr>
                    <w:tc>
                      <w:tcPr>
                        <w:tcW w:w="310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321" w:lineRule="auto"/>
                          <w:ind w:left="15" w:right="31"/>
                          <w:jc w:val="left"/>
                          <w:rPr>
                            <w:rFonts w:ascii="宋体" w:hAnsi="宋体" w:cs="宋体" w:eastAsia="宋体" w:hint="default"/>
                            <w:sz w:val="18"/>
                            <w:szCs w:val="18"/>
                          </w:rPr>
                        </w:pPr>
                        <w:r>
                          <w:rPr>
                            <w:rFonts w:ascii="宋体" w:hAnsi="宋体" w:cs="宋体" w:eastAsia="宋体" w:hint="default"/>
                            <w:spacing w:val="-1"/>
                            <w:sz w:val="18"/>
                            <w:szCs w:val="18"/>
                          </w:rPr>
                          <w:t>变更原因、决策程序及信息披露情况说</w:t>
                        </w:r>
                        <w:r>
                          <w:rPr>
                            <w:rFonts w:ascii="宋体" w:hAnsi="宋体" w:cs="宋体" w:eastAsia="宋体" w:hint="default"/>
                            <w:sz w:val="18"/>
                            <w:szCs w:val="18"/>
                          </w:rPr>
                          <w:t> 明</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7239" w:type="dxa"/>
                        <w:gridSpan w:val="7"/>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、原募投项目“境内业务网络扩建项目”原计划拟在中国大陆十六个城市开设分支机构，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各城市分支机构选址在所在城市商务中心区，租赁办公地点，配备</w:t>
                        </w:r>
                        <w:r>
                          <w:rPr>
                            <w:rFonts w:ascii="宋体" w:hAnsi="宋体" w:cs="宋体" w:eastAsia="宋体" w:hint="default"/>
                            <w:spacing w:val="-34"/>
                            <w:sz w:val="18"/>
                            <w:szCs w:val="18"/>
                          </w:rPr>
                          <w:t> </w:t>
                        </w:r>
                        <w:r>
                          <w:rPr>
                            <w:rFonts w:ascii="宋体" w:hAnsi="宋体" w:cs="宋体" w:eastAsia="宋体" w:hint="default"/>
                            <w:sz w:val="18"/>
                            <w:szCs w:val="18"/>
                          </w:rPr>
                          <w:t>10-20</w:t>
                        </w:r>
                        <w:r>
                          <w:rPr>
                            <w:rFonts w:ascii="宋体" w:hAnsi="宋体" w:cs="宋体" w:eastAsia="宋体" w:hint="default"/>
                            <w:spacing w:val="-41"/>
                            <w:sz w:val="18"/>
                            <w:szCs w:val="18"/>
                          </w:rPr>
                          <w:t> </w:t>
                        </w:r>
                        <w:r>
                          <w:rPr>
                            <w:rFonts w:ascii="宋体" w:hAnsi="宋体" w:cs="宋体" w:eastAsia="宋体" w:hint="default"/>
                            <w:sz w:val="18"/>
                            <w:szCs w:val="18"/>
                          </w:rPr>
                          <w:t>人不等的业务团队</w:t>
                        </w:r>
                        <w:r>
                          <w:rPr>
                            <w:rFonts w:ascii="宋体" w:hAnsi="宋体" w:cs="宋体" w:eastAsia="宋体" w:hint="default"/>
                            <w:spacing w:val="-76"/>
                            <w:sz w:val="18"/>
                            <w:szCs w:val="18"/>
                          </w:rPr>
                          <w:t> </w:t>
                        </w:r>
                        <w:r>
                          <w:rPr>
                            <w:rFonts w:ascii="宋体" w:hAnsi="宋体" w:cs="宋体" w:eastAsia="宋体" w:hint="default"/>
                            <w:sz w:val="18"/>
                            <w:szCs w:val="18"/>
                          </w:rPr>
                          <w:t>由于近年来，公司业务逐渐向数字营销方向转型，数字营销业务稳步提升。此外，公司在数 </w:t>
                        </w:r>
                        <w:r>
                          <w:rPr>
                            <w:rFonts w:ascii="宋体" w:hAnsi="宋体" w:cs="宋体" w:eastAsia="宋体" w:hint="default"/>
                            <w:spacing w:val="-7"/>
                            <w:sz w:val="18"/>
                            <w:szCs w:val="18"/>
                          </w:rPr>
                          <w:t>字技术研发、数字技术升级等领域大力投入，“全球鹰大数据舆情系统”、“数字口碑内容体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8"/>
                            <w:sz w:val="18"/>
                            <w:szCs w:val="18"/>
                          </w:rPr>
                          <w:t>系”、“品牌互动社区及跨屏支持系统”、“品牌营销指数系统”、“移动派”、“品推宝</w:t>
                        </w:r>
                        <w:r>
                          <w:rPr>
                            <w:rFonts w:ascii="宋体" w:hAnsi="宋体" w:cs="宋体" w:eastAsia="宋体" w:hint="default"/>
                            <w:spacing w:val="4"/>
                            <w:sz w:val="18"/>
                            <w:szCs w:val="18"/>
                          </w:rPr>
                          <w:t> </w:t>
                        </w:r>
                        <w:r>
                          <w:rPr>
                            <w:rFonts w:ascii="宋体" w:hAnsi="宋体" w:cs="宋体" w:eastAsia="宋体" w:hint="default"/>
                            <w:sz w:val="18"/>
                            <w:szCs w:val="18"/>
                          </w:rPr>
                          <w:t>APP</w:t>
                        </w:r>
                        <w:r>
                          <w:rPr>
                            <w:rFonts w:ascii="宋体" w:hAnsi="宋体" w:cs="宋体" w:eastAsia="宋体" w:hint="default"/>
                            <w:sz w:val="18"/>
                            <w:szCs w:val="18"/>
                          </w:rPr>
                          <w:t>”等 数字营销工具的应用已经趋于成熟，公司现有数字营销平台可满足本项目的建设要求。因此 </w:t>
                        </w:r>
                        <w:r>
                          <w:rPr>
                            <w:rFonts w:ascii="宋体" w:hAnsi="宋体" w:cs="宋体" w:eastAsia="宋体" w:hint="default"/>
                            <w:spacing w:val="-3"/>
                            <w:sz w:val="18"/>
                            <w:szCs w:val="18"/>
                          </w:rPr>
                          <w:t>终止对境内业务网络扩建项目的投资，变更用于永久性“补充流动资金项目”。上述事项已</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经公司于</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日召开的第三届董事会第六次会议、第四届监事会第五次会议，于</w:t>
                        </w:r>
                      </w:p>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年第二次临时股东大会审议通过。</w:t>
                        </w:r>
                      </w:p>
                      <w:p>
                        <w:pPr>
                          <w:pStyle w:val="TableParagraph"/>
                          <w:spacing w:line="319" w:lineRule="auto" w:before="110"/>
                          <w:ind w:left="15" w:right="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、原募投项目“境外业务网络建设项目”原计划拟分三年建设覆盖全球主要市场的境外业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务网络，该项目建成后，公司境外业务网络可覆盖北美、欧洲、亚太（除中国大陆）三大地 区。鉴于整合营销传播服务渠道快速变革，公司所处行业的经营环境发生变化，以及移动办</w:t>
                        </w:r>
                        <w:r>
                          <w:rPr>
                            <w:rFonts w:ascii="宋体" w:hAnsi="宋体" w:cs="宋体" w:eastAsia="宋体" w:hint="default"/>
                            <w:sz w:val="18"/>
                            <w:szCs w:val="18"/>
                          </w:rPr>
                          <w:t> 公便捷性与高效性的提升，在境外主要城市开设分支机构对于促进公司市场份额的提高作用 有限，已不再是公司业务网络建设的优先选择。本着审慎性原则，为合理利用募集资金，提 高资金使用效率，提升公司营运能力，寻求最佳的境内外业务拓展方式，公司终止对境外业 </w:t>
                        </w:r>
                        <w:r>
                          <w:rPr>
                            <w:rFonts w:ascii="宋体" w:hAnsi="宋体" w:cs="宋体" w:eastAsia="宋体" w:hint="default"/>
                            <w:spacing w:val="-3"/>
                            <w:sz w:val="18"/>
                            <w:szCs w:val="18"/>
                          </w:rPr>
                          <w:t>务网络建设项目的投资，变更用于永久性“补充流动资金项目”。上述事项已经公司于</w:t>
                        </w:r>
                        <w:r>
                          <w:rPr>
                            <w:rFonts w:ascii="宋体" w:hAnsi="宋体" w:cs="宋体" w:eastAsia="宋体" w:hint="default"/>
                            <w:spacing w:val="-13"/>
                            <w:sz w:val="18"/>
                            <w:szCs w:val="18"/>
                          </w:rPr>
                          <w:t> </w:t>
                        </w:r>
                        <w:r>
                          <w:rPr>
                            <w:rFonts w:ascii="宋体" w:hAnsi="宋体" w:cs="宋体" w:eastAsia="宋体" w:hint="default"/>
                            <w:sz w:val="18"/>
                            <w:szCs w:val="18"/>
                          </w:rPr>
                          <w:t>2018</w:t>
                        </w:r>
                      </w:p>
                      <w:p>
                        <w:pPr>
                          <w:pStyle w:val="TableParagraph"/>
                          <w:spacing w:line="240" w:lineRule="auto" w:before="20"/>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pacing w:val="-3"/>
                            <w:sz w:val="18"/>
                            <w:szCs w:val="18"/>
                          </w:rPr>
                          <w:t>日召开的第三届董事会第六次会议、第四届监事会第五次会议，于</w:t>
                        </w:r>
                        <w:r>
                          <w:rPr>
                            <w:rFonts w:ascii="宋体" w:hAnsi="宋体" w:cs="宋体" w:eastAsia="宋体" w:hint="default"/>
                            <w:spacing w:val="-36"/>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28</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年第二次临时股东大会审议通过。</w:t>
                        </w:r>
                      </w:p>
                    </w:tc>
                  </w:tr>
                  <w:tr>
                    <w:trPr>
                      <w:trHeight w:val="721" w:hRule="exact"/>
                    </w:trPr>
                    <w:tc>
                      <w:tcPr>
                        <w:tcW w:w="310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96"/>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23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6" w:hRule="exact"/>
                    </w:trPr>
                    <w:tc>
                      <w:tcPr>
                        <w:tcW w:w="310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9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 情况说明</w:t>
                        </w:r>
                      </w:p>
                    </w:tc>
                    <w:tc>
                      <w:tcPr>
                        <w:tcW w:w="723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left="461" w:right="1119"/>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461" w:right="1119"/>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left="461"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after="0" w:line="319" w:lineRule="auto"/>
        <w:jc w:val="left"/>
        <w:sectPr>
          <w:pgSz w:w="11910" w:h="16850"/>
          <w:pgMar w:header="866" w:footer="981" w:top="1120" w:bottom="1180" w:left="680" w:right="0"/>
        </w:sectPr>
      </w:pPr>
    </w:p>
    <w:p>
      <w:pPr>
        <w:spacing w:line="240" w:lineRule="auto" w:before="2"/>
        <w:rPr>
          <w:rFonts w:ascii="宋体" w:hAnsi="宋体" w:cs="宋体" w:eastAsia="宋体" w:hint="default"/>
          <w:sz w:val="4"/>
          <w:szCs w:val="4"/>
        </w:rPr>
      </w:pPr>
    </w:p>
    <w:p>
      <w:pPr>
        <w:spacing w:line="20" w:lineRule="exact"/>
        <w:ind w:left="903" w:right="0" w:firstLine="0"/>
        <w:rPr>
          <w:rFonts w:ascii="宋体" w:hAnsi="宋体" w:cs="宋体" w:eastAsia="宋体" w:hint="default"/>
          <w:sz w:val="2"/>
          <w:szCs w:val="2"/>
        </w:rPr>
      </w:pPr>
      <w:r>
        <w:rPr>
          <w:rFonts w:ascii="宋体" w:hAnsi="宋体" w:cs="宋体" w:eastAsia="宋体"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宋体" w:hAnsi="宋体" w:cs="宋体" w:eastAsia="宋体" w:hint="default"/>
          <w:sz w:val="2"/>
          <w:szCs w:val="2"/>
        </w:rPr>
      </w:r>
    </w:p>
    <w:p>
      <w:pPr>
        <w:pStyle w:val="Heading5"/>
        <w:spacing w:line="240" w:lineRule="auto" w:before="4"/>
        <w:ind w:left="941"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94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126"/>
        <w:gridCol w:w="1111"/>
        <w:gridCol w:w="1111"/>
        <w:gridCol w:w="1111"/>
        <w:gridCol w:w="1126"/>
        <w:gridCol w:w="1111"/>
        <w:gridCol w:w="1111"/>
        <w:gridCol w:w="1126"/>
        <w:gridCol w:w="1111"/>
        <w:gridCol w:w="1111"/>
        <w:gridCol w:w="1126"/>
        <w:gridCol w:w="1111"/>
        <w:gridCol w:w="1111"/>
        <w:gridCol w:w="1111"/>
      </w:tblGrid>
      <w:tr>
        <w:trPr>
          <w:trHeight w:val="2433" w:hRule="exact"/>
        </w:trPr>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75" w:right="0" w:hanging="346"/>
              <w:jc w:val="left"/>
              <w:rPr>
                <w:rFonts w:ascii="宋体" w:hAnsi="宋体" w:cs="宋体" w:eastAsia="宋体" w:hint="default"/>
                <w:sz w:val="18"/>
                <w:szCs w:val="18"/>
              </w:rPr>
            </w:pPr>
            <w:r>
              <w:rPr>
                <w:rFonts w:ascii="宋体" w:hAnsi="宋体" w:cs="宋体" w:eastAsia="宋体" w:hint="default"/>
                <w:spacing w:val="-3"/>
                <w:sz w:val="18"/>
                <w:szCs w:val="18"/>
              </w:rPr>
              <w:t>交易价格（万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30" w:right="0" w:firstLine="75"/>
              <w:jc w:val="both"/>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利润（万元）</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85" w:right="89"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5" w:right="90"/>
              <w:jc w:val="both"/>
              <w:rPr>
                <w:rFonts w:ascii="宋体" w:hAnsi="宋体" w:cs="宋体" w:eastAsia="宋体" w:hint="default"/>
                <w:sz w:val="18"/>
                <w:szCs w:val="18"/>
              </w:rPr>
            </w:pPr>
            <w:r>
              <w:rPr>
                <w:rFonts w:ascii="宋体" w:hAnsi="宋体" w:cs="宋体" w:eastAsia="宋体" w:hint="default"/>
                <w:sz w:val="18"/>
                <w:szCs w:val="18"/>
              </w:rPr>
              <w:t>股权出售为 上市公司贡 献的净利润 占净利润总 额的比例</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85" w:right="105" w:hanging="180"/>
              <w:jc w:val="left"/>
              <w:rPr>
                <w:rFonts w:ascii="宋体" w:hAnsi="宋体" w:cs="宋体" w:eastAsia="宋体" w:hint="default"/>
                <w:sz w:val="18"/>
                <w:szCs w:val="18"/>
              </w:rPr>
            </w:pPr>
            <w:r>
              <w:rPr>
                <w:rFonts w:ascii="宋体" w:hAnsi="宋体" w:cs="宋体" w:eastAsia="宋体" w:hint="default"/>
                <w:sz w:val="18"/>
                <w:szCs w:val="18"/>
              </w:rPr>
              <w:t>股权出售定 价原则</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74" w:right="89" w:hanging="270"/>
              <w:jc w:val="left"/>
              <w:rPr>
                <w:rFonts w:ascii="宋体" w:hAnsi="宋体" w:cs="宋体" w:eastAsia="宋体" w:hint="default"/>
                <w:sz w:val="18"/>
                <w:szCs w:val="18"/>
              </w:rPr>
            </w:pPr>
            <w:r>
              <w:rPr>
                <w:rFonts w:ascii="宋体" w:hAnsi="宋体" w:cs="宋体" w:eastAsia="宋体" w:hint="default"/>
                <w:sz w:val="18"/>
                <w:szCs w:val="18"/>
              </w:rPr>
              <w:t>是否为关联 交易</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04" w:right="89"/>
              <w:jc w:val="left"/>
              <w:rPr>
                <w:rFonts w:ascii="宋体" w:hAnsi="宋体" w:cs="宋体" w:eastAsia="宋体" w:hint="default"/>
                <w:sz w:val="18"/>
                <w:szCs w:val="18"/>
              </w:rPr>
            </w:pPr>
            <w:r>
              <w:rPr>
                <w:rFonts w:ascii="宋体" w:hAnsi="宋体" w:cs="宋体" w:eastAsia="宋体" w:hint="default"/>
                <w:sz w:val="18"/>
                <w:szCs w:val="18"/>
              </w:rPr>
              <w:t>与交易对方 的关联关系</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105" w:right="105"/>
              <w:jc w:val="center"/>
              <w:rPr>
                <w:rFonts w:ascii="宋体" w:hAnsi="宋体" w:cs="宋体" w:eastAsia="宋体" w:hint="default"/>
                <w:sz w:val="18"/>
                <w:szCs w:val="18"/>
              </w:rPr>
            </w:pPr>
            <w:r>
              <w:rPr>
                <w:rFonts w:ascii="宋体" w:hAnsi="宋体" w:cs="宋体" w:eastAsia="宋体" w:hint="default"/>
                <w:sz w:val="18"/>
                <w:szCs w:val="18"/>
              </w:rPr>
              <w:t>所涉及的股 权是否已全 部过户</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20"/>
              <w:ind w:left="29" w:right="0" w:hanging="16"/>
              <w:jc w:val="center"/>
              <w:rPr>
                <w:rFonts w:ascii="宋体" w:hAnsi="宋体" w:cs="宋体" w:eastAsia="宋体" w:hint="default"/>
                <w:sz w:val="18"/>
                <w:szCs w:val="18"/>
              </w:rPr>
            </w:pPr>
            <w:r>
              <w:rPr>
                <w:rFonts w:ascii="宋体" w:hAnsi="宋体" w:cs="宋体" w:eastAsia="宋体" w:hint="default"/>
                <w:sz w:val="18"/>
                <w:szCs w:val="18"/>
              </w:rPr>
              <w:t>是否按计划 </w:t>
            </w:r>
            <w:r>
              <w:rPr>
                <w:rFonts w:ascii="宋体" w:hAnsi="宋体" w:cs="宋体" w:eastAsia="宋体" w:hint="default"/>
                <w:spacing w:val="-3"/>
                <w:sz w:val="18"/>
                <w:szCs w:val="18"/>
              </w:rPr>
              <w:t>如期实施，如</w:t>
            </w:r>
            <w:r>
              <w:rPr>
                <w:rFonts w:ascii="宋体" w:hAnsi="宋体" w:cs="宋体" w:eastAsia="宋体" w:hint="default"/>
                <w:sz w:val="18"/>
                <w:szCs w:val="18"/>
              </w:rPr>
              <w:t> 未按计划实 </w:t>
            </w:r>
            <w:r>
              <w:rPr>
                <w:rFonts w:ascii="宋体" w:hAnsi="宋体" w:cs="宋体" w:eastAsia="宋体" w:hint="default"/>
                <w:spacing w:val="-3"/>
                <w:sz w:val="18"/>
                <w:szCs w:val="18"/>
              </w:rPr>
              <w:t>施，应当说明</w:t>
            </w:r>
            <w:r>
              <w:rPr>
                <w:rFonts w:ascii="宋体" w:hAnsi="宋体" w:cs="宋体" w:eastAsia="宋体" w:hint="default"/>
                <w:sz w:val="18"/>
                <w:szCs w:val="18"/>
              </w:rPr>
              <w:t> 原因及公司 已采取的措 施</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686" w:hRule="exact"/>
        </w:trPr>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43"/>
              <w:ind w:left="30" w:right="29"/>
              <w:jc w:val="left"/>
              <w:rPr>
                <w:rFonts w:ascii="宋体" w:hAnsi="宋体" w:cs="宋体" w:eastAsia="宋体" w:hint="default"/>
                <w:sz w:val="18"/>
                <w:szCs w:val="18"/>
              </w:rPr>
            </w:pPr>
            <w:r>
              <w:rPr>
                <w:rFonts w:ascii="宋体" w:hAnsi="宋体" w:cs="宋体" w:eastAsia="宋体" w:hint="default"/>
                <w:spacing w:val="-6"/>
                <w:sz w:val="18"/>
                <w:szCs w:val="18"/>
              </w:rPr>
              <w:t>致维科技（北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京）有限公司</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15" w:right="28"/>
              <w:jc w:val="left"/>
              <w:rPr>
                <w:rFonts w:ascii="宋体" w:hAnsi="宋体" w:cs="宋体" w:eastAsia="宋体" w:hint="default"/>
                <w:sz w:val="18"/>
                <w:szCs w:val="18"/>
              </w:rPr>
            </w:pPr>
            <w:r>
              <w:rPr>
                <w:rFonts w:ascii="宋体" w:hAnsi="宋体" w:cs="宋体" w:eastAsia="宋体" w:hint="default"/>
                <w:spacing w:val="-6"/>
                <w:sz w:val="18"/>
                <w:szCs w:val="18"/>
              </w:rPr>
              <w:t>技术开发、技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术咨询、技术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服务；软件开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发；企业策 </w:t>
            </w:r>
            <w:r>
              <w:rPr>
                <w:rFonts w:ascii="宋体" w:hAnsi="宋体" w:cs="宋体" w:eastAsia="宋体" w:hint="default"/>
                <w:spacing w:val="-5"/>
                <w:sz w:val="18"/>
                <w:szCs w:val="18"/>
              </w:rPr>
              <w:t>划；设计、制</w:t>
            </w:r>
            <w:r>
              <w:rPr>
                <w:rFonts w:ascii="宋体" w:hAnsi="宋体" w:cs="宋体" w:eastAsia="宋体" w:hint="default"/>
                <w:sz w:val="18"/>
                <w:szCs w:val="18"/>
              </w:rPr>
              <w:t> </w:t>
            </w:r>
            <w:r>
              <w:rPr>
                <w:rFonts w:ascii="宋体" w:hAnsi="宋体" w:cs="宋体" w:eastAsia="宋体" w:hint="default"/>
                <w:spacing w:val="-5"/>
                <w:sz w:val="18"/>
                <w:szCs w:val="18"/>
              </w:rPr>
              <w:t>作、代理、发</w:t>
            </w:r>
            <w:r>
              <w:rPr>
                <w:rFonts w:ascii="宋体" w:hAnsi="宋体" w:cs="宋体" w:eastAsia="宋体" w:hint="default"/>
                <w:sz w:val="18"/>
                <w:szCs w:val="18"/>
              </w:rPr>
              <w:t> </w:t>
            </w:r>
            <w:r>
              <w:rPr>
                <w:rFonts w:ascii="宋体" w:hAnsi="宋体" w:cs="宋体" w:eastAsia="宋体" w:hint="default"/>
                <w:spacing w:val="-6"/>
                <w:sz w:val="18"/>
                <w:szCs w:val="18"/>
              </w:rPr>
              <w:t>布广告；市场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调查；企业管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理咨询。</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90" w:right="0"/>
              <w:jc w:val="left"/>
              <w:rPr>
                <w:rFonts w:ascii="Times New Roman" w:hAnsi="Times New Roman" w:cs="Times New Roman" w:eastAsia="Times New Roman" w:hint="default"/>
                <w:sz w:val="18"/>
                <w:szCs w:val="18"/>
              </w:rPr>
            </w:pPr>
            <w:r>
              <w:rPr>
                <w:rFonts w:ascii="Times New Roman"/>
                <w:sz w:val="18"/>
              </w:rPr>
              <w:t>3,210</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4" w:lineRule="auto"/>
              <w:ind w:left="30"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、公司对致 维科技减资 </w:t>
            </w:r>
            <w:r>
              <w:rPr>
                <w:rFonts w:ascii="宋体" w:hAnsi="宋体" w:cs="宋体" w:eastAsia="宋体" w:hint="default"/>
                <w:spacing w:val="-3"/>
                <w:sz w:val="18"/>
                <w:szCs w:val="18"/>
              </w:rPr>
              <w:t>后，公司仍保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持整体战略 布局和可持 续发展能力。 本次减资有</w:t>
            </w:r>
          </w:p>
          <w:p>
            <w:pPr>
              <w:pStyle w:val="TableParagraph"/>
              <w:spacing w:line="316" w:lineRule="auto" w:before="24"/>
              <w:ind w:left="30" w:right="-14"/>
              <w:jc w:val="left"/>
              <w:rPr>
                <w:rFonts w:ascii="宋体" w:hAnsi="宋体" w:cs="宋体" w:eastAsia="宋体" w:hint="default"/>
                <w:sz w:val="18"/>
                <w:szCs w:val="18"/>
              </w:rPr>
            </w:pPr>
            <w:r>
              <w:rPr>
                <w:rFonts w:ascii="宋体" w:hAnsi="宋体" w:cs="宋体" w:eastAsia="宋体" w:hint="default"/>
                <w:sz w:val="18"/>
                <w:szCs w:val="18"/>
              </w:rPr>
              <w:t>利于促使公 司现金回流、 增加可支配 </w:t>
            </w:r>
            <w:r>
              <w:rPr>
                <w:rFonts w:ascii="宋体" w:hAnsi="宋体" w:cs="宋体" w:eastAsia="宋体" w:hint="default"/>
                <w:spacing w:val="-3"/>
                <w:sz w:val="18"/>
                <w:szCs w:val="18"/>
              </w:rPr>
              <w:t>资金，有利于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公司的持续、 </w:t>
            </w:r>
            <w:r>
              <w:rPr>
                <w:rFonts w:ascii="宋体" w:hAnsi="宋体" w:cs="宋体" w:eastAsia="宋体" w:hint="default"/>
                <w:spacing w:val="-3"/>
                <w:sz w:val="18"/>
                <w:szCs w:val="18"/>
              </w:rPr>
              <w:t>健康、快速发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w:t>
            </w:r>
          </w:p>
        </w:tc>
        <w:tc>
          <w:tcPr>
            <w:tcW w:w="111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30" w:right="180"/>
              <w:jc w:val="both"/>
              <w:rPr>
                <w:rFonts w:ascii="宋体" w:hAnsi="宋体" w:cs="宋体" w:eastAsia="宋体" w:hint="default"/>
                <w:sz w:val="18"/>
                <w:szCs w:val="18"/>
              </w:rPr>
            </w:pPr>
            <w:r>
              <w:rPr>
                <w:rFonts w:ascii="宋体" w:hAnsi="宋体" w:cs="宋体" w:eastAsia="宋体" w:hint="default"/>
                <w:sz w:val="18"/>
                <w:szCs w:val="18"/>
              </w:rPr>
              <w:t>经双方共同 协商一致后 确定的交易 价格</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43"/>
              <w:ind w:left="29" w:right="164"/>
              <w:jc w:val="left"/>
              <w:rPr>
                <w:rFonts w:ascii="宋体" w:hAnsi="宋体" w:cs="宋体" w:eastAsia="宋体" w:hint="default"/>
                <w:sz w:val="18"/>
                <w:szCs w:val="18"/>
              </w:rPr>
            </w:pPr>
            <w:r>
              <w:rPr>
                <w:rFonts w:ascii="宋体" w:hAnsi="宋体" w:cs="宋体" w:eastAsia="宋体" w:hint="default"/>
                <w:sz w:val="18"/>
                <w:szCs w:val="18"/>
              </w:rPr>
              <w:t>不构成关联 交易</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45" w:lineRule="auto" w:before="79"/>
              <w:ind w:left="30"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o.com.cn)</w:t>
            </w:r>
          </w:p>
        </w:tc>
      </w:tr>
    </w:tbl>
    <w:p>
      <w:pPr>
        <w:spacing w:after="0" w:line="345" w:lineRule="auto"/>
        <w:jc w:val="left"/>
        <w:rPr>
          <w:rFonts w:ascii="Times New Roman" w:hAnsi="Times New Roman" w:cs="Times New Roman" w:eastAsia="Times New Roman" w:hint="default"/>
          <w:sz w:val="18"/>
          <w:szCs w:val="18"/>
        </w:rPr>
        <w:sectPr>
          <w:headerReference w:type="default" r:id="rId25"/>
          <w:footerReference w:type="default" r:id="rId26"/>
          <w:pgSz w:w="16850" w:h="11910" w:orient="landscape"/>
          <w:pgMar w:header="857" w:footer="981" w:top="1040" w:bottom="1180" w:left="500" w:right="500"/>
          <w:pgNumType w:start="33"/>
        </w:sectPr>
      </w:pPr>
    </w:p>
    <w:p>
      <w:pPr>
        <w:spacing w:line="240" w:lineRule="auto" w:before="2"/>
        <w:rPr>
          <w:rFonts w:ascii="宋体" w:hAnsi="宋体" w:cs="宋体" w:eastAsia="宋体" w:hint="default"/>
          <w:sz w:val="4"/>
          <w:szCs w:val="4"/>
        </w:rPr>
      </w:pPr>
    </w:p>
    <w:p>
      <w:pPr>
        <w:spacing w:line="20" w:lineRule="exact"/>
        <w:ind w:left="603" w:right="0" w:firstLine="0"/>
        <w:rPr>
          <w:rFonts w:ascii="宋体" w:hAnsi="宋体" w:cs="宋体" w:eastAsia="宋体" w:hint="default"/>
          <w:sz w:val="2"/>
          <w:szCs w:val="2"/>
        </w:rPr>
      </w:pPr>
      <w:r>
        <w:rPr>
          <w:rFonts w:ascii="宋体" w:hAnsi="宋体" w:cs="宋体" w:eastAsia="宋体"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before="26"/>
        <w:ind w:left="641"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50" w:h="11910" w:orient="landscape"/>
          <w:pgMar w:header="857" w:footer="981" w:top="1040" w:bottom="1180" w:left="800" w:right="780"/>
        </w:sectPr>
      </w:pPr>
    </w:p>
    <w:p>
      <w:pPr>
        <w:pStyle w:val="BodyText"/>
        <w:spacing w:line="240" w:lineRule="auto" w:before="44"/>
        <w:ind w:left="641"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111"/>
        <w:ind w:left="641" w:right="-19"/>
        <w:jc w:val="left"/>
      </w:pPr>
      <w:r>
        <w:rPr/>
        <w:t>主要子公司及对公司净利润影响达</w:t>
      </w:r>
      <w:r>
        <w:rPr>
          <w:spacing w:val="-43"/>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left="641" w:right="0"/>
        <w:jc w:val="left"/>
      </w:pPr>
      <w:r>
        <w:rPr/>
        <w:t>单位：元</w:t>
      </w:r>
    </w:p>
    <w:p>
      <w:pPr>
        <w:spacing w:after="0" w:line="240" w:lineRule="auto"/>
        <w:jc w:val="left"/>
        <w:sectPr>
          <w:type w:val="continuous"/>
          <w:pgSz w:w="16850" w:h="11910" w:orient="landscape"/>
          <w:pgMar w:top="1040" w:bottom="1180" w:left="800" w:right="780"/>
          <w:cols w:num="2" w:equalWidth="0">
            <w:col w:w="5340" w:space="7917"/>
            <w:col w:w="2013"/>
          </w:cols>
        </w:sectPr>
      </w:pPr>
    </w:p>
    <w:p>
      <w:pPr>
        <w:spacing w:line="240" w:lineRule="auto" w:before="7"/>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687"/>
        <w:gridCol w:w="841"/>
        <w:gridCol w:w="1651"/>
        <w:gridCol w:w="1637"/>
        <w:gridCol w:w="1636"/>
        <w:gridCol w:w="1652"/>
        <w:gridCol w:w="1636"/>
        <w:gridCol w:w="1637"/>
        <w:gridCol w:w="1651"/>
      </w:tblGrid>
      <w:tr>
        <w:trPr>
          <w:trHeight w:val="405" w:hRule="exact"/>
        </w:trPr>
        <w:tc>
          <w:tcPr>
            <w:tcW w:w="26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5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6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6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646" w:hRule="exact"/>
        </w:trPr>
        <w:tc>
          <w:tcPr>
            <w:tcW w:w="2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0"/>
              <w:ind w:left="30" w:right="0"/>
              <w:jc w:val="left"/>
              <w:rPr>
                <w:rFonts w:ascii="宋体" w:hAnsi="宋体" w:cs="宋体" w:eastAsia="宋体" w:hint="default"/>
                <w:sz w:val="18"/>
                <w:szCs w:val="18"/>
              </w:rPr>
            </w:pPr>
            <w:r>
              <w:rPr>
                <w:rFonts w:ascii="宋体" w:hAnsi="宋体" w:cs="宋体" w:eastAsia="宋体" w:hint="default"/>
                <w:sz w:val="18"/>
                <w:szCs w:val="18"/>
              </w:rPr>
              <w:t>北京品推宝移动科技有限公司</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 w:right="0"/>
              <w:jc w:val="left"/>
              <w:rPr>
                <w:rFonts w:ascii="宋体" w:hAnsi="宋体" w:cs="宋体" w:eastAsia="宋体" w:hint="default"/>
                <w:sz w:val="18"/>
                <w:szCs w:val="18"/>
              </w:rPr>
            </w:pPr>
            <w:r>
              <w:rPr>
                <w:rFonts w:ascii="宋体" w:hAnsi="宋体" w:cs="宋体" w:eastAsia="宋体" w:hint="default"/>
                <w:spacing w:val="-4"/>
                <w:sz w:val="18"/>
                <w:szCs w:val="18"/>
              </w:rPr>
              <w:t>技术开发，营销服务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100,000,000.00</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124,179,658.82</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118,472,463.44</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34,522,220.98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-1,837,513.69</w:t>
            </w:r>
            <w:r>
              <w:rPr>
                <w:rFonts w:ascii="Times New Roman"/>
                <w:sz w:val="18"/>
              </w:rPr>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-1,615,326.19</w:t>
            </w:r>
            <w:r>
              <w:rPr>
                <w:rFonts w:ascii="Times New Roman"/>
                <w:sz w:val="18"/>
              </w:rPr>
            </w:r>
          </w:p>
        </w:tc>
      </w:tr>
      <w:tr>
        <w:trPr>
          <w:trHeight w:val="811" w:hRule="exact"/>
        </w:trPr>
        <w:tc>
          <w:tcPr>
            <w:tcW w:w="2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北京宣亚国际品牌咨询有限公司</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4"/>
                <w:sz w:val="18"/>
                <w:szCs w:val="18"/>
              </w:rPr>
              <w:t>咨询策划，营销服务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10,000,000.00</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9,372,754.37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6,946,530.12</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9,989,829.93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1,292,791.07</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1,228,565.29</w:t>
            </w:r>
          </w:p>
        </w:tc>
      </w:tr>
      <w:tr>
        <w:trPr>
          <w:trHeight w:val="811" w:hRule="exact"/>
        </w:trPr>
        <w:tc>
          <w:tcPr>
            <w:tcW w:w="2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云目未来科技（北京）有限公司</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4"/>
                <w:sz w:val="18"/>
                <w:szCs w:val="18"/>
              </w:rPr>
              <w:t>技术开发，技术咨询</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12,500,000.00</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18,480,875.39</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1,846,784.42</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5,388,529.58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-5,837,951.46</w:t>
            </w:r>
            <w:r>
              <w:rPr>
                <w:rFonts w:ascii="Times New Roman"/>
                <w:sz w:val="18"/>
              </w:rPr>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-5,791,659.05</w:t>
            </w:r>
            <w:r>
              <w:rPr>
                <w:rFonts w:ascii="Times New Roman"/>
                <w:sz w:val="18"/>
              </w:rPr>
            </w:r>
          </w:p>
        </w:tc>
      </w:tr>
      <w:tr>
        <w:trPr>
          <w:trHeight w:val="811" w:hRule="exact"/>
        </w:trPr>
        <w:tc>
          <w:tcPr>
            <w:tcW w:w="2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北京金色区块网络科技有限公司</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4"/>
                <w:sz w:val="18"/>
                <w:szCs w:val="18"/>
              </w:rPr>
              <w:t>咨询策划，营销服务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20,000,000.00</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9,156,486.10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8,651,604.01</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963,768.85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-2,598,151.46</w:t>
            </w:r>
            <w:r>
              <w:rPr>
                <w:rFonts w:ascii="Times New Roman"/>
                <w:sz w:val="18"/>
              </w:rPr>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-2,598,151.46</w:t>
            </w:r>
            <w:r>
              <w:rPr>
                <w:rFonts w:ascii="Times New Roman"/>
                <w:sz w:val="18"/>
              </w:rPr>
            </w:r>
          </w:p>
        </w:tc>
      </w:tr>
      <w:tr>
        <w:trPr>
          <w:trHeight w:val="706" w:hRule="exact"/>
        </w:trPr>
        <w:tc>
          <w:tcPr>
            <w:tcW w:w="2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宣亚国际有限公司</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4"/>
              <w:jc w:val="left"/>
              <w:rPr>
                <w:rFonts w:ascii="宋体" w:hAnsi="宋体" w:cs="宋体" w:eastAsia="宋体" w:hint="default"/>
                <w:sz w:val="18"/>
                <w:szCs w:val="18"/>
              </w:rPr>
            </w:pPr>
            <w:r>
              <w:rPr>
                <w:rFonts w:ascii="宋体" w:hAnsi="宋体" w:cs="宋体" w:eastAsia="宋体" w:hint="default"/>
                <w:spacing w:val="-4"/>
                <w:sz w:val="18"/>
                <w:szCs w:val="18"/>
              </w:rPr>
              <w:t>管理、策划，营销服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45,528,170.00</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43,816,355.07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43,795,123.35</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-2,780,076.05</w:t>
            </w:r>
            <w:r>
              <w:rPr>
                <w:rFonts w:ascii="Times New Roman"/>
                <w:sz w:val="18"/>
              </w:rPr>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-2,780,076.05</w:t>
            </w:r>
            <w:r>
              <w:rPr>
                <w:rFonts w:ascii="Times New Roman"/>
                <w:sz w:val="18"/>
              </w:rPr>
            </w:r>
          </w:p>
        </w:tc>
      </w:tr>
      <w:tr>
        <w:trPr>
          <w:trHeight w:val="811" w:hRule="exact"/>
        </w:trPr>
        <w:tc>
          <w:tcPr>
            <w:tcW w:w="2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北京威维体育文化有限公司</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体育营销服务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10,000,000.00</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16,533,029.97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16,164,211.26</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3,771,358.16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-4,785,699.85</w:t>
            </w:r>
            <w:r>
              <w:rPr>
                <w:rFonts w:ascii="Times New Roman"/>
                <w:sz w:val="18"/>
              </w:rPr>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-4,798,149.29</w:t>
            </w:r>
            <w:r>
              <w:rPr>
                <w:rFonts w:ascii="Times New Roman"/>
                <w:sz w:val="18"/>
              </w:rPr>
            </w:r>
          </w:p>
        </w:tc>
      </w:tr>
      <w:tr>
        <w:trPr>
          <w:trHeight w:val="811" w:hRule="exact"/>
        </w:trPr>
        <w:tc>
          <w:tcPr>
            <w:tcW w:w="2687" w:type="dxa"/>
            <w:tcBorders>
              <w:top w:val="single" w:sz="6" w:space="0" w:color="000000"/>
              <w:left w:val="single" w:sz="6" w:space="0" w:color="000000"/>
              <w:bottom w:val="single" w:sz="6" w:space="0" w:color="FFFFFF"/>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链极智能科技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841"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651"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637"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3,000,000.00</w:t>
            </w:r>
          </w:p>
        </w:tc>
        <w:tc>
          <w:tcPr>
            <w:tcW w:w="1636"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9,618,191.43</w:t>
            </w:r>
          </w:p>
        </w:tc>
        <w:tc>
          <w:tcPr>
            <w:tcW w:w="1652"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2,113,541.27</w:t>
            </w:r>
          </w:p>
        </w:tc>
        <w:tc>
          <w:tcPr>
            <w:tcW w:w="1636"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1,741,186.12</w:t>
            </w:r>
          </w:p>
        </w:tc>
        <w:tc>
          <w:tcPr>
            <w:tcW w:w="1637"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-12,746,817.44</w:t>
            </w:r>
            <w:r>
              <w:rPr>
                <w:rFonts w:ascii="Times New Roman"/>
                <w:sz w:val="18"/>
              </w:rPr>
            </w:r>
          </w:p>
        </w:tc>
        <w:tc>
          <w:tcPr>
            <w:tcW w:w="1651"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-12,747,073.89</w:t>
            </w:r>
            <w:r>
              <w:rPr>
                <w:rFonts w:ascii="Times New Roman"/>
                <w:sz w:val="18"/>
              </w:rPr>
            </w:r>
          </w:p>
        </w:tc>
      </w:tr>
      <w:tr>
        <w:trPr>
          <w:trHeight w:val="556" w:hRule="exact"/>
        </w:trPr>
        <w:tc>
          <w:tcPr>
            <w:tcW w:w="2687" w:type="dxa"/>
            <w:tcBorders>
              <w:top w:val="single" w:sz="6" w:space="0" w:color="FFFFFF"/>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RMDS </w:t>
            </w:r>
            <w:r>
              <w:rPr>
                <w:rFonts w:ascii="Times New Roman"/>
                <w:spacing w:val="-4"/>
                <w:sz w:val="18"/>
              </w:rPr>
              <w:t>Lab</w:t>
            </w:r>
            <w:r>
              <w:rPr>
                <w:rFonts w:ascii="Times New Roman"/>
                <w:spacing w:val="-2"/>
                <w:sz w:val="18"/>
              </w:rPr>
              <w:t> </w:t>
            </w:r>
            <w:r>
              <w:rPr>
                <w:rFonts w:ascii="Times New Roman"/>
                <w:sz w:val="18"/>
              </w:rPr>
              <w:t>Inc</w:t>
            </w:r>
          </w:p>
        </w:tc>
        <w:tc>
          <w:tcPr>
            <w:tcW w:w="841"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120"/>
              <w:ind w:left="30"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651"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120"/>
              <w:ind w:left="30"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637"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20,928,600.00</w:t>
            </w:r>
          </w:p>
        </w:tc>
        <w:tc>
          <w:tcPr>
            <w:tcW w:w="163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16,410,588.18</w:t>
            </w:r>
          </w:p>
        </w:tc>
        <w:tc>
          <w:tcPr>
            <w:tcW w:w="1652"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15,869,932.40</w:t>
            </w:r>
          </w:p>
        </w:tc>
        <w:tc>
          <w:tcPr>
            <w:tcW w:w="163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121,401.65</w:t>
            </w:r>
          </w:p>
        </w:tc>
        <w:tc>
          <w:tcPr>
            <w:tcW w:w="1637"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-5,243,691.84</w:t>
            </w:r>
            <w:r>
              <w:rPr>
                <w:rFonts w:ascii="Times New Roman"/>
                <w:sz w:val="18"/>
              </w:rPr>
            </w:r>
          </w:p>
        </w:tc>
        <w:tc>
          <w:tcPr>
            <w:tcW w:w="1651"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-5,066,339.68</w:t>
            </w:r>
            <w:r>
              <w:rPr>
                <w:rFonts w:ascii="Times New Roman"/>
                <w:sz w:val="18"/>
              </w:rPr>
            </w:r>
          </w:p>
        </w:tc>
      </w:tr>
      <w:tr>
        <w:trPr>
          <w:trHeight w:val="721" w:hRule="exact"/>
        </w:trPr>
        <w:tc>
          <w:tcPr>
            <w:tcW w:w="2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天津星言云汇网络科技有限公司</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64"/>
              <w:jc w:val="left"/>
              <w:rPr>
                <w:rFonts w:ascii="宋体" w:hAnsi="宋体" w:cs="宋体" w:eastAsia="宋体" w:hint="default"/>
                <w:sz w:val="18"/>
                <w:szCs w:val="18"/>
              </w:rPr>
            </w:pPr>
            <w:r>
              <w:rPr>
                <w:rFonts w:ascii="宋体" w:hAnsi="宋体" w:cs="宋体" w:eastAsia="宋体" w:hint="default"/>
                <w:sz w:val="18"/>
                <w:szCs w:val="18"/>
              </w:rPr>
              <w:t>互联网营销广告服 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1,250,000.00</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95,063,678.75</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61,687,321.53</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32,924,059.44</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2,198,802.31</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1,782,697.23</w:t>
            </w:r>
          </w:p>
        </w:tc>
      </w:tr>
    </w:tbl>
    <w:p>
      <w:pPr>
        <w:spacing w:after="0" w:line="240" w:lineRule="auto"/>
        <w:jc w:val="right"/>
        <w:rPr>
          <w:rFonts w:ascii="Times New Roman" w:hAnsi="Times New Roman" w:cs="Times New Roman" w:eastAsia="Times New Roman" w:hint="default"/>
          <w:sz w:val="18"/>
          <w:szCs w:val="18"/>
        </w:rPr>
        <w:sectPr>
          <w:type w:val="continuous"/>
          <w:pgSz w:w="16850" w:h="11910" w:orient="landscape"/>
          <w:pgMar w:top="1040" w:bottom="1180" w:left="800" w:right="780"/>
        </w:sect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t>报告期内取得和处置子公司的情况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上海宣亚人工智能科技有限公司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本期归属于母公司股东的净利润影响</w:t>
            </w:r>
          </w:p>
          <w:p>
            <w:pPr>
              <w:pStyle w:val="TableParagraph"/>
              <w:spacing w:line="240" w:lineRule="auto" w:before="9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-94,992.54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上海至深大数据科技有限公司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本期归属于母公司股东的净利润影响</w:t>
            </w:r>
          </w:p>
          <w:p>
            <w:pPr>
              <w:pStyle w:val="TableParagraph"/>
              <w:spacing w:line="240" w:lineRule="auto" w:before="8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-175,780.04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珠海宣亚互动数字营销有限公司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本期归属于母公司股东的净利润影响</w:t>
            </w:r>
          </w:p>
          <w:p>
            <w:pPr>
              <w:pStyle w:val="TableParagraph"/>
              <w:spacing w:line="240" w:lineRule="auto" w:before="8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1635.42 </w:t>
            </w:r>
            <w:r>
              <w:rPr>
                <w:rFonts w:ascii="宋体" w:hAnsi="宋体" w:cs="宋体" w:eastAsia="宋体" w:hint="default"/>
                <w:sz w:val="18"/>
                <w:szCs w:val="18"/>
              </w:rPr>
              <w:t>元</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天津星言云汇网络科技有限公司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增资、收购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本期归属于母公司股东的净利润影响</w:t>
            </w:r>
          </w:p>
          <w:p>
            <w:pPr>
              <w:pStyle w:val="TableParagraph"/>
              <w:spacing w:line="240" w:lineRule="auto" w:before="9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713,078.89 </w:t>
            </w:r>
            <w:r>
              <w:rPr>
                <w:rFonts w:ascii="宋体" w:hAnsi="宋体" w:cs="宋体" w:eastAsia="宋体" w:hint="default"/>
                <w:sz w:val="18"/>
                <w:szCs w:val="18"/>
              </w:rPr>
              <w:t>元</w:t>
            </w:r>
          </w:p>
        </w:tc>
      </w:tr>
    </w:tbl>
    <w:p>
      <w:pPr>
        <w:pStyle w:val="BodyText"/>
        <w:spacing w:line="240" w:lineRule="auto" w:before="44"/>
        <w:ind w:right="0"/>
        <w:jc w:val="left"/>
      </w:pPr>
      <w:r>
        <w:rPr/>
        <w:t>主要控股参股公司情况说明</w:t>
      </w:r>
    </w:p>
    <w:p>
      <w:pPr>
        <w:pStyle w:val="BodyText"/>
        <w:spacing w:line="240" w:lineRule="auto" w:before="125"/>
        <w:ind w:left="501" w:right="0"/>
        <w:jc w:val="left"/>
      </w:pPr>
      <w:r>
        <w:rPr>
          <w:rFonts w:ascii="Times New Roman" w:hAnsi="Times New Roman" w:cs="Times New Roman" w:eastAsia="Times New Roman" w:hint="default"/>
        </w:rPr>
        <w:t>1</w:t>
      </w:r>
      <w:r>
        <w:rPr/>
        <w:t>、主要控股公司情况</w:t>
      </w:r>
    </w:p>
    <w:p>
      <w:pPr>
        <w:spacing w:line="240" w:lineRule="auto" w:before="1"/>
        <w:rPr>
          <w:rFonts w:ascii="宋体" w:hAnsi="宋体" w:cs="宋体" w:eastAsia="宋体" w:hint="default"/>
          <w:sz w:val="13"/>
          <w:szCs w:val="13"/>
        </w:rPr>
      </w:pPr>
    </w:p>
    <w:p>
      <w:pPr>
        <w:pStyle w:val="BodyText"/>
        <w:spacing w:line="240" w:lineRule="auto"/>
        <w:ind w:left="501" w:right="0"/>
        <w:jc w:val="left"/>
      </w:pPr>
      <w:r>
        <w:rPr/>
        <w:t>（</w:t>
      </w:r>
      <w:r>
        <w:rPr>
          <w:rFonts w:ascii="宋体" w:hAnsi="宋体" w:cs="宋体" w:eastAsia="宋体" w:hint="default"/>
        </w:rPr>
        <w:t>1</w:t>
      </w:r>
      <w:r>
        <w:rPr/>
        <w:t>）品推宝：相关情况介绍详见“第四节经营情况讨论与分析一、概述”。</w:t>
      </w:r>
    </w:p>
    <w:p>
      <w:pPr>
        <w:spacing w:line="240" w:lineRule="auto" w:before="4"/>
        <w:rPr>
          <w:rFonts w:ascii="宋体" w:hAnsi="宋体" w:cs="宋体" w:eastAsia="宋体" w:hint="default"/>
          <w:sz w:val="15"/>
          <w:szCs w:val="15"/>
        </w:rPr>
      </w:pPr>
    </w:p>
    <w:p>
      <w:pPr>
        <w:pStyle w:val="BodyText"/>
        <w:spacing w:line="240" w:lineRule="auto"/>
        <w:ind w:left="501" w:right="0"/>
        <w:jc w:val="left"/>
      </w:pPr>
      <w:r>
        <w:rPr/>
        <w:t>（</w:t>
      </w:r>
      <w:r>
        <w:rPr>
          <w:rFonts w:ascii="宋体" w:hAnsi="宋体" w:cs="宋体" w:eastAsia="宋体" w:hint="default"/>
        </w:rPr>
        <w:t>2</w:t>
      </w:r>
      <w:r>
        <w:rPr/>
        <w:t>）云目未来：相关情况介绍详见“第四节经营情况讨论与分析一、概述”。</w:t>
      </w:r>
    </w:p>
    <w:p>
      <w:pPr>
        <w:spacing w:line="240" w:lineRule="auto" w:before="2"/>
        <w:rPr>
          <w:rFonts w:ascii="宋体" w:hAnsi="宋体" w:cs="宋体" w:eastAsia="宋体" w:hint="default"/>
          <w:sz w:val="14"/>
          <w:szCs w:val="14"/>
        </w:rPr>
      </w:pPr>
    </w:p>
    <w:p>
      <w:pPr>
        <w:pStyle w:val="BodyText"/>
        <w:spacing w:line="321" w:lineRule="auto"/>
        <w:ind w:right="1137" w:firstLine="360"/>
        <w:jc w:val="both"/>
      </w:pPr>
      <w:r>
        <w:rPr/>
        <w:t>（</w:t>
      </w:r>
      <w:r>
        <w:rPr>
          <w:rFonts w:ascii="宋体" w:hAnsi="宋体" w:cs="宋体" w:eastAsia="宋体" w:hint="default"/>
        </w:rPr>
        <w:t>3</w:t>
      </w:r>
      <w:r>
        <w:rPr/>
        <w:t>）宣亚人工智能：主要从事人工智能科技、网络信息科技、计算机科技领域内的技术开发、技术转让、技术服务、 技术咨询、技术服务等。目前尚处于初创阶段。</w:t>
      </w:r>
    </w:p>
    <w:p>
      <w:pPr>
        <w:pStyle w:val="BodyText"/>
        <w:spacing w:line="321" w:lineRule="auto" w:before="138"/>
        <w:ind w:right="1127" w:firstLine="360"/>
        <w:jc w:val="both"/>
      </w:pPr>
      <w:r>
        <w:rPr/>
        <w:t>（</w:t>
      </w:r>
      <w:r>
        <w:rPr>
          <w:rFonts w:ascii="宋体" w:hAnsi="宋体" w:cs="宋体" w:eastAsia="宋体" w:hint="default"/>
        </w:rPr>
        <w:t>4</w:t>
      </w:r>
      <w:r>
        <w:rPr/>
        <w:t>）上海至深：主要从事数据技术、计算机系统工程、信息系统集成、智能化、移动互联网领域内的技术开发、技术 </w:t>
      </w:r>
      <w:r>
        <w:rPr>
          <w:spacing w:val="-2"/>
        </w:rPr>
        <w:t>咨询、技术服务、技术转让等。报告期内已成功研发并投入使用的系统有：智能舆情管理系统、全媒体价值评估系统、品牌</w:t>
      </w:r>
      <w:r>
        <w:rPr>
          <w:spacing w:val="-64"/>
        </w:rPr>
        <w:t> </w:t>
      </w:r>
      <w:r>
        <w:rPr>
          <w:spacing w:val="-64"/>
        </w:rPr>
      </w:r>
      <w:r>
        <w:rPr/>
        <w:t>舆情及用户口碑健康度评估系统。目前尚处于初创阶段。</w:t>
      </w:r>
    </w:p>
    <w:p>
      <w:pPr>
        <w:pStyle w:val="BodyText"/>
        <w:spacing w:line="444" w:lineRule="auto" w:before="124"/>
        <w:ind w:left="501" w:right="4179"/>
        <w:jc w:val="left"/>
      </w:pPr>
      <w:r>
        <w:rPr/>
        <w:t>（</w:t>
      </w:r>
      <w:r>
        <w:rPr>
          <w:rFonts w:ascii="宋体" w:hAnsi="宋体" w:cs="宋体" w:eastAsia="宋体" w:hint="default"/>
        </w:rPr>
        <w:t>5</w:t>
      </w:r>
      <w:r>
        <w:rPr/>
        <w:t>）星言云汇：相关情况介绍详见“第四节经营情况讨论与分析一、概述”。</w:t>
      </w:r>
      <w:r>
        <w:rPr>
          <w:spacing w:val="-85"/>
        </w:rPr>
        <w:t> </w:t>
      </w:r>
      <w:r>
        <w:rPr>
          <w:spacing w:val="-85"/>
        </w:rPr>
      </w:r>
      <w:r>
        <w:rPr>
          <w:rFonts w:ascii="宋体" w:hAnsi="宋体" w:cs="宋体" w:eastAsia="宋体" w:hint="default"/>
        </w:rPr>
        <w:t>2</w:t>
      </w:r>
      <w:r>
        <w:rPr/>
        <w:t>、主要参股公司情况</w:t>
      </w:r>
    </w:p>
    <w:p>
      <w:pPr>
        <w:pStyle w:val="BodyText"/>
        <w:spacing w:line="316" w:lineRule="auto" w:before="47"/>
        <w:ind w:right="1110" w:firstLine="360"/>
        <w:jc w:val="both"/>
      </w:pPr>
      <w:r>
        <w:rPr/>
        <w:t>（</w:t>
      </w:r>
      <w:r>
        <w:rPr>
          <w:rFonts w:ascii="宋体" w:hAnsi="宋体" w:cs="宋体" w:eastAsia="宋体" w:hint="default"/>
        </w:rPr>
        <w:t>1</w:t>
      </w:r>
      <w:r>
        <w:rPr/>
        <w:t>）</w:t>
      </w:r>
      <w:r>
        <w:rPr>
          <w:rFonts w:ascii="宋体" w:hAnsi="宋体" w:cs="宋体" w:eastAsia="宋体" w:hint="default"/>
        </w:rPr>
        <w:t>RMDS</w:t>
      </w:r>
      <w:r>
        <w:rPr/>
        <w:t>：主要致力于研发前端大数据和人工智能技术，提供“研究方法与数据科学”相关的科技开发和系统服务。 </w:t>
      </w:r>
      <w:r>
        <w:rPr>
          <w:rFonts w:ascii="宋体" w:hAnsi="宋体" w:cs="宋体" w:eastAsia="宋体" w:hint="default"/>
        </w:rPr>
        <w:t>RMDS</w:t>
      </w:r>
      <w:r>
        <w:rPr/>
        <w:t>创始人股东</w:t>
      </w:r>
      <w:r>
        <w:rPr>
          <w:rFonts w:ascii="宋体" w:hAnsi="宋体" w:cs="宋体" w:eastAsia="宋体" w:hint="default"/>
        </w:rPr>
        <w:t>Alex</w:t>
      </w:r>
      <w:r>
        <w:rPr>
          <w:rFonts w:ascii="宋体" w:hAnsi="宋体" w:cs="宋体" w:eastAsia="宋体" w:hint="default"/>
          <w:spacing w:val="5"/>
        </w:rPr>
        <w:t> </w:t>
      </w:r>
      <w:r>
        <w:rPr>
          <w:rFonts w:ascii="宋体" w:hAnsi="宋体" w:cs="宋体" w:eastAsia="宋体" w:hint="default"/>
        </w:rPr>
        <w:t>Liu</w:t>
      </w:r>
      <w:r>
        <w:rPr/>
        <w:t>，系“研究方法与数据”全球协议主席、数据科学家，曾在斯坦福大学、</w:t>
      </w:r>
      <w:r>
        <w:rPr>
          <w:rFonts w:ascii="宋体" w:hAnsi="宋体" w:cs="宋体" w:eastAsia="宋体" w:hint="default"/>
        </w:rPr>
        <w:t>IBM</w:t>
      </w:r>
      <w:r>
        <w:rPr/>
        <w:t>研究院等知名高校和 </w:t>
      </w:r>
      <w:r>
        <w:rPr>
          <w:spacing w:val="-2"/>
        </w:rPr>
        <w:t>研究中心担任研究员。宣亚美国投资于</w:t>
      </w:r>
      <w:r>
        <w:rPr>
          <w:rFonts w:ascii="宋体" w:hAnsi="宋体" w:cs="宋体" w:eastAsia="宋体" w:hint="default"/>
          <w:spacing w:val="-2"/>
        </w:rPr>
        <w:t>RMDS</w:t>
      </w:r>
      <w:r>
        <w:rPr>
          <w:spacing w:val="-2"/>
        </w:rPr>
        <w:t>的资金用于支持</w:t>
      </w:r>
      <w:r>
        <w:rPr>
          <w:rFonts w:ascii="宋体" w:hAnsi="宋体" w:cs="宋体" w:eastAsia="宋体" w:hint="default"/>
          <w:spacing w:val="-2"/>
        </w:rPr>
        <w:t>RMDS</w:t>
      </w:r>
      <w:r>
        <w:rPr>
          <w:spacing w:val="-2"/>
        </w:rPr>
        <w:t>利用人工智能和相关解决方案进一步开发</w:t>
      </w:r>
      <w:r>
        <w:rPr>
          <w:rFonts w:ascii="宋体" w:hAnsi="宋体" w:cs="宋体" w:eastAsia="宋体" w:hint="default"/>
          <w:spacing w:val="-2"/>
        </w:rPr>
        <w:t>RMDS</w:t>
      </w:r>
      <w:r>
        <w:rPr>
          <w:spacing w:val="-2"/>
        </w:rPr>
        <w:t>分析框架的活</w:t>
      </w:r>
      <w:r>
        <w:rPr>
          <w:spacing w:val="-39"/>
        </w:rPr>
        <w:t> </w:t>
      </w:r>
      <w:r>
        <w:rPr/>
        <w:t>动，包括但不限于营销和销售分析及利用人工智能不断完善相应的解决方案。</w:t>
      </w:r>
    </w:p>
    <w:p>
      <w:pPr>
        <w:pStyle w:val="BodyText"/>
        <w:spacing w:line="316" w:lineRule="auto" w:before="142"/>
        <w:ind w:right="1121" w:firstLine="360"/>
        <w:jc w:val="both"/>
      </w:pPr>
      <w:r>
        <w:rPr/>
        <w:t>（</w:t>
      </w:r>
      <w:r>
        <w:rPr>
          <w:rFonts w:ascii="宋体" w:hAnsi="宋体" w:cs="宋体" w:eastAsia="宋体" w:hint="default"/>
        </w:rPr>
        <w:t>2</w:t>
      </w:r>
      <w:r>
        <w:rPr/>
        <w:t>）链极科技：链极科技致力于用区块链技术在供应链金融、智慧港口、区块链食品溯源等领域服务实体经济、服务 </w:t>
      </w:r>
      <w:r>
        <w:rPr>
          <w:spacing w:val="-2"/>
        </w:rPr>
        <w:t>国家战略。报告期内，链极科技已列入境内区块链信息服务备案清单（第二批）。公司和链极科技合作致力于共同探索区块</w:t>
      </w:r>
      <w:r>
        <w:rPr>
          <w:spacing w:val="-57"/>
        </w:rPr>
        <w:t> </w:t>
      </w:r>
      <w:r>
        <w:rPr>
          <w:spacing w:val="-57"/>
        </w:rPr>
      </w:r>
      <w:r>
        <w:rPr>
          <w:spacing w:val="-2"/>
        </w:rPr>
        <w:t>链技术在整合营销各个环节与场景中的应用，未来几年将专注于营销落地场景与解决方案等重点研发项目。区块链技术作为</w:t>
      </w:r>
      <w:r>
        <w:rPr>
          <w:spacing w:val="-72"/>
        </w:rPr>
        <w:t> </w:t>
      </w:r>
      <w:r>
        <w:rPr>
          <w:spacing w:val="-72"/>
        </w:rPr>
      </w:r>
      <w:r>
        <w:rPr>
          <w:spacing w:val="-2"/>
        </w:rPr>
        <w:t>一项复杂的新兴技术，行业标准和国家监管政策在逐步制定过程中，区块链技术在整合营销领域的应用及商业价值创新尚处</w:t>
      </w:r>
      <w:r>
        <w:rPr>
          <w:spacing w:val="-72"/>
        </w:rPr>
        <w:t> </w:t>
      </w:r>
      <w:r>
        <w:rPr>
          <w:spacing w:val="-72"/>
        </w:rPr>
      </w:r>
      <w:r>
        <w:rPr/>
        <w:t>于培育及探索阶段，从底层技术到应用落地均面临着诸多挑战，其应用前景和盈利模式尚存在诸多不确定因素。</w:t>
      </w:r>
    </w:p>
    <w:p>
      <w:pPr>
        <w:pStyle w:val="BodyText"/>
        <w:spacing w:line="321" w:lineRule="auto" w:before="142"/>
        <w:ind w:right="1130" w:firstLine="360"/>
        <w:jc w:val="both"/>
      </w:pPr>
      <w:r>
        <w:rPr/>
        <w:t>（</w:t>
      </w:r>
      <w:r>
        <w:rPr>
          <w:rFonts w:ascii="宋体" w:hAnsi="宋体" w:cs="宋体" w:eastAsia="宋体" w:hint="default"/>
        </w:rPr>
        <w:t>3</w:t>
      </w:r>
      <w:r>
        <w:rPr/>
        <w:t>）威维体育：致力于体育营销、体育科技及大数据研发与应用、赛事</w:t>
      </w:r>
      <w:r>
        <w:rPr>
          <w:rFonts w:ascii="宋体" w:hAnsi="宋体" w:cs="宋体" w:eastAsia="宋体" w:hint="default"/>
        </w:rPr>
        <w:t>IP</w:t>
      </w:r>
      <w:r>
        <w:rPr/>
        <w:t>打造与赞助咨询、体育经纪与教育培训等体 育业务的发展。存在项目执行周期长且波动较大的特点。</w:t>
      </w:r>
    </w:p>
    <w:p>
      <w:pPr>
        <w:pStyle w:val="BodyText"/>
        <w:spacing w:line="321" w:lineRule="auto" w:before="138"/>
        <w:ind w:right="1137" w:firstLine="360"/>
        <w:jc w:val="both"/>
      </w:pPr>
      <w:r>
        <w:rPr/>
        <w:t>（</w:t>
      </w:r>
      <w:r>
        <w:rPr>
          <w:rFonts w:ascii="宋体" w:hAnsi="宋体" w:cs="宋体" w:eastAsia="宋体" w:hint="default"/>
        </w:rPr>
        <w:t>4</w:t>
      </w:r>
      <w:r>
        <w:rPr/>
        <w:t>）群创天杰：群创天杰系一家高新技术企业，专注于为汽车行业提供数字营销技术服务平台开发和运营、基于营销 内容的</w:t>
      </w:r>
      <w:r>
        <w:rPr>
          <w:rFonts w:ascii="宋体" w:hAnsi="宋体" w:cs="宋体" w:eastAsia="宋体" w:hint="default"/>
        </w:rPr>
        <w:t>AI</w:t>
      </w:r>
      <w:r>
        <w:rPr/>
        <w:t>大数据、</w:t>
      </w:r>
      <w:r>
        <w:rPr>
          <w:rFonts w:ascii="宋体" w:hAnsi="宋体" w:cs="宋体" w:eastAsia="宋体" w:hint="default"/>
        </w:rPr>
        <w:t>SCRM</w:t>
      </w:r>
      <w:r>
        <w:rPr/>
        <w:t>、</w:t>
      </w:r>
      <w:r>
        <w:rPr>
          <w:rFonts w:ascii="宋体" w:hAnsi="宋体" w:cs="宋体" w:eastAsia="宋体" w:hint="default"/>
        </w:rPr>
        <w:t>CDP</w:t>
      </w:r>
      <w:r>
        <w:rPr/>
        <w:t>运营管理等全新模式的品效合一综合解决方案。</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headerReference w:type="default" r:id="rId27"/>
          <w:footerReference w:type="default" r:id="rId28"/>
          <w:pgSz w:w="11910" w:h="16850"/>
          <w:pgMar w:header="866" w:footer="981" w:top="1120" w:bottom="1180" w:left="1000" w:right="0"/>
          <w:pgNumType w:start="35"/>
        </w:sectPr>
      </w:pPr>
    </w:p>
    <w:p>
      <w:pPr>
        <w:spacing w:line="240" w:lineRule="auto" w:before="3"/>
        <w:rPr>
          <w:rFonts w:ascii="宋体" w:hAnsi="宋体" w:cs="宋体" w:eastAsia="宋体" w:hint="default"/>
          <w:sz w:val="20"/>
          <w:szCs w:val="20"/>
        </w:rPr>
      </w:pPr>
    </w:p>
    <w:p>
      <w:pPr>
        <w:pStyle w:val="Heading3"/>
        <w:spacing w:line="240" w:lineRule="auto" w:before="26"/>
        <w:ind w:right="0"/>
        <w:jc w:val="left"/>
        <w:rPr>
          <w:b w:val="0"/>
          <w:bCs w:val="0"/>
        </w:rPr>
      </w:pPr>
      <w:bookmarkStart w:name="九、公司未来发展的展望" w:id="58"/>
      <w:bookmarkEnd w:id="58"/>
      <w:r>
        <w:rPr>
          <w:b w:val="0"/>
          <w:bCs w:val="0"/>
        </w:rPr>
      </w:r>
      <w:r>
        <w:rPr/>
        <w:t>九、公司未来发展的展望</w:t>
      </w:r>
      <w:r>
        <w:rPr>
          <w:b w:val="0"/>
          <w:bCs w:val="0"/>
        </w:rPr>
      </w:r>
    </w:p>
    <w:p>
      <w:pPr>
        <w:pStyle w:val="BodyText"/>
        <w:spacing w:line="420" w:lineRule="atLeast" w:before="158"/>
        <w:ind w:left="501" w:right="1133"/>
        <w:jc w:val="left"/>
      </w:pPr>
      <w:r>
        <w:rPr>
          <w:rFonts w:ascii="等线" w:hAnsi="等线" w:cs="等线" w:eastAsia="等线" w:hint="default"/>
          <w:b/>
          <w:bCs/>
        </w:rPr>
        <w:t>（一）</w:t>
      </w:r>
      <w:r>
        <w:rPr>
          <w:rFonts w:ascii="宋体" w:hAnsi="宋体" w:cs="宋体" w:eastAsia="宋体" w:hint="default"/>
          <w:b/>
          <w:bCs/>
        </w:rPr>
        <w:t>行业发展趋势</w:t>
      </w:r>
      <w:r>
        <w:rPr>
          <w:rFonts w:ascii="宋体" w:hAnsi="宋体" w:cs="宋体" w:eastAsia="宋体" w:hint="default"/>
          <w:b/>
          <w:bCs/>
          <w:w w:val="99"/>
        </w:rPr>
        <w:t> </w:t>
      </w:r>
      <w:r>
        <w:rPr>
          <w:spacing w:val="-2"/>
        </w:rPr>
        <w:t>我国互联网经过近二十年的高速发展，现已逐步进入存量时代，而流量的增量红利正在逐渐消失，品牌主所处的市场竞</w:t>
      </w:r>
    </w:p>
    <w:p>
      <w:pPr>
        <w:pStyle w:val="BodyText"/>
        <w:spacing w:line="321" w:lineRule="auto" w:before="64"/>
        <w:ind w:right="0"/>
        <w:jc w:val="left"/>
      </w:pPr>
      <w:r>
        <w:rPr>
          <w:spacing w:val="-2"/>
        </w:rPr>
        <w:t>争态势也在进一步加剧，这种趋势的发展将促使品牌主自身的营销战略从过去粗放式的流量扩张向精细化运营方向迁移，而</w:t>
      </w:r>
      <w:r>
        <w:rPr>
          <w:spacing w:val="-72"/>
        </w:rPr>
        <w:t> </w:t>
      </w:r>
      <w:r>
        <w:rPr>
          <w:spacing w:val="-72"/>
        </w:rPr>
      </w:r>
      <w:r>
        <w:rPr/>
        <w:t>品牌主的市场重心也逐步从以产品和渠道为核心向以消费者为核心转变。</w:t>
      </w:r>
    </w:p>
    <w:p>
      <w:pPr>
        <w:pStyle w:val="BodyText"/>
        <w:spacing w:line="312" w:lineRule="auto" w:before="138"/>
        <w:ind w:right="989" w:firstLine="360"/>
        <w:jc w:val="left"/>
      </w:pPr>
      <w:r>
        <w:rPr/>
        <w:t>此外，随着数字经济蓬勃发展，基于数据的数字技术创新已经发展成为国家新的经济增长驱动力。近年来，随着人工智 能、大数据、云计算、区块链、</w:t>
      </w:r>
      <w:r>
        <w:rPr>
          <w:rFonts w:ascii="Times New Roman" w:hAnsi="Times New Roman" w:cs="Times New Roman" w:eastAsia="Times New Roman" w:hint="default"/>
        </w:rPr>
        <w:t>5G</w:t>
      </w:r>
      <w:r>
        <w:rPr/>
        <w:t>等技术变革，助推了消费新习惯、生产新方式、科技新产品、营销新方式和公共新服务。 </w:t>
      </w:r>
      <w:r>
        <w:rPr>
          <w:spacing w:val="-2"/>
        </w:rPr>
        <w:t>在此背景下，单纯的用户画像或是消费者管理不能系统性解决品牌主遇到的营销困境，需要有与用户沟通相匹配的内容才能</w:t>
      </w:r>
    </w:p>
    <w:p>
      <w:pPr>
        <w:pStyle w:val="BodyText"/>
        <w:spacing w:line="240" w:lineRule="auto" w:before="10"/>
        <w:ind w:right="0"/>
        <w:jc w:val="left"/>
      </w:pPr>
      <w:r>
        <w:rPr/>
        <w:t>做到有效沟通，从而实现销售转化。</w:t>
      </w:r>
    </w:p>
    <w:p>
      <w:pPr>
        <w:spacing w:line="240" w:lineRule="auto" w:before="5"/>
        <w:rPr>
          <w:rFonts w:ascii="宋体" w:hAnsi="宋体" w:cs="宋体" w:eastAsia="宋体" w:hint="default"/>
          <w:sz w:val="16"/>
          <w:szCs w:val="16"/>
        </w:rPr>
      </w:pPr>
    </w:p>
    <w:p>
      <w:pPr>
        <w:pStyle w:val="BodyText"/>
        <w:spacing w:line="309" w:lineRule="auto"/>
        <w:ind w:right="1115" w:firstLine="360"/>
        <w:jc w:val="both"/>
      </w:pPr>
      <w:r>
        <w:rPr/>
        <w:t>报告期初，公司实施战略转型升级，是基于对</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MarTech</w:t>
      </w:r>
      <w:r>
        <w:rPr/>
        <w:t>）</w:t>
      </w:r>
      <w:r>
        <w:rPr>
          <w:rFonts w:ascii="Times New Roman" w:hAnsi="Times New Roman" w:cs="Times New Roman" w:eastAsia="Times New Roman" w:hint="default"/>
        </w:rPr>
        <w:t>”</w:t>
      </w:r>
      <w:r>
        <w:rPr/>
        <w:t>领域充分的了解和认知，以及对自身经验优势的 </w:t>
      </w:r>
      <w:r>
        <w:rPr>
          <w:spacing w:val="-2"/>
        </w:rPr>
        <w:t>充分分析而做出的战略选择。公司多年持续深耕营销行业，对内容营销领域有着丰富的行业知识和实战经验及相应的技术团</w:t>
      </w:r>
      <w:r>
        <w:rPr>
          <w:spacing w:val="-72"/>
        </w:rPr>
        <w:t> </w:t>
      </w:r>
      <w:r>
        <w:rPr>
          <w:spacing w:val="-72"/>
        </w:rPr>
      </w:r>
      <w:r>
        <w:rPr>
          <w:spacing w:val="-2"/>
        </w:rPr>
        <w:t>队，经过多年努力，公司已经在内容智能生产、内容资产管理、多节点内容营销流程管理、视频内容智能编辑、智能分发等</w:t>
      </w:r>
      <w:r>
        <w:rPr>
          <w:spacing w:val="-72"/>
        </w:rPr>
        <w:t> </w:t>
      </w:r>
      <w:r>
        <w:rPr>
          <w:spacing w:val="-72"/>
        </w:rPr>
      </w:r>
      <w:r>
        <w:rPr/>
        <w:t>关键领域取得了长足发展和技术突破。未来，公司将可以通过技术和数据满足品牌主在内容营销层面的需求。</w:t>
      </w:r>
    </w:p>
    <w:p>
      <w:pPr>
        <w:pStyle w:val="Heading9"/>
        <w:spacing w:line="240" w:lineRule="auto" w:before="132"/>
        <w:ind w:right="0"/>
        <w:jc w:val="left"/>
        <w:rPr>
          <w:b w:val="0"/>
          <w:bCs w:val="0"/>
        </w:rPr>
      </w:pPr>
      <w:r>
        <w:rPr/>
        <w:t>（二）公司发展战略</w:t>
      </w:r>
      <w:r>
        <w:rPr>
          <w:b w:val="0"/>
          <w:bCs w:val="0"/>
        </w:rPr>
      </w:r>
    </w:p>
    <w:p>
      <w:pPr>
        <w:spacing w:line="240" w:lineRule="auto" w:before="5"/>
        <w:rPr>
          <w:rFonts w:ascii="宋体" w:hAnsi="宋体" w:cs="宋体" w:eastAsia="宋体" w:hint="default"/>
          <w:b/>
          <w:bCs/>
          <w:sz w:val="16"/>
          <w:szCs w:val="16"/>
        </w:rPr>
      </w:pPr>
    </w:p>
    <w:p>
      <w:pPr>
        <w:pStyle w:val="BodyText"/>
        <w:spacing w:line="300" w:lineRule="auto"/>
        <w:ind w:right="1110" w:firstLine="360"/>
        <w:jc w:val="both"/>
      </w:pPr>
      <w:r>
        <w:rPr>
          <w:spacing w:val="-1"/>
        </w:rPr>
        <w:t>公司始终秉持</w:t>
      </w:r>
      <w:r>
        <w:rPr>
          <w:rFonts w:ascii="Times New Roman" w:hAnsi="Times New Roman" w:cs="Times New Roman" w:eastAsia="Times New Roman" w:hint="default"/>
          <w:spacing w:val="-1"/>
        </w:rPr>
        <w:t>“</w:t>
      </w:r>
      <w:r>
        <w:rPr>
          <w:spacing w:val="-1"/>
        </w:rPr>
        <w:t>合适就是竞争力</w:t>
      </w:r>
      <w:r>
        <w:rPr>
          <w:rFonts w:ascii="Times New Roman" w:hAnsi="Times New Roman" w:cs="Times New Roman" w:eastAsia="Times New Roman" w:hint="default"/>
          <w:spacing w:val="-1"/>
        </w:rPr>
        <w:t>”</w:t>
      </w:r>
      <w:r>
        <w:rPr>
          <w:spacing w:val="-1"/>
        </w:rPr>
        <w:t>的传播哲学，顺应技术变革的趋势，致力于成为国际领先的</w:t>
      </w:r>
      <w:r>
        <w:rPr>
          <w:rFonts w:ascii="Times New Roman" w:hAnsi="Times New Roman" w:cs="Times New Roman" w:eastAsia="Times New Roman" w:hint="default"/>
          <w:spacing w:val="-1"/>
        </w:rPr>
        <w:t>“</w:t>
      </w:r>
      <w:r>
        <w:rPr>
          <w:spacing w:val="-1"/>
        </w:rPr>
        <w:t>营销技术</w:t>
      </w:r>
      <w:r>
        <w:rPr>
          <w:rFonts w:ascii="Times New Roman" w:hAnsi="Times New Roman" w:cs="Times New Roman" w:eastAsia="Times New Roman" w:hint="default"/>
          <w:spacing w:val="-1"/>
        </w:rPr>
        <w:t>”</w:t>
      </w:r>
      <w:r>
        <w:rPr>
          <w:spacing w:val="-1"/>
        </w:rPr>
        <w:t>方案运营商。公</w:t>
      </w:r>
      <w:r>
        <w:rPr/>
        <w:t> 司的新定位是成为</w:t>
      </w:r>
      <w:r>
        <w:rPr>
          <w:rFonts w:ascii="Times New Roman" w:hAnsi="Times New Roman" w:cs="Times New Roman" w:eastAsia="Times New Roman" w:hint="default"/>
        </w:rPr>
        <w:t>“</w:t>
      </w:r>
      <w:r>
        <w:rPr/>
        <w:t>营销技术方案运营商，全面赋能产业互联网</w:t>
      </w:r>
      <w:r>
        <w:rPr>
          <w:rFonts w:ascii="Times New Roman" w:hAnsi="Times New Roman" w:cs="Times New Roman" w:eastAsia="Times New Roman" w:hint="default"/>
        </w:rPr>
        <w:t>”</w:t>
      </w:r>
      <w:r>
        <w:rPr/>
        <w:t>，公司的新使命是</w:t>
      </w:r>
      <w:r>
        <w:rPr>
          <w:rFonts w:ascii="Times New Roman" w:hAnsi="Times New Roman" w:cs="Times New Roman" w:eastAsia="Times New Roman" w:hint="default"/>
        </w:rPr>
        <w:t>“</w:t>
      </w:r>
      <w:r>
        <w:rPr/>
        <w:t>聚焦客户关注的营销挑战和压力，提供</w:t>
      </w:r>
      <w:r>
        <w:rPr>
          <w:spacing w:val="-68"/>
        </w:rPr>
        <w:t> </w:t>
      </w:r>
      <w:r>
        <w:rPr/>
        <w:t>富有竞争力的营销技术解决方案和运营服务，持续为客户创造最大价值</w:t>
      </w:r>
      <w:r>
        <w:rPr>
          <w:rFonts w:ascii="Times New Roman" w:hAnsi="Times New Roman" w:cs="Times New Roman" w:eastAsia="Times New Roman" w:hint="default"/>
        </w:rPr>
        <w:t>”</w:t>
      </w:r>
      <w:r>
        <w:rPr/>
        <w:t>。报告期初，公司明确了向</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运营商转型</w:t>
      </w:r>
      <w:r>
        <w:rPr>
          <w:spacing w:val="-82"/>
        </w:rPr>
        <w:t> </w:t>
      </w:r>
      <w:r>
        <w:rPr>
          <w:spacing w:val="-2"/>
        </w:rPr>
        <w:t>的全新战略方向，营销技术是用技术的手段赋能营销全过程，提升营销流程的自动化程度、营销效果的精准化程度和实际转</w:t>
      </w:r>
      <w:r>
        <w:rPr>
          <w:spacing w:val="-64"/>
        </w:rPr>
        <w:t> </w:t>
      </w:r>
      <w:r>
        <w:rPr>
          <w:spacing w:val="-64"/>
        </w:rPr>
      </w:r>
      <w:r>
        <w:rPr/>
        <w:t>化效率，用科技手段升级营销行业综合服务能力。</w:t>
      </w:r>
    </w:p>
    <w:p>
      <w:pPr>
        <w:pStyle w:val="BodyText"/>
        <w:spacing w:line="319" w:lineRule="auto" w:before="155"/>
        <w:ind w:right="1111" w:firstLine="360"/>
        <w:jc w:val="both"/>
      </w:pPr>
      <w:r>
        <w:rPr>
          <w:spacing w:val="-2"/>
        </w:rPr>
        <w:t>公司将通过借鉴和学习国际先进理念和经验，积极布局人工智能、大数据、云计算、区块链等领先技术，同时结合中国</w:t>
      </w:r>
      <w:r>
        <w:rPr/>
        <w:t> 市场的营销特征和独特需求，为客户量身定制从品牌认知到产品体验的全方位</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运营服务，逐步形成</w:t>
      </w:r>
      <w:r>
        <w:rPr>
          <w:rFonts w:ascii="Times New Roman" w:hAnsi="Times New Roman" w:cs="Times New Roman" w:eastAsia="Times New Roman" w:hint="default"/>
        </w:rPr>
        <w:t>A(AI)+B²(Big</w:t>
      </w:r>
      <w:r>
        <w:rPr>
          <w:rFonts w:ascii="Times New Roman" w:hAnsi="Times New Roman" w:cs="Times New Roman" w:eastAsia="Times New Roman" w:hint="default"/>
          <w:w w:val="99"/>
        </w:rPr>
        <w:t> </w:t>
      </w:r>
      <w:r>
        <w:rPr>
          <w:rFonts w:ascii="Times New Roman" w:hAnsi="Times New Roman" w:cs="Times New Roman" w:eastAsia="Times New Roman" w:hint="default"/>
        </w:rPr>
        <w:t>Data</w:t>
      </w:r>
      <w:r>
        <w:rPr/>
        <w:t>、</w:t>
      </w:r>
      <w:r>
        <w:rPr>
          <w:rFonts w:ascii="Times New Roman" w:hAnsi="Times New Roman" w:cs="Times New Roman" w:eastAsia="Times New Roman" w:hint="default"/>
        </w:rPr>
        <w:t>Blockchain)+C³(Content</w:t>
      </w:r>
      <w:r>
        <w:rPr/>
        <w:t>、</w:t>
      </w:r>
      <w:r>
        <w:rPr>
          <w:rFonts w:ascii="Times New Roman" w:hAnsi="Times New Roman" w:cs="Times New Roman" w:eastAsia="Times New Roman" w:hint="default"/>
        </w:rPr>
        <w:t>Cloud</w:t>
      </w:r>
      <w:r>
        <w:rPr/>
        <w:t>、</w:t>
      </w:r>
      <w:r>
        <w:rPr>
          <w:rFonts w:ascii="Times New Roman" w:hAnsi="Times New Roman" w:cs="Times New Roman" w:eastAsia="Times New Roman" w:hint="default"/>
        </w:rPr>
        <w:t>Community)</w:t>
      </w:r>
      <w:r>
        <w:rPr/>
        <w:t>的基本格局。</w:t>
      </w:r>
    </w:p>
    <w:p>
      <w:pPr>
        <w:pStyle w:val="BodyText"/>
        <w:spacing w:line="314" w:lineRule="auto" w:before="105"/>
        <w:ind w:right="0" w:firstLine="360"/>
        <w:jc w:val="left"/>
      </w:pPr>
      <w:r>
        <w:rPr/>
        <w:t>随着产业互联网的不断深化和数字经济的蓬勃发展，公司还将结合自身发展需要，通过整合产业资源、拓展战略资源、 </w:t>
      </w:r>
      <w:r>
        <w:rPr>
          <w:spacing w:val="-2"/>
        </w:rPr>
        <w:t>引入前沿技术、加大研发投入、完善激励体系、并购投资整合等手段的实施，逐步在数据、分析和运营三个维度建立起强大</w:t>
      </w:r>
      <w:r>
        <w:rPr>
          <w:spacing w:val="-54"/>
        </w:rPr>
        <w:t> </w:t>
      </w:r>
      <w:r>
        <w:rPr>
          <w:spacing w:val="-54"/>
        </w:rPr>
      </w:r>
      <w:r>
        <w:rPr/>
        <w:t>的护城河和壁垒，研发一系列</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传播技术</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服务技术</w:t>
      </w:r>
      <w:r>
        <w:rPr>
          <w:rFonts w:ascii="Times New Roman" w:hAnsi="Times New Roman" w:cs="Times New Roman" w:eastAsia="Times New Roman" w:hint="default"/>
        </w:rPr>
        <w:t>”</w:t>
      </w:r>
      <w:r>
        <w:rPr/>
        <w:t>的综合解决方案，从而形成极具差异化的体系竞争力，</w:t>
      </w:r>
      <w:r>
        <w:rPr>
          <w:spacing w:val="-71"/>
        </w:rPr>
        <w:t> </w:t>
      </w:r>
      <w:r>
        <w:rPr>
          <w:spacing w:val="-3"/>
        </w:rPr>
        <w:t>力争实现</w:t>
      </w:r>
      <w:r>
        <w:rPr>
          <w:rFonts w:ascii="Times New Roman" w:hAnsi="Times New Roman" w:cs="Times New Roman" w:eastAsia="Times New Roman" w:hint="default"/>
          <w:spacing w:val="-3"/>
        </w:rPr>
        <w:t>“</w:t>
      </w:r>
      <w:r>
        <w:rPr>
          <w:spacing w:val="-3"/>
        </w:rPr>
        <w:t>数字化、全球化</w:t>
      </w:r>
      <w:r>
        <w:rPr>
          <w:rFonts w:ascii="Times New Roman" w:hAnsi="Times New Roman" w:cs="Times New Roman" w:eastAsia="Times New Roman" w:hint="default"/>
          <w:spacing w:val="-3"/>
        </w:rPr>
        <w:t>”</w:t>
      </w:r>
      <w:r>
        <w:rPr>
          <w:spacing w:val="-3"/>
        </w:rPr>
        <w:t>的战略目标，将公司打造为来自中国的、具有全球影响力的、行业领先的</w:t>
      </w:r>
      <w:r>
        <w:rPr>
          <w:rFonts w:ascii="Times New Roman" w:hAnsi="Times New Roman" w:cs="Times New Roman" w:eastAsia="Times New Roman" w:hint="default"/>
          <w:spacing w:val="-3"/>
        </w:rPr>
        <w:t>“</w:t>
      </w:r>
      <w:r>
        <w:rPr>
          <w:spacing w:val="-3"/>
        </w:rPr>
        <w:t>营销技术</w:t>
      </w:r>
      <w:r>
        <w:rPr>
          <w:rFonts w:ascii="Times New Roman" w:hAnsi="Times New Roman" w:cs="Times New Roman" w:eastAsia="Times New Roman" w:hint="default"/>
          <w:spacing w:val="-3"/>
        </w:rPr>
        <w:t>”</w:t>
      </w:r>
      <w:r>
        <w:rPr>
          <w:spacing w:val="-3"/>
        </w:rPr>
        <w:t>方案运营商。</w:t>
      </w:r>
    </w:p>
    <w:p>
      <w:pPr>
        <w:pStyle w:val="Heading9"/>
        <w:spacing w:line="240" w:lineRule="auto" w:before="109"/>
        <w:ind w:right="0"/>
        <w:jc w:val="left"/>
        <w:rPr>
          <w:b w:val="0"/>
          <w:bCs w:val="0"/>
        </w:rPr>
      </w:pPr>
      <w:r>
        <w:rPr/>
        <w:t>（三）公司经营计划</w:t>
      </w:r>
      <w:r>
        <w:rPr>
          <w:b w:val="0"/>
          <w:bCs w:val="0"/>
        </w:rPr>
      </w:r>
    </w:p>
    <w:p>
      <w:pPr>
        <w:pStyle w:val="BodyText"/>
        <w:spacing w:line="420" w:lineRule="atLeast" w:before="44"/>
        <w:ind w:left="501" w:right="0"/>
        <w:jc w:val="left"/>
      </w:pPr>
      <w:r>
        <w:rPr>
          <w:rFonts w:ascii="Times New Roman" w:hAnsi="Times New Roman" w:cs="Times New Roman" w:eastAsia="Times New Roman" w:hint="default"/>
        </w:rPr>
        <w:t>1</w:t>
      </w:r>
      <w:r>
        <w:rPr/>
        <w:t>、继续推进业务技术化转型 </w:t>
      </w:r>
      <w:r>
        <w:rPr>
          <w:spacing w:val="-2"/>
        </w:rPr>
        <w:t>公司聚焦于产业智能化升级，逐步深耕营销技术应用、营销数据分析、营销场景创新、营销服务运营。</w:t>
      </w:r>
      <w:r>
        <w:rPr>
          <w:rFonts w:ascii="Times New Roman" w:hAnsi="Times New Roman" w:cs="Times New Roman" w:eastAsia="Times New Roman" w:hint="default"/>
          <w:spacing w:val="-2"/>
        </w:rPr>
        <w:t>2020</w:t>
      </w:r>
      <w:r>
        <w:rPr>
          <w:spacing w:val="-2"/>
        </w:rPr>
        <w:t>年公司将继</w:t>
      </w:r>
    </w:p>
    <w:p>
      <w:pPr>
        <w:pStyle w:val="BodyText"/>
        <w:spacing w:line="240" w:lineRule="auto" w:before="51"/>
        <w:ind w:right="0"/>
        <w:jc w:val="left"/>
      </w:pPr>
      <w:r>
        <w:rPr/>
        <w:t>续推进业务的技术化转型。</w:t>
      </w:r>
    </w:p>
    <w:p>
      <w:pPr>
        <w:spacing w:line="240" w:lineRule="auto" w:before="5"/>
        <w:rPr>
          <w:rFonts w:ascii="宋体" w:hAnsi="宋体" w:cs="宋体" w:eastAsia="宋体" w:hint="default"/>
          <w:sz w:val="16"/>
          <w:szCs w:val="16"/>
        </w:rPr>
      </w:pPr>
    </w:p>
    <w:p>
      <w:pPr>
        <w:pStyle w:val="BodyText"/>
        <w:spacing w:line="304" w:lineRule="auto"/>
        <w:ind w:right="0" w:firstLine="360"/>
        <w:jc w:val="left"/>
      </w:pPr>
      <w:r>
        <w:rPr>
          <w:spacing w:val="-1"/>
        </w:rPr>
        <w:t>（</w:t>
      </w:r>
      <w:r>
        <w:rPr>
          <w:rFonts w:ascii="Times New Roman" w:hAnsi="Times New Roman" w:cs="Times New Roman" w:eastAsia="Times New Roman" w:hint="default"/>
          <w:spacing w:val="-1"/>
        </w:rPr>
        <w:t>1</w:t>
      </w:r>
      <w:r>
        <w:rPr>
          <w:spacing w:val="-1"/>
        </w:rPr>
        <w:t>）深化基于营销场景的大数据分析能力，推进营销场景技术平台建设。同时，针对</w:t>
      </w:r>
      <w:r>
        <w:rPr>
          <w:rFonts w:ascii="Times New Roman" w:hAnsi="Times New Roman" w:cs="Times New Roman" w:eastAsia="Times New Roman" w:hint="default"/>
          <w:spacing w:val="-1"/>
        </w:rPr>
        <w:t>5G</w:t>
      </w:r>
      <w:r>
        <w:rPr>
          <w:spacing w:val="-1"/>
        </w:rPr>
        <w:t>快速发展以及全网营销的视频</w:t>
      </w:r>
      <w:r>
        <w:rPr/>
        <w:t> 化趋势，加大在人工智能领域的投入，基于计算机视觉以及深度学习技术，构建视频</w:t>
      </w:r>
      <w:r>
        <w:rPr>
          <w:rFonts w:ascii="Times New Roman" w:hAnsi="Times New Roman" w:cs="Times New Roman" w:eastAsia="Times New Roman" w:hint="default"/>
        </w:rPr>
        <w:t>AI</w:t>
      </w:r>
      <w:r>
        <w:rPr/>
        <w:t>中台，形成一整套完整的视频处理</w:t>
      </w:r>
      <w:r>
        <w:rPr>
          <w:spacing w:val="-78"/>
        </w:rPr>
        <w:t> </w:t>
      </w:r>
      <w:r>
        <w:rPr/>
        <w:t>能力，并将推进视频</w:t>
      </w:r>
      <w:r>
        <w:rPr>
          <w:rFonts w:ascii="Times New Roman" w:hAnsi="Times New Roman" w:cs="Times New Roman" w:eastAsia="Times New Roman" w:hint="default"/>
        </w:rPr>
        <w:t>AI</w:t>
      </w:r>
      <w:r>
        <w:rPr/>
        <w:t>技术在各个场景中的深化应用，建立技术壁垒。</w:t>
      </w:r>
    </w:p>
    <w:p>
      <w:pPr>
        <w:pStyle w:val="BodyText"/>
        <w:spacing w:line="290" w:lineRule="auto" w:before="117"/>
        <w:ind w:right="1029" w:firstLine="360"/>
        <w:jc w:val="left"/>
      </w:pPr>
      <w:r>
        <w:rPr>
          <w:spacing w:val="-2"/>
        </w:rPr>
        <w:t>（</w:t>
      </w:r>
      <w:r>
        <w:rPr>
          <w:rFonts w:ascii="Times New Roman" w:hAnsi="Times New Roman" w:cs="Times New Roman" w:eastAsia="Times New Roman" w:hint="default"/>
          <w:spacing w:val="-2"/>
        </w:rPr>
        <w:t>2</w:t>
      </w:r>
      <w:r>
        <w:rPr>
          <w:spacing w:val="-2"/>
        </w:rPr>
        <w:t>）结合现有业务场景，将持续深耕</w:t>
      </w:r>
      <w:r>
        <w:rPr>
          <w:rFonts w:ascii="Times New Roman" w:hAnsi="Times New Roman" w:cs="Times New Roman" w:eastAsia="Times New Roman" w:hint="default"/>
          <w:spacing w:val="-2"/>
        </w:rPr>
        <w:t>Martech</w:t>
      </w:r>
      <w:r>
        <w:rPr>
          <w:spacing w:val="-2"/>
        </w:rPr>
        <w:t>，不断优化</w:t>
      </w:r>
      <w:r>
        <w:rPr>
          <w:rFonts w:ascii="Times New Roman" w:hAnsi="Times New Roman" w:cs="Times New Roman" w:eastAsia="Times New Roman" w:hint="default"/>
          <w:spacing w:val="-2"/>
        </w:rPr>
        <w:t>ContentTech</w:t>
      </w:r>
      <w:r>
        <w:rPr>
          <w:spacing w:val="-2"/>
        </w:rPr>
        <w:t>、</w:t>
      </w:r>
      <w:r>
        <w:rPr>
          <w:rFonts w:ascii="Times New Roman" w:hAnsi="Times New Roman" w:cs="Times New Roman" w:eastAsia="Times New Roman" w:hint="default"/>
          <w:spacing w:val="-2"/>
        </w:rPr>
        <w:t>CDP</w:t>
      </w:r>
      <w:r>
        <w:rPr>
          <w:spacing w:val="-2"/>
        </w:rPr>
        <w:t>、营销自动化软件和服务等技术平台，通过</w:t>
      </w:r>
      <w:r>
        <w:rPr/>
        <w:t> 大数据、自然语言处理、机器学习等相关技术，对营销中的内容智能生产、用户画像洞察、最佳渠道触达等环节进行赋能。</w:t>
      </w:r>
    </w:p>
    <w:p>
      <w:pPr>
        <w:spacing w:line="240" w:lineRule="auto" w:before="7"/>
        <w:rPr>
          <w:rFonts w:ascii="宋体" w:hAnsi="宋体" w:cs="宋体" w:eastAsia="宋体" w:hint="default"/>
          <w:sz w:val="13"/>
          <w:szCs w:val="13"/>
        </w:rPr>
      </w:pPr>
    </w:p>
    <w:p>
      <w:pPr>
        <w:pStyle w:val="BodyText"/>
        <w:spacing w:line="405" w:lineRule="auto"/>
        <w:ind w:left="501" w:right="0"/>
        <w:jc w:val="left"/>
      </w:pPr>
      <w:r>
        <w:rPr>
          <w:rFonts w:ascii="Times New Roman" w:hAnsi="Times New Roman" w:cs="Times New Roman" w:eastAsia="Times New Roman" w:hint="default"/>
        </w:rPr>
        <w:t>2</w:t>
      </w:r>
      <w:r>
        <w:rPr/>
        <w:t>、精细化管理体系升级和优化 </w:t>
      </w:r>
      <w:r>
        <w:rPr>
          <w:spacing w:val="-2"/>
        </w:rPr>
        <w:t>公司将对包括人力、财务、采购、信息安全、内部社区及知识系统等在内的内部管理系统进行持续升级和优化，一方面</w:t>
      </w:r>
    </w:p>
    <w:p>
      <w:pPr>
        <w:pStyle w:val="BodyText"/>
        <w:spacing w:line="191" w:lineRule="exact"/>
        <w:ind w:right="0"/>
        <w:jc w:val="left"/>
      </w:pPr>
      <w:r>
        <w:rPr/>
        <w:t>适应业务规模和服务网络发展带来的管理需求，另一方面通过内部管理系统的升级和优化提升公司管控业务技术平台的能</w:t>
      </w:r>
    </w:p>
    <w:p>
      <w:pPr>
        <w:spacing w:after="0" w:line="191" w:lineRule="exact"/>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240" w:lineRule="auto" w:before="44"/>
        <w:ind w:right="0"/>
        <w:jc w:val="both"/>
      </w:pPr>
      <w:r>
        <w:rPr/>
        <w:t>力，从而进一步提高公司的业务竞争力。</w:t>
      </w:r>
    </w:p>
    <w:p>
      <w:pPr>
        <w:pStyle w:val="BodyText"/>
        <w:spacing w:line="400" w:lineRule="atLeast" w:before="64"/>
        <w:ind w:left="501" w:right="1133"/>
        <w:jc w:val="left"/>
      </w:pPr>
      <w:r>
        <w:rPr>
          <w:rFonts w:ascii="Times New Roman" w:hAnsi="Times New Roman" w:cs="Times New Roman" w:eastAsia="Times New Roman" w:hint="default"/>
        </w:rPr>
        <w:t>3</w:t>
      </w:r>
      <w:r>
        <w:rPr/>
        <w:t>、人力资源储备及激励体系完善 </w:t>
      </w:r>
      <w:r>
        <w:rPr>
          <w:spacing w:val="-2"/>
        </w:rPr>
        <w:t>高素质、具有职业品格的人才是公司业务发展的基石和保障，因此，公司将逐步建设和完善在业内具有领先竞争力的人</w:t>
      </w:r>
    </w:p>
    <w:p>
      <w:pPr>
        <w:pStyle w:val="BodyText"/>
        <w:spacing w:line="321" w:lineRule="auto" w:before="65"/>
        <w:ind w:right="1029"/>
        <w:jc w:val="left"/>
      </w:pPr>
      <w:r>
        <w:rPr>
          <w:spacing w:val="-2"/>
        </w:rPr>
        <w:t>才薪酬、福利、培训及职业规划体系。公司将具体做好以下工作：完善人力资源管理体系；制定科学合理的招聘选拔体系和</w:t>
      </w:r>
      <w:r>
        <w:rPr>
          <w:spacing w:val="-57"/>
        </w:rPr>
        <w:t> </w:t>
      </w:r>
      <w:r>
        <w:rPr>
          <w:spacing w:val="-57"/>
        </w:rPr>
      </w:r>
      <w:r>
        <w:rPr/>
        <w:t>完善的培训体系；建立切实有效的绩效考核制度和激励机制；加强核心人才队伍的建设；完善人才梯队和文化体系的建设；</w:t>
      </w:r>
      <w:r>
        <w:rPr/>
        <w:t> </w:t>
      </w:r>
      <w:r>
        <w:rPr>
          <w:spacing w:val="-2"/>
        </w:rPr>
        <w:t>积极建设和培养后备团队；大力引进高端创意、营销、策划等专业人才。总之，公司把人力资源的开发和管理上升到企业战</w:t>
      </w:r>
      <w:r>
        <w:rPr>
          <w:spacing w:val="-57"/>
        </w:rPr>
        <w:t> </w:t>
      </w:r>
      <w:r>
        <w:rPr>
          <w:spacing w:val="-57"/>
        </w:rPr>
      </w:r>
      <w:r>
        <w:rPr>
          <w:spacing w:val="-2"/>
        </w:rPr>
        <w:t>略层面考虑，以较大的投入来开发、获得、保持与激励企业战略实施所需的人才，为公司的未来发展奠定扎实的基础，实现</w:t>
      </w:r>
      <w:r>
        <w:rPr>
          <w:spacing w:val="-57"/>
        </w:rPr>
        <w:t> </w:t>
      </w:r>
      <w:r>
        <w:rPr>
          <w:spacing w:val="-57"/>
        </w:rPr>
      </w:r>
      <w:r>
        <w:rPr/>
        <w:t>企业价值共享。</w:t>
      </w:r>
    </w:p>
    <w:p>
      <w:pPr>
        <w:pStyle w:val="BodyText"/>
        <w:spacing w:line="240" w:lineRule="auto" w:before="139"/>
        <w:ind w:left="501" w:right="0"/>
        <w:jc w:val="left"/>
      </w:pPr>
      <w:r>
        <w:rPr>
          <w:rFonts w:ascii="Times New Roman" w:hAnsi="Times New Roman" w:cs="Times New Roman" w:eastAsia="Times New Roman" w:hint="default"/>
        </w:rPr>
        <w:t>4</w:t>
      </w:r>
      <w:r>
        <w:rPr/>
        <w:t>、积极开展并购整合，拓展投资合作</w:t>
      </w:r>
    </w:p>
    <w:p>
      <w:pPr>
        <w:spacing w:line="240" w:lineRule="auto" w:before="3"/>
        <w:rPr>
          <w:rFonts w:ascii="宋体" w:hAnsi="宋体" w:cs="宋体" w:eastAsia="宋体" w:hint="default"/>
          <w:sz w:val="14"/>
          <w:szCs w:val="14"/>
        </w:rPr>
      </w:pPr>
    </w:p>
    <w:p>
      <w:pPr>
        <w:pStyle w:val="BodyText"/>
        <w:spacing w:line="304" w:lineRule="auto"/>
        <w:ind w:right="1102" w:firstLine="360"/>
        <w:jc w:val="both"/>
      </w:pPr>
      <w:r>
        <w:rPr>
          <w:spacing w:val="-2"/>
        </w:rPr>
        <w:t>结合</w:t>
      </w:r>
      <w:r>
        <w:rPr>
          <w:rFonts w:ascii="Times New Roman" w:hAnsi="Times New Roman" w:cs="Times New Roman" w:eastAsia="Times New Roman" w:hint="default"/>
          <w:spacing w:val="-2"/>
        </w:rPr>
        <w:t>“</w:t>
      </w:r>
      <w:r>
        <w:rPr>
          <w:spacing w:val="-2"/>
        </w:rPr>
        <w:t>营销技术</w:t>
      </w:r>
      <w:r>
        <w:rPr>
          <w:rFonts w:ascii="Times New Roman" w:hAnsi="Times New Roman" w:cs="Times New Roman" w:eastAsia="Times New Roman" w:hint="default"/>
          <w:spacing w:val="-2"/>
        </w:rPr>
        <w:t>”</w:t>
      </w:r>
      <w:r>
        <w:rPr>
          <w:spacing w:val="-2"/>
        </w:rPr>
        <w:t>领域飞速发展的态势，围绕公司主营业务发展需要，公司将适时选取在不同板块上具有独特竞争优势且</w:t>
      </w:r>
      <w:r>
        <w:rPr/>
        <w:t> </w:t>
      </w:r>
      <w:r>
        <w:rPr>
          <w:spacing w:val="-2"/>
        </w:rPr>
        <w:t>具备一定业务基础的行业潜力企业，进行多种形式的并购和整合，实现在行业资源、经营效率和服务能力上的持续优化。公</w:t>
      </w:r>
      <w:r>
        <w:rPr>
          <w:spacing w:val="-39"/>
        </w:rPr>
        <w:t> </w:t>
      </w:r>
      <w:r>
        <w:rPr>
          <w:spacing w:val="-39"/>
        </w:rPr>
      </w:r>
      <w:r>
        <w:rPr/>
        <w:t>司也会积极拓展在创新领域的投资，并加强合作，强化公司在全面服务和整合营销各个环节上的独特优势和竞争力。</w:t>
      </w:r>
    </w:p>
    <w:p>
      <w:pPr>
        <w:spacing w:line="240" w:lineRule="auto" w:before="9"/>
        <w:rPr>
          <w:rFonts w:ascii="宋体" w:hAnsi="宋体" w:cs="宋体" w:eastAsia="宋体" w:hint="default"/>
          <w:sz w:val="12"/>
          <w:szCs w:val="12"/>
        </w:rPr>
      </w:pPr>
    </w:p>
    <w:p>
      <w:pPr>
        <w:pStyle w:val="BodyText"/>
        <w:spacing w:line="391" w:lineRule="auto"/>
        <w:ind w:left="501" w:right="1133"/>
        <w:jc w:val="left"/>
      </w:pPr>
      <w:r>
        <w:rPr>
          <w:rFonts w:ascii="Times New Roman" w:hAnsi="Times New Roman" w:cs="Times New Roman" w:eastAsia="Times New Roman" w:hint="default"/>
        </w:rPr>
        <w:t>5</w:t>
      </w:r>
      <w:r>
        <w:rPr/>
        <w:t>、境外业务扩张 </w:t>
      </w:r>
      <w:r>
        <w:rPr>
          <w:spacing w:val="-2"/>
        </w:rPr>
        <w:t>在经济和产业全球化的趋势之下，领先的中国企业和中国品牌已经开始了全球化的战略布局与业务实施；与此同时，随</w:t>
      </w:r>
    </w:p>
    <w:p>
      <w:pPr>
        <w:pStyle w:val="BodyText"/>
        <w:spacing w:line="202" w:lineRule="exact"/>
        <w:ind w:right="0"/>
        <w:jc w:val="both"/>
      </w:pPr>
      <w:r>
        <w:rPr/>
        <w:t>着中国消费市场的不断扩大，全球品牌越来越重视利用本土化思维以及在地化团队深耕在中国的品牌营销。为了顺应这一全</w:t>
      </w:r>
    </w:p>
    <w:p>
      <w:pPr>
        <w:pStyle w:val="BodyText"/>
        <w:spacing w:line="321" w:lineRule="auto" w:before="79"/>
        <w:ind w:right="1106"/>
        <w:jc w:val="both"/>
      </w:pPr>
      <w:r>
        <w:rPr>
          <w:spacing w:val="-2"/>
        </w:rPr>
        <w:t>球化的大趋势，公司已经构建了遍布中国、美国、欧洲的服务网络，未来公司将和控股子公司星言云汇一起逐步扩展境外业</w:t>
      </w:r>
      <w:r>
        <w:rPr>
          <w:spacing w:val="-42"/>
        </w:rPr>
        <w:t> </w:t>
      </w:r>
      <w:r>
        <w:rPr>
          <w:spacing w:val="-42"/>
        </w:rPr>
      </w:r>
      <w:r>
        <w:rPr>
          <w:spacing w:val="-2"/>
        </w:rPr>
        <w:t>务，通过派驻骨干员工和属地招聘的方式逐步强化服务能力，并积极整合属地营销及媒介和创意资源，能够为中国品牌走向</w:t>
      </w:r>
      <w:r>
        <w:rPr>
          <w:spacing w:val="-75"/>
        </w:rPr>
        <w:t> </w:t>
      </w:r>
      <w:r>
        <w:rPr>
          <w:spacing w:val="-75"/>
        </w:rPr>
      </w:r>
      <w:r>
        <w:rPr/>
        <w:t>世界，为中国经济新旧动能转换助一臂之力。</w:t>
      </w:r>
    </w:p>
    <w:p>
      <w:pPr>
        <w:pStyle w:val="Heading9"/>
        <w:spacing w:line="240" w:lineRule="auto" w:before="123"/>
        <w:ind w:right="0"/>
        <w:jc w:val="left"/>
        <w:rPr>
          <w:b w:val="0"/>
          <w:bCs w:val="0"/>
        </w:rPr>
      </w:pPr>
      <w:r>
        <w:rPr/>
        <w:t>（四）可能面对的风险</w:t>
      </w:r>
      <w:r>
        <w:rPr>
          <w:b w:val="0"/>
          <w:bCs w:val="0"/>
        </w:rPr>
      </w:r>
    </w:p>
    <w:p>
      <w:pPr>
        <w:spacing w:line="240" w:lineRule="auto" w:before="5"/>
        <w:rPr>
          <w:rFonts w:ascii="宋体" w:hAnsi="宋体" w:cs="宋体" w:eastAsia="宋体" w:hint="default"/>
          <w:b/>
          <w:bCs/>
          <w:sz w:val="16"/>
          <w:szCs w:val="16"/>
        </w:rPr>
      </w:pPr>
    </w:p>
    <w:p>
      <w:pPr>
        <w:pStyle w:val="BodyText"/>
        <w:spacing w:line="240" w:lineRule="auto"/>
        <w:ind w:left="501" w:right="0"/>
        <w:jc w:val="left"/>
      </w:pPr>
      <w:r>
        <w:rPr>
          <w:rFonts w:ascii="Times New Roman" w:hAnsi="Times New Roman" w:cs="Times New Roman" w:eastAsia="Times New Roman" w:hint="default"/>
        </w:rPr>
        <w:t>1</w:t>
      </w:r>
      <w:r>
        <w:rPr/>
        <w:t>、客户行业集中的风险</w:t>
      </w:r>
    </w:p>
    <w:p>
      <w:pPr>
        <w:spacing w:line="240" w:lineRule="auto" w:before="3"/>
        <w:rPr>
          <w:rFonts w:ascii="宋体" w:hAnsi="宋体" w:cs="宋体" w:eastAsia="宋体" w:hint="default"/>
          <w:sz w:val="14"/>
          <w:szCs w:val="14"/>
        </w:rPr>
      </w:pPr>
    </w:p>
    <w:p>
      <w:pPr>
        <w:pStyle w:val="BodyText"/>
        <w:spacing w:line="302" w:lineRule="auto"/>
        <w:ind w:right="1134" w:firstLine="360"/>
        <w:jc w:val="both"/>
      </w:pPr>
      <w:r>
        <w:rPr>
          <w:spacing w:val="4"/>
        </w:rPr>
        <w:t>公司的客户主要集中于汽车行业，</w:t>
      </w:r>
      <w:r>
        <w:rPr>
          <w:rFonts w:ascii="Times New Roman" w:hAnsi="Times New Roman" w:cs="Times New Roman" w:eastAsia="Times New Roman" w:hint="default"/>
          <w:spacing w:val="4"/>
        </w:rPr>
        <w:t>2018</w:t>
      </w:r>
      <w:r>
        <w:rPr>
          <w:spacing w:val="4"/>
        </w:rPr>
        <w:t>年和</w:t>
      </w:r>
      <w:r>
        <w:rPr>
          <w:rFonts w:ascii="Times New Roman" w:hAnsi="Times New Roman" w:cs="Times New Roman" w:eastAsia="Times New Roman" w:hint="default"/>
          <w:spacing w:val="4"/>
        </w:rPr>
        <w:t>2019</w:t>
      </w:r>
      <w:r>
        <w:rPr>
          <w:spacing w:val="4"/>
        </w:rPr>
        <w:t>年，公司来源于汽车行业的收入占公司当年营业收入的比重分别为</w:t>
      </w:r>
      <w:r>
        <w:rPr/>
        <w:t> </w:t>
      </w:r>
      <w:r>
        <w:rPr>
          <w:rFonts w:ascii="Times New Roman" w:hAnsi="Times New Roman" w:cs="Times New Roman" w:eastAsia="Times New Roman" w:hint="default"/>
        </w:rPr>
        <w:t>47.07%</w:t>
      </w:r>
      <w:r>
        <w:rPr/>
        <w:t>和</w:t>
      </w:r>
      <w:r>
        <w:rPr>
          <w:rFonts w:ascii="Times New Roman" w:hAnsi="Times New Roman" w:cs="Times New Roman" w:eastAsia="Times New Roman" w:hint="default"/>
        </w:rPr>
        <w:t>58.89%</w:t>
      </w:r>
      <w:r>
        <w:rPr/>
        <w:t>，如果未来国内汽车销量持续出现负增长，将可能对公司的部分业务产生不利影响。</w:t>
      </w:r>
    </w:p>
    <w:p>
      <w:pPr>
        <w:pStyle w:val="BodyText"/>
        <w:spacing w:line="391" w:lineRule="auto" w:before="134"/>
        <w:ind w:left="501" w:right="0"/>
        <w:jc w:val="left"/>
      </w:pPr>
      <w:r>
        <w:rPr>
          <w:rFonts w:ascii="Times New Roman" w:hAnsi="Times New Roman" w:cs="Times New Roman" w:eastAsia="Times New Roman" w:hint="default"/>
        </w:rPr>
        <w:t>2</w:t>
      </w:r>
      <w:r>
        <w:rPr/>
        <w:t>、宏观经济波动的风险 </w:t>
      </w:r>
      <w:r>
        <w:rPr>
          <w:spacing w:val="-2"/>
        </w:rPr>
        <w:t>公司所处行业的下游涉及汽车、互联网及信息技术、快速消费品等多个行业，公司收入规模与下游行业的营销需求密切</w:t>
      </w:r>
    </w:p>
    <w:p>
      <w:pPr>
        <w:pStyle w:val="BodyText"/>
        <w:spacing w:line="202" w:lineRule="exact"/>
        <w:ind w:right="0"/>
        <w:jc w:val="both"/>
      </w:pPr>
      <w:r>
        <w:rPr/>
        <w:t>相关。品牌主所处行业的发展状况直接影响其营销预算，从而间接影响整合营销传播服务业的发展和公司的经营状况。如果</w:t>
      </w:r>
    </w:p>
    <w:p>
      <w:pPr>
        <w:pStyle w:val="BodyText"/>
        <w:spacing w:line="240" w:lineRule="auto" w:before="80"/>
        <w:ind w:right="0"/>
        <w:jc w:val="both"/>
      </w:pPr>
      <w:r>
        <w:rPr/>
        <w:t>未来宏观经济下行压力进一步增大，会对公司下游行业的景气程度和生产经营状况产生影响，并间接影响公司的经营业绩。</w:t>
      </w:r>
    </w:p>
    <w:p>
      <w:pPr>
        <w:pStyle w:val="BodyText"/>
        <w:spacing w:line="400" w:lineRule="atLeast" w:before="64"/>
        <w:ind w:left="501" w:right="0"/>
        <w:jc w:val="left"/>
      </w:pPr>
      <w:r>
        <w:rPr>
          <w:rFonts w:ascii="Times New Roman" w:hAnsi="Times New Roman" w:cs="Times New Roman" w:eastAsia="Times New Roman" w:hint="default"/>
        </w:rPr>
        <w:t>3</w:t>
      </w:r>
      <w:r>
        <w:rPr/>
        <w:t>、行业竞争风险 </w:t>
      </w:r>
      <w:r>
        <w:rPr>
          <w:spacing w:val="-2"/>
        </w:rPr>
        <w:t>公司所处行业是充分竞争的行业，行业内企业众多，行业集中度相对较低，而随着近年来行业并购潮流的兴起，国内整</w:t>
      </w:r>
    </w:p>
    <w:p>
      <w:pPr>
        <w:pStyle w:val="BodyText"/>
        <w:spacing w:line="321" w:lineRule="auto" w:before="64"/>
        <w:ind w:right="1132"/>
        <w:jc w:val="both"/>
      </w:pPr>
      <w:r>
        <w:rPr>
          <w:spacing w:val="-2"/>
        </w:rPr>
        <w:t>合营销传播服务行业的竞争进一步加剧。另外，整合营销传播服务行业在国内市场的发展历史较短，主要实行行业自律的管</w:t>
      </w:r>
      <w:r>
        <w:rPr>
          <w:spacing w:val="-75"/>
        </w:rPr>
        <w:t> </w:t>
      </w:r>
      <w:r>
        <w:rPr>
          <w:spacing w:val="-75"/>
        </w:rPr>
      </w:r>
      <w:r>
        <w:rPr>
          <w:spacing w:val="-2"/>
        </w:rPr>
        <w:t>理体制，行业无明确的主管部门监督管理，相关法律法规也较为缺乏，整合营销传播服务市场的无序竞争可能会加大公司的</w:t>
      </w:r>
      <w:r>
        <w:rPr>
          <w:spacing w:val="-71"/>
        </w:rPr>
        <w:t> </w:t>
      </w:r>
      <w:r>
        <w:rPr>
          <w:spacing w:val="-71"/>
        </w:rPr>
      </w:r>
      <w:r>
        <w:rPr/>
        <w:t>经营风险。</w:t>
      </w:r>
    </w:p>
    <w:p>
      <w:pPr>
        <w:pStyle w:val="BodyText"/>
        <w:spacing w:line="436" w:lineRule="exact" w:before="15"/>
        <w:ind w:left="501" w:right="0"/>
        <w:jc w:val="left"/>
      </w:pPr>
      <w:r>
        <w:rPr>
          <w:rFonts w:ascii="Times New Roman" w:hAnsi="Times New Roman" w:cs="Times New Roman" w:eastAsia="Times New Roman" w:hint="default"/>
        </w:rPr>
        <w:t>4</w:t>
      </w:r>
      <w:r>
        <w:rPr/>
        <w:t>、客户集中度相对较高的风险 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年前五大客户的收入占公司当年营业收入的比重分别为</w:t>
      </w:r>
      <w:r>
        <w:rPr>
          <w:rFonts w:ascii="Times New Roman" w:hAnsi="Times New Roman" w:cs="Times New Roman" w:eastAsia="Times New Roman" w:hint="default"/>
        </w:rPr>
        <w:t>45.96%</w:t>
      </w:r>
      <w:r>
        <w:rPr/>
        <w:t>、</w:t>
      </w:r>
      <w:r>
        <w:rPr>
          <w:rFonts w:ascii="Times New Roman" w:hAnsi="Times New Roman" w:cs="Times New Roman" w:eastAsia="Times New Roman" w:hint="default"/>
        </w:rPr>
        <w:t>35.21%</w:t>
      </w:r>
      <w:r>
        <w:rPr/>
        <w:t>、</w:t>
      </w:r>
      <w:r>
        <w:rPr>
          <w:rFonts w:ascii="Times New Roman" w:hAnsi="Times New Roman" w:cs="Times New Roman" w:eastAsia="Times New Roman" w:hint="default"/>
        </w:rPr>
        <w:t>42.15%</w:t>
      </w:r>
      <w:r>
        <w:rPr/>
        <w:t>，客户集</w:t>
      </w:r>
    </w:p>
    <w:p>
      <w:pPr>
        <w:pStyle w:val="BodyText"/>
        <w:spacing w:line="223" w:lineRule="exact"/>
        <w:ind w:right="0"/>
        <w:jc w:val="both"/>
      </w:pPr>
      <w:r>
        <w:rPr/>
        <w:t>中度相对较高。未来如果公司不能巩固和提高综合竞争优势、持续拓展客户数量、扩大业务规模，或者公司主要客户由于所</w:t>
      </w:r>
    </w:p>
    <w:p>
      <w:pPr>
        <w:pStyle w:val="BodyText"/>
        <w:spacing w:line="321" w:lineRule="auto" w:before="80"/>
        <w:ind w:right="1136"/>
        <w:jc w:val="both"/>
      </w:pPr>
      <w:r>
        <w:rPr>
          <w:spacing w:val="-2"/>
        </w:rPr>
        <w:t>处行业周期波动、自身经营不善等原因而大幅降低进行营销传播的相关预算，或者公司主要客户由于自身原因减少甚至停止</w:t>
      </w:r>
      <w:r>
        <w:rPr>
          <w:spacing w:val="-72"/>
        </w:rPr>
        <w:t> </w:t>
      </w:r>
      <w:r>
        <w:rPr>
          <w:spacing w:val="-72"/>
        </w:rPr>
      </w:r>
      <w:r>
        <w:rPr/>
        <w:t>与公司的业务合作，公司经营业绩都将受到重大不利影响。</w:t>
      </w:r>
    </w:p>
    <w:p>
      <w:pPr>
        <w:pStyle w:val="BodyText"/>
        <w:spacing w:line="405" w:lineRule="auto" w:before="153"/>
        <w:ind w:left="501" w:right="1133"/>
        <w:jc w:val="left"/>
      </w:pPr>
      <w:r>
        <w:rPr>
          <w:rFonts w:ascii="Times New Roman" w:hAnsi="Times New Roman" w:cs="Times New Roman" w:eastAsia="Times New Roman" w:hint="default"/>
        </w:rPr>
        <w:t>5</w:t>
      </w:r>
      <w:r>
        <w:rPr/>
        <w:t>、人才流失的风险 </w:t>
      </w:r>
      <w:r>
        <w:rPr>
          <w:spacing w:val="-2"/>
        </w:rPr>
        <w:t>整合营销传播服务业是高度依赖专业人才的行业，人才是该行业最重要的生产要素。由于该行业为新兴行业，专业人才</w:t>
      </w:r>
    </w:p>
    <w:p>
      <w:pPr>
        <w:spacing w:after="0" w:line="405"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304" w:lineRule="auto" w:before="44"/>
        <w:ind w:right="0"/>
        <w:jc w:val="left"/>
      </w:pPr>
      <w:r>
        <w:rPr/>
        <w:t>较为紧缺，特别是中高级管理人员非常紧俏。随着公司战略转型成为</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方案运营商，公司对营销技术型人才的需求 </w:t>
      </w:r>
      <w:r>
        <w:rPr>
          <w:spacing w:val="-4"/>
        </w:rPr>
        <w:t>将进一步加大，公司管理团队及核心技术队伍能否保持稳定是决定公司长期发展的重要因素。虽然公司拥有良好的企业文化、</w:t>
      </w:r>
      <w:r>
        <w:rPr>
          <w:spacing w:val="-50"/>
        </w:rPr>
        <w:t> </w:t>
      </w:r>
      <w:r>
        <w:rPr>
          <w:spacing w:val="-50"/>
        </w:rPr>
      </w:r>
      <w:r>
        <w:rPr>
          <w:spacing w:val="-2"/>
        </w:rPr>
        <w:t>经营机制，但随着市场竞争的加剧，公司仍然可能面临人才流失、人才短缺和人才梯队不健全等风险，进而对公司持续经营</w:t>
      </w:r>
      <w:r>
        <w:rPr>
          <w:spacing w:val="-42"/>
        </w:rPr>
        <w:t> </w:t>
      </w:r>
      <w:r>
        <w:rPr>
          <w:spacing w:val="-42"/>
        </w:rPr>
      </w:r>
      <w:r>
        <w:rPr/>
        <w:t>带来一定影响。</w:t>
      </w:r>
    </w:p>
    <w:p>
      <w:pPr>
        <w:spacing w:line="240" w:lineRule="auto" w:before="9"/>
        <w:rPr>
          <w:rFonts w:ascii="宋体" w:hAnsi="宋体" w:cs="宋体" w:eastAsia="宋体" w:hint="default"/>
          <w:sz w:val="12"/>
          <w:szCs w:val="12"/>
        </w:rPr>
      </w:pPr>
    </w:p>
    <w:p>
      <w:pPr>
        <w:pStyle w:val="BodyText"/>
        <w:spacing w:line="240" w:lineRule="auto"/>
        <w:ind w:left="501" w:right="0"/>
        <w:jc w:val="left"/>
      </w:pPr>
      <w:r>
        <w:rPr>
          <w:rFonts w:ascii="Times New Roman" w:hAnsi="Times New Roman" w:cs="Times New Roman" w:eastAsia="Times New Roman" w:hint="default"/>
        </w:rPr>
        <w:t>6</w:t>
      </w:r>
      <w:r>
        <w:rPr/>
        <w:t>、应收账款较大的风险</w:t>
      </w:r>
    </w:p>
    <w:p>
      <w:pPr>
        <w:spacing w:line="240" w:lineRule="auto" w:before="3"/>
        <w:rPr>
          <w:rFonts w:ascii="宋体" w:hAnsi="宋体" w:cs="宋体" w:eastAsia="宋体" w:hint="default"/>
          <w:sz w:val="14"/>
          <w:szCs w:val="14"/>
        </w:rPr>
      </w:pPr>
    </w:p>
    <w:p>
      <w:pPr>
        <w:pStyle w:val="BodyText"/>
        <w:spacing w:line="295" w:lineRule="auto"/>
        <w:ind w:right="1076" w:firstLine="360"/>
        <w:jc w:val="both"/>
      </w:pPr>
      <w:r>
        <w:rPr>
          <w:rFonts w:ascii="Times New Roman" w:hAnsi="Times New Roman" w:cs="Times New Roman" w:eastAsia="Times New Roman" w:hint="default"/>
          <w:spacing w:val="-1"/>
        </w:rPr>
        <w:t>2017</w:t>
      </w:r>
      <w:r>
        <w:rPr>
          <w:spacing w:val="-1"/>
        </w:rPr>
        <w:t>年末、</w:t>
      </w:r>
      <w:r>
        <w:rPr>
          <w:rFonts w:ascii="Times New Roman" w:hAnsi="Times New Roman" w:cs="Times New Roman" w:eastAsia="Times New Roman" w:hint="default"/>
          <w:spacing w:val="-1"/>
        </w:rPr>
        <w:t>2018</w:t>
      </w:r>
      <w:r>
        <w:rPr>
          <w:spacing w:val="-1"/>
        </w:rPr>
        <w:t>年末和报告期末，公司应收账款账面价值分别为</w:t>
      </w:r>
      <w:r>
        <w:rPr>
          <w:rFonts w:ascii="Times New Roman" w:hAnsi="Times New Roman" w:cs="Times New Roman" w:eastAsia="Times New Roman" w:hint="default"/>
          <w:spacing w:val="-1"/>
        </w:rPr>
        <w:t>25,369.47</w:t>
      </w:r>
      <w:r>
        <w:rPr>
          <w:spacing w:val="-1"/>
        </w:rPr>
        <w:t>万元、</w:t>
      </w:r>
      <w:r>
        <w:rPr>
          <w:rFonts w:ascii="Times New Roman" w:hAnsi="Times New Roman" w:cs="Times New Roman" w:eastAsia="Times New Roman" w:hint="default"/>
          <w:spacing w:val="-1"/>
        </w:rPr>
        <w:t>14,054.02</w:t>
      </w:r>
      <w:r>
        <w:rPr>
          <w:spacing w:val="-1"/>
        </w:rPr>
        <w:t>万元和</w:t>
      </w:r>
      <w:r>
        <w:rPr>
          <w:rFonts w:ascii="Times New Roman" w:hAnsi="Times New Roman" w:cs="Times New Roman" w:eastAsia="Times New Roman" w:hint="default"/>
          <w:spacing w:val="-1"/>
        </w:rPr>
        <w:t>19,337.87</w:t>
      </w:r>
      <w:r>
        <w:rPr>
          <w:spacing w:val="-1"/>
        </w:rPr>
        <w:t>万元，占对应</w:t>
      </w:r>
      <w:r>
        <w:rPr/>
        <w:t> </w:t>
      </w:r>
      <w:r>
        <w:rPr>
          <w:spacing w:val="-1"/>
        </w:rPr>
        <w:t>时点总资产的比例分别为</w:t>
      </w:r>
      <w:r>
        <w:rPr>
          <w:rFonts w:ascii="Times New Roman" w:hAnsi="Times New Roman" w:cs="Times New Roman" w:eastAsia="Times New Roman" w:hint="default"/>
          <w:spacing w:val="-1"/>
        </w:rPr>
        <w:t>41.00%</w:t>
      </w:r>
      <w:r>
        <w:rPr>
          <w:spacing w:val="-1"/>
        </w:rPr>
        <w:t>、</w:t>
      </w:r>
      <w:r>
        <w:rPr>
          <w:rFonts w:ascii="Times New Roman" w:hAnsi="Times New Roman" w:cs="Times New Roman" w:eastAsia="Times New Roman" w:hint="default"/>
          <w:spacing w:val="-1"/>
        </w:rPr>
        <w:t>28.08%</w:t>
      </w:r>
      <w:r>
        <w:rPr>
          <w:spacing w:val="-1"/>
        </w:rPr>
        <w:t>和</w:t>
      </w:r>
      <w:r>
        <w:rPr>
          <w:rFonts w:ascii="Times New Roman" w:hAnsi="Times New Roman" w:cs="Times New Roman" w:eastAsia="Times New Roman" w:hint="default"/>
          <w:spacing w:val="-1"/>
        </w:rPr>
        <w:t>31.68%</w:t>
      </w:r>
      <w:r>
        <w:rPr>
          <w:spacing w:val="-1"/>
        </w:rPr>
        <w:t>，占比相对较高。公司应收账款账龄在</w:t>
      </w:r>
      <w:r>
        <w:rPr>
          <w:rFonts w:ascii="Times New Roman" w:hAnsi="Times New Roman" w:cs="Times New Roman" w:eastAsia="Times New Roman" w:hint="default"/>
          <w:spacing w:val="-1"/>
        </w:rPr>
        <w:t>1</w:t>
      </w:r>
      <w:r>
        <w:rPr>
          <w:spacing w:val="-1"/>
        </w:rPr>
        <w:t>年以内的应收账款占应收账款余</w:t>
      </w:r>
      <w:r>
        <w:rPr>
          <w:spacing w:val="-67"/>
        </w:rPr>
        <w:t> </w:t>
      </w:r>
      <w:r>
        <w:rPr/>
        <w:t>额的比重均在</w:t>
      </w:r>
      <w:r>
        <w:rPr>
          <w:rFonts w:ascii="Times New Roman" w:hAnsi="Times New Roman" w:cs="Times New Roman" w:eastAsia="Times New Roman" w:hint="default"/>
        </w:rPr>
        <w:t>90%</w:t>
      </w:r>
      <w:r>
        <w:rPr/>
        <w:t>以上，且主要客户回款状况良好。未来，随着公司业务规模的进一步扩大，应收账款数额将进一步增加， </w:t>
      </w:r>
      <w:r>
        <w:rPr>
          <w:spacing w:val="-2"/>
        </w:rPr>
        <w:t>如果应收账款延期收到或者发生坏账的情况，公司将面临应收账款无法按期收回甚至无法收回的风险，并可能进而影响公司</w:t>
      </w:r>
    </w:p>
    <w:p>
      <w:pPr>
        <w:pStyle w:val="BodyText"/>
        <w:spacing w:line="240" w:lineRule="auto" w:before="38"/>
        <w:ind w:right="0"/>
        <w:jc w:val="left"/>
      </w:pPr>
      <w:r>
        <w:rPr/>
        <w:t>的正常运营。</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177"/>
        <w:gridCol w:w="2178"/>
        <w:gridCol w:w="2178"/>
        <w:gridCol w:w="3049"/>
      </w:tblGrid>
      <w:tr>
        <w:trPr>
          <w:trHeight w:val="405" w:hRule="exact"/>
        </w:trPr>
        <w:tc>
          <w:tcPr>
            <w:tcW w:w="2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6"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90"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1"/>
        <w:spacing w:line="240" w:lineRule="auto"/>
        <w:ind w:left="1690" w:right="2673"/>
        <w:jc w:val="center"/>
        <w:rPr>
          <w:b w:val="0"/>
          <w:bCs w:val="0"/>
        </w:rPr>
      </w:pPr>
      <w:bookmarkStart w:name="第五节重要事项" w:id="61"/>
      <w:bookmarkEnd w:id="61"/>
      <w:r>
        <w:rPr>
          <w:b w:val="0"/>
          <w:bCs w:val="0"/>
        </w:rPr>
      </w:r>
      <w:bookmarkStart w:name="_bookmark4" w:id="62"/>
      <w:bookmarkEnd w:id="62"/>
      <w:r>
        <w:rPr>
          <w:b w:val="0"/>
          <w:bCs w:val="0"/>
        </w:rPr>
      </w:r>
      <w:r>
        <w:rPr>
          <w:spacing w:val="5"/>
        </w:rPr>
        <w:t>第五节重要事项</w:t>
      </w:r>
      <w:r>
        <w:rPr>
          <w:b w:val="0"/>
          <w:bCs w:val="0"/>
          <w:spacing w:val="5"/>
        </w:rPr>
      </w:r>
    </w:p>
    <w:p>
      <w:pPr>
        <w:spacing w:line="240" w:lineRule="auto" w:before="5"/>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p>
      <w:pPr>
        <w:pStyle w:val="Heading9"/>
        <w:spacing w:line="240" w:lineRule="auto"/>
        <w:ind w:right="0"/>
        <w:jc w:val="left"/>
        <w:rPr>
          <w:b w:val="0"/>
          <w:bCs w:val="0"/>
        </w:rPr>
      </w:pPr>
      <w:r>
        <w:rPr/>
        <w:t>（一）利润分配政策的基本原则</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left="501" w:right="0"/>
        <w:jc w:val="left"/>
      </w:pPr>
      <w:r>
        <w:rPr>
          <w:rFonts w:ascii="Times New Roman" w:hAnsi="Times New Roman" w:cs="Times New Roman" w:eastAsia="Times New Roman" w:hint="default"/>
        </w:rPr>
        <w:t>1</w:t>
      </w:r>
      <w:r>
        <w:rPr/>
        <w:t>、公司实施积极的利润分配政策，重视对投资者的合理投资回报，并保持连续性和稳定性。</w:t>
      </w:r>
    </w:p>
    <w:p>
      <w:pPr>
        <w:spacing w:line="240" w:lineRule="auto" w:before="3"/>
        <w:rPr>
          <w:rFonts w:ascii="宋体" w:hAnsi="宋体" w:cs="宋体" w:eastAsia="宋体" w:hint="default"/>
          <w:sz w:val="14"/>
          <w:szCs w:val="14"/>
        </w:rPr>
      </w:pPr>
    </w:p>
    <w:p>
      <w:pPr>
        <w:pStyle w:val="BodyText"/>
        <w:spacing w:line="240" w:lineRule="auto"/>
        <w:ind w:left="501" w:right="0"/>
        <w:jc w:val="left"/>
      </w:pPr>
      <w:r>
        <w:rPr>
          <w:rFonts w:ascii="Times New Roman" w:hAnsi="Times New Roman" w:cs="Times New Roman" w:eastAsia="Times New Roman" w:hint="default"/>
        </w:rPr>
        <w:t>2</w:t>
      </w:r>
      <w:r>
        <w:rPr/>
        <w:t>、公司可以采取现金或股票等方式分配利润，利润分配不得超过累计可分配利润的范围，不得损害公司持续经营能力。</w:t>
      </w:r>
    </w:p>
    <w:p>
      <w:pPr>
        <w:spacing w:line="240" w:lineRule="auto" w:before="3"/>
        <w:rPr>
          <w:rFonts w:ascii="宋体" w:hAnsi="宋体" w:cs="宋体" w:eastAsia="宋体" w:hint="default"/>
          <w:sz w:val="14"/>
          <w:szCs w:val="14"/>
        </w:rPr>
      </w:pPr>
    </w:p>
    <w:p>
      <w:pPr>
        <w:pStyle w:val="BodyText"/>
        <w:spacing w:line="240" w:lineRule="auto"/>
        <w:ind w:left="501" w:right="0"/>
        <w:jc w:val="left"/>
      </w:pPr>
      <w:r>
        <w:rPr>
          <w:rFonts w:ascii="Times New Roman" w:hAnsi="Times New Roman" w:cs="Times New Roman" w:eastAsia="Times New Roman" w:hint="default"/>
        </w:rPr>
        <w:t>3</w:t>
      </w:r>
      <w:r>
        <w:rPr/>
        <w:t>、公司优先采用现金分红的利润分配方式。公司具备现金分红条件的，应当采用现金分红进行利润分配。</w:t>
      </w:r>
    </w:p>
    <w:p>
      <w:pPr>
        <w:spacing w:line="240" w:lineRule="auto" w:before="1"/>
        <w:rPr>
          <w:rFonts w:ascii="宋体" w:hAnsi="宋体" w:cs="宋体" w:eastAsia="宋体" w:hint="default"/>
          <w:sz w:val="13"/>
          <w:szCs w:val="13"/>
        </w:rPr>
      </w:pPr>
    </w:p>
    <w:p>
      <w:pPr>
        <w:pStyle w:val="BodyText"/>
        <w:spacing w:line="240" w:lineRule="auto"/>
        <w:ind w:left="501" w:right="0"/>
        <w:jc w:val="left"/>
      </w:pPr>
      <w:r>
        <w:rPr>
          <w:rFonts w:ascii="Times New Roman" w:hAnsi="Times New Roman" w:cs="Times New Roman" w:eastAsia="Times New Roman" w:hint="default"/>
        </w:rPr>
        <w:t>4</w:t>
      </w:r>
      <w:r>
        <w:rPr/>
        <w:t>、公司董事会、监事会和股东大会对利润分配政策的决策和论证过程中应当充分考虑独立董事和公众投资者的意见。</w:t>
      </w:r>
    </w:p>
    <w:p>
      <w:pPr>
        <w:spacing w:line="240" w:lineRule="auto" w:before="1"/>
        <w:rPr>
          <w:rFonts w:ascii="宋体" w:hAnsi="宋体" w:cs="宋体" w:eastAsia="宋体" w:hint="default"/>
          <w:sz w:val="13"/>
          <w:szCs w:val="13"/>
        </w:rPr>
      </w:pPr>
    </w:p>
    <w:p>
      <w:pPr>
        <w:pStyle w:val="Heading9"/>
        <w:spacing w:line="240" w:lineRule="auto"/>
        <w:ind w:right="0"/>
        <w:jc w:val="left"/>
        <w:rPr>
          <w:b w:val="0"/>
          <w:bCs w:val="0"/>
        </w:rPr>
      </w:pPr>
      <w:r>
        <w:rPr/>
        <w:t>（二）利润分配具体政策</w:t>
      </w:r>
      <w:r>
        <w:rPr>
          <w:b w:val="0"/>
          <w:bCs w:val="0"/>
        </w:rPr>
      </w:r>
    </w:p>
    <w:p>
      <w:pPr>
        <w:spacing w:line="240" w:lineRule="auto" w:before="6"/>
        <w:rPr>
          <w:rFonts w:ascii="宋体" w:hAnsi="宋体" w:cs="宋体" w:eastAsia="宋体" w:hint="default"/>
          <w:b/>
          <w:bCs/>
          <w:sz w:val="16"/>
          <w:szCs w:val="16"/>
        </w:rPr>
      </w:pPr>
    </w:p>
    <w:p>
      <w:pPr>
        <w:pStyle w:val="BodyText"/>
        <w:spacing w:line="288" w:lineRule="auto"/>
        <w:ind w:right="1119" w:firstLine="360"/>
        <w:jc w:val="left"/>
      </w:pPr>
      <w:r>
        <w:rPr>
          <w:rFonts w:ascii="Times New Roman" w:hAnsi="Times New Roman" w:cs="Times New Roman" w:eastAsia="Times New Roman" w:hint="default"/>
        </w:rPr>
        <w:t>1</w:t>
      </w:r>
      <w:r>
        <w:rPr/>
        <w:t>、利润分配的形式：公司采取现金、股票或者现金与股票相结合等法律规范允许的其他形式分配利润；公司董事会可 以根据当期的盈利规模、现金流状况、发展阶段及资金需求状况，提议公司进行中期分红。</w:t>
      </w:r>
    </w:p>
    <w:p>
      <w:pPr>
        <w:spacing w:line="240" w:lineRule="auto" w:before="9"/>
        <w:rPr>
          <w:rFonts w:ascii="宋体" w:hAnsi="宋体" w:cs="宋体" w:eastAsia="宋体" w:hint="default"/>
          <w:sz w:val="13"/>
          <w:szCs w:val="13"/>
        </w:rPr>
      </w:pPr>
    </w:p>
    <w:p>
      <w:pPr>
        <w:pStyle w:val="BodyText"/>
        <w:spacing w:line="240" w:lineRule="auto"/>
        <w:ind w:left="501" w:right="0"/>
        <w:jc w:val="left"/>
      </w:pPr>
      <w:r>
        <w:rPr>
          <w:rFonts w:ascii="Times New Roman" w:hAnsi="Times New Roman" w:cs="Times New Roman" w:eastAsia="Times New Roman" w:hint="default"/>
        </w:rPr>
        <w:t>2</w:t>
      </w:r>
      <w:r>
        <w:rPr/>
        <w:t>、现金分红的具体条件：</w:t>
      </w:r>
    </w:p>
    <w:p>
      <w:pPr>
        <w:spacing w:line="240" w:lineRule="auto" w:before="1"/>
        <w:rPr>
          <w:rFonts w:ascii="宋体" w:hAnsi="宋体" w:cs="宋体" w:eastAsia="宋体" w:hint="default"/>
          <w:sz w:val="13"/>
          <w:szCs w:val="13"/>
        </w:rPr>
      </w:pPr>
    </w:p>
    <w:p>
      <w:pPr>
        <w:pStyle w:val="BodyText"/>
        <w:spacing w:line="240" w:lineRule="auto"/>
        <w:ind w:left="501" w:right="0"/>
        <w:jc w:val="left"/>
      </w:pPr>
      <w:r>
        <w:rPr/>
        <w:t>（</w:t>
      </w:r>
      <w:r>
        <w:rPr>
          <w:rFonts w:ascii="Times New Roman" w:hAnsi="Times New Roman" w:cs="Times New Roman" w:eastAsia="Times New Roman" w:hint="default"/>
        </w:rPr>
        <w:t>1</w:t>
      </w:r>
      <w:r>
        <w:rPr/>
        <w:t>）公司该年度的可供分配利润（即公司弥补亏损、提取盈余公积金后剩余的税后利润）为正值；</w:t>
      </w:r>
    </w:p>
    <w:p>
      <w:pPr>
        <w:spacing w:line="240" w:lineRule="auto" w:before="3"/>
        <w:rPr>
          <w:rFonts w:ascii="宋体" w:hAnsi="宋体" w:cs="宋体" w:eastAsia="宋体" w:hint="default"/>
          <w:sz w:val="14"/>
          <w:szCs w:val="14"/>
        </w:rPr>
      </w:pPr>
    </w:p>
    <w:p>
      <w:pPr>
        <w:pStyle w:val="BodyText"/>
        <w:spacing w:line="290" w:lineRule="auto"/>
        <w:ind w:right="1119" w:firstLine="360"/>
        <w:jc w:val="left"/>
      </w:pPr>
      <w:r>
        <w:rPr/>
        <w:t>（</w:t>
      </w:r>
      <w:r>
        <w:rPr>
          <w:rFonts w:ascii="Times New Roman" w:hAnsi="Times New Roman" w:cs="Times New Roman" w:eastAsia="Times New Roman" w:hint="default"/>
        </w:rPr>
        <w:t>2</w:t>
      </w:r>
      <w:r>
        <w:rPr/>
        <w:t>）未来十二个月内无重大投资计划或重大现金支出等事项发生，或在考虑实施前述重大投资计划或重大现金支出以 及该年度现金分红的前提下公司正常生产经营的资金需求仍能够得到满足。</w:t>
      </w:r>
    </w:p>
    <w:p>
      <w:pPr>
        <w:spacing w:line="240" w:lineRule="auto" w:before="5"/>
        <w:rPr>
          <w:rFonts w:ascii="宋体" w:hAnsi="宋体" w:cs="宋体" w:eastAsia="宋体" w:hint="default"/>
          <w:sz w:val="12"/>
          <w:szCs w:val="12"/>
        </w:rPr>
      </w:pPr>
    </w:p>
    <w:p>
      <w:pPr>
        <w:pStyle w:val="BodyText"/>
        <w:spacing w:line="240" w:lineRule="auto"/>
        <w:ind w:left="501" w:right="0"/>
        <w:jc w:val="left"/>
      </w:pPr>
      <w:r>
        <w:rPr/>
        <w:t>上述重大投资计划或重大现金支出指以下情形之一：</w:t>
      </w:r>
    </w:p>
    <w:p>
      <w:pPr>
        <w:spacing w:line="240" w:lineRule="auto" w:before="6"/>
        <w:rPr>
          <w:rFonts w:ascii="宋体" w:hAnsi="宋体" w:cs="宋体" w:eastAsia="宋体" w:hint="default"/>
          <w:sz w:val="16"/>
          <w:szCs w:val="16"/>
        </w:rPr>
      </w:pPr>
    </w:p>
    <w:p>
      <w:pPr>
        <w:pStyle w:val="BodyText"/>
        <w:spacing w:line="288" w:lineRule="auto"/>
        <w:ind w:right="0" w:firstLine="360"/>
        <w:jc w:val="left"/>
      </w:pPr>
      <w:r>
        <w:rPr/>
        <w:t>（</w:t>
      </w:r>
      <w:r>
        <w:rPr>
          <w:rFonts w:ascii="Times New Roman" w:hAnsi="Times New Roman" w:cs="Times New Roman" w:eastAsia="Times New Roman" w:hint="default"/>
        </w:rPr>
        <w:t>1</w:t>
      </w:r>
      <w:r>
        <w:rPr/>
        <w:t>）公司未来十二个月内拟对外投资、收购资产或购买设备累计支出达到或超过公司最近一期经审计净资产的</w:t>
      </w:r>
      <w:r>
        <w:rPr>
          <w:rFonts w:ascii="Times New Roman" w:hAnsi="Times New Roman" w:cs="Times New Roman" w:eastAsia="Times New Roman" w:hint="default"/>
        </w:rPr>
        <w:t>50%</w:t>
      </w:r>
      <w:r>
        <w:rPr/>
        <w:t>， 且绝对金额超过</w:t>
      </w:r>
      <w:r>
        <w:rPr>
          <w:rFonts w:ascii="Times New Roman" w:hAnsi="Times New Roman" w:cs="Times New Roman" w:eastAsia="Times New Roman" w:hint="default"/>
        </w:rPr>
        <w:t>3,000</w:t>
      </w:r>
      <w:r>
        <w:rPr/>
        <w:t>万元；</w:t>
      </w:r>
    </w:p>
    <w:p>
      <w:pPr>
        <w:pStyle w:val="BodyText"/>
        <w:spacing w:line="405" w:lineRule="auto" w:before="146"/>
        <w:ind w:left="501" w:right="0"/>
        <w:jc w:val="left"/>
      </w:pPr>
      <w:r>
        <w:rPr/>
        <w:t>（</w:t>
      </w:r>
      <w:r>
        <w:rPr>
          <w:rFonts w:ascii="Times New Roman" w:hAnsi="Times New Roman" w:cs="Times New Roman" w:eastAsia="Times New Roman" w:hint="default"/>
        </w:rPr>
        <w:t>2</w:t>
      </w:r>
      <w:r>
        <w:rPr/>
        <w:t>）公司未来十二个月内拟对外投资、收购资产或购买设备累计支出达到或超过公司最近一期经审计总资产的</w:t>
      </w:r>
      <w:r>
        <w:rPr>
          <w:rFonts w:ascii="Times New Roman" w:hAnsi="Times New Roman" w:cs="Times New Roman" w:eastAsia="Times New Roman" w:hint="default"/>
        </w:rPr>
        <w:t>30%</w:t>
      </w:r>
      <w:r>
        <w:rPr/>
        <w:t>。</w:t>
      </w:r>
      <w:r>
        <w:rPr>
          <w:spacing w:val="-79"/>
        </w:rPr>
        <w:t> </w:t>
      </w:r>
      <w:r>
        <w:rPr>
          <w:spacing w:val="-2"/>
        </w:rPr>
        <w:t>根据公司章程关于董事会和股东大会职权的相关规定，上述重大投资计划或重大现金支出须经董事会批准，报股东大会</w:t>
      </w:r>
    </w:p>
    <w:p>
      <w:pPr>
        <w:pStyle w:val="BodyText"/>
        <w:spacing w:line="191" w:lineRule="exact"/>
        <w:ind w:right="0"/>
        <w:jc w:val="left"/>
      </w:pPr>
      <w:r>
        <w:rPr/>
        <w:t>审议通过后方可实施。</w:t>
      </w:r>
    </w:p>
    <w:p>
      <w:pPr>
        <w:spacing w:line="240" w:lineRule="auto" w:before="4"/>
        <w:rPr>
          <w:rFonts w:ascii="宋体" w:hAnsi="宋体" w:cs="宋体" w:eastAsia="宋体" w:hint="default"/>
          <w:sz w:val="15"/>
          <w:szCs w:val="15"/>
        </w:rPr>
      </w:pPr>
    </w:p>
    <w:p>
      <w:pPr>
        <w:pStyle w:val="Heading9"/>
        <w:spacing w:line="240" w:lineRule="auto"/>
        <w:ind w:right="0"/>
        <w:jc w:val="left"/>
        <w:rPr>
          <w:b w:val="0"/>
          <w:bCs w:val="0"/>
        </w:rPr>
      </w:pPr>
      <w:r>
        <w:rPr/>
        <w:t>（三）现金分红的比例</w:t>
      </w:r>
      <w:r>
        <w:rPr>
          <w:b w:val="0"/>
          <w:bCs w:val="0"/>
        </w:rPr>
      </w:r>
    </w:p>
    <w:p>
      <w:pPr>
        <w:spacing w:line="240" w:lineRule="auto" w:before="4"/>
        <w:rPr>
          <w:rFonts w:ascii="宋体" w:hAnsi="宋体" w:cs="宋体" w:eastAsia="宋体" w:hint="default"/>
          <w:b/>
          <w:bCs/>
          <w:sz w:val="15"/>
          <w:szCs w:val="15"/>
        </w:rPr>
      </w:pPr>
    </w:p>
    <w:p>
      <w:pPr>
        <w:pStyle w:val="BodyText"/>
        <w:spacing w:line="405" w:lineRule="auto"/>
        <w:ind w:left="501" w:right="0"/>
        <w:jc w:val="left"/>
      </w:pPr>
      <w:r>
        <w:rPr/>
        <w:t>在满足现金分红具体条件的前提下，公司以现金方式分配的利润不少于当年实现的可分配利润的</w:t>
      </w:r>
      <w:r>
        <w:rPr>
          <w:rFonts w:ascii="Times New Roman" w:hAnsi="Times New Roman" w:cs="Times New Roman" w:eastAsia="Times New Roman" w:hint="default"/>
        </w:rPr>
        <w:t>15%</w:t>
      </w:r>
      <w:r>
        <w:rPr/>
        <w:t>。</w:t>
      </w:r>
      <w:r>
        <w:rPr>
          <w:spacing w:val="-81"/>
        </w:rPr>
        <w:t> </w:t>
      </w:r>
      <w:r>
        <w:rPr>
          <w:spacing w:val="-2"/>
        </w:rPr>
        <w:t>公司董事会应综合考虑公司所处行业特点、发展阶段、自身经营模式、盈利水平及是否有重大资金支出安排等因素，区</w:t>
      </w:r>
    </w:p>
    <w:p>
      <w:pPr>
        <w:pStyle w:val="BodyText"/>
        <w:spacing w:line="191" w:lineRule="exact"/>
        <w:ind w:right="0"/>
        <w:jc w:val="left"/>
      </w:pPr>
      <w:r>
        <w:rPr/>
        <w:t>分下列情形，并按照《公司章程》规定的程序，提出差异化的现金分红政策：</w:t>
      </w:r>
    </w:p>
    <w:p>
      <w:pPr>
        <w:spacing w:line="240" w:lineRule="auto" w:before="5"/>
        <w:rPr>
          <w:rFonts w:ascii="宋体" w:hAnsi="宋体" w:cs="宋体" w:eastAsia="宋体" w:hint="default"/>
          <w:sz w:val="16"/>
          <w:szCs w:val="16"/>
        </w:rPr>
      </w:pPr>
    </w:p>
    <w:p>
      <w:pPr>
        <w:pStyle w:val="BodyText"/>
        <w:spacing w:line="302" w:lineRule="auto"/>
        <w:ind w:right="1119" w:firstLine="360"/>
        <w:jc w:val="left"/>
      </w:pP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、公司发展阶段属成熟期且无重大资金支出安排的，进行利润分配时，现金分红在本次利润分配中所占比例最低应达 到</w:t>
      </w:r>
      <w:r>
        <w:rPr>
          <w:rFonts w:ascii="Times New Roman" w:hAnsi="Times New Roman" w:cs="Times New Roman" w:eastAsia="Times New Roman" w:hint="default"/>
        </w:rPr>
        <w:t>80%</w:t>
      </w:r>
      <w:r>
        <w:rPr/>
        <w:t>；</w:t>
      </w:r>
    </w:p>
    <w:p>
      <w:pPr>
        <w:pStyle w:val="BodyText"/>
        <w:spacing w:line="304" w:lineRule="auto" w:before="119"/>
        <w:ind w:right="1119" w:firstLine="360"/>
        <w:jc w:val="left"/>
      </w:pP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 到</w:t>
      </w:r>
      <w:r>
        <w:rPr>
          <w:rFonts w:ascii="Times New Roman" w:hAnsi="Times New Roman" w:cs="Times New Roman" w:eastAsia="Times New Roman" w:hint="default"/>
        </w:rPr>
        <w:t>40%</w:t>
      </w:r>
      <w:r>
        <w:rPr/>
        <w:t>；</w:t>
      </w:r>
    </w:p>
    <w:p>
      <w:pPr>
        <w:pStyle w:val="BodyText"/>
        <w:spacing w:line="304" w:lineRule="auto" w:before="132"/>
        <w:ind w:right="1119" w:firstLine="360"/>
        <w:jc w:val="left"/>
      </w:pP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 到</w:t>
      </w:r>
      <w:r>
        <w:rPr>
          <w:rFonts w:ascii="Times New Roman" w:hAnsi="Times New Roman" w:cs="Times New Roman" w:eastAsia="Times New Roman" w:hint="default"/>
        </w:rPr>
        <w:t>20%</w:t>
      </w:r>
      <w:r>
        <w:rPr/>
        <w:t>；</w:t>
      </w:r>
    </w:p>
    <w:p>
      <w:pPr>
        <w:spacing w:after="0" w:line="304" w:lineRule="auto"/>
        <w:jc w:val="left"/>
        <w:sectPr>
          <w:pgSz w:w="11910" w:h="16850"/>
          <w:pgMar w:header="866" w:footer="981" w:top="1120" w:bottom="1180" w:left="1000" w:right="0"/>
        </w:sectPr>
      </w:pPr>
    </w:p>
    <w:p>
      <w:pPr>
        <w:spacing w:line="240" w:lineRule="auto" w:before="11"/>
        <w:rPr>
          <w:rFonts w:ascii="宋体" w:hAnsi="宋体" w:cs="宋体" w:eastAsia="宋体" w:hint="default"/>
          <w:sz w:val="29"/>
          <w:szCs w:val="29"/>
        </w:rPr>
      </w:pPr>
    </w:p>
    <w:p>
      <w:pPr>
        <w:pStyle w:val="BodyText"/>
        <w:spacing w:line="240" w:lineRule="auto" w:before="44"/>
        <w:ind w:left="501" w:right="0"/>
        <w:jc w:val="left"/>
      </w:pPr>
      <w:r>
        <w:rPr/>
        <w:t>公司发展阶段不易区分但有重大资金支出安排的，可以按照前项规定处理。</w:t>
      </w:r>
    </w:p>
    <w:p>
      <w:pPr>
        <w:pStyle w:val="BodyText"/>
        <w:spacing w:line="430" w:lineRule="atLeast" w:before="5"/>
        <w:ind w:left="501" w:right="1133"/>
        <w:jc w:val="left"/>
      </w:pPr>
      <w:r>
        <w:rPr>
          <w:rFonts w:ascii="宋体" w:hAnsi="宋体" w:cs="宋体" w:eastAsia="宋体" w:hint="default"/>
          <w:b/>
          <w:bCs/>
        </w:rPr>
        <w:t>（四）股票股利分配条件</w:t>
      </w:r>
      <w:r>
        <w:rPr>
          <w:rFonts w:ascii="宋体" w:hAnsi="宋体" w:cs="宋体" w:eastAsia="宋体" w:hint="default"/>
          <w:b/>
          <w:bCs/>
          <w:spacing w:val="-85"/>
        </w:rPr>
        <w:t> </w:t>
      </w:r>
      <w:r>
        <w:rPr>
          <w:rFonts w:ascii="宋体" w:hAnsi="宋体" w:cs="宋体" w:eastAsia="宋体" w:hint="default"/>
          <w:b/>
          <w:bCs/>
          <w:spacing w:val="-85"/>
        </w:rPr>
      </w:r>
      <w:r>
        <w:rPr>
          <w:spacing w:val="-2"/>
        </w:rPr>
        <w:t>在公司经营情况良好，并且董事会认为公司股票价格与公司股本规模不匹配、发放股票股利有利于公司全体股东整体利</w:t>
      </w:r>
    </w:p>
    <w:p>
      <w:pPr>
        <w:pStyle w:val="BodyText"/>
        <w:spacing w:line="240" w:lineRule="auto" w:before="64"/>
        <w:ind w:right="0"/>
        <w:jc w:val="left"/>
      </w:pPr>
      <w:r>
        <w:rPr/>
        <w:t>益时，可以在满足上述现金股利分配之余，提出股票股利分配预案。</w:t>
      </w:r>
    </w:p>
    <w:p>
      <w:pPr>
        <w:spacing w:line="240" w:lineRule="auto" w:before="4"/>
        <w:rPr>
          <w:rFonts w:ascii="宋体" w:hAnsi="宋体" w:cs="宋体" w:eastAsia="宋体" w:hint="default"/>
          <w:sz w:val="15"/>
          <w:szCs w:val="15"/>
        </w:rPr>
      </w:pPr>
    </w:p>
    <w:p>
      <w:pPr>
        <w:pStyle w:val="Heading9"/>
        <w:spacing w:line="240" w:lineRule="auto"/>
        <w:ind w:right="0"/>
        <w:jc w:val="left"/>
        <w:rPr>
          <w:b w:val="0"/>
          <w:bCs w:val="0"/>
        </w:rPr>
      </w:pPr>
      <w:r>
        <w:rPr/>
        <w:t>（五）利润分配方案的决策程序</w:t>
      </w:r>
      <w:r>
        <w:rPr>
          <w:b w:val="0"/>
          <w:bCs w:val="0"/>
        </w:rPr>
      </w:r>
    </w:p>
    <w:p>
      <w:pPr>
        <w:spacing w:line="240" w:lineRule="auto" w:before="5"/>
        <w:rPr>
          <w:rFonts w:ascii="宋体" w:hAnsi="宋体" w:cs="宋体" w:eastAsia="宋体" w:hint="default"/>
          <w:b/>
          <w:bCs/>
          <w:sz w:val="16"/>
          <w:szCs w:val="16"/>
        </w:rPr>
      </w:pPr>
    </w:p>
    <w:p>
      <w:pPr>
        <w:pStyle w:val="BodyText"/>
        <w:spacing w:line="288" w:lineRule="auto"/>
        <w:ind w:right="1119" w:firstLine="360"/>
        <w:jc w:val="left"/>
      </w:pPr>
      <w:r>
        <w:rPr>
          <w:rFonts w:ascii="Times New Roman" w:hAnsi="Times New Roman" w:cs="Times New Roman" w:eastAsia="Times New Roman" w:hint="default"/>
        </w:rPr>
        <w:t>1</w:t>
      </w:r>
      <w:r>
        <w:rPr/>
        <w:t>、公司制定利润分配政策时，应当履行公司章程规定的决策程序。董事会应当就股东回报事宜进行专项研究论证，制 定明确、清晰的股东回报规划，并详细说明规划安排的理由等情况。</w:t>
      </w:r>
    </w:p>
    <w:p>
      <w:pPr>
        <w:spacing w:line="240" w:lineRule="auto" w:before="9"/>
        <w:rPr>
          <w:rFonts w:ascii="宋体" w:hAnsi="宋体" w:cs="宋体" w:eastAsia="宋体" w:hint="default"/>
          <w:sz w:val="13"/>
          <w:szCs w:val="13"/>
        </w:rPr>
      </w:pPr>
    </w:p>
    <w:p>
      <w:pPr>
        <w:pStyle w:val="BodyText"/>
        <w:spacing w:line="240" w:lineRule="auto"/>
        <w:ind w:left="501" w:right="0"/>
        <w:jc w:val="left"/>
      </w:pPr>
      <w:r>
        <w:rPr>
          <w:rFonts w:ascii="Times New Roman" w:hAnsi="Times New Roman" w:cs="Times New Roman" w:eastAsia="Times New Roman" w:hint="default"/>
        </w:rPr>
        <w:t>2</w:t>
      </w:r>
      <w:r>
        <w:rPr/>
        <w:t>、公司的利润分配预案由公司董事会结合《公司章程》、盈利情况、资金需求和股东回报规划等提出并拟定。</w:t>
      </w:r>
    </w:p>
    <w:p>
      <w:pPr>
        <w:spacing w:line="240" w:lineRule="auto" w:before="1"/>
        <w:rPr>
          <w:rFonts w:ascii="宋体" w:hAnsi="宋体" w:cs="宋体" w:eastAsia="宋体" w:hint="default"/>
          <w:sz w:val="13"/>
          <w:szCs w:val="13"/>
        </w:rPr>
      </w:pPr>
    </w:p>
    <w:p>
      <w:pPr>
        <w:pStyle w:val="BodyText"/>
        <w:spacing w:line="288" w:lineRule="auto"/>
        <w:ind w:right="1119" w:firstLine="360"/>
        <w:jc w:val="left"/>
      </w:pPr>
      <w:r>
        <w:rPr>
          <w:rFonts w:ascii="Times New Roman" w:hAnsi="Times New Roman" w:cs="Times New Roman" w:eastAsia="Times New Roman" w:hint="default"/>
        </w:rPr>
        <w:t>3</w:t>
      </w:r>
      <w:r>
        <w:rPr/>
        <w:t>、公司应通过多种渠道主动与股东特别是中小股东进行沟通和交流，充分听取中小股东的意见和诉求，及时答复中小 股东关心的问题。</w:t>
      </w:r>
    </w:p>
    <w:p>
      <w:pPr>
        <w:spacing w:line="240" w:lineRule="auto" w:before="9"/>
        <w:rPr>
          <w:rFonts w:ascii="宋体" w:hAnsi="宋体" w:cs="宋体" w:eastAsia="宋体" w:hint="default"/>
          <w:sz w:val="13"/>
          <w:szCs w:val="13"/>
        </w:rPr>
      </w:pPr>
    </w:p>
    <w:p>
      <w:pPr>
        <w:pStyle w:val="BodyText"/>
        <w:spacing w:line="304" w:lineRule="auto"/>
        <w:ind w:right="1131" w:firstLine="360"/>
        <w:jc w:val="both"/>
      </w:pPr>
      <w:r>
        <w:rPr>
          <w:rFonts w:ascii="Times New Roman" w:hAnsi="Times New Roman" w:cs="Times New Roman" w:eastAsia="Times New Roman" w:hint="default"/>
        </w:rPr>
        <w:t>4</w:t>
      </w:r>
      <w:r>
        <w:rPr/>
        <w:t>、公司在制定现金分红具体方案时，董事会应认真研究和论证公司现金分红的时机、条件和最低比例、调整的条件及 </w:t>
      </w:r>
      <w:r>
        <w:rPr>
          <w:spacing w:val="-2"/>
        </w:rPr>
        <w:t>其决策程序要求等事宜，且需事先书面征询全部独立董事的意见，独立董事应当发表明确意见。独立董事可以征集中小股东</w:t>
      </w:r>
      <w:r>
        <w:rPr>
          <w:spacing w:val="-70"/>
        </w:rPr>
        <w:t> </w:t>
      </w:r>
      <w:r>
        <w:rPr>
          <w:spacing w:val="-70"/>
        </w:rPr>
      </w:r>
      <w:r>
        <w:rPr/>
        <w:t>的意见，提出分红提案，并直接提交董事会审议。</w:t>
      </w:r>
    </w:p>
    <w:p>
      <w:pPr>
        <w:pStyle w:val="BodyText"/>
        <w:spacing w:line="288" w:lineRule="auto" w:before="151"/>
        <w:ind w:right="1119" w:firstLine="360"/>
        <w:jc w:val="left"/>
      </w:pPr>
      <w:r>
        <w:rPr>
          <w:rFonts w:ascii="Times New Roman" w:hAnsi="Times New Roman" w:cs="Times New Roman" w:eastAsia="Times New Roman" w:hint="default"/>
        </w:rPr>
        <w:t>5</w:t>
      </w:r>
      <w:r>
        <w:rPr/>
        <w:t>、董事会就利润分配方案形成决议后提交股东大会审议。股东大会在审议利润分配方案时，应充分听取中小股东的意 见和诉求，为股东提供网络投票的方式。</w:t>
      </w:r>
    </w:p>
    <w:p>
      <w:pPr>
        <w:spacing w:line="240" w:lineRule="auto" w:before="9"/>
        <w:rPr>
          <w:rFonts w:ascii="宋体" w:hAnsi="宋体" w:cs="宋体" w:eastAsia="宋体" w:hint="default"/>
          <w:sz w:val="13"/>
          <w:szCs w:val="13"/>
        </w:rPr>
      </w:pPr>
    </w:p>
    <w:p>
      <w:pPr>
        <w:pStyle w:val="BodyText"/>
        <w:spacing w:line="240" w:lineRule="auto"/>
        <w:ind w:left="501" w:right="0"/>
        <w:jc w:val="left"/>
      </w:pPr>
      <w:r>
        <w:rPr>
          <w:rFonts w:ascii="Times New Roman" w:hAnsi="Times New Roman" w:cs="Times New Roman" w:eastAsia="Times New Roman" w:hint="default"/>
        </w:rPr>
        <w:t>6</w:t>
      </w:r>
      <w:r>
        <w:rPr/>
        <w:t>、监事会应对董事会执行公司利润分配政策和股东回报规划的情况及决策程序进行监督。</w:t>
      </w:r>
    </w:p>
    <w:p>
      <w:pPr>
        <w:spacing w:line="240" w:lineRule="auto" w:before="3"/>
        <w:rPr>
          <w:rFonts w:ascii="宋体" w:hAnsi="宋体" w:cs="宋体" w:eastAsia="宋体" w:hint="default"/>
          <w:sz w:val="14"/>
          <w:szCs w:val="14"/>
        </w:rPr>
      </w:pPr>
    </w:p>
    <w:p>
      <w:pPr>
        <w:pStyle w:val="BodyText"/>
        <w:spacing w:line="290" w:lineRule="auto"/>
        <w:ind w:right="1119" w:firstLine="360"/>
        <w:jc w:val="left"/>
      </w:pPr>
      <w:r>
        <w:rPr>
          <w:rFonts w:ascii="Times New Roman" w:hAnsi="Times New Roman" w:cs="Times New Roman" w:eastAsia="Times New Roman" w:hint="default"/>
        </w:rPr>
        <w:t>7</w:t>
      </w:r>
      <w:r>
        <w:rPr/>
        <w:t>、公司当年盈利但未提出现金利润分配预案的，董事会应在当年的定期报告中说明未进行现金分红的原因以及未用于 现金分红的资金留存公司的用途，独立董事应对此发表独立意见。</w:t>
      </w:r>
    </w:p>
    <w:p>
      <w:pPr>
        <w:spacing w:line="240" w:lineRule="auto" w:before="13"/>
        <w:rPr>
          <w:rFonts w:ascii="宋体" w:hAnsi="宋体" w:cs="宋体" w:eastAsia="宋体" w:hint="default"/>
          <w:sz w:val="8"/>
          <w:szCs w:val="8"/>
        </w:rPr>
      </w:pPr>
    </w:p>
    <w:p>
      <w:pPr>
        <w:pStyle w:val="BodyText"/>
        <w:spacing w:line="240" w:lineRule="auto" w:before="44"/>
        <w:ind w:left="501" w:right="0"/>
        <w:jc w:val="left"/>
      </w:pPr>
      <w:r>
        <w:rPr>
          <w:rFonts w:ascii="Times New Roman" w:hAnsi="Times New Roman" w:cs="Times New Roman" w:eastAsia="Times New Roman" w:hint="default"/>
        </w:rPr>
        <w:t>8</w:t>
      </w:r>
      <w:r>
        <w:rPr/>
        <w:t>、公司股东大会对利润分配方案作出决议后，公司董事会须在股东大会召开后两个月内完成股利（或股份）的派发事</w:t>
      </w:r>
    </w:p>
    <w:p>
      <w:pPr>
        <w:pStyle w:val="BodyText"/>
        <w:spacing w:line="240" w:lineRule="auto" w:before="51"/>
        <w:ind w:right="0"/>
        <w:jc w:val="left"/>
      </w:pPr>
      <w:r>
        <w:rPr/>
        <w:t>项。</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5"/>
        <w:ind w:right="0"/>
        <w:jc w:val="left"/>
      </w:pPr>
      <w:r>
        <w:rPr/>
        <w:t>公司报告期利润分配预案及资本公积金转增股本预案与公司章程和分红管理办法等的相关规定一致</w:t>
      </w:r>
    </w:p>
    <w:p>
      <w:pPr>
        <w:pStyle w:val="BodyText"/>
        <w:spacing w:line="319" w:lineRule="auto" w:before="124"/>
        <w:ind w:right="42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 公司报告期利润分配预案及资本公积金转增股本预案符合公司章程等的相关规定。</w:t>
      </w:r>
    </w:p>
    <w:p>
      <w:pPr>
        <w:spacing w:after="0" w:line="319" w:lineRule="auto"/>
        <w:jc w:val="left"/>
        <w:sectPr>
          <w:pgSz w:w="11910" w:h="16850"/>
          <w:pgMar w:header="866" w:footer="981" w:top="1120" w:bottom="1180" w:left="1000" w:right="0"/>
        </w:sectPr>
      </w:pPr>
    </w:p>
    <w:p>
      <w:pPr>
        <w:spacing w:line="240" w:lineRule="auto" w:before="11"/>
        <w:rPr>
          <w:rFonts w:ascii="宋体" w:hAnsi="宋体" w:cs="宋体" w:eastAsia="宋体" w:hint="default"/>
          <w:sz w:val="29"/>
          <w:szCs w:val="29"/>
        </w:rPr>
      </w:pPr>
    </w:p>
    <w:p>
      <w:pPr>
        <w:pStyle w:val="BodyText"/>
        <w:spacing w:line="240" w:lineRule="auto" w:before="44"/>
        <w:ind w:right="0"/>
        <w:jc w:val="left"/>
      </w:pPr>
      <w:r>
        <w:rPr/>
        <w:t>本年度利润分配及资本公积金转增股本情况</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5865"/>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159,039,975</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71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4"/>
              <w:ind w:left="7" w:right="-56"/>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8,876,105.82</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8,876,105.82</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65,343,081.35</w:t>
            </w:r>
          </w:p>
        </w:tc>
      </w:tr>
      <w:tr>
        <w:trPr>
          <w:trHeight w:val="7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6"/>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2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7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06" w:hRule="exact"/>
        </w:trPr>
        <w:tc>
          <w:tcPr>
            <w:tcW w:w="9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7" w:right="94"/>
              <w:jc w:val="left"/>
              <w:rPr>
                <w:rFonts w:ascii="宋体" w:hAnsi="宋体" w:cs="宋体" w:eastAsia="宋体" w:hint="default"/>
                <w:sz w:val="18"/>
                <w:szCs w:val="18"/>
              </w:rPr>
            </w:pPr>
            <w:r>
              <w:rPr>
                <w:rFonts w:ascii="宋体" w:hAnsi="宋体" w:cs="宋体" w:eastAsia="宋体" w:hint="default"/>
                <w:sz w:val="18"/>
                <w:szCs w:val="18"/>
              </w:rPr>
              <w:t>鉴于公司未来经营发展需要，为保障公司健康可持续发展，公司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年度拟不派发现金红利，不送红股，也不进行资本 公积金转增股本，公司的未分配利润结转以后年度分配。</w:t>
            </w:r>
          </w:p>
        </w:tc>
      </w:tr>
    </w:tbl>
    <w:p>
      <w:pPr>
        <w:pStyle w:val="BodyText"/>
        <w:spacing w:line="240" w:lineRule="auto" w:before="59"/>
        <w:ind w:right="0"/>
        <w:jc w:val="left"/>
      </w:pPr>
      <w:r>
        <w:rPr/>
        <w:t>公司近</w:t>
      </w:r>
      <w:r>
        <w:rPr>
          <w:spacing w:val="-45"/>
        </w:rPr>
        <w:t> </w:t>
      </w:r>
      <w:r>
        <w:rPr>
          <w:rFonts w:ascii="Times New Roman" w:hAnsi="Times New Roman" w:cs="Times New Roman" w:eastAsia="Times New Roman" w:hint="default"/>
        </w:rPr>
        <w:t>3 </w:t>
      </w:r>
      <w:r>
        <w:rPr/>
        <w:t>年（包括本报告期）的普通股股利分配方案（预案</w:t>
      </w:r>
      <w:r>
        <w:rPr>
          <w:spacing w:val="-90"/>
        </w:rPr>
        <w:t>）</w:t>
      </w:r>
      <w:r>
        <w:rPr/>
        <w:t>、资本公积金转增股本方案（预案）情况</w:t>
      </w:r>
    </w:p>
    <w:p>
      <w:pPr>
        <w:pStyle w:val="BodyText"/>
        <w:spacing w:line="300" w:lineRule="auto" w:before="96"/>
        <w:ind w:right="1096" w:firstLine="36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年度利润分配方案：</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日，公司第三届董事会第二次会议审议通过了《关于</w:t>
      </w:r>
      <w:r>
        <w:rPr>
          <w:rFonts w:ascii="Times New Roman" w:hAnsi="Times New Roman" w:cs="Times New Roman" w:eastAsia="Times New Roman" w:hint="default"/>
          <w:spacing w:val="-1"/>
        </w:rPr>
        <w:t>2017</w:t>
      </w:r>
      <w:r>
        <w:rPr>
          <w:spacing w:val="-1"/>
        </w:rPr>
        <w:t>年度利润分配及资本</w:t>
      </w:r>
      <w:r>
        <w:rPr/>
        <w:t> </w:t>
      </w:r>
      <w:r>
        <w:rPr>
          <w:spacing w:val="-2"/>
        </w:rPr>
        <w:t>公积金转增股本预案的议案》。公司根据《公司法》和《公司章程》的相关规定，拟定</w:t>
      </w:r>
      <w:r>
        <w:rPr>
          <w:rFonts w:ascii="Times New Roman" w:hAnsi="Times New Roman" w:cs="Times New Roman" w:eastAsia="Times New Roman" w:hint="default"/>
          <w:spacing w:val="-2"/>
        </w:rPr>
        <w:t>2017</w:t>
      </w:r>
      <w:r>
        <w:rPr>
          <w:spacing w:val="-2"/>
        </w:rPr>
        <w:t>年度利润分配方案如下：以公司</w:t>
      </w:r>
      <w:r>
        <w:rPr>
          <w:spacing w:val="-62"/>
        </w:rPr>
        <w:t> </w:t>
      </w:r>
      <w:r>
        <w:rPr>
          <w:spacing w:val="-62"/>
        </w:rPr>
      </w:r>
      <w:r>
        <w:rPr/>
        <w:t>总股本</w:t>
      </w:r>
      <w:r>
        <w:rPr>
          <w:rFonts w:ascii="Times New Roman" w:hAnsi="Times New Roman" w:cs="Times New Roman" w:eastAsia="Times New Roman" w:hint="default"/>
        </w:rPr>
        <w:t>108,000,000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w:t>
      </w:r>
      <w:r>
        <w:rPr/>
        <w:t>元（含税），送红股 </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股（含税），以资本公积金向全体股 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股，合计转增股份</w:t>
      </w:r>
      <w:r>
        <w:rPr>
          <w:rFonts w:ascii="Times New Roman" w:hAnsi="Times New Roman" w:cs="Times New Roman" w:eastAsia="Times New Roman" w:hint="default"/>
        </w:rPr>
        <w:t>54,000,000</w:t>
      </w:r>
      <w:r>
        <w:rPr/>
        <w:t>股，转增完成后公司总股本增至</w:t>
      </w:r>
      <w:r>
        <w:rPr>
          <w:rFonts w:ascii="Times New Roman" w:hAnsi="Times New Roman" w:cs="Times New Roman" w:eastAsia="Times New Roman" w:hint="default"/>
        </w:rPr>
        <w:t>162,000,000</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2017</w:t>
      </w:r>
      <w:r>
        <w:rPr/>
        <w:t>年年</w:t>
      </w:r>
      <w:r>
        <w:rPr>
          <w:spacing w:val="-84"/>
        </w:rPr>
        <w:t> </w:t>
      </w:r>
      <w:r>
        <w:rPr/>
        <w:t>度股东大会审议通过了《关于</w:t>
      </w:r>
      <w:r>
        <w:rPr>
          <w:rFonts w:ascii="Times New Roman" w:hAnsi="Times New Roman" w:cs="Times New Roman" w:eastAsia="Times New Roman" w:hint="default"/>
        </w:rPr>
        <w:t>2017</w:t>
      </w:r>
      <w:r>
        <w:rPr/>
        <w:t>年度利润分配及资本公积金转增股本预案的议案》。本次权益分派股权登记日为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30</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p>
    <w:p>
      <w:pPr>
        <w:pStyle w:val="BodyText"/>
        <w:spacing w:line="240" w:lineRule="auto" w:before="16"/>
        <w:ind w:left="501"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年利润分配预案：公司计划不派发现金红利，不送红股，不以公积金转增股本。</w:t>
      </w:r>
    </w:p>
    <w:p>
      <w:pPr>
        <w:pStyle w:val="BodyText"/>
        <w:spacing w:line="331" w:lineRule="auto" w:before="66"/>
        <w:ind w:right="3459"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年利润分配预案：公司计划不派发现金红利，不送红股，不以公积金转增股本。 公司近三年（包括本报告期）普通股现金分红情况表</w:t>
      </w:r>
    </w:p>
    <w:p>
      <w:pPr>
        <w:pStyle w:val="BodyText"/>
        <w:spacing w:line="240" w:lineRule="auto" w:before="41"/>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9"/>
        <w:gridCol w:w="1179"/>
        <w:gridCol w:w="1201"/>
        <w:gridCol w:w="1202"/>
        <w:gridCol w:w="1201"/>
        <w:gridCol w:w="1179"/>
        <w:gridCol w:w="1224"/>
        <w:gridCol w:w="1179"/>
      </w:tblGrid>
      <w:tr>
        <w:trPr>
          <w:trHeight w:val="158" w:hRule="exact"/>
        </w:trPr>
        <w:tc>
          <w:tcPr>
            <w:tcW w:w="12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79"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7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24"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64"/>
              <w:ind w:left="45" w:right="3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66" w:hRule="exact"/>
        </w:trPr>
        <w:tc>
          <w:tcPr>
            <w:tcW w:w="1209"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right w:val="single" w:sz="6" w:space="0" w:color="000000"/>
            </w:tcBorders>
            <w:shd w:val="clear" w:color="auto" w:fill="D2D2D2"/>
          </w:tcPr>
          <w:p>
            <w:pPr/>
          </w:p>
        </w:tc>
        <w:tc>
          <w:tcPr>
            <w:tcW w:w="1179"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45" w:right="35"/>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9"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60" w:right="44"/>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9"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4" w:lineRule="auto" w:before="80"/>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9"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64"/>
              <w:ind w:left="428"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706" w:hRule="exact"/>
        </w:trPr>
        <w:tc>
          <w:tcPr>
            <w:tcW w:w="1209" w:type="dxa"/>
            <w:vMerge/>
            <w:tcBorders>
              <w:left w:val="single" w:sz="6" w:space="0" w:color="000000"/>
              <w:right w:val="single" w:sz="6" w:space="0" w:color="000000"/>
            </w:tcBorders>
            <w:shd w:val="clear" w:color="auto" w:fill="D2D2D2"/>
          </w:tcPr>
          <w:p>
            <w:pPr/>
          </w:p>
        </w:tc>
        <w:tc>
          <w:tcPr>
            <w:tcW w:w="117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9" w:type="dxa"/>
            <w:vMerge/>
            <w:tcBorders>
              <w:left w:val="single" w:sz="6" w:space="0" w:color="000000"/>
              <w:right w:val="single" w:sz="6" w:space="0" w:color="000000"/>
            </w:tcBorders>
            <w:shd w:val="clear" w:color="auto" w:fill="D2D2D2"/>
          </w:tcPr>
          <w:p>
            <w:pPr/>
          </w:p>
        </w:tc>
        <w:tc>
          <w:tcPr>
            <w:tcW w:w="1179"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9"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9"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9"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73" w:hRule="exact"/>
        </w:trPr>
        <w:tc>
          <w:tcPr>
            <w:tcW w:w="1209"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7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24"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10,349,912.85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8,876,105.82</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85.76%</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8,876,105.82</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85.76%</w:t>
            </w:r>
          </w:p>
        </w:tc>
      </w:tr>
      <w:tr>
        <w:trPr>
          <w:trHeight w:val="390"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21,062,083.21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39,999,113.66</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w w:val="95"/>
                <w:sz w:val="18"/>
              </w:rPr>
              <w:t>189.91%</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39,999,113.66</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w w:val="95"/>
                <w:sz w:val="18"/>
              </w:rPr>
              <w:t>189.91%</w:t>
            </w:r>
            <w:r>
              <w:rPr>
                <w:rFonts w:ascii="Times New Roman"/>
                <w:sz w:val="18"/>
              </w:rPr>
            </w:r>
          </w:p>
        </w:tc>
      </w:tr>
      <w:tr>
        <w:trPr>
          <w:trHeight w:val="405"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74,956,482.53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72.04%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54,000,000.00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72.04%</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11"/>
        <w:rPr>
          <w:rFonts w:ascii="宋体" w:hAnsi="宋体" w:cs="宋体" w:eastAsia="宋体" w:hint="default"/>
          <w:sz w:val="29"/>
          <w:szCs w:val="29"/>
        </w:rPr>
      </w:pPr>
    </w:p>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before="44"/>
        <w:ind w:left="0" w:right="1010"/>
        <w:jc w:val="right"/>
      </w:pPr>
      <w:r>
        <w:rPr/>
        <w:pict>
          <v:shape style="position:absolute;margin-left:56.325001pt;margin-top:-247.768265pt;width:486.25pt;height:472.9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51"/>
                    <w:gridCol w:w="4851"/>
                  </w:tblGrid>
                  <w:tr>
                    <w:trPr>
                      <w:trHeight w:val="856" w:hRule="exact"/>
                    </w:trPr>
                    <w:tc>
                      <w:tcPr>
                        <w:tcW w:w="4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105"/>
                          <w:ind w:left="1050" w:right="94"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8588" w:hRule="exact"/>
                    </w:trPr>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5"/>
                          <w:ind w:left="15" w:right="2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年实施了股票回购计划，截至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日，公司通过股票回购专用证券账户以集中竞价交易方式累计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回购公司股份数量为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2,960,025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股，占公司目前总股本的比例</w:t>
                        </w:r>
                      </w:p>
                      <w:p>
                        <w:pPr>
                          <w:pStyle w:val="TableParagraph"/>
                          <w:spacing w:line="240" w:lineRule="auto" w:before="6"/>
                          <w:ind w:left="15"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宋体" w:hAnsi="宋体" w:cs="宋体" w:eastAsia="宋体" w:hint="default"/>
                            <w:sz w:val="18"/>
                            <w:szCs w:val="18"/>
                          </w:rPr>
                          <w:t>，最高成交价为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股，最低成交价为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1"/>
                          <w:ind w:left="15"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股，成交总金额为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48,875,219.48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元（含手续费</w:t>
                        </w:r>
                        <w:r>
                          <w:rPr>
                            <w:rFonts w:ascii="宋体" w:hAnsi="宋体" w:cs="宋体" w:eastAsia="宋体" w:hint="default"/>
                            <w:spacing w:val="-90"/>
                            <w:sz w:val="18"/>
                            <w:szCs w:val="18"/>
                          </w:rPr>
                          <w:t>）</w:t>
                        </w:r>
                        <w:r>
                          <w:rPr>
                            <w:rFonts w:ascii="宋体" w:hAnsi="宋体" w:cs="宋体" w:eastAsia="宋体" w:hint="default"/>
                            <w:sz w:val="18"/>
                            <w:szCs w:val="18"/>
                          </w:rPr>
                          <w:t>。扣除截至</w:t>
                        </w:r>
                      </w:p>
                      <w:p>
                        <w:pPr>
                          <w:pStyle w:val="TableParagraph"/>
                          <w:spacing w:line="240" w:lineRule="auto" w:before="66"/>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日公司通过股票回购专用证券账户以集中竞</w:t>
                        </w:r>
                      </w:p>
                      <w:p>
                        <w:pPr>
                          <w:pStyle w:val="TableParagraph"/>
                          <w:spacing w:line="240" w:lineRule="auto" w:before="66"/>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价交易方式累计回购公司股份数量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2,385,925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z w:val="18"/>
                            <w:szCs w:val="18"/>
                          </w:rPr>
                          <w:t>年度以集中竞价交易方式累计回购公司股份数量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574,100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z w:val="18"/>
                            <w:szCs w:val="18"/>
                          </w:rPr>
                          <w:t>成交总金额为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8,876,105.82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元（含手续费</w:t>
                        </w:r>
                        <w:r>
                          <w:rPr>
                            <w:rFonts w:ascii="宋体" w:hAnsi="宋体" w:cs="宋体" w:eastAsia="宋体" w:hint="default"/>
                            <w:spacing w:val="-90"/>
                            <w:sz w:val="18"/>
                            <w:szCs w:val="18"/>
                          </w:rPr>
                          <w:t>）</w:t>
                        </w:r>
                        <w:r>
                          <w:rPr>
                            <w:rFonts w:ascii="宋体" w:hAnsi="宋体" w:cs="宋体" w:eastAsia="宋体" w:hint="default"/>
                            <w:sz w:val="18"/>
                            <w:szCs w:val="18"/>
                          </w:rPr>
                          <w:t>。具体内容详见公</w:t>
                        </w:r>
                      </w:p>
                      <w:p>
                        <w:pPr>
                          <w:pStyle w:val="TableParagraph"/>
                          <w:spacing w:line="312" w:lineRule="auto" w:before="51"/>
                          <w:ind w:left="15" w:right="49"/>
                          <w:jc w:val="both"/>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6"/>
                            <w:sz w:val="18"/>
                            <w:szCs w:val="18"/>
                          </w:rPr>
                          <w:t>日在巨潮资讯网（</w:t>
                        </w:r>
                        <w:hyperlink r:id="rId11">
                          <w:r>
                            <w:rPr>
                              <w:rFonts w:ascii="Times New Roman" w:hAnsi="Times New Roman" w:cs="Times New Roman" w:eastAsia="Times New Roman" w:hint="default"/>
                              <w:spacing w:val="-6"/>
                              <w:sz w:val="18"/>
                              <w:szCs w:val="18"/>
                            </w:rPr>
                            <w:t>www.cninfo.com.cn</w:t>
                          </w:r>
                        </w:hyperlink>
                        <w:r>
                          <w:rPr>
                            <w:rFonts w:ascii="宋体" w:hAnsi="宋体" w:cs="宋体" w:eastAsia="宋体" w:hint="default"/>
                            <w:spacing w:val="-6"/>
                            <w:sz w:val="18"/>
                            <w:szCs w:val="18"/>
                          </w:rPr>
                          <w:t>）上</w:t>
                        </w:r>
                        <w:r>
                          <w:rPr>
                            <w:rFonts w:ascii="宋体" w:hAnsi="宋体" w:cs="宋体" w:eastAsia="宋体" w:hint="default"/>
                            <w:spacing w:val="-45"/>
                            <w:sz w:val="18"/>
                            <w:szCs w:val="18"/>
                          </w:rPr>
                          <w:t> </w:t>
                        </w:r>
                        <w:r>
                          <w:rPr>
                            <w:rFonts w:ascii="宋体" w:hAnsi="宋体" w:cs="宋体" w:eastAsia="宋体" w:hint="default"/>
                            <w:spacing w:val="-4"/>
                            <w:sz w:val="18"/>
                            <w:szCs w:val="18"/>
                          </w:rPr>
                          <w:t>披露的《关于股份回购实施结果暨股份变动的公告》（公告编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5"/>
                            <w:sz w:val="18"/>
                            <w:szCs w:val="18"/>
                          </w:rPr>
                          <w:t>号：</w:t>
                        </w:r>
                        <w:r>
                          <w:rPr>
                            <w:rFonts w:ascii="Times New Roman" w:hAnsi="Times New Roman" w:cs="Times New Roman" w:eastAsia="Times New Roman" w:hint="default"/>
                            <w:spacing w:val="-15"/>
                            <w:sz w:val="18"/>
                            <w:szCs w:val="18"/>
                          </w:rPr>
                          <w:t>2019-007</w:t>
                        </w:r>
                        <w:r>
                          <w:rPr>
                            <w:rFonts w:ascii="宋体" w:hAnsi="宋体" w:cs="宋体" w:eastAsia="宋体" w:hint="default"/>
                            <w:spacing w:val="-15"/>
                            <w:sz w:val="18"/>
                            <w:szCs w:val="18"/>
                          </w:rPr>
                          <w:t>）。</w:t>
                        </w:r>
                        <w:r>
                          <w:rPr>
                            <w:rFonts w:ascii="宋体" w:hAnsi="宋体" w:cs="宋体" w:eastAsia="宋体" w:hint="default"/>
                            <w:sz w:val="18"/>
                            <w:szCs w:val="18"/>
                          </w:rPr>
                        </w:r>
                      </w:p>
                      <w:p>
                        <w:pPr>
                          <w:pStyle w:val="TableParagraph"/>
                          <w:spacing w:line="326" w:lineRule="auto" w:before="21"/>
                          <w:ind w:left="15" w:right="19"/>
                          <w:jc w:val="both"/>
                          <w:rPr>
                            <w:rFonts w:ascii="宋体" w:hAnsi="宋体" w:cs="宋体" w:eastAsia="宋体" w:hint="default"/>
                            <w:sz w:val="18"/>
                            <w:szCs w:val="18"/>
                          </w:rPr>
                        </w:pPr>
                        <w:r>
                          <w:rPr>
                            <w:rFonts w:ascii="宋体" w:hAnsi="宋体" w:cs="宋体" w:eastAsia="宋体" w:hint="default"/>
                            <w:spacing w:val="-4"/>
                            <w:sz w:val="18"/>
                            <w:szCs w:val="18"/>
                          </w:rPr>
                          <w:t>根据《深圳证券交易所上市公司回购股份实施细则》规定，上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市公司以现金为对价，采用要约方式、集中竞价方式回购股份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的，当年已实施的回购股份金额视同现金分红金额，纳入该年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度现金分红的相关比例计算。公司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年度以集中竞价交易</w:t>
                        </w:r>
                      </w:p>
                      <w:p>
                        <w:pPr>
                          <w:pStyle w:val="TableParagraph"/>
                          <w:spacing w:line="244" w:lineRule="exact"/>
                          <w:ind w:left="15" w:right="0"/>
                          <w:jc w:val="both"/>
                          <w:rPr>
                            <w:rFonts w:ascii="宋体" w:hAnsi="宋体" w:cs="宋体" w:eastAsia="宋体" w:hint="default"/>
                            <w:sz w:val="18"/>
                            <w:szCs w:val="18"/>
                          </w:rPr>
                        </w:pPr>
                        <w:r>
                          <w:rPr>
                            <w:rFonts w:ascii="宋体" w:hAnsi="宋体" w:cs="宋体" w:eastAsia="宋体" w:hint="default"/>
                            <w:sz w:val="18"/>
                            <w:szCs w:val="18"/>
                          </w:rPr>
                          <w:t>方式累计回购公司股份成交总金额 </w:t>
                        </w:r>
                        <w:r>
                          <w:rPr>
                            <w:rFonts w:ascii="Times New Roman" w:hAnsi="Times New Roman" w:cs="Times New Roman" w:eastAsia="Times New Roman" w:hint="default"/>
                            <w:sz w:val="18"/>
                            <w:szCs w:val="18"/>
                          </w:rPr>
                          <w:t>8,876,105.82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元（含手续</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费）视同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年度现金分红金额为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8,876,105.82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元（占公司</w:t>
                        </w:r>
                      </w:p>
                      <w:p>
                        <w:pPr>
                          <w:pStyle w:val="TableParagraph"/>
                          <w:spacing w:line="240" w:lineRule="auto" w:before="66"/>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年度可供分配利润的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13.58%</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97" w:lineRule="auto" w:before="111"/>
                          <w:ind w:left="15"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、公司目前处于战略转型的关键阶段，</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年度，公司将继</w:t>
                        </w:r>
                        <w:r>
                          <w:rPr>
                            <w:rFonts w:ascii="宋体" w:hAnsi="宋体" w:cs="宋体" w:eastAsia="宋体" w:hint="default"/>
                            <w:sz w:val="18"/>
                            <w:szCs w:val="18"/>
                          </w:rPr>
                          <w:t> </w:t>
                        </w:r>
                        <w:r>
                          <w:rPr>
                            <w:rFonts w:ascii="宋体" w:hAnsi="宋体" w:cs="宋体" w:eastAsia="宋体" w:hint="default"/>
                            <w:spacing w:val="-3"/>
                            <w:sz w:val="18"/>
                            <w:szCs w:val="18"/>
                          </w:rPr>
                          <w:t>续完善技术布局，进一步扩编研发团队、加大研发投入及或存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在对外投资，对资金需求量较大。同时考虑新冠肺炎疫情对全</w:t>
                        </w:r>
                      </w:p>
                      <w:p>
                        <w:pPr>
                          <w:pStyle w:val="TableParagraph"/>
                          <w:spacing w:line="321" w:lineRule="auto" w:before="36"/>
                          <w:ind w:left="15" w:right="18"/>
                          <w:jc w:val="both"/>
                          <w:rPr>
                            <w:rFonts w:ascii="宋体" w:hAnsi="宋体" w:cs="宋体" w:eastAsia="宋体" w:hint="default"/>
                            <w:sz w:val="18"/>
                            <w:szCs w:val="18"/>
                          </w:rPr>
                        </w:pPr>
                        <w:r>
                          <w:rPr>
                            <w:rFonts w:ascii="宋体" w:hAnsi="宋体" w:cs="宋体" w:eastAsia="宋体" w:hint="default"/>
                            <w:spacing w:val="-3"/>
                            <w:sz w:val="18"/>
                            <w:szCs w:val="18"/>
                          </w:rPr>
                          <w:t>球经济的影响，公司留存充足的资本金以保障正常经营的资金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需求和发展战略的顺利实施，提升应对潜在风险的能力，促进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公司稳健经营、长远发展。根据《公司章程》对利润分配的相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关规定，除上述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年度已实施的回购方案外，公司拟决定</w:t>
                        </w:r>
                      </w:p>
                      <w:p>
                        <w:pPr>
                          <w:pStyle w:val="TableParagraph"/>
                          <w:spacing w:line="247" w:lineRule="exact"/>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年度不进行利润分配。</w:t>
                        </w:r>
                      </w:p>
                    </w:tc>
                    <w:tc>
                      <w:tcPr>
                        <w:tcW w:w="4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6" w:lineRule="auto"/>
                          <w:ind w:left="15" w:right="18"/>
                          <w:jc w:val="left"/>
                          <w:rPr>
                            <w:rFonts w:ascii="宋体" w:hAnsi="宋体" w:cs="宋体" w:eastAsia="宋体" w:hint="default"/>
                            <w:sz w:val="18"/>
                            <w:szCs w:val="18"/>
                          </w:rPr>
                        </w:pPr>
                        <w:r>
                          <w:rPr>
                            <w:rFonts w:ascii="宋体" w:hAnsi="宋体" w:cs="宋体" w:eastAsia="宋体" w:hint="default"/>
                            <w:sz w:val="18"/>
                            <w:szCs w:val="18"/>
                          </w:rPr>
                          <w:t>结合公司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年的经营情况和未来经营发展需要，为满足公 </w:t>
                        </w:r>
                        <w:r>
                          <w:rPr>
                            <w:rFonts w:ascii="宋体" w:hAnsi="宋体" w:cs="宋体" w:eastAsia="宋体" w:hint="default"/>
                            <w:spacing w:val="-3"/>
                            <w:sz w:val="18"/>
                            <w:szCs w:val="18"/>
                          </w:rPr>
                          <w:t>司日常经营资金需求、研发投入及或存在的对外投资需求；从</w:t>
                        </w:r>
                      </w:p>
                      <w:p>
                        <w:pPr>
                          <w:pStyle w:val="TableParagraph"/>
                          <w:spacing w:line="240" w:lineRule="auto" w:before="68"/>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公司长远发展、以股东利益出发等方面综合考虑，公司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p>
                      <w:p>
                        <w:pPr>
                          <w:pStyle w:val="TableParagraph"/>
                          <w:spacing w:line="297" w:lineRule="auto" w:before="66"/>
                          <w:ind w:left="15" w:right="-40"/>
                          <w:jc w:val="left"/>
                          <w:rPr>
                            <w:rFonts w:ascii="宋体" w:hAnsi="宋体" w:cs="宋体" w:eastAsia="宋体" w:hint="default"/>
                            <w:sz w:val="18"/>
                            <w:szCs w:val="18"/>
                          </w:rPr>
                        </w:pPr>
                        <w:r>
                          <w:rPr>
                            <w:rFonts w:ascii="宋体" w:hAnsi="宋体" w:cs="宋体" w:eastAsia="宋体" w:hint="default"/>
                            <w:sz w:val="18"/>
                            <w:szCs w:val="18"/>
                          </w:rPr>
                          <w:t>年需做好相应的资金储备，公司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年度未分配利润累积滚 存至下一年度，为公司中长期发展战略的顺利实施以及健康、 </w:t>
                        </w:r>
                        <w:r>
                          <w:rPr>
                            <w:rFonts w:ascii="宋体" w:hAnsi="宋体" w:cs="宋体" w:eastAsia="宋体" w:hint="default"/>
                            <w:spacing w:val="-6"/>
                            <w:sz w:val="18"/>
                            <w:szCs w:val="18"/>
                          </w:rPr>
                          <w:t>可持续发展提供可靠保障，谋求公司及股东利益最大化。今后</w:t>
                        </w:r>
                      </w:p>
                      <w:p>
                        <w:pPr>
                          <w:pStyle w:val="TableParagraph"/>
                          <w:spacing w:line="316" w:lineRule="auto" w:before="36"/>
                          <w:ind w:left="15" w:right="18"/>
                          <w:jc w:val="both"/>
                          <w:rPr>
                            <w:rFonts w:ascii="宋体" w:hAnsi="宋体" w:cs="宋体" w:eastAsia="宋体" w:hint="default"/>
                            <w:sz w:val="18"/>
                            <w:szCs w:val="18"/>
                          </w:rPr>
                        </w:pPr>
                        <w:r>
                          <w:rPr>
                            <w:rFonts w:ascii="宋体" w:hAnsi="宋体" w:cs="宋体" w:eastAsia="宋体" w:hint="default"/>
                            <w:spacing w:val="-3"/>
                            <w:sz w:val="18"/>
                            <w:szCs w:val="18"/>
                          </w:rPr>
                          <w:t>公司将一如既往地重视以现金分红形式对投资者进行回报，严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格按照相关法律法规和《公司章程》等规定，综合考虑与利润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分配相关的各种因素，从有利于公司发展和投资者回报的角度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出发，积极履行公司的利润分配制度，与投资者共享公司发展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的成果。</w:t>
                        </w:r>
                      </w:p>
                    </w:tc>
                  </w:tr>
                </w:tbl>
                <w:p>
                  <w:pPr/>
                </w:p>
              </w:txbxContent>
            </v:textbox>
            <w10:wrap type="none"/>
          </v:shape>
        </w:pict>
      </w:r>
      <w:r>
        <w:rPr/>
        <w:t>，</w:t>
      </w:r>
    </w:p>
    <w:p>
      <w:pPr>
        <w:spacing w:after="0" w:line="240" w:lineRule="auto"/>
        <w:jc w:val="right"/>
        <w:sectPr>
          <w:pgSz w:w="11910" w:h="16850"/>
          <w:pgMar w:header="866" w:footer="981" w:top="1120" w:bottom="1180" w:left="1000" w:right="0"/>
        </w:sectPr>
      </w:pPr>
    </w:p>
    <w:p>
      <w:pPr>
        <w:pStyle w:val="Heading3"/>
        <w:spacing w:line="240" w:lineRule="auto" w:before="44"/>
        <w:ind w:right="0"/>
        <w:jc w:val="left"/>
        <w:rPr>
          <w:b w:val="0"/>
          <w:bCs w:val="0"/>
        </w:rPr>
      </w:pPr>
      <w:r>
        <w:rPr/>
        <w:pict>
          <v:group style="position:absolute;margin-left:70.550003pt;margin-top:3.090608pt;width:695.9pt;height:.1pt;mso-position-horizontal-relative:page;mso-position-vertical-relative:paragraph;z-index:-1197256" coordorigin="1411,62" coordsize="13918,2">
            <v:shape style="position:absolute;left:1411;top:62;width:13918;height:2" coordorigin="1411,62" coordsize="13918,0" path="m1411,62l15329,62e" filled="false" stroked="true" strokeweight=".75pt" strokecolor="#000000">
              <v:path arrowok="t"/>
            </v:shape>
            <w10:wrap type="none"/>
          </v:group>
        </w:pict>
      </w: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spacing w:val="-1"/>
        </w:rPr>
        <w:t>1</w:t>
      </w:r>
      <w:r>
        <w:rPr>
          <w:spacing w:val="-1"/>
        </w:rPr>
        <w:t>、公司实际控制人、股东、关联方、收购人以及公司等承诺相关方在报告期内履行完毕及截</w:t>
      </w:r>
      <w:r>
        <w:rPr>
          <w:spacing w:val="-71"/>
        </w:rPr>
        <w:t> </w:t>
      </w:r>
      <w:r>
        <w:rPr>
          <w:spacing w:val="-1"/>
        </w:rPr>
        <w:t>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261"/>
        <w:gridCol w:w="1276"/>
        <w:gridCol w:w="991"/>
        <w:gridCol w:w="7671"/>
        <w:gridCol w:w="991"/>
        <w:gridCol w:w="841"/>
        <w:gridCol w:w="856"/>
      </w:tblGrid>
      <w:tr>
        <w:trPr>
          <w:trHeight w:val="406" w:hRule="exact"/>
        </w:trPr>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6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1" w:hRule="exact"/>
        </w:trPr>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4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276" w:type="dxa"/>
            <w:tcBorders>
              <w:top w:val="single" w:sz="6" w:space="0" w:color="000000"/>
              <w:left w:val="single" w:sz="12" w:space="0" w:color="D2D2D2"/>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67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276" w:type="dxa"/>
            <w:tcBorders>
              <w:top w:val="single" w:sz="6" w:space="0" w:color="000000"/>
              <w:left w:val="single" w:sz="12" w:space="0" w:color="D2D2D2"/>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67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r>
      <w:tr>
        <w:trPr>
          <w:trHeight w:val="1495" w:hRule="exact"/>
        </w:trPr>
        <w:tc>
          <w:tcPr>
            <w:tcW w:w="126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07" w:lineRule="auto"/>
              <w:ind w:left="30" w:right="4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671" w:type="dxa"/>
            <w:vMerge w:val="restart"/>
            <w:tcBorders>
              <w:top w:val="single" w:sz="6" w:space="0" w:color="000000"/>
              <w:left w:val="single" w:sz="6" w:space="0" w:color="000000"/>
              <w:right w:val="single" w:sz="6" w:space="0" w:color="000000"/>
            </w:tcBorders>
          </w:tcPr>
          <w:p>
            <w:pPr>
              <w:pStyle w:val="TableParagraph"/>
              <w:spacing w:line="319" w:lineRule="auto" w:before="30"/>
              <w:ind w:left="30" w:right="58"/>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自公司股票上市之日起三十六个月内，不转让或者委托他人管理其直接或者间接持有的公司公开 发行股票前已发行的股份，也不由公司回购其直接或者间接持有的公司公开发行股票前已发行的 股份。在前述承诺期限届满后，在张秀兵、万丽莉担任公司董事、监事、高级管理人员其中一职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或数职期间内，每年转让的股份不超过其所持有公司股份总数的百分之二十五；张秀兵、万丽莉 在前述承诺期限届满之日起六个月内申报离职的，自申报离职之日起十八个月内不转让其持有的 公司股份；张秀兵、万丽莉在前述承诺期限届满之日起第七个月至第十二个月之内申报离职的， 自申报离职之日起十二个月内不转让其持有的公司股份；张秀兵、万丽莉在前述承诺期限届满之 日起第十二个月之后申报离职的，自申报离职之日起六个月内不转让其持有的公司股份。</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07" w:lineRule="auto"/>
              <w:ind w:left="30" w:right="8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89" w:hRule="exact"/>
        </w:trPr>
        <w:tc>
          <w:tcPr>
            <w:tcW w:w="126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276" w:type="dxa"/>
            <w:vMerge/>
            <w:tcBorders>
              <w:left w:val="single" w:sz="12" w:space="0" w:color="D2D2D2"/>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767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r>
      <w:tr>
        <w:trPr>
          <w:trHeight w:val="720" w:hRule="exact"/>
        </w:trPr>
        <w:tc>
          <w:tcPr>
            <w:tcW w:w="1261" w:type="dxa"/>
            <w:vMerge w:val="restart"/>
            <w:tcBorders>
              <w:top w:val="nil" w:sz="6" w:space="0" w:color="auto"/>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7"/>
                <w:sz w:val="18"/>
                <w:szCs w:val="18"/>
              </w:rPr>
              <w:t>张秀兵、万丽莉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43"/>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64"/>
              <w:jc w:val="left"/>
              <w:rPr>
                <w:rFonts w:ascii="宋体" w:hAnsi="宋体" w:cs="宋体" w:eastAsia="宋体" w:hint="default"/>
                <w:sz w:val="18"/>
                <w:szCs w:val="18"/>
              </w:rPr>
            </w:pPr>
            <w:r>
              <w:rPr>
                <w:rFonts w:ascii="宋体" w:hAnsi="宋体" w:cs="宋体" w:eastAsia="宋体" w:hint="default"/>
                <w:sz w:val="18"/>
                <w:szCs w:val="18"/>
              </w:rPr>
              <w:t>自公司股票上市之日起三十六个月内，不转让或者委托他人管理其直接或者间接持有的宣亚投资 的股权，也不由宣亚投资回购其直接或者间接持有的宣亚投资的股权。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8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706" w:hRule="exact"/>
        </w:trPr>
        <w:tc>
          <w:tcPr>
            <w:tcW w:w="1261"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5"/>
              <w:jc w:val="left"/>
              <w:rPr>
                <w:rFonts w:ascii="宋体" w:hAnsi="宋体" w:cs="宋体" w:eastAsia="宋体" w:hint="default"/>
                <w:sz w:val="18"/>
                <w:szCs w:val="18"/>
              </w:rPr>
            </w:pPr>
            <w:r>
              <w:rPr>
                <w:rFonts w:ascii="宋体" w:hAnsi="宋体" w:cs="宋体" w:eastAsia="宋体" w:hint="default"/>
                <w:spacing w:val="-7"/>
                <w:sz w:val="18"/>
                <w:szCs w:val="18"/>
              </w:rPr>
              <w:t>橙色动力、伟岸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仲合、金凤银凰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4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64"/>
              <w:jc w:val="left"/>
              <w:rPr>
                <w:rFonts w:ascii="宋体" w:hAnsi="宋体" w:cs="宋体" w:eastAsia="宋体" w:hint="default"/>
                <w:sz w:val="18"/>
                <w:szCs w:val="18"/>
              </w:rPr>
            </w:pPr>
            <w:r>
              <w:rPr>
                <w:rFonts w:ascii="宋体" w:hAnsi="宋体" w:cs="宋体" w:eastAsia="宋体" w:hint="default"/>
                <w:sz w:val="18"/>
                <w:szCs w:val="18"/>
              </w:rPr>
              <w:t>自公司股票在深圳证券交易所上市之日起三十六个月内，不转让或者委托他人管理其直接或间接 持有的公司首次公开发行股票前已发行的股份，也不由公司回购其持有的上述股份。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88"/>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21" w:lineRule="auto"/>
        <w:jc w:val="left"/>
        <w:rPr>
          <w:rFonts w:ascii="宋体" w:hAnsi="宋体" w:cs="宋体" w:eastAsia="宋体" w:hint="default"/>
          <w:sz w:val="18"/>
          <w:szCs w:val="18"/>
        </w:rPr>
        <w:sectPr>
          <w:headerReference w:type="default" r:id="rId29"/>
          <w:footerReference w:type="default" r:id="rId30"/>
          <w:pgSz w:w="16850" w:h="11910" w:orient="landscape"/>
          <w:pgMar w:header="857" w:footer="981" w:top="1040" w:bottom="1180" w:left="1300" w:right="1380"/>
          <w:pgNumType w:start="43"/>
        </w:sectPr>
      </w:pPr>
    </w:p>
    <w:p>
      <w:pPr>
        <w:spacing w:line="240" w:lineRule="auto" w:before="9"/>
        <w:rPr>
          <w:rFonts w:ascii="Times New Roman" w:hAnsi="Times New Roman" w:cs="Times New Roman" w:eastAsia="Times New Roman" w:hint="default"/>
          <w:sz w:val="4"/>
          <w:szCs w:val="4"/>
        </w:rPr>
      </w:pPr>
      <w:r>
        <w:rPr/>
        <w:pict>
          <v:group style="position:absolute;margin-left:632.799988pt;margin-top:203.494995pt;width:48.8pt;height:90.9pt;mso-position-horizontal-relative:page;mso-position-vertical-relative:page;z-index:-1197232" coordorigin="12656,4070" coordsize="976,1818">
            <v:shape style="position:absolute;left:12656;top:4070;width:976;height:1818" coordorigin="12656,4070" coordsize="976,1818" path="m12656,5887l13632,5887,13632,4070,12656,4070,12656,5887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276"/>
        <w:gridCol w:w="1276"/>
        <w:gridCol w:w="991"/>
        <w:gridCol w:w="7671"/>
        <w:gridCol w:w="991"/>
        <w:gridCol w:w="841"/>
        <w:gridCol w:w="856"/>
      </w:tblGrid>
      <w:tr>
        <w:trPr>
          <w:trHeight w:val="405" w:hRule="exact"/>
        </w:trPr>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7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6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355" w:hRule="exact"/>
        </w:trPr>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21" w:lineRule="auto"/>
              <w:ind w:left="30" w:right="4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、本方拟长期持有公司股份，并严格遵守关于股份锁定期的承诺；</w:t>
            </w:r>
          </w:p>
          <w:p>
            <w:pPr>
              <w:pStyle w:val="TableParagraph"/>
              <w:spacing w:line="304" w:lineRule="auto" w:before="96"/>
              <w:ind w:left="30" w:right="3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、如果在锁定期满后，本方拟减持公司股份的，将认真遵守中国证监会、证券交易所关于股东减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持的相关规定，结合公司稳定股价、开展经营、资本运作的需要，审慎制定股份减持计划，在该 部分股份锁定期满后逐步减持；</w:t>
            </w:r>
          </w:p>
          <w:p>
            <w:pPr>
              <w:pStyle w:val="TableParagraph"/>
              <w:spacing w:line="240" w:lineRule="auto" w:before="76"/>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、本方减持行为将通过竞价交易、大宗交易等中国证监会、证券交易所认可的方式进行；</w:t>
            </w:r>
          </w:p>
          <w:p>
            <w:pPr>
              <w:pStyle w:val="TableParagraph"/>
              <w:spacing w:line="297" w:lineRule="auto" w:before="111"/>
              <w:ind w:left="30"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、如在锁定期满后两年内减持的，减持价格不低于公司首次公开发行股票的发行价（本次发行后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发生权益分派、公积金转增股本、配股等情况的，发行价进行相应的除权除息处理）；如在锁定期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满两年后减持的，按照市场价格减持；</w:t>
            </w:r>
          </w:p>
          <w:p>
            <w:pPr>
              <w:pStyle w:val="TableParagraph"/>
              <w:spacing w:line="240" w:lineRule="auto" w:before="96"/>
              <w:ind w:left="30"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、公司首次公开发行股票上市后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个月内，若公司股票连续</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个交易日的收盘价均低于发行价</w:t>
            </w:r>
          </w:p>
          <w:p>
            <w:pPr>
              <w:pStyle w:val="TableParagraph"/>
              <w:spacing w:line="276" w:lineRule="auto" w:before="66"/>
              <w:ind w:left="30" w:right="19"/>
              <w:jc w:val="both"/>
              <w:rPr>
                <w:rFonts w:ascii="宋体" w:hAnsi="宋体" w:cs="宋体" w:eastAsia="宋体" w:hint="default"/>
                <w:sz w:val="18"/>
                <w:szCs w:val="18"/>
              </w:rPr>
            </w:pPr>
            <w:r>
              <w:rPr>
                <w:rFonts w:ascii="宋体" w:hAnsi="宋体" w:cs="宋体" w:eastAsia="宋体" w:hint="default"/>
                <w:sz w:val="18"/>
                <w:szCs w:val="18"/>
              </w:rPr>
              <w:t>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个月期末收盘价低于发行价，所持有公司股票的锁定期限自动延长</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个月（本次发 </w:t>
            </w:r>
            <w:r>
              <w:rPr>
                <w:rFonts w:ascii="宋体" w:hAnsi="宋体" w:cs="宋体" w:eastAsia="宋体" w:hint="default"/>
                <w:spacing w:val="-3"/>
                <w:sz w:val="18"/>
                <w:szCs w:val="18"/>
              </w:rPr>
              <w:t>行后发生权益分派、公积金转增股本、配股等情况的，发行价进行相应的除权除息处理）；</w:t>
            </w:r>
          </w:p>
          <w:p>
            <w:pPr>
              <w:pStyle w:val="TableParagraph"/>
              <w:spacing w:line="302" w:lineRule="auto" w:before="113"/>
              <w:ind w:left="30"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、本方在减持时，会提前将减持意向和拟减持数量等信息以书面方式通知公司，并由公司及时予</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以公告，自公司公告之日起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个交易日后，方可减持公司股份。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21" w:lineRule="auto"/>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727" w:hRule="exact"/>
        </w:trPr>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28" w:lineRule="auto"/>
              <w:ind w:left="30" w:right="0"/>
              <w:jc w:val="left"/>
              <w:rPr>
                <w:rFonts w:ascii="宋体" w:hAnsi="宋体" w:cs="宋体" w:eastAsia="宋体" w:hint="default"/>
                <w:sz w:val="18"/>
                <w:szCs w:val="18"/>
              </w:rPr>
            </w:pPr>
            <w:r>
              <w:rPr>
                <w:rFonts w:ascii="宋体" w:hAnsi="宋体" w:cs="宋体" w:eastAsia="宋体" w:hint="default"/>
                <w:spacing w:val="-7"/>
                <w:sz w:val="18"/>
                <w:szCs w:val="18"/>
              </w:rPr>
              <w:t>橙色动力、伟岸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仲合、金凤银 </w:t>
            </w:r>
            <w:r>
              <w:rPr>
                <w:rFonts w:ascii="宋体" w:hAnsi="宋体" w:cs="宋体" w:eastAsia="宋体" w:hint="default"/>
                <w:spacing w:val="-7"/>
                <w:sz w:val="18"/>
                <w:szCs w:val="18"/>
              </w:rPr>
              <w:t>凰、</w:t>
            </w:r>
            <w:r>
              <w:rPr>
                <w:rFonts w:ascii="Times New Roman" w:hAnsi="Times New Roman" w:cs="Times New Roman" w:eastAsia="Times New Roman" w:hint="default"/>
                <w:spacing w:val="-7"/>
                <w:sz w:val="18"/>
                <w:szCs w:val="18"/>
              </w:rPr>
              <w:t>BBDO</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亚太</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2"/>
              <w:ind w:left="30" w:right="4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、本方将严格遵守关于股份锁定期的承诺；</w:t>
            </w:r>
          </w:p>
          <w:p>
            <w:pPr>
              <w:pStyle w:val="TableParagraph"/>
              <w:spacing w:line="290" w:lineRule="auto" w:before="96"/>
              <w:ind w:left="30"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、在锁定期满后，可以根据公司经营、资本市场、自身资金需求等情况进行综合分析，自主选择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集中竞价或大宗交易的方式予以减持；</w:t>
            </w:r>
          </w:p>
          <w:p>
            <w:pPr>
              <w:pStyle w:val="TableParagraph"/>
              <w:spacing w:line="304" w:lineRule="auto" w:before="87"/>
              <w:ind w:left="30"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、本方在减持时，会提前将减持意向和拟减持数量等信息以书面方式通知公司，并由公司及时予</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以公告，自公司公告之日起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个交易日后，方可减持公司股份。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2"/>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04" w:lineRule="auto"/>
        <w:jc w:val="left"/>
        <w:rPr>
          <w:rFonts w:ascii="宋体" w:hAnsi="宋体" w:cs="宋体" w:eastAsia="宋体" w:hint="default"/>
          <w:sz w:val="18"/>
          <w:szCs w:val="18"/>
        </w:rPr>
        <w:sectPr>
          <w:pgSz w:w="16850" w:h="11910" w:orient="landscape"/>
          <w:pgMar w:header="857" w:footer="981" w:top="1040" w:bottom="1180" w:left="1320" w:right="1380"/>
        </w:sectPr>
      </w:pPr>
    </w:p>
    <w:p>
      <w:pPr>
        <w:spacing w:line="240" w:lineRule="auto" w:before="9"/>
        <w:rPr>
          <w:rFonts w:ascii="Times New Roman" w:hAnsi="Times New Roman" w:cs="Times New Roman" w:eastAsia="Times New Roman" w:hint="default"/>
          <w:sz w:val="4"/>
          <w:szCs w:val="4"/>
        </w:rPr>
      </w:pPr>
      <w:r>
        <w:rPr/>
        <w:pict>
          <v:group style="position:absolute;margin-left:632.799988pt;margin-top:77.339996pt;width:48.8pt;height:112.65pt;mso-position-horizontal-relative:page;mso-position-vertical-relative:page;z-index:-1197208" coordorigin="12656,1547" coordsize="976,2253">
            <v:shape style="position:absolute;left:12656;top:1547;width:976;height:2253" coordorigin="12656,1547" coordsize="976,2253" path="m12656,3799l13632,3799,13632,1547,12656,1547,12656,3799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276"/>
        <w:gridCol w:w="1276"/>
        <w:gridCol w:w="991"/>
        <w:gridCol w:w="7671"/>
        <w:gridCol w:w="991"/>
        <w:gridCol w:w="841"/>
        <w:gridCol w:w="856"/>
      </w:tblGrid>
      <w:tr>
        <w:trPr>
          <w:trHeight w:val="405" w:hRule="exact"/>
        </w:trPr>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7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6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212" w:hRule="exact"/>
        </w:trPr>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07" w:lineRule="auto"/>
              <w:ind w:left="30" w:right="45"/>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、公司将根据《宣亚国际品牌管理（北京）股份有限公司关于股份发行上市后稳定股价的预案》</w:t>
            </w:r>
          </w:p>
          <w:p>
            <w:pPr>
              <w:pStyle w:val="TableParagraph"/>
              <w:spacing w:line="309" w:lineRule="auto" w:before="66"/>
              <w:ind w:left="30" w:right="33"/>
              <w:jc w:val="both"/>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《预案》</w:t>
            </w:r>
            <w:r>
              <w:rPr>
                <w:rFonts w:ascii="Times New Roman" w:hAnsi="Times New Roman" w:cs="Times New Roman" w:eastAsia="Times New Roman" w:hint="default"/>
                <w:sz w:val="18"/>
                <w:szCs w:val="18"/>
              </w:rPr>
              <w:t>"</w:t>
            </w:r>
            <w:r>
              <w:rPr>
                <w:rFonts w:ascii="宋体" w:hAnsi="宋体" w:cs="宋体" w:eastAsia="宋体" w:hint="default"/>
                <w:sz w:val="18"/>
                <w:szCs w:val="18"/>
              </w:rPr>
              <w:t>）以及法律、法规、公司章程的规定，在《预案》规定的稳定股价措施的 启动条件成就之日起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个交易日内，召开董事会讨论稳定股价的具体方案；如董事会审议确定的 稳定股价的具体方案拟要求公司回购公司股票的，董事会应当将公司回购公司股票的议案提交股 东大会审议通过后实施。公司回购公司股票的价格不低于公司最近一期经审计的每股净资产（最 近一期审计基准日后，因除权除息事项导致公司净资产、股份总数出现变化的，每股净资产相应 </w:t>
            </w:r>
            <w:r>
              <w:rPr>
                <w:rFonts w:ascii="宋体" w:hAnsi="宋体" w:cs="宋体" w:eastAsia="宋体" w:hint="default"/>
                <w:spacing w:val="-6"/>
                <w:sz w:val="18"/>
                <w:szCs w:val="18"/>
              </w:rPr>
              <w:t>进行调整）；用于回购股票的资金应为公司自有资金，不得以本次发行上市所募集的资金回购股票</w:t>
            </w:r>
          </w:p>
          <w:p>
            <w:pPr>
              <w:pStyle w:val="TableParagraph"/>
              <w:spacing w:line="304" w:lineRule="auto" w:before="72"/>
              <w:ind w:left="30" w:right="3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、如股东大会审议通过的稳定股价措施包括回购公司股票，则公司承诺在股东大会通过股份回购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方案后，将依法通知债权人，并向证券监督管理部门、证券交易所等主管部门报送相关材料，办 理审批或备案手续。</w:t>
            </w:r>
          </w:p>
          <w:p>
            <w:pPr>
              <w:pStyle w:val="TableParagraph"/>
              <w:spacing w:line="304" w:lineRule="auto" w:before="76"/>
              <w:ind w:left="30" w:right="-2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、自公司股票挂牌上市之日起三年内，公司新聘任董事（独立董事除外）、高级管理人员的，公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司将要求该等新聘任的董事（独立董事除外）、高级管理人员履行公司上市时董事、高级管理人员</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已作出的相应承诺。</w:t>
            </w:r>
          </w:p>
          <w:p>
            <w:pPr>
              <w:pStyle w:val="TableParagraph"/>
              <w:spacing w:line="297" w:lineRule="auto" w:before="76"/>
              <w:ind w:left="30"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、在《预案》规定的启动股价稳定措施的条件满足时，如公司未采取上述稳定股价的具体措施， 公司将在股东大会及信息披露指定媒体上公开说明未采取上述稳定股价措施的具体原因</w:t>
            </w:r>
            <w:r>
              <w:rPr>
                <w:rFonts w:ascii="Times New Roman" w:hAnsi="Times New Roman" w:cs="Times New Roman" w:eastAsia="Times New Roman" w:hint="default"/>
                <w:sz w:val="18"/>
                <w:szCs w:val="18"/>
              </w:rPr>
              <w:t>,</w:t>
            </w:r>
            <w:r>
              <w:rPr>
                <w:rFonts w:ascii="宋体" w:hAnsi="宋体" w:cs="宋体" w:eastAsia="宋体" w:hint="default"/>
                <w:sz w:val="18"/>
                <w:szCs w:val="18"/>
              </w:rPr>
              <w:t>并向股</w:t>
            </w:r>
            <w:r>
              <w:rPr>
                <w:rFonts w:ascii="宋体" w:hAnsi="宋体" w:cs="宋体" w:eastAsia="宋体" w:hint="default"/>
                <w:spacing w:val="-85"/>
                <w:sz w:val="18"/>
                <w:szCs w:val="18"/>
              </w:rPr>
              <w:t> </w:t>
            </w:r>
            <w:r>
              <w:rPr>
                <w:rFonts w:ascii="宋体" w:hAnsi="宋体" w:cs="宋体" w:eastAsia="宋体" w:hint="default"/>
                <w:sz w:val="18"/>
                <w:szCs w:val="18"/>
              </w:rPr>
              <w:t>东和社会公众投资者道歉。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5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07" w:lineRule="auto"/>
              <w:ind w:left="30" w:right="88"/>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07" w:lineRule="auto"/>
        <w:jc w:val="left"/>
        <w:rPr>
          <w:rFonts w:ascii="宋体" w:hAnsi="宋体" w:cs="宋体" w:eastAsia="宋体" w:hint="default"/>
          <w:sz w:val="18"/>
          <w:szCs w:val="18"/>
        </w:rPr>
        <w:sectPr>
          <w:pgSz w:w="16850" w:h="11910" w:orient="landscape"/>
          <w:pgMar w:header="857" w:footer="981" w:top="1040" w:bottom="1180" w:left="1320" w:right="1380"/>
        </w:sectPr>
      </w:pPr>
    </w:p>
    <w:p>
      <w:pPr>
        <w:spacing w:line="240" w:lineRule="auto" w:before="9"/>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276"/>
        <w:gridCol w:w="1276"/>
        <w:gridCol w:w="991"/>
        <w:gridCol w:w="7671"/>
        <w:gridCol w:w="991"/>
        <w:gridCol w:w="841"/>
        <w:gridCol w:w="856"/>
      </w:tblGrid>
      <w:tr>
        <w:trPr>
          <w:trHeight w:val="405" w:hRule="exact"/>
        </w:trPr>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7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6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235" w:hRule="exact"/>
        </w:trPr>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0"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6"/>
              <w:ind w:left="30" w:right="45"/>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0"/>
              <w:ind w:left="30" w:right="3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、若公司股东大会审议通过的稳定股价措施包括公司控股股东增持公司股票，本方将在具体股价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稳定方案通过之日起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个月内通过证券交易所以大宗交易方式、集中竞价方式及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或其他合法方 式增持公司社会公众股份；用于股份增持的资金不少于上一会计年度从公司处领取的税后现金分</w:t>
            </w:r>
          </w:p>
          <w:p>
            <w:pPr>
              <w:pStyle w:val="TableParagraph"/>
              <w:spacing w:line="304" w:lineRule="auto" w:before="57"/>
              <w:ind w:left="30" w:right="19"/>
              <w:jc w:val="both"/>
              <w:rPr>
                <w:rFonts w:ascii="宋体" w:hAnsi="宋体" w:cs="宋体" w:eastAsia="宋体" w:hint="default"/>
                <w:sz w:val="18"/>
                <w:szCs w:val="18"/>
              </w:rPr>
            </w:pPr>
            <w:r>
              <w:rPr>
                <w:rFonts w:ascii="宋体" w:hAnsi="宋体" w:cs="宋体" w:eastAsia="宋体" w:hint="default"/>
                <w:sz w:val="18"/>
                <w:szCs w:val="18"/>
              </w:rPr>
              <w:t>红总额的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（由于稳定股价措施中止导致稳定股价方案终止时实际增持金额低于上述标准的除 </w:t>
            </w:r>
            <w:r>
              <w:rPr>
                <w:rFonts w:ascii="宋体" w:hAnsi="宋体" w:cs="宋体" w:eastAsia="宋体" w:hint="default"/>
                <w:spacing w:val="-8"/>
                <w:sz w:val="18"/>
                <w:szCs w:val="18"/>
              </w:rPr>
              <w:t>外）；增持后公司股权分布应当符合上市条件；增持股份行为及信息披露应符合《公司法》、《证券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法》及其他相关法律、行政法规的规定。</w:t>
            </w:r>
          </w:p>
          <w:p>
            <w:pPr>
              <w:pStyle w:val="TableParagraph"/>
              <w:spacing w:line="290" w:lineRule="auto" w:before="76"/>
              <w:ind w:left="30"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、在公司就稳定股价的具体方案召开的董事会、股东大会上，将对公司稳定股价方案的相关决议</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投赞成票。</w:t>
            </w:r>
          </w:p>
          <w:p>
            <w:pPr>
              <w:pStyle w:val="TableParagraph"/>
              <w:spacing w:line="304" w:lineRule="auto" w:before="87"/>
              <w:ind w:left="30" w:right="-2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、在公司《预案》规定的启动股价稳定措施的前提条件满足时，如本方未能按照上述预案采取稳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定股价的具体措施，将在公司股东大会及信息披露指定媒体上公开说明未采取上述稳定股价措施 的具体原因并向股东和社会公众投资者道歉；如本方未能履行上述稳定股价的承诺，则公司有权</w:t>
            </w:r>
          </w:p>
          <w:p>
            <w:pPr>
              <w:pStyle w:val="TableParagraph"/>
              <w:spacing w:line="290" w:lineRule="auto" w:before="46"/>
              <w:ind w:left="30" w:right="-29"/>
              <w:jc w:val="both"/>
              <w:rPr>
                <w:rFonts w:ascii="宋体" w:hAnsi="宋体" w:cs="宋体" w:eastAsia="宋体" w:hint="default"/>
                <w:sz w:val="18"/>
                <w:szCs w:val="18"/>
              </w:rPr>
            </w:pPr>
            <w:r>
              <w:rPr>
                <w:rFonts w:ascii="宋体" w:hAnsi="宋体" w:cs="宋体" w:eastAsia="宋体" w:hint="default"/>
                <w:sz w:val="18"/>
                <w:szCs w:val="18"/>
              </w:rPr>
              <w:t>自股东大会审议通过股价稳定方案的决议公告之日起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个月届满后将对本方的现金分红（如有） 予以扣留，同时本方持有的公司股份不得转让，直至履行增持义务。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6"/>
              <w:ind w:left="30" w:right="8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290" w:hRule="exact"/>
        </w:trPr>
        <w:tc>
          <w:tcPr>
            <w:tcW w:w="1276" w:type="dxa"/>
            <w:vMerge/>
            <w:tcBorders>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30" w:right="0"/>
              <w:jc w:val="left"/>
              <w:rPr>
                <w:rFonts w:ascii="宋体" w:hAnsi="宋体" w:cs="宋体" w:eastAsia="宋体" w:hint="default"/>
                <w:sz w:val="18"/>
                <w:szCs w:val="18"/>
              </w:rPr>
            </w:pPr>
            <w:r>
              <w:rPr>
                <w:rFonts w:ascii="宋体" w:hAnsi="宋体" w:cs="宋体" w:eastAsia="宋体" w:hint="default"/>
                <w:sz w:val="18"/>
                <w:szCs w:val="18"/>
              </w:rPr>
              <w:t>张秀兵、万丽 </w:t>
            </w:r>
            <w:r>
              <w:rPr>
                <w:rFonts w:ascii="宋体" w:hAnsi="宋体" w:cs="宋体" w:eastAsia="宋体" w:hint="default"/>
                <w:spacing w:val="-5"/>
                <w:sz w:val="18"/>
                <w:szCs w:val="18"/>
              </w:rPr>
              <w:t>莉、宾卫、张二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东、何骁军、李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弘扬、邬涛、刘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妍、吴卫华、宣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正元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07" w:lineRule="auto"/>
              <w:ind w:left="30" w:right="45"/>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0"/>
              <w:ind w:left="30" w:right="1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、当公司《宣亚国际品牌管理（北京）股份有限公司关于股份发行上市后稳定股价的预案》（以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《预案》</w:t>
            </w:r>
            <w:r>
              <w:rPr>
                <w:rFonts w:ascii="Times New Roman" w:hAnsi="Times New Roman" w:cs="Times New Roman" w:eastAsia="Times New Roman" w:hint="default"/>
                <w:sz w:val="18"/>
                <w:szCs w:val="18"/>
              </w:rPr>
              <w:t>"</w:t>
            </w:r>
            <w:r>
              <w:rPr>
                <w:rFonts w:ascii="宋体" w:hAnsi="宋体" w:cs="宋体" w:eastAsia="宋体" w:hint="default"/>
                <w:sz w:val="18"/>
                <w:szCs w:val="18"/>
              </w:rPr>
              <w:t>）规定的股价稳定措施启动条件满足时，本人将按照《预案》及股东大会具体 的稳定股价方案履行相应义务。且此义务不因本人离任而免除。</w:t>
            </w:r>
          </w:p>
          <w:p>
            <w:pPr>
              <w:pStyle w:val="TableParagraph"/>
              <w:spacing w:line="273" w:lineRule="auto" w:before="102"/>
              <w:ind w:left="30" w:right="1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、在公司就稳定股价的具体方案召开的董事会、股东大会上，将对公司稳定股价方案的相关决议</w:t>
            </w:r>
            <w:r>
              <w:rPr>
                <w:rFonts w:ascii="宋体" w:hAnsi="宋体" w:cs="宋体" w:eastAsia="宋体" w:hint="default"/>
                <w:sz w:val="18"/>
                <w:szCs w:val="18"/>
              </w:rPr>
              <w:t> 投赞成票。</w:t>
            </w:r>
          </w:p>
          <w:p>
            <w:pPr>
              <w:pStyle w:val="TableParagraph"/>
              <w:spacing w:line="297" w:lineRule="auto" w:before="115"/>
              <w:ind w:left="30" w:right="3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、在公司《预案》规定的启动股价稳定措施的前提条件满足时，如本人未能按照上述预案采取稳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定股价的具体措施，将在股东大会及信息披露指定媒体上公开说明未采取上述稳定股价措施的具 体原因并向股东和社会公众投资者道歉；如本人未能履行上述稳定股价的承诺，则公司有权自股</w:t>
            </w:r>
          </w:p>
          <w:p>
            <w:pPr>
              <w:pStyle w:val="TableParagraph"/>
              <w:spacing w:line="288" w:lineRule="auto" w:before="52"/>
              <w:ind w:left="30" w:right="62"/>
              <w:jc w:val="both"/>
              <w:rPr>
                <w:rFonts w:ascii="宋体" w:hAnsi="宋体" w:cs="宋体" w:eastAsia="宋体" w:hint="default"/>
                <w:sz w:val="18"/>
                <w:szCs w:val="18"/>
              </w:rPr>
            </w:pPr>
            <w:r>
              <w:rPr>
                <w:rFonts w:ascii="宋体" w:hAnsi="宋体" w:cs="宋体" w:eastAsia="宋体" w:hint="default"/>
                <w:sz w:val="18"/>
                <w:szCs w:val="18"/>
              </w:rPr>
              <w:t>东大会审议通过股价稳定方案的决议公告之日起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个月届满后对本人的现金分红（如有）、薪酬</w:t>
            </w:r>
            <w:r>
              <w:rPr>
                <w:rFonts w:ascii="宋体" w:hAnsi="宋体" w:cs="宋体" w:eastAsia="宋体" w:hint="default"/>
                <w:sz w:val="18"/>
                <w:szCs w:val="18"/>
              </w:rPr>
              <w:t> 予以扣留，同时本人持有的公司股份（如有）不得转让，直至履行增持义务。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07" w:lineRule="auto"/>
              <w:ind w:left="30" w:right="8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6" w:hRule="exact"/>
        </w:trPr>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30" w:right="45"/>
              <w:jc w:val="left"/>
              <w:rPr>
                <w:rFonts w:ascii="宋体" w:hAnsi="宋体" w:cs="宋体" w:eastAsia="宋体" w:hint="default"/>
                <w:sz w:val="18"/>
                <w:szCs w:val="18"/>
              </w:rPr>
            </w:pPr>
            <w:r>
              <w:rPr>
                <w:rFonts w:ascii="宋体" w:hAnsi="宋体" w:cs="宋体" w:eastAsia="宋体" w:hint="default"/>
                <w:sz w:val="18"/>
                <w:szCs w:val="18"/>
              </w:rPr>
              <w:t>保护投资者 利益的承诺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64"/>
              <w:jc w:val="both"/>
              <w:rPr>
                <w:rFonts w:ascii="宋体" w:hAnsi="宋体" w:cs="宋体" w:eastAsia="宋体" w:hint="default"/>
                <w:sz w:val="18"/>
                <w:szCs w:val="18"/>
              </w:rPr>
            </w:pPr>
            <w:r>
              <w:rPr>
                <w:rFonts w:ascii="宋体" w:hAnsi="宋体" w:cs="宋体" w:eastAsia="宋体" w:hint="default"/>
                <w:sz w:val="18"/>
                <w:szCs w:val="18"/>
              </w:rPr>
              <w:t>如公司招股说明书有虚假记载、误导性陈述或者重大遗漏，对判断公司是否符合法律规定的发行 条件构成重大、实质影响的，公司将依法回购首次公开发行的全部新股；如公司招股说明书有虚 假记载、误导性陈述或者重大遗漏，致使投资者在证券交易中遭受损失的，将依法赔偿投资者损 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07" w:lineRule="auto"/>
        <w:jc w:val="left"/>
        <w:rPr>
          <w:rFonts w:ascii="宋体" w:hAnsi="宋体" w:cs="宋体" w:eastAsia="宋体" w:hint="default"/>
          <w:sz w:val="18"/>
          <w:szCs w:val="18"/>
        </w:rPr>
        <w:sectPr>
          <w:pgSz w:w="16850" w:h="11910" w:orient="landscape"/>
          <w:pgMar w:header="857" w:footer="981" w:top="1040" w:bottom="1180" w:left="1320" w:right="1380"/>
        </w:sectPr>
      </w:pPr>
    </w:p>
    <w:p>
      <w:pPr>
        <w:spacing w:line="240" w:lineRule="auto" w:before="9"/>
        <w:rPr>
          <w:rFonts w:ascii="Times New Roman" w:hAnsi="Times New Roman" w:cs="Times New Roman" w:eastAsia="Times New Roman" w:hint="default"/>
          <w:sz w:val="4"/>
          <w:szCs w:val="4"/>
        </w:rPr>
      </w:pPr>
      <w:r>
        <w:rPr/>
        <w:pict>
          <v:shape style="position:absolute;margin-left:194.386002pt;margin-top:411.524994pt;width:54.85pt;height:66.1pt;mso-position-horizontal-relative:page;mso-position-vertical-relative:page;z-index:-1197184" type="#_x0000_t202" filled="false" stroked="false">
            <v:textbox inset="0,0,0,0">
              <w:txbxContent>
                <w:p>
                  <w:pPr>
                    <w:pStyle w:val="BodyText"/>
                    <w:spacing w:line="240" w:lineRule="auto" w:before="104"/>
                    <w:ind w:left="0" w:right="0"/>
                    <w:jc w:val="left"/>
                  </w:pPr>
                  <w:r>
                    <w:rPr/>
                    <w:t>、</w:t>
                  </w:r>
                </w:p>
              </w:txbxContent>
            </v:textbox>
            <w10:wrap type="none"/>
          </v:shape>
        </w:pict>
      </w:r>
      <w:r>
        <w:rPr/>
        <w:pict>
          <v:group style="position:absolute;margin-left:199.679993pt;margin-top:377.725006pt;width:49.55pt;height:99.9pt;mso-position-horizontal-relative:page;mso-position-vertical-relative:page;z-index:-1197160" coordorigin="3994,7555" coordsize="991,1998">
            <v:group style="position:absolute;left:3994;top:8231;width:991;height:1322" coordorigin="3994,8231" coordsize="991,1322">
              <v:shape style="position:absolute;left:3994;top:8231;width:991;height:1322" coordorigin="3994,8231" coordsize="991,1322" path="m3994,9552l4985,9552,4985,8231,3994,8231,3994,9552xe" filled="true" fillcolor="#ffffff" stroked="false">
                <v:path arrowok="t"/>
                <v:fill type="solid"/>
              </v:shape>
            </v:group>
            <v:group style="position:absolute;left:4024;top:7555;width:931;height:316" coordorigin="4024,7555" coordsize="931,316">
              <v:shape style="position:absolute;left:4024;top:7555;width:931;height:316" coordorigin="4024,7555" coordsize="931,316" path="m4024,7870l4955,7870,4955,7555,4024,7555,4024,7870xe" filled="true" fillcolor="#ffffff" stroked="false">
                <v:path arrowok="t"/>
                <v:fill type="solid"/>
              </v:shape>
            </v:group>
            <v:group style="position:absolute;left:4024;top:7870;width:931;height:361" coordorigin="4024,7870" coordsize="931,361">
              <v:shape style="position:absolute;left:4024;top:7870;width:931;height:361" coordorigin="4024,7870" coordsize="931,361" path="m4024,8230l4955,8230,4955,7870,4024,7870,4024,8230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276"/>
        <w:gridCol w:w="1276"/>
        <w:gridCol w:w="991"/>
        <w:gridCol w:w="7671"/>
        <w:gridCol w:w="991"/>
        <w:gridCol w:w="841"/>
        <w:gridCol w:w="856"/>
      </w:tblGrid>
      <w:tr>
        <w:trPr>
          <w:trHeight w:val="405" w:hRule="exact"/>
        </w:trPr>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7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6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51" w:hRule="exact"/>
        </w:trPr>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30" w:right="45"/>
              <w:jc w:val="left"/>
              <w:rPr>
                <w:rFonts w:ascii="宋体" w:hAnsi="宋体" w:cs="宋体" w:eastAsia="宋体" w:hint="default"/>
                <w:sz w:val="18"/>
                <w:szCs w:val="18"/>
              </w:rPr>
            </w:pPr>
            <w:r>
              <w:rPr>
                <w:rFonts w:ascii="宋体" w:hAnsi="宋体" w:cs="宋体" w:eastAsia="宋体" w:hint="default"/>
                <w:sz w:val="18"/>
                <w:szCs w:val="18"/>
              </w:rPr>
              <w:t>保护投资者 利益的承诺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60"/>
              <w:jc w:val="both"/>
              <w:rPr>
                <w:rFonts w:ascii="宋体" w:hAnsi="宋体" w:cs="宋体" w:eastAsia="宋体" w:hint="default"/>
                <w:sz w:val="18"/>
                <w:szCs w:val="18"/>
              </w:rPr>
            </w:pPr>
            <w:r>
              <w:rPr>
                <w:rFonts w:ascii="宋体" w:hAnsi="宋体" w:cs="宋体" w:eastAsia="宋体" w:hint="default"/>
                <w:sz w:val="18"/>
                <w:szCs w:val="18"/>
              </w:rPr>
              <w:t>如公司招股说明书有虚假记载、误导性陈述或者重大遗漏，对判断公司是否符合法律规定的发行 条件构成重大、实质影响的，将督促公司依法回购首次公开发行的全部新股，宣亚投资将购回已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转让的原限售股份；如公司招股说明书有虚假记载、误导性陈述或者重大遗漏，致使投资者在证 券交易中遭受损失的，将依法赔偿投资者损失。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53" w:hRule="exact"/>
        </w:trPr>
        <w:tc>
          <w:tcPr>
            <w:tcW w:w="1276" w:type="dxa"/>
            <w:vMerge/>
            <w:tcBorders>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张秀兵、万丽 </w:t>
            </w:r>
            <w:r>
              <w:rPr>
                <w:rFonts w:ascii="宋体" w:hAnsi="宋体" w:cs="宋体" w:eastAsia="宋体" w:hint="default"/>
                <w:spacing w:val="-5"/>
                <w:sz w:val="18"/>
                <w:szCs w:val="18"/>
              </w:rPr>
              <w:t>莉、宾卫、张二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东、何骁军、李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弘扬、邬涛、刘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妍、吴卫华、宣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正元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07" w:lineRule="auto"/>
              <w:ind w:left="30" w:right="45"/>
              <w:jc w:val="left"/>
              <w:rPr>
                <w:rFonts w:ascii="宋体" w:hAnsi="宋体" w:cs="宋体" w:eastAsia="宋体" w:hint="default"/>
                <w:sz w:val="18"/>
                <w:szCs w:val="18"/>
              </w:rPr>
            </w:pPr>
            <w:r>
              <w:rPr>
                <w:rFonts w:ascii="宋体" w:hAnsi="宋体" w:cs="宋体" w:eastAsia="宋体" w:hint="default"/>
                <w:sz w:val="18"/>
                <w:szCs w:val="18"/>
              </w:rPr>
              <w:t>保护投资者 利益的承诺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07" w:lineRule="auto"/>
              <w:ind w:left="30" w:right="64"/>
              <w:jc w:val="left"/>
              <w:rPr>
                <w:rFonts w:ascii="宋体" w:hAnsi="宋体" w:cs="宋体" w:eastAsia="宋体" w:hint="default"/>
                <w:sz w:val="18"/>
                <w:szCs w:val="18"/>
              </w:rPr>
            </w:pPr>
            <w:r>
              <w:rPr>
                <w:rFonts w:ascii="宋体" w:hAnsi="宋体" w:cs="宋体" w:eastAsia="宋体" w:hint="default"/>
                <w:sz w:val="18"/>
                <w:szCs w:val="18"/>
              </w:rPr>
              <w:t>招股说明书如有虚假记载、误导性陈述或者重大遗漏，致使投资者在证券交易中遭受损失的，将 依法赔偿投资者损失。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07" w:lineRule="auto"/>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36" w:hRule="exact"/>
        </w:trPr>
        <w:tc>
          <w:tcPr>
            <w:tcW w:w="1276" w:type="dxa"/>
            <w:vMerge/>
            <w:tcBorders>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150"/>
              <w:jc w:val="left"/>
              <w:rPr>
                <w:rFonts w:ascii="宋体" w:hAnsi="宋体" w:cs="宋体" w:eastAsia="宋体" w:hint="default"/>
                <w:sz w:val="18"/>
                <w:szCs w:val="18"/>
              </w:rPr>
            </w:pPr>
            <w:r>
              <w:rPr>
                <w:rFonts w:ascii="宋体" w:hAnsi="宋体" w:cs="宋体" w:eastAsia="宋体" w:hint="default"/>
                <w:sz w:val="18"/>
                <w:szCs w:val="18"/>
              </w:rPr>
              <w:t>张秀兵、万丽 莉、宣亚投资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关于填补被 摊薄即期回 报的承诺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不越权干预公司经营管理活动，不侵占公司利益。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680" w:hRule="exact"/>
        </w:trPr>
        <w:tc>
          <w:tcPr>
            <w:tcW w:w="1276" w:type="dxa"/>
            <w:vMerge/>
            <w:tcBorders>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30" w:right="-45"/>
              <w:jc w:val="left"/>
              <w:rPr>
                <w:rFonts w:ascii="宋体" w:hAnsi="宋体" w:cs="宋体" w:eastAsia="宋体" w:hint="default"/>
                <w:sz w:val="18"/>
                <w:szCs w:val="18"/>
              </w:rPr>
            </w:pPr>
            <w:r>
              <w:rPr>
                <w:rFonts w:ascii="宋体" w:hAnsi="宋体" w:cs="宋体" w:eastAsia="宋体" w:hint="default"/>
                <w:sz w:val="18"/>
                <w:szCs w:val="18"/>
              </w:rPr>
              <w:t>张秀兵、万丽 </w:t>
            </w:r>
            <w:r>
              <w:rPr>
                <w:rFonts w:ascii="宋体" w:hAnsi="宋体" w:cs="宋体" w:eastAsia="宋体" w:hint="default"/>
                <w:spacing w:val="-5"/>
                <w:sz w:val="18"/>
                <w:szCs w:val="18"/>
              </w:rPr>
              <w:t>莉、宾卫、张二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东、何骁军、张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顺和、王正鹏、 徐轶尊、李弘 </w:t>
            </w:r>
            <w:r>
              <w:rPr>
                <w:rFonts w:ascii="宋体" w:hAnsi="宋体" w:cs="宋体" w:eastAsia="宋体" w:hint="default"/>
                <w:spacing w:val="-18"/>
                <w:sz w:val="18"/>
                <w:szCs w:val="18"/>
              </w:rPr>
              <w:t>扬、邬涛、刘妍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吴卫华、宣正 </w:t>
            </w:r>
            <w:r>
              <w:rPr>
                <w:rFonts w:ascii="宋体" w:hAnsi="宋体" w:cs="宋体" w:eastAsia="宋体" w:hint="default"/>
                <w:spacing w:val="-18"/>
                <w:sz w:val="18"/>
                <w:szCs w:val="18"/>
              </w:rPr>
              <w:t>元、方军、任翔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刘洋、王亚卓、 张鹏洲</w:t>
            </w:r>
          </w:p>
        </w:tc>
        <w:tc>
          <w:tcPr>
            <w:tcW w:w="991"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00" w:lineRule="atLeast"/>
              <w:ind w:left="15" w:right="45"/>
              <w:jc w:val="left"/>
              <w:rPr>
                <w:rFonts w:ascii="宋体" w:hAnsi="宋体" w:cs="宋体" w:eastAsia="宋体" w:hint="default"/>
                <w:sz w:val="18"/>
                <w:szCs w:val="18"/>
              </w:rPr>
            </w:pPr>
            <w:r>
              <w:rPr>
                <w:rFonts w:ascii="宋体" w:hAnsi="宋体" w:cs="宋体" w:eastAsia="宋体" w:hint="default"/>
                <w:sz w:val="18"/>
                <w:szCs w:val="18"/>
              </w:rPr>
              <w:t>关于填补被 摊薄即期回</w:t>
            </w:r>
          </w:p>
          <w:p>
            <w:pPr>
              <w:pStyle w:val="TableParagraph"/>
              <w:spacing w:line="123"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报的承诺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、不得无偿或以不公平条件向其他单位或者个人输送利益，也不采用其他方式损害公司利益；</w:t>
            </w:r>
          </w:p>
          <w:p>
            <w:pPr>
              <w:pStyle w:val="TableParagraph"/>
              <w:spacing w:line="240" w:lineRule="auto" w:before="11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、对董事和高级管理人员的职务消费行为进行约束；</w:t>
            </w:r>
          </w:p>
          <w:p>
            <w:pPr>
              <w:pStyle w:val="TableParagraph"/>
              <w:spacing w:line="240" w:lineRule="auto" w:before="9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、不动用公司资产从事与履行职责无关的投资、消费活动；</w:t>
            </w:r>
          </w:p>
          <w:p>
            <w:pPr>
              <w:pStyle w:val="TableParagraph"/>
              <w:spacing w:line="304" w:lineRule="auto" w:before="111"/>
              <w:ind w:left="30"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、由董事会或薪酬委员会制订的薪酬制度与公司填补回报措施的执行情况相挂钩；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、未来将公</w:t>
            </w:r>
            <w:r>
              <w:rPr>
                <w:rFonts w:ascii="宋体" w:hAnsi="宋体" w:cs="宋体" w:eastAsia="宋体" w:hint="default"/>
                <w:spacing w:val="-86"/>
                <w:sz w:val="18"/>
                <w:szCs w:val="18"/>
              </w:rPr>
              <w:t> </w:t>
            </w:r>
            <w:r>
              <w:rPr>
                <w:rFonts w:ascii="宋体" w:hAnsi="宋体" w:cs="宋体" w:eastAsia="宋体" w:hint="default"/>
                <w:spacing w:val="-2"/>
                <w:sz w:val="18"/>
                <w:szCs w:val="18"/>
              </w:rPr>
              <w:t>布的公司股权激励的行权条件与公司填补回报措施的执行情况相挂钩；</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、自本承诺出具日至公司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首次公开发行股票并上市实施完毕前，若中国证监会作出关于填补回报措施及其承诺的其他新的 监管规定的，且上述承诺不能满足中国证监会该等规定时，本人承诺届时将按照中国证监会的最 新规定出具补充承诺；</w:t>
            </w:r>
          </w:p>
          <w:p>
            <w:pPr>
              <w:pStyle w:val="TableParagraph"/>
              <w:spacing w:line="304" w:lineRule="auto" w:before="76"/>
              <w:ind w:left="30"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、本人承诺切实履行公司制定的有关填补回报措施以及对此作出的任何有关填补回报措施的承 诺，若违反该等承诺并给公司或者投资者造成损失的，本人愿意依法承担对公司或者投资者的补 偿责任。</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21" w:lineRule="auto"/>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1" w:hRule="exact"/>
        </w:trPr>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15"/>
              <w:jc w:val="left"/>
              <w:rPr>
                <w:rFonts w:ascii="宋体" w:hAnsi="宋体" w:cs="宋体" w:eastAsia="宋体" w:hint="default"/>
                <w:sz w:val="18"/>
                <w:szCs w:val="18"/>
              </w:rPr>
            </w:pPr>
            <w:r>
              <w:rPr>
                <w:rFonts w:ascii="宋体" w:hAnsi="宋体" w:cs="宋体" w:eastAsia="宋体" w:hint="default"/>
                <w:spacing w:val="-7"/>
                <w:sz w:val="18"/>
                <w:szCs w:val="18"/>
              </w:rPr>
              <w:t>宣亚投资、张秀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兵、万丽莉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关于上市后 利润分配的 承诺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未来公司股东大会根据公司章程的规定通过利润分配具体方案时，本方表示同意并将投赞成票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21" w:lineRule="auto"/>
        <w:jc w:val="left"/>
        <w:rPr>
          <w:rFonts w:ascii="宋体" w:hAnsi="宋体" w:cs="宋体" w:eastAsia="宋体" w:hint="default"/>
          <w:sz w:val="18"/>
          <w:szCs w:val="18"/>
        </w:rPr>
        <w:sectPr>
          <w:pgSz w:w="16850" w:h="11910" w:orient="landscape"/>
          <w:pgMar w:header="857" w:footer="981" w:top="1040" w:bottom="1180" w:left="1320" w:right="1380"/>
        </w:sectPr>
      </w:pPr>
    </w:p>
    <w:p>
      <w:pPr>
        <w:spacing w:line="240" w:lineRule="auto" w:before="9"/>
        <w:rPr>
          <w:rFonts w:ascii="Times New Roman" w:hAnsi="Times New Roman" w:cs="Times New Roman" w:eastAsia="Times New Roman" w:hint="default"/>
          <w:sz w:val="4"/>
          <w:szCs w:val="4"/>
        </w:rPr>
      </w:pPr>
      <w:r>
        <w:rPr/>
        <w:pict>
          <v:shape style="position:absolute;margin-left:599.697021pt;margin-top:175.729996pt;width:81.95pt;height:88.6pt;mso-position-horizontal-relative:page;mso-position-vertical-relative:page;z-index:-1197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pStyle w:val="BodyText"/>
                    <w:spacing w:line="240" w:lineRule="auto"/>
                    <w:ind w:left="0" w:right="0"/>
                    <w:jc w:val="left"/>
                  </w:pPr>
                  <w:r>
                    <w:rPr/>
                    <w:t>（如有）</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276"/>
        <w:gridCol w:w="1276"/>
        <w:gridCol w:w="991"/>
        <w:gridCol w:w="7671"/>
        <w:gridCol w:w="991"/>
        <w:gridCol w:w="841"/>
        <w:gridCol w:w="856"/>
      </w:tblGrid>
      <w:tr>
        <w:trPr>
          <w:trHeight w:val="405" w:hRule="exact"/>
        </w:trPr>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7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6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68" w:hRule="exact"/>
        </w:trPr>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关于公司因 收入确认政 策调整导致 大额应交税 费长期挂账 的承诺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97" w:lineRule="auto"/>
              <w:ind w:left="30" w:right="59"/>
              <w:jc w:val="both"/>
              <w:rPr>
                <w:rFonts w:ascii="宋体" w:hAnsi="宋体" w:cs="宋体" w:eastAsia="宋体" w:hint="default"/>
                <w:sz w:val="18"/>
                <w:szCs w:val="18"/>
              </w:rPr>
            </w:pPr>
            <w:r>
              <w:rPr>
                <w:rFonts w:ascii="宋体" w:hAnsi="宋体" w:cs="宋体" w:eastAsia="宋体" w:hint="default"/>
                <w:sz w:val="18"/>
                <w:szCs w:val="18"/>
              </w:rPr>
              <w:t>若公司主管税务部门要求公司缴纳上述税费，宣亚投资将在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个工作日内为公司提供相应金额的 流动性支持，以确保公司在不影响正常生产经营的情况下及时缴纳有关税费；同时，宣亚投资将 承担公司因上述事项遭受的其他所有可能发生的支出如滞纳金等，且在承担相关支出后不向公司</w:t>
            </w:r>
          </w:p>
          <w:p>
            <w:pPr>
              <w:pStyle w:val="TableParagraph"/>
              <w:spacing w:line="240" w:lineRule="auto" w:before="37"/>
              <w:ind w:left="30" w:right="0"/>
              <w:jc w:val="both"/>
              <w:rPr>
                <w:rFonts w:ascii="宋体" w:hAnsi="宋体" w:cs="宋体" w:eastAsia="宋体" w:hint="default"/>
                <w:sz w:val="18"/>
                <w:szCs w:val="18"/>
              </w:rPr>
            </w:pPr>
            <w:r>
              <w:rPr>
                <w:rFonts w:ascii="宋体" w:hAnsi="宋体" w:cs="宋体" w:eastAsia="宋体" w:hint="default"/>
                <w:sz w:val="18"/>
                <w:szCs w:val="18"/>
              </w:rPr>
              <w:t>追偿，保证公司不会因此遭受任何损失。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7" w:lineRule="auto"/>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265" w:hRule="exact"/>
        </w:trPr>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61"/>
              <w:ind w:left="30" w:right="15"/>
              <w:jc w:val="left"/>
              <w:rPr>
                <w:rFonts w:ascii="宋体" w:hAnsi="宋体" w:cs="宋体" w:eastAsia="宋体" w:hint="default"/>
                <w:sz w:val="18"/>
                <w:szCs w:val="18"/>
              </w:rPr>
            </w:pPr>
            <w:r>
              <w:rPr>
                <w:rFonts w:ascii="宋体" w:hAnsi="宋体" w:cs="宋体" w:eastAsia="宋体" w:hint="default"/>
                <w:spacing w:val="-7"/>
                <w:sz w:val="18"/>
                <w:szCs w:val="18"/>
              </w:rPr>
              <w:t>宣亚投资、张秀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兵、万丽莉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61"/>
              <w:ind w:left="30" w:right="45"/>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本人目前不存在自营、与他人共同经营或为他人经营与公司相同、相似业务的情形；</w:t>
            </w:r>
          </w:p>
          <w:p>
            <w:pPr>
              <w:pStyle w:val="TableParagraph"/>
              <w:spacing w:line="304" w:lineRule="auto" w:before="96"/>
              <w:ind w:left="30"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本人直接或间接持有公司股权的相关期间内，本公司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本人将不会采取参股、控股、 联营、合营、合作或者其他任何方式直接或间接从事与公司现在和将来业务范围相同、相似或构 成实质竞争的业务，也不会协助、促使或代表任何第三方以任何方式直接或间接从事与公司现在 和将来业务范围相同、相似或构成实质竞争的业务；并将促使本公司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 比照前述规定履行不竞争的义务；</w:t>
            </w:r>
          </w:p>
          <w:p>
            <w:pPr>
              <w:pStyle w:val="TableParagraph"/>
              <w:spacing w:line="295" w:lineRule="auto" w:before="91"/>
              <w:ind w:left="30"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、如因国家政策调整等不可抗力原因导致本公司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本人或本公司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本人控制的其他企业（如有）将 </w:t>
            </w:r>
            <w:r>
              <w:rPr>
                <w:rFonts w:ascii="宋体" w:hAnsi="宋体" w:cs="宋体" w:eastAsia="宋体" w:hint="default"/>
                <w:spacing w:val="-1"/>
                <w:sz w:val="18"/>
                <w:szCs w:val="18"/>
              </w:rPr>
              <w:t>来从事的业务与公司之间的同业竞争可能构成或不可避免时，则本公司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本人将在公司提出异议后</w:t>
            </w:r>
            <w:r>
              <w:rPr>
                <w:rFonts w:ascii="宋体" w:hAnsi="宋体" w:cs="宋体" w:eastAsia="宋体" w:hint="default"/>
                <w:spacing w:val="-63"/>
                <w:sz w:val="18"/>
                <w:szCs w:val="18"/>
              </w:rPr>
              <w:t> </w:t>
            </w:r>
            <w:r>
              <w:rPr>
                <w:rFonts w:ascii="宋体" w:hAnsi="宋体" w:cs="宋体" w:eastAsia="宋体" w:hint="default"/>
                <w:spacing w:val="-1"/>
                <w:sz w:val="18"/>
                <w:szCs w:val="18"/>
              </w:rPr>
              <w:t>及时转让或终止上述业务或促使本公司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本人控制的其他企业及时转让或终止上述业务；如公司进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一步要求，公司可享有上述业务在同等条件下的优先受让权；</w:t>
            </w:r>
          </w:p>
          <w:p>
            <w:pPr>
              <w:pStyle w:val="TableParagraph"/>
              <w:spacing w:line="290" w:lineRule="auto" w:before="98"/>
              <w:ind w:left="30"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本人违反上述承诺，公司及公司其他股东有权根据本承诺书依法申请强制本公司履 行上述承诺，并赔偿公司及公司其他股东因此遭受的全部损失；同时本公司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本人因违反上述承诺 所取得的利益归公司所有。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7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pict>
                <v:group style="width:48.8pt;height:88.6pt;mso-position-horizontal-relative:char;mso-position-vertical-relative:line" coordorigin="0,0" coordsize="976,1772">
                  <v:group style="position:absolute;left:0;top:0;width:976;height:1772" coordorigin="0,0" coordsize="976,1772">
                    <v:shape style="position:absolute;left:0;top:0;width:976;height:1772" coordorigin="0,0" coordsize="976,1772" path="m0,1772l976,1772,976,0,0,0,0,1772xe" filled="true" fillcolor="#ffffff" stroked="false">
                      <v:path arrowok="t"/>
                      <v:fill type="solid"/>
                    </v:shape>
                  </v:group>
                </v:group>
              </w:pict>
            </w:r>
            <w:r>
              <w:rPr>
                <w:rFonts w:ascii="Times New Roman" w:hAnsi="Times New Roman" w:cs="Times New Roman" w:eastAsia="Times New Roman" w:hint="default"/>
                <w:position w:val="-34"/>
                <w:sz w:val="20"/>
                <w:szCs w:val="20"/>
              </w:rPr>
            </w:r>
          </w:p>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61"/>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21" w:lineRule="auto"/>
        <w:jc w:val="left"/>
        <w:rPr>
          <w:rFonts w:ascii="宋体" w:hAnsi="宋体" w:cs="宋体" w:eastAsia="宋体" w:hint="default"/>
          <w:sz w:val="18"/>
          <w:szCs w:val="18"/>
        </w:rPr>
        <w:sectPr>
          <w:pgSz w:w="16850" w:h="11910" w:orient="landscape"/>
          <w:pgMar w:header="857" w:footer="981" w:top="1040" w:bottom="1180" w:left="1320" w:right="1380"/>
        </w:sectPr>
      </w:pPr>
    </w:p>
    <w:p>
      <w:pPr>
        <w:spacing w:line="240" w:lineRule="auto" w:before="9"/>
        <w:rPr>
          <w:rFonts w:ascii="Times New Roman" w:hAnsi="Times New Roman" w:cs="Times New Roman" w:eastAsia="Times New Roman" w:hint="default"/>
          <w:sz w:val="4"/>
          <w:szCs w:val="4"/>
        </w:rPr>
      </w:pPr>
      <w:r>
        <w:rPr/>
        <w:pict>
          <v:shape style="position:absolute;margin-left:194.386002pt;margin-top:237.289993pt;width:54.85pt;height:109.65pt;mso-position-horizontal-relative:page;mso-position-vertical-relative:page;z-index:-1197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199.679993pt;margin-top:237.289993pt;width:49.55pt;height:109.65pt;mso-position-horizontal-relative:page;mso-position-vertical-relative:page;z-index:-1197064" coordorigin="3994,4746" coordsize="991,2193">
            <v:shape style="position:absolute;left:3994;top:4746;width:991;height:2193" coordorigin="3994,4746" coordsize="991,2193" path="m3994,6938l4985,6938,4985,4746,3994,4746,3994,6938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276"/>
        <w:gridCol w:w="1276"/>
        <w:gridCol w:w="991"/>
        <w:gridCol w:w="7671"/>
        <w:gridCol w:w="991"/>
        <w:gridCol w:w="841"/>
        <w:gridCol w:w="856"/>
      </w:tblGrid>
      <w:tr>
        <w:trPr>
          <w:trHeight w:val="405" w:hRule="exact"/>
        </w:trPr>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67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856"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407" w:hRule="exact"/>
        </w:trPr>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30"/>
              <w:jc w:val="both"/>
              <w:rPr>
                <w:rFonts w:ascii="宋体" w:hAnsi="宋体" w:cs="宋体" w:eastAsia="宋体" w:hint="default"/>
                <w:sz w:val="18"/>
                <w:szCs w:val="18"/>
              </w:rPr>
            </w:pPr>
            <w:r>
              <w:rPr>
                <w:rFonts w:ascii="宋体" w:hAnsi="宋体" w:cs="宋体" w:eastAsia="宋体" w:hint="default"/>
                <w:spacing w:val="-7"/>
                <w:sz w:val="18"/>
                <w:szCs w:val="18"/>
              </w:rPr>
              <w:t>宣亚投资、张秀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兵、万丽莉、橙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色动力、伟岸仲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合、金凤银凰、</w:t>
            </w:r>
          </w:p>
          <w:p>
            <w:pPr>
              <w:pStyle w:val="TableParagraph"/>
              <w:spacing w:line="312" w:lineRule="auto" w:before="37"/>
              <w:ind w:left="30"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亚太、宾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卫、张二东、何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骁军、张顺和、 王正鹏、徐轶 </w:t>
            </w:r>
            <w:r>
              <w:rPr>
                <w:rFonts w:ascii="宋体" w:hAnsi="宋体" w:cs="宋体" w:eastAsia="宋体" w:hint="default"/>
                <w:spacing w:val="-5"/>
                <w:sz w:val="18"/>
                <w:szCs w:val="18"/>
              </w:rPr>
              <w:t>尊、李弘扬、邬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涛、刘妍、吴卫</w:t>
            </w:r>
          </w:p>
          <w:p>
            <w:pPr>
              <w:pStyle w:val="TableParagraph"/>
              <w:spacing w:line="319" w:lineRule="auto" w:before="25"/>
              <w:ind w:left="30" w:right="0"/>
              <w:jc w:val="left"/>
              <w:rPr>
                <w:rFonts w:ascii="宋体" w:hAnsi="宋体" w:cs="宋体" w:eastAsia="宋体" w:hint="default"/>
                <w:sz w:val="18"/>
                <w:szCs w:val="18"/>
              </w:rPr>
            </w:pPr>
            <w:r>
              <w:rPr>
                <w:rFonts w:ascii="宋体" w:hAnsi="宋体" w:cs="宋体" w:eastAsia="宋体" w:hint="default"/>
                <w:spacing w:val="-5"/>
                <w:sz w:val="18"/>
                <w:szCs w:val="18"/>
              </w:rPr>
              <w:t>华、宣正元、闫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贵忠、黄硕、丛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日华、张伟、方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军、王桢、于伟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8"/>
                <w:sz w:val="18"/>
                <w:szCs w:val="18"/>
              </w:rPr>
              <w:t>杰、任翔、刘洋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王亚卓、汪晓 文、张鹏洲</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30" w:right="45"/>
              <w:jc w:val="both"/>
              <w:rPr>
                <w:rFonts w:ascii="宋体" w:hAnsi="宋体" w:cs="宋体" w:eastAsia="宋体" w:hint="default"/>
                <w:sz w:val="18"/>
                <w:szCs w:val="18"/>
              </w:rPr>
            </w:pPr>
            <w:r>
              <w:rPr>
                <w:rFonts w:ascii="宋体" w:hAnsi="宋体" w:cs="宋体" w:eastAsia="宋体" w:hint="default"/>
                <w:sz w:val="18"/>
                <w:szCs w:val="18"/>
              </w:rPr>
              <w:t>关于规范和 减少关联交 易的承诺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tc>
        <w:tc>
          <w:tcPr>
            <w:tcW w:w="7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6" w:lineRule="auto"/>
              <w:ind w:left="30"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本人与宣亚国际之间现时不存在其他任何依照法律法规和中国证监会的有关规定应披 露而未披露的关联交易；</w:t>
            </w:r>
          </w:p>
          <w:p>
            <w:pPr>
              <w:pStyle w:val="TableParagraph"/>
              <w:spacing w:line="290" w:lineRule="auto" w:before="113"/>
              <w:ind w:left="30"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本人不以任何方式违法违规占用宣亚国际资金或要求其违法违规为本公司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本人提供担 保；</w:t>
            </w:r>
          </w:p>
          <w:p>
            <w:pPr>
              <w:pStyle w:val="TableParagraph"/>
              <w:spacing w:line="300" w:lineRule="auto" w:before="86"/>
              <w:ind w:left="30"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本人不通过非公允关联交易、利润分配、资产重组、对外投资等任何方式损害宣亚国 </w:t>
            </w:r>
            <w:r>
              <w:rPr>
                <w:rFonts w:ascii="宋体" w:hAnsi="宋体" w:cs="宋体" w:eastAsia="宋体" w:hint="default"/>
                <w:spacing w:val="-1"/>
                <w:sz w:val="18"/>
                <w:szCs w:val="18"/>
              </w:rPr>
              <w:t>际及其他股东的合法权益；如在今后的经营活动中本公司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本人与宣亚国际之间发生无法避免的关</w:t>
            </w:r>
            <w:r>
              <w:rPr>
                <w:rFonts w:ascii="宋体" w:hAnsi="宋体" w:cs="宋体" w:eastAsia="宋体" w:hint="default"/>
                <w:spacing w:val="-64"/>
                <w:sz w:val="18"/>
                <w:szCs w:val="18"/>
              </w:rPr>
              <w:t> </w:t>
            </w:r>
            <w:r>
              <w:rPr>
                <w:rFonts w:ascii="宋体" w:hAnsi="宋体" w:cs="宋体" w:eastAsia="宋体" w:hint="default"/>
                <w:sz w:val="18"/>
                <w:szCs w:val="18"/>
              </w:rPr>
              <w:t>联交易，则此种关联交易的条件必须按正常的商业条件进行，并按国家法律、法规、规范性文件 以及宣亚国际内部管理制度严格履行审批程序；</w:t>
            </w:r>
          </w:p>
          <w:p>
            <w:pPr>
              <w:pStyle w:val="TableParagraph"/>
              <w:spacing w:line="288" w:lineRule="auto" w:before="95"/>
              <w:ind w:left="30"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本人不以任何方式影响宣亚国际的独立性，保证其资产完整、人员独立、财务独立、 机构独立和业务独立。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11"/>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5" w:hRule="exact"/>
        </w:trPr>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19"/>
              <w:jc w:val="center"/>
              <w:rPr>
                <w:rFonts w:ascii="宋体" w:hAnsi="宋体" w:cs="宋体" w:eastAsia="宋体" w:hint="default"/>
                <w:sz w:val="18"/>
                <w:szCs w:val="18"/>
              </w:rPr>
            </w:pPr>
            <w:r>
              <w:rPr>
                <w:rFonts w:ascii="宋体" w:hAnsi="宋体" w:cs="宋体" w:eastAsia="宋体" w:hint="default"/>
                <w:sz w:val="18"/>
                <w:szCs w:val="18"/>
              </w:rPr>
              <w:t>股权激励承诺</w:t>
            </w:r>
          </w:p>
        </w:tc>
        <w:tc>
          <w:tcPr>
            <w:tcW w:w="1276" w:type="dxa"/>
            <w:tcBorders>
              <w:top w:val="single" w:sz="6" w:space="0" w:color="000000"/>
              <w:left w:val="single" w:sz="12" w:space="0" w:color="D2D2D2"/>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67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r>
      <w:tr>
        <w:trPr>
          <w:trHeight w:val="773" w:hRule="exact"/>
        </w:trPr>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48"/>
              <w:ind w:left="30" w:right="4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671" w:type="dxa"/>
            <w:vMerge w:val="restart"/>
            <w:tcBorders>
              <w:top w:val="single" w:sz="6" w:space="0" w:color="000000"/>
              <w:left w:val="single" w:sz="6" w:space="0" w:color="000000"/>
              <w:right w:val="single" w:sz="6" w:space="0" w:color="000000"/>
            </w:tcBorders>
          </w:tcPr>
          <w:p>
            <w:pPr>
              <w:pStyle w:val="TableParagraph"/>
              <w:spacing w:line="336" w:lineRule="auto" w:before="30"/>
              <w:ind w:left="30" w:right="64"/>
              <w:jc w:val="both"/>
              <w:rPr>
                <w:rFonts w:ascii="宋体" w:hAnsi="宋体" w:cs="宋体" w:eastAsia="宋体" w:hint="default"/>
                <w:sz w:val="18"/>
                <w:szCs w:val="18"/>
              </w:rPr>
            </w:pPr>
            <w:r>
              <w:rPr>
                <w:rFonts w:ascii="宋体" w:hAnsi="宋体" w:cs="宋体" w:eastAsia="宋体" w:hint="default"/>
                <w:sz w:val="18"/>
                <w:szCs w:val="18"/>
              </w:rPr>
              <w:t>基于对宣亚国际内在价值的判断和未来发展的信心，有效维护广大投资者特别是中小投资者的利 益，增强投资者信心，宣亚投资现就持有的宣亚国际股份的锁定期作如下延长承诺：自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36" w:lineRule="exact"/>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日，不转让或者委托他人管理宣亚投资持有的宣亚国际公开发行股票</w:t>
            </w:r>
          </w:p>
          <w:p>
            <w:pPr>
              <w:pStyle w:val="TableParagraph"/>
              <w:spacing w:line="321" w:lineRule="auto" w:before="51"/>
              <w:ind w:left="30"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前已发行的股份。在锁定期满后减持股份，宣亚投资将严格遵守中国证监会和深圳证券交易所关 于股东减持和信息披露的相关规定。同时，张秀兵先生、万丽莉女士作为在任期届满前离职的董 事，在前述股份锁定承诺届满之日起至任期届满后六个月内（</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19" w:lineRule="exact"/>
              <w:ind w:left="30" w:right="0"/>
              <w:jc w:val="both"/>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将继续遵守每年转让的股份不得超过本人通过宣亚投资间接持有的宣亚国际股份总数的百分</w:t>
            </w:r>
          </w:p>
          <w:p>
            <w:pPr>
              <w:pStyle w:val="TableParagraph"/>
              <w:spacing w:line="240" w:lineRule="auto" w:before="79"/>
              <w:ind w:left="30" w:right="0"/>
              <w:jc w:val="both"/>
              <w:rPr>
                <w:rFonts w:ascii="宋体" w:hAnsi="宋体" w:cs="宋体" w:eastAsia="宋体" w:hint="default"/>
                <w:sz w:val="18"/>
                <w:szCs w:val="18"/>
              </w:rPr>
            </w:pPr>
            <w:r>
              <w:rPr>
                <w:rFonts w:ascii="宋体" w:hAnsi="宋体" w:cs="宋体" w:eastAsia="宋体" w:hint="default"/>
                <w:sz w:val="18"/>
                <w:szCs w:val="18"/>
              </w:rPr>
              <w:t>之二十五的承诺。</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48"/>
              <w:ind w:left="30" w:right="8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2" w:hRule="exact"/>
        </w:trPr>
        <w:tc>
          <w:tcPr>
            <w:tcW w:w="12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30" w:right="149"/>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276" w:type="dxa"/>
            <w:vMerge/>
            <w:tcBorders>
              <w:left w:val="single" w:sz="12" w:space="0" w:color="D2D2D2"/>
              <w:right w:val="single" w:sz="6" w:space="0" w:color="000000"/>
            </w:tcBorders>
          </w:tcPr>
          <w:p>
            <w:pPr/>
          </w:p>
        </w:tc>
        <w:tc>
          <w:tcPr>
            <w:tcW w:w="991" w:type="dxa"/>
            <w:vMerge/>
            <w:tcBorders>
              <w:left w:val="single" w:sz="6" w:space="0" w:color="000000"/>
              <w:right w:val="single" w:sz="6" w:space="0" w:color="000000"/>
            </w:tcBorders>
          </w:tcPr>
          <w:p>
            <w:pPr/>
          </w:p>
        </w:tc>
        <w:tc>
          <w:tcPr>
            <w:tcW w:w="767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r>
      <w:tr>
        <w:trPr>
          <w:trHeight w:val="788" w:hRule="exact"/>
        </w:trPr>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12" w:space="0" w:color="D2D2D2"/>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767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r>
      <w:tr>
        <w:trPr>
          <w:trHeight w:val="706" w:hRule="exact"/>
        </w:trPr>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 w:right="14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626" w:type="dxa"/>
            <w:gridSpan w:val="6"/>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50" w:h="11910" w:orient="landscape"/>
          <w:pgMar w:header="857" w:footer="981" w:top="1040" w:bottom="1260" w:left="1320" w:right="1380"/>
        </w:sectPr>
      </w:pPr>
    </w:p>
    <w:p>
      <w:pPr>
        <w:spacing w:line="240" w:lineRule="auto" w:before="9"/>
        <w:rPr>
          <w:rFonts w:ascii="Times New Roman" w:hAnsi="Times New Roman" w:cs="Times New Roman" w:eastAsia="Times New Roman"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254"/>
        <w:gridCol w:w="1291"/>
        <w:gridCol w:w="991"/>
        <w:gridCol w:w="7664"/>
        <w:gridCol w:w="998"/>
        <w:gridCol w:w="848"/>
        <w:gridCol w:w="841"/>
      </w:tblGrid>
      <w:tr>
        <w:trPr>
          <w:trHeight w:val="405" w:hRule="exact"/>
        </w:trPr>
        <w:tc>
          <w:tcPr>
            <w:tcW w:w="1254"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664"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8"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8"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41" w:type="dxa"/>
            <w:tcBorders>
              <w:top w:val="single" w:sz="18"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68"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5"/>
              <w:ind w:left="15" w:right="6"/>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7"/>
                <w:sz w:val="18"/>
                <w:szCs w:val="18"/>
              </w:rPr>
              <w:t>履行完毕的，应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当详细说明未 完成履行的具 体原因及下一 步的工作计划</w:t>
            </w:r>
          </w:p>
        </w:tc>
        <w:tc>
          <w:tcPr>
            <w:tcW w:w="12633" w:type="dxa"/>
            <w:gridSpan w:val="6"/>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left="101"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0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0"/>
        <w:rPr>
          <w:rFonts w:ascii="宋体" w:hAnsi="宋体" w:cs="宋体" w:eastAsia="宋体" w:hint="default"/>
          <w:sz w:val="23"/>
          <w:szCs w:val="23"/>
        </w:rPr>
      </w:pPr>
    </w:p>
    <w:p>
      <w:pPr>
        <w:pStyle w:val="Heading3"/>
        <w:spacing w:line="240" w:lineRule="auto"/>
        <w:ind w:left="101"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2"/>
        <w:rPr>
          <w:rFonts w:ascii="宋体" w:hAnsi="宋体" w:cs="宋体" w:eastAsia="宋体" w:hint="default"/>
          <w:b/>
          <w:bCs/>
          <w:sz w:val="26"/>
          <w:szCs w:val="26"/>
        </w:rPr>
      </w:pPr>
    </w:p>
    <w:p>
      <w:pPr>
        <w:pStyle w:val="BodyText"/>
        <w:spacing w:line="333" w:lineRule="auto"/>
        <w:ind w:left="101" w:right="82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公司报告期不存在控股股东及其关联方对上市公司的非经营性占用资金。</w:t>
      </w:r>
    </w:p>
    <w:p>
      <w:pPr>
        <w:spacing w:line="240" w:lineRule="auto" w:before="8"/>
        <w:rPr>
          <w:rFonts w:ascii="宋体" w:hAnsi="宋体" w:cs="宋体" w:eastAsia="宋体" w:hint="default"/>
          <w:sz w:val="20"/>
          <w:szCs w:val="20"/>
        </w:rPr>
      </w:pPr>
    </w:p>
    <w:p>
      <w:pPr>
        <w:pStyle w:val="Heading3"/>
        <w:spacing w:line="240" w:lineRule="auto"/>
        <w:ind w:left="101"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10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0"/>
        <w:rPr>
          <w:rFonts w:ascii="宋体" w:hAnsi="宋体" w:cs="宋体" w:eastAsia="宋体" w:hint="default"/>
          <w:sz w:val="23"/>
          <w:szCs w:val="23"/>
        </w:rPr>
      </w:pPr>
    </w:p>
    <w:p>
      <w:pPr>
        <w:pStyle w:val="Heading3"/>
        <w:spacing w:line="240" w:lineRule="auto"/>
        <w:ind w:left="101"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10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6850" w:h="11910" w:orient="landscape"/>
          <w:pgMar w:header="857" w:footer="981" w:top="1040" w:bottom="1180" w:left="1340" w:right="1380"/>
        </w:sectPr>
      </w:pPr>
    </w:p>
    <w:p>
      <w:pPr>
        <w:spacing w:line="240" w:lineRule="auto" w:before="3"/>
        <w:rPr>
          <w:rFonts w:ascii="宋体" w:hAnsi="宋体" w:cs="宋体" w:eastAsia="宋体" w:hint="default"/>
          <w:sz w:val="28"/>
          <w:szCs w:val="28"/>
        </w:rPr>
      </w:pPr>
    </w:p>
    <w:p>
      <w:pPr>
        <w:pStyle w:val="Heading3"/>
        <w:spacing w:line="240" w:lineRule="auto" w:before="26"/>
        <w:ind w:left="461" w:right="1119"/>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461"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Heading5"/>
        <w:spacing w:line="240" w:lineRule="auto" w:before="61"/>
        <w:ind w:left="731" w:right="1119"/>
        <w:jc w:val="left"/>
        <w:rPr>
          <w:b w:val="0"/>
          <w:bCs w:val="0"/>
        </w:rPr>
      </w:pPr>
      <w:r>
        <w:rPr/>
        <w:t>（一）重要会计政策变更</w:t>
      </w:r>
      <w:r>
        <w:rPr>
          <w:b w:val="0"/>
          <w:bCs w:val="0"/>
        </w:rPr>
      </w:r>
    </w:p>
    <w:p>
      <w:pPr>
        <w:spacing w:line="240" w:lineRule="auto" w:before="11"/>
        <w:rPr>
          <w:rFonts w:ascii="宋体" w:hAnsi="宋体" w:cs="宋体" w:eastAsia="宋体" w:hint="default"/>
          <w:b/>
          <w:bCs/>
          <w:sz w:val="13"/>
          <w:szCs w:val="13"/>
        </w:rPr>
      </w:pPr>
    </w:p>
    <w:p>
      <w:pPr>
        <w:pStyle w:val="BodyText"/>
        <w:spacing w:line="321" w:lineRule="auto"/>
        <w:ind w:left="461" w:right="1119" w:firstLine="360"/>
        <w:jc w:val="left"/>
      </w:pPr>
      <w:r>
        <w:rPr/>
        <w:t>（</w:t>
      </w:r>
      <w:r>
        <w:rPr>
          <w:rFonts w:ascii="宋体" w:hAnsi="宋体" w:cs="宋体" w:eastAsia="宋体" w:hint="default"/>
        </w:rPr>
        <w:t>1</w:t>
      </w:r>
      <w:r>
        <w:rPr/>
        <w:t>）执行《财政部关于修订印发</w:t>
      </w:r>
      <w:r>
        <w:rPr>
          <w:rFonts w:ascii="宋体" w:hAnsi="宋体" w:cs="宋体" w:eastAsia="宋体" w:hint="default"/>
        </w:rPr>
        <w:t>2019</w:t>
      </w:r>
      <w:r>
        <w:rPr/>
        <w:t>年度一般企业财务报表格式的通知》和《关于修订印发合并财务报表格式（</w:t>
      </w:r>
      <w:r>
        <w:rPr>
          <w:rFonts w:ascii="宋体" w:hAnsi="宋体" w:cs="宋体" w:eastAsia="宋体" w:hint="default"/>
        </w:rPr>
        <w:t>2019 </w:t>
      </w:r>
      <w:r>
        <w:rPr/>
        <w:t>版）的通知》</w:t>
      </w:r>
    </w:p>
    <w:p>
      <w:pPr>
        <w:pStyle w:val="BodyText"/>
        <w:spacing w:line="240" w:lineRule="auto" w:before="138"/>
        <w:ind w:left="821" w:right="0"/>
        <w:jc w:val="left"/>
      </w:pPr>
      <w:r>
        <w:rPr/>
        <w:t>财政部分别于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日和</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w:t>
      </w:r>
      <w:r>
        <w:rPr>
          <w:spacing w:val="2"/>
        </w:rPr>
        <w:t> </w:t>
      </w:r>
      <w:r>
        <w:rPr/>
        <w:t>发布了《关于修订印发</w:t>
      </w:r>
      <w:r>
        <w:rPr>
          <w:rFonts w:ascii="宋体" w:hAnsi="宋体" w:cs="宋体" w:eastAsia="宋体" w:hint="default"/>
        </w:rPr>
        <w:t>2019</w:t>
      </w:r>
      <w:r>
        <w:rPr/>
        <w:t>年度一般企业财务报表格式的通知》（财会</w:t>
      </w:r>
    </w:p>
    <w:p>
      <w:pPr>
        <w:pStyle w:val="BodyText"/>
        <w:spacing w:line="307" w:lineRule="auto" w:before="79"/>
        <w:ind w:left="461" w:right="1119"/>
        <w:jc w:val="left"/>
      </w:pPr>
      <w:r>
        <w:rPr/>
        <w:t>（</w:t>
      </w:r>
      <w:r>
        <w:rPr>
          <w:rFonts w:ascii="宋体" w:hAnsi="宋体" w:cs="宋体" w:eastAsia="宋体" w:hint="default"/>
        </w:rPr>
        <w:t>2019</w:t>
      </w:r>
      <w:r>
        <w:rPr/>
        <w:t>）</w:t>
      </w:r>
      <w:r>
        <w:rPr>
          <w:rFonts w:ascii="宋体" w:hAnsi="宋体" w:cs="宋体" w:eastAsia="宋体" w:hint="default"/>
        </w:rPr>
        <w:t>6</w:t>
      </w:r>
      <w:r>
        <w:rPr/>
        <w:t>号）和《关于修订印发合并财务报表格式（</w:t>
      </w:r>
      <w:r>
        <w:rPr>
          <w:rFonts w:ascii="宋体" w:hAnsi="宋体" w:cs="宋体" w:eastAsia="宋体" w:hint="default"/>
        </w:rPr>
        <w:t>2019</w:t>
      </w:r>
      <w:r>
        <w:rPr/>
        <w:t>版）的通知》（财会（</w:t>
      </w:r>
      <w:r>
        <w:rPr>
          <w:rFonts w:ascii="宋体" w:hAnsi="宋体" w:cs="宋体" w:eastAsia="宋体" w:hint="default"/>
        </w:rPr>
        <w:t>2019</w:t>
      </w:r>
      <w:r>
        <w:rPr/>
        <w:t>）</w:t>
      </w:r>
      <w:r>
        <w:rPr>
          <w:rFonts w:ascii="宋体" w:hAnsi="宋体" w:cs="宋体" w:eastAsia="宋体" w:hint="default"/>
        </w:rPr>
        <w:t>16</w:t>
      </w:r>
      <w:r>
        <w:rPr/>
        <w:t>号），对一般企业财务报表格式</w:t>
      </w:r>
      <w:r>
        <w:rPr>
          <w:spacing w:val="-85"/>
        </w:rPr>
        <w:t> </w:t>
      </w:r>
      <w:r>
        <w:rPr/>
        <w:t>进行了修订。</w:t>
      </w:r>
      <w:r>
        <w:rPr>
          <w:spacing w:val="1"/>
        </w:rPr>
        <w:t> </w:t>
      </w:r>
      <w:r>
        <w:rPr/>
        <w:t>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44"/>
        <w:ind w:left="0" w:right="690"/>
        <w:jc w:val="right"/>
      </w:pPr>
      <w:r>
        <w:rPr/>
        <w:pict>
          <v:shape style="position:absolute;margin-left:39.049999pt;margin-top:-33.068283pt;width:518.5500pt;height:225.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8"/>
                    <w:gridCol w:w="1052"/>
                    <w:gridCol w:w="3469"/>
                    <w:gridCol w:w="3439"/>
                  </w:tblGrid>
                  <w:tr>
                    <w:trPr>
                      <w:trHeight w:val="345" w:hRule="exact"/>
                    </w:trPr>
                    <w:tc>
                      <w:tcPr>
                        <w:tcW w:w="238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05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90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left="2267"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6" w:hRule="exact"/>
                    </w:trPr>
                    <w:tc>
                      <w:tcPr>
                        <w:tcW w:w="2388" w:type="dxa"/>
                        <w:vMerge/>
                        <w:tcBorders>
                          <w:left w:val="single" w:sz="6" w:space="0" w:color="000000"/>
                          <w:bottom w:val="single" w:sz="6" w:space="0" w:color="000000"/>
                          <w:right w:val="single" w:sz="6" w:space="0" w:color="000000"/>
                        </w:tcBorders>
                        <w:shd w:val="clear" w:color="auto" w:fill="D9D9D9"/>
                      </w:tcPr>
                      <w:p>
                        <w:pPr/>
                      </w:p>
                    </w:tc>
                    <w:tc>
                      <w:tcPr>
                        <w:tcW w:w="1052" w:type="dxa"/>
                        <w:vMerge/>
                        <w:tcBorders>
                          <w:left w:val="single" w:sz="6" w:space="0" w:color="000000"/>
                          <w:bottom w:val="single" w:sz="6" w:space="0" w:color="000000"/>
                          <w:right w:val="single" w:sz="6" w:space="0" w:color="000000"/>
                        </w:tcBorders>
                        <w:shd w:val="clear" w:color="auto" w:fill="D9D9D9"/>
                      </w:tcPr>
                      <w:p>
                        <w:pPr/>
                      </w:p>
                    </w:tc>
                    <w:tc>
                      <w:tcPr>
                        <w:tcW w:w="34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34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522"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9" w:lineRule="auto"/>
                          <w:ind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w:t>
                        </w:r>
                        <w:r>
                          <w:rPr>
                            <w:rFonts w:ascii="宋体" w:hAnsi="宋体" w:cs="宋体" w:eastAsia="宋体" w:hint="default"/>
                            <w:spacing w:val="-5"/>
                            <w:sz w:val="18"/>
                            <w:szCs w:val="18"/>
                          </w:rPr>
                          <w:t>）资产负债表中“应收票据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及应收账款”拆分为“应收票</w:t>
                        </w:r>
                        <w:r>
                          <w:rPr>
                            <w:rFonts w:ascii="宋体" w:hAnsi="宋体" w:cs="宋体" w:eastAsia="宋体" w:hint="default"/>
                            <w:sz w:val="18"/>
                            <w:szCs w:val="18"/>
                          </w:rPr>
                          <w:t> </w:t>
                        </w:r>
                        <w:r>
                          <w:rPr>
                            <w:rFonts w:ascii="宋体" w:hAnsi="宋体" w:cs="宋体" w:eastAsia="宋体" w:hint="default"/>
                            <w:spacing w:val="-11"/>
                            <w:sz w:val="18"/>
                            <w:szCs w:val="18"/>
                          </w:rPr>
                          <w:t>据”和“应收账款”列示；“应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付票据及应付账款”拆分为“应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付票据”和“应付账款”列示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比较数据相应调整。</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 w:right="28"/>
                          <w:jc w:val="left"/>
                          <w:rPr>
                            <w:rFonts w:ascii="宋体" w:hAnsi="宋体" w:cs="宋体" w:eastAsia="宋体" w:hint="default"/>
                            <w:sz w:val="18"/>
                            <w:szCs w:val="18"/>
                          </w:rPr>
                        </w:pPr>
                        <w:r>
                          <w:rPr>
                            <w:rFonts w:ascii="宋体" w:hAnsi="宋体" w:cs="宋体" w:eastAsia="宋体" w:hint="default"/>
                            <w:spacing w:val="-4"/>
                            <w:sz w:val="18"/>
                            <w:szCs w:val="18"/>
                          </w:rPr>
                          <w:t>“应收票据及应收账款”拆分为“应收票据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和“应收账款”，“应收票据”上年年末余</w:t>
                        </w:r>
                        <w:r>
                          <w:rPr>
                            <w:rFonts w:ascii="宋体" w:hAnsi="宋体" w:cs="宋体" w:eastAsia="宋体" w:hint="default"/>
                            <w:sz w:val="18"/>
                            <w:szCs w:val="18"/>
                          </w:rPr>
                          <w:t> 额</w:t>
                        </w:r>
                        <w:r>
                          <w:rPr>
                            <w:rFonts w:ascii="宋体" w:hAnsi="宋体" w:cs="宋体" w:eastAsia="宋体" w:hint="default"/>
                            <w:sz w:val="18"/>
                            <w:szCs w:val="18"/>
                          </w:rPr>
                          <w:t>16,984,595.19</w:t>
                        </w:r>
                        <w:r>
                          <w:rPr>
                            <w:rFonts w:ascii="宋体" w:hAnsi="宋体" w:cs="宋体" w:eastAsia="宋体" w:hint="default"/>
                            <w:sz w:val="18"/>
                            <w:szCs w:val="18"/>
                          </w:rPr>
                          <w:t>元， “应收账款”上年年 末余额</w:t>
                        </w:r>
                        <w:r>
                          <w:rPr>
                            <w:rFonts w:ascii="宋体" w:hAnsi="宋体" w:cs="宋体" w:eastAsia="宋体" w:hint="default"/>
                            <w:sz w:val="18"/>
                            <w:szCs w:val="18"/>
                          </w:rPr>
                          <w:t>140,540,231.26</w:t>
                        </w:r>
                        <w:r>
                          <w:rPr>
                            <w:rFonts w:ascii="宋体" w:hAnsi="宋体" w:cs="宋体" w:eastAsia="宋体" w:hint="default"/>
                            <w:sz w:val="18"/>
                            <w:szCs w:val="18"/>
                          </w:rPr>
                          <w:t>元；</w:t>
                        </w:r>
                      </w:p>
                      <w:p>
                        <w:pPr>
                          <w:pStyle w:val="TableParagraph"/>
                          <w:spacing w:line="316" w:lineRule="auto" w:before="22"/>
                          <w:ind w:left="-1" w:right="29"/>
                          <w:jc w:val="left"/>
                          <w:rPr>
                            <w:rFonts w:ascii="宋体" w:hAnsi="宋体" w:cs="宋体" w:eastAsia="宋体" w:hint="default"/>
                            <w:sz w:val="18"/>
                            <w:szCs w:val="18"/>
                          </w:rPr>
                        </w:pPr>
                        <w:r>
                          <w:rPr>
                            <w:rFonts w:ascii="宋体" w:hAnsi="宋体" w:cs="宋体" w:eastAsia="宋体" w:hint="default"/>
                            <w:spacing w:val="-4"/>
                            <w:sz w:val="18"/>
                            <w:szCs w:val="18"/>
                          </w:rPr>
                          <w:t>“应付票据及应付账款”拆分为“应付票据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和“应付账款”，“应付票据”上年年末余</w:t>
                        </w:r>
                        <w:r>
                          <w:rPr>
                            <w:rFonts w:ascii="宋体" w:hAnsi="宋体" w:cs="宋体" w:eastAsia="宋体" w:hint="default"/>
                            <w:sz w:val="18"/>
                            <w:szCs w:val="18"/>
                          </w:rPr>
                          <w:t> 额</w:t>
                        </w:r>
                        <w:r>
                          <w:rPr>
                            <w:rFonts w:ascii="宋体" w:hAnsi="宋体" w:cs="宋体" w:eastAsia="宋体" w:hint="default"/>
                            <w:sz w:val="18"/>
                            <w:szCs w:val="18"/>
                          </w:rPr>
                          <w:t>0.00</w:t>
                        </w:r>
                        <w:r>
                          <w:rPr>
                            <w:rFonts w:ascii="宋体" w:hAnsi="宋体" w:cs="宋体" w:eastAsia="宋体" w:hint="default"/>
                            <w:sz w:val="18"/>
                            <w:szCs w:val="18"/>
                          </w:rPr>
                          <w:t>元， “应付账款”上年年末余额 </w:t>
                        </w:r>
                        <w:r>
                          <w:rPr>
                            <w:rFonts w:ascii="宋体" w:hAnsi="宋体" w:cs="宋体" w:eastAsia="宋体" w:hint="default"/>
                            <w:sz w:val="18"/>
                            <w:szCs w:val="18"/>
                          </w:rPr>
                          <w:t>41,677,219.28</w:t>
                        </w:r>
                        <w:r>
                          <w:rPr>
                            <w:rFonts w:ascii="宋体" w:hAnsi="宋体" w:cs="宋体" w:eastAsia="宋体" w:hint="default"/>
                            <w:sz w:val="18"/>
                            <w:szCs w:val="18"/>
                          </w:rPr>
                          <w:t>元。</w:t>
                        </w:r>
                      </w:p>
                    </w:tc>
                    <w:tc>
                      <w:tcPr>
                        <w:tcW w:w="3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right="0"/>
                          <w:jc w:val="left"/>
                          <w:rPr>
                            <w:rFonts w:ascii="宋体" w:hAnsi="宋体" w:cs="宋体" w:eastAsia="宋体" w:hint="default"/>
                            <w:sz w:val="18"/>
                            <w:szCs w:val="18"/>
                          </w:rPr>
                        </w:pPr>
                        <w:r>
                          <w:rPr>
                            <w:rFonts w:ascii="宋体" w:hAnsi="宋体" w:cs="宋体" w:eastAsia="宋体" w:hint="default"/>
                            <w:spacing w:val="-5"/>
                            <w:sz w:val="18"/>
                            <w:szCs w:val="18"/>
                          </w:rPr>
                          <w:t>“应收票据及应收账款”拆分为“应收票据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和“应收账款”，“应收票据”上年年末余</w:t>
                        </w:r>
                        <w:r>
                          <w:rPr>
                            <w:rFonts w:ascii="宋体" w:hAnsi="宋体" w:cs="宋体" w:eastAsia="宋体" w:hint="default"/>
                            <w:sz w:val="18"/>
                            <w:szCs w:val="18"/>
                          </w:rPr>
                          <w:t> 额</w:t>
                        </w:r>
                        <w:r>
                          <w:rPr>
                            <w:rFonts w:ascii="宋体" w:hAnsi="宋体" w:cs="宋体" w:eastAsia="宋体" w:hint="default"/>
                            <w:sz w:val="18"/>
                            <w:szCs w:val="18"/>
                          </w:rPr>
                          <w:t>15,035,069.94</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“应收账款”上年年</w:t>
                        </w:r>
                        <w:r>
                          <w:rPr>
                            <w:rFonts w:ascii="宋体" w:hAnsi="宋体" w:cs="宋体" w:eastAsia="宋体" w:hint="default"/>
                            <w:sz w:val="18"/>
                            <w:szCs w:val="18"/>
                          </w:rPr>
                          <w:t> 末余额</w:t>
                        </w:r>
                        <w:r>
                          <w:rPr>
                            <w:rFonts w:ascii="宋体" w:hAnsi="宋体" w:cs="宋体" w:eastAsia="宋体" w:hint="default"/>
                            <w:sz w:val="18"/>
                            <w:szCs w:val="18"/>
                          </w:rPr>
                          <w:t>123,041,361.90</w:t>
                        </w:r>
                        <w:r>
                          <w:rPr>
                            <w:rFonts w:ascii="宋体" w:hAnsi="宋体" w:cs="宋体" w:eastAsia="宋体" w:hint="default"/>
                            <w:sz w:val="18"/>
                            <w:szCs w:val="18"/>
                          </w:rPr>
                          <w:t>元；</w:t>
                        </w:r>
                      </w:p>
                      <w:p>
                        <w:pPr>
                          <w:pStyle w:val="TableParagraph"/>
                          <w:spacing w:line="316" w:lineRule="auto" w:before="22"/>
                          <w:ind w:right="0"/>
                          <w:jc w:val="left"/>
                          <w:rPr>
                            <w:rFonts w:ascii="宋体" w:hAnsi="宋体" w:cs="宋体" w:eastAsia="宋体" w:hint="default"/>
                            <w:sz w:val="18"/>
                            <w:szCs w:val="18"/>
                          </w:rPr>
                        </w:pPr>
                        <w:r>
                          <w:rPr>
                            <w:rFonts w:ascii="宋体" w:hAnsi="宋体" w:cs="宋体" w:eastAsia="宋体" w:hint="default"/>
                            <w:spacing w:val="-5"/>
                            <w:sz w:val="18"/>
                            <w:szCs w:val="18"/>
                          </w:rPr>
                          <w:t>“应付票据及应付账款”拆分为“应付票据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和“应付账款”，“应付票据”上年年末余</w:t>
                        </w:r>
                        <w:r>
                          <w:rPr>
                            <w:rFonts w:ascii="宋体" w:hAnsi="宋体" w:cs="宋体" w:eastAsia="宋体" w:hint="default"/>
                            <w:sz w:val="18"/>
                            <w:szCs w:val="18"/>
                          </w:rPr>
                          <w:t> 额</w:t>
                        </w:r>
                        <w:r>
                          <w:rPr>
                            <w:rFonts w:ascii="宋体" w:hAnsi="宋体" w:cs="宋体" w:eastAsia="宋体" w:hint="default"/>
                            <w:sz w:val="18"/>
                            <w:szCs w:val="18"/>
                          </w:rPr>
                          <w:t>0.00</w:t>
                        </w:r>
                        <w:r>
                          <w:rPr>
                            <w:rFonts w:ascii="宋体" w:hAnsi="宋体" w:cs="宋体" w:eastAsia="宋体" w:hint="default"/>
                            <w:sz w:val="18"/>
                            <w:szCs w:val="18"/>
                          </w:rPr>
                          <w:t>元， “应付账款”上年年末余额 </w:t>
                        </w:r>
                        <w:r>
                          <w:rPr>
                            <w:rFonts w:ascii="宋体" w:hAnsi="宋体" w:cs="宋体" w:eastAsia="宋体" w:hint="default"/>
                            <w:sz w:val="18"/>
                            <w:szCs w:val="18"/>
                          </w:rPr>
                          <w:t>45,341,737.92</w:t>
                        </w:r>
                        <w:r>
                          <w:rPr>
                            <w:rFonts w:ascii="宋体" w:hAnsi="宋体" w:cs="宋体" w:eastAsia="宋体" w:hint="default"/>
                            <w:sz w:val="18"/>
                            <w:szCs w:val="18"/>
                          </w:rPr>
                          <w:t>元。</w:t>
                        </w:r>
                      </w:p>
                    </w:tc>
                  </w:tr>
                  <w:tr>
                    <w:trPr>
                      <w:trHeight w:val="1277"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）在利润表中投资收益项下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新增“其中：以摊余成本计量 的金融资产终止确认收益”项</w:t>
                        </w:r>
                        <w:r>
                          <w:rPr>
                            <w:rFonts w:ascii="宋体" w:hAnsi="宋体" w:cs="宋体" w:eastAsia="宋体" w:hint="default"/>
                            <w:sz w:val="18"/>
                            <w:szCs w:val="18"/>
                          </w:rPr>
                          <w:t> 目。比较数据不调整。</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21" w:lineRule="auto"/>
                          <w:ind w:left="-1" w:right="212"/>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 益”本期金额</w:t>
                        </w:r>
                        <w:r>
                          <w:rPr>
                            <w:rFonts w:ascii="宋体" w:hAnsi="宋体" w:cs="宋体" w:eastAsia="宋体" w:hint="default"/>
                            <w:sz w:val="18"/>
                            <w:szCs w:val="18"/>
                          </w:rPr>
                          <w:t>-337,735.45</w:t>
                        </w:r>
                        <w:r>
                          <w:rPr>
                            <w:rFonts w:ascii="宋体" w:hAnsi="宋体" w:cs="宋体" w:eastAsia="宋体" w:hint="default"/>
                            <w:sz w:val="18"/>
                            <w:szCs w:val="18"/>
                          </w:rPr>
                          <w:t>元。</w:t>
                        </w:r>
                      </w:p>
                    </w:tc>
                    <w:tc>
                      <w:tcPr>
                        <w:tcW w:w="3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21" w:lineRule="auto"/>
                          <w:ind w:right="183"/>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 益”本期金额</w:t>
                        </w:r>
                        <w:r>
                          <w:rPr>
                            <w:rFonts w:ascii="宋体" w:hAnsi="宋体" w:cs="宋体" w:eastAsia="宋体" w:hint="default"/>
                            <w:sz w:val="18"/>
                            <w:szCs w:val="18"/>
                          </w:rPr>
                          <w:t>0.00</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44"/>
        <w:ind w:left="0" w:right="69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304" w:lineRule="auto" w:before="44"/>
        <w:ind w:left="461" w:right="1128" w:firstLine="360"/>
        <w:jc w:val="both"/>
      </w:pPr>
      <w:r>
        <w:rPr/>
        <w:t>（</w:t>
      </w:r>
      <w:r>
        <w:rPr>
          <w:rFonts w:ascii="宋体" w:hAnsi="宋体" w:cs="宋体" w:eastAsia="宋体" w:hint="default"/>
        </w:rPr>
        <w:t>2</w:t>
      </w:r>
      <w:r>
        <w:rPr/>
        <w:t>）执行《企业会计准则第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号——金融资产转移》、《企业会 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2017</w:t>
      </w:r>
      <w:r>
        <w:rPr/>
        <w:t>年修订）</w:t>
      </w:r>
    </w:p>
    <w:p>
      <w:pPr>
        <w:pStyle w:val="BodyText"/>
        <w:spacing w:line="316" w:lineRule="auto" w:before="151"/>
        <w:ind w:left="461" w:right="1125" w:firstLine="450"/>
        <w:jc w:val="both"/>
      </w:pPr>
      <w:r>
        <w:rPr/>
        <w:t>财政部于</w:t>
      </w:r>
      <w:r>
        <w:rPr>
          <w:rFonts w:ascii="宋体" w:hAnsi="宋体" w:cs="宋体" w:eastAsia="宋体" w:hint="default"/>
        </w:rPr>
        <w:t>2017</w:t>
      </w:r>
      <w:r>
        <w:rPr/>
        <w:t>年度修订了《企业会计准则第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号——金融资产转 移》、《企业会计准</w:t>
      </w:r>
      <w:r>
        <w:rPr>
          <w:spacing w:val="7"/>
        </w:rPr>
        <w:t> </w:t>
      </w:r>
      <w:r>
        <w:rPr/>
        <w:t>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号——金融工具列报》。修订后的准则规定，对于 </w:t>
      </w:r>
      <w:r>
        <w:rPr>
          <w:spacing w:val="-2"/>
        </w:rPr>
        <w:t>首次执行日尚未终止确认的金融工具，之前的确认和计量与修订后的准则要求不一致的，应当追溯调整。涉及前期比较财务</w:t>
      </w:r>
      <w:r>
        <w:rPr>
          <w:spacing w:val="-75"/>
        </w:rPr>
        <w:t> </w:t>
      </w:r>
      <w:r>
        <w:rPr>
          <w:spacing w:val="-75"/>
        </w:rPr>
      </w:r>
      <w:r>
        <w:rPr>
          <w:spacing w:val="-2"/>
        </w:rPr>
        <w:t>报表数据与修订后的准则要求不一致的，无需调整。本公司将因追溯调整产生的累积影响数调整当年年初留存收益和其他综</w:t>
      </w:r>
      <w:r>
        <w:rPr>
          <w:spacing w:val="-72"/>
        </w:rPr>
        <w:t> </w:t>
      </w:r>
      <w:r>
        <w:rPr>
          <w:spacing w:val="-72"/>
        </w:rPr>
      </w:r>
      <w:r>
        <w:rPr/>
        <w:t>合收益。</w:t>
      </w:r>
    </w:p>
    <w:p>
      <w:pPr>
        <w:pStyle w:val="BodyText"/>
        <w:spacing w:line="321" w:lineRule="auto" w:before="142"/>
        <w:ind w:left="461" w:right="1133" w:firstLine="360"/>
        <w:jc w:val="both"/>
      </w:pPr>
      <w:r>
        <w:rPr/>
        <w:t>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号的规定调整后的上年年末余额为基础，执行上述新金融工具准则的主要影 响如下：</w:t>
      </w:r>
    </w:p>
    <w:p>
      <w:pPr>
        <w:spacing w:line="240" w:lineRule="auto" w:before="6"/>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4611"/>
        <w:gridCol w:w="1126"/>
        <w:gridCol w:w="2148"/>
        <w:gridCol w:w="2463"/>
      </w:tblGrid>
      <w:tr>
        <w:trPr>
          <w:trHeight w:val="330" w:hRule="exact"/>
        </w:trPr>
        <w:tc>
          <w:tcPr>
            <w:tcW w:w="461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1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61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1111"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5" w:hRule="exact"/>
        </w:trPr>
        <w:tc>
          <w:tcPr>
            <w:tcW w:w="4611" w:type="dxa"/>
            <w:vMerge/>
            <w:tcBorders>
              <w:left w:val="single" w:sz="6" w:space="0" w:color="000000"/>
              <w:bottom w:val="single" w:sz="6" w:space="0" w:color="000000"/>
              <w:right w:val="single" w:sz="6" w:space="0" w:color="000000"/>
            </w:tcBorders>
            <w:shd w:val="clear" w:color="auto" w:fill="D9D9D9"/>
          </w:tcPr>
          <w:p>
            <w:pPr/>
          </w:p>
        </w:tc>
        <w:tc>
          <w:tcPr>
            <w:tcW w:w="1126" w:type="dxa"/>
            <w:vMerge/>
            <w:tcBorders>
              <w:left w:val="single" w:sz="6" w:space="0" w:color="000000"/>
              <w:bottom w:val="single" w:sz="6" w:space="0" w:color="000000"/>
              <w:right w:val="single" w:sz="6" w:space="0" w:color="000000"/>
            </w:tcBorders>
            <w:shd w:val="clear" w:color="auto" w:fill="D9D9D9"/>
          </w:tcPr>
          <w:p>
            <w:pPr/>
          </w:p>
        </w:tc>
        <w:tc>
          <w:tcPr>
            <w:tcW w:w="21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27"/>
              <w:jc w:val="center"/>
              <w:rPr>
                <w:rFonts w:ascii="宋体" w:hAnsi="宋体" w:cs="宋体" w:eastAsia="宋体" w:hint="default"/>
                <w:sz w:val="18"/>
                <w:szCs w:val="18"/>
              </w:rPr>
            </w:pPr>
            <w:r>
              <w:rPr>
                <w:rFonts w:ascii="宋体" w:hAnsi="宋体" w:cs="宋体" w:eastAsia="宋体" w:hint="default"/>
                <w:sz w:val="18"/>
                <w:szCs w:val="18"/>
              </w:rPr>
              <w:t>合并</w:t>
            </w:r>
          </w:p>
        </w:tc>
        <w:tc>
          <w:tcPr>
            <w:tcW w:w="24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76" w:hRule="exact"/>
        </w:trPr>
        <w:tc>
          <w:tcPr>
            <w:tcW w:w="46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right="89"/>
              <w:jc w:val="both"/>
              <w:rPr>
                <w:rFonts w:ascii="宋体" w:hAnsi="宋体" w:cs="宋体" w:eastAsia="宋体" w:hint="default"/>
                <w:sz w:val="18"/>
                <w:szCs w:val="18"/>
              </w:rPr>
            </w:pPr>
            <w:r>
              <w:rPr>
                <w:rFonts w:ascii="宋体" w:hAnsi="宋体" w:cs="宋体" w:eastAsia="宋体" w:hint="default"/>
                <w:sz w:val="18"/>
                <w:szCs w:val="18"/>
              </w:rPr>
              <w:t>因报表项目名称变更，将“可供出售金融资产”重分类至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“其他权益工具投资”期初比较数据不调整，将按照新金</w:t>
            </w:r>
            <w:r>
              <w:rPr>
                <w:rFonts w:ascii="宋体" w:hAnsi="宋体" w:cs="宋体" w:eastAsia="宋体" w:hint="default"/>
                <w:sz w:val="18"/>
                <w:szCs w:val="18"/>
              </w:rPr>
              <w:t> 融工具准则计提的各项金融工具减值准备形成的预期信用 损失调整至信用减值损失科目，上期比较数据不做调整。</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21" w:lineRule="auto"/>
              <w:ind w:right="15"/>
              <w:jc w:val="left"/>
              <w:rPr>
                <w:rFonts w:ascii="宋体" w:hAnsi="宋体" w:cs="宋体" w:eastAsia="宋体" w:hint="default"/>
                <w:sz w:val="18"/>
                <w:szCs w:val="18"/>
              </w:rPr>
            </w:pPr>
            <w:r>
              <w:rPr>
                <w:rFonts w:ascii="宋体" w:hAnsi="宋体" w:cs="宋体" w:eastAsia="宋体" w:hint="default"/>
                <w:spacing w:val="-4"/>
                <w:sz w:val="18"/>
                <w:szCs w:val="18"/>
              </w:rPr>
              <w:t>“其他权益工具”本年年初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宋体" w:hAnsi="宋体" w:cs="宋体" w:eastAsia="宋体" w:hint="default"/>
                <w:sz w:val="18"/>
                <w:szCs w:val="18"/>
              </w:rPr>
              <w:t>50,233,669.58</w:t>
            </w:r>
            <w:r>
              <w:rPr>
                <w:rFonts w:ascii="宋体" w:hAnsi="宋体" w:cs="宋体" w:eastAsia="宋体" w:hint="default"/>
                <w:sz w:val="18"/>
                <w:szCs w:val="18"/>
              </w:rPr>
              <w:t>元。</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21" w:lineRule="auto"/>
              <w:ind w:right="1"/>
              <w:jc w:val="left"/>
              <w:rPr>
                <w:rFonts w:ascii="宋体" w:hAnsi="宋体" w:cs="宋体" w:eastAsia="宋体" w:hint="default"/>
                <w:sz w:val="18"/>
                <w:szCs w:val="18"/>
              </w:rPr>
            </w:pPr>
            <w:r>
              <w:rPr>
                <w:rFonts w:ascii="宋体" w:hAnsi="宋体" w:cs="宋体" w:eastAsia="宋体" w:hint="default"/>
                <w:spacing w:val="-6"/>
                <w:sz w:val="18"/>
                <w:szCs w:val="18"/>
              </w:rPr>
              <w:t>“其他权益工具”本年年初金额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27,652,274.00</w:t>
            </w:r>
            <w:r>
              <w:rPr>
                <w:rFonts w:ascii="宋体" w:hAnsi="宋体" w:cs="宋体" w:eastAsia="宋体" w:hint="default"/>
                <w:sz w:val="18"/>
                <w:szCs w:val="18"/>
              </w:rPr>
              <w:t>元。</w:t>
            </w:r>
          </w:p>
        </w:tc>
      </w:tr>
    </w:tbl>
    <w:p>
      <w:pPr>
        <w:spacing w:after="0" w:line="321" w:lineRule="auto"/>
        <w:jc w:val="left"/>
        <w:rPr>
          <w:rFonts w:ascii="宋体" w:hAnsi="宋体" w:cs="宋体" w:eastAsia="宋体" w:hint="default"/>
          <w:sz w:val="18"/>
          <w:szCs w:val="18"/>
        </w:rPr>
        <w:sectPr>
          <w:headerReference w:type="default" r:id="rId31"/>
          <w:footerReference w:type="default" r:id="rId32"/>
          <w:pgSz w:w="11910" w:h="16850"/>
          <w:pgMar w:header="866" w:footer="981" w:top="1120" w:bottom="1180" w:left="680" w:right="0"/>
          <w:pgNumType w:start="51"/>
        </w:sectPr>
      </w:pPr>
    </w:p>
    <w:p>
      <w:pPr>
        <w:spacing w:line="240" w:lineRule="auto" w:before="11"/>
        <w:rPr>
          <w:rFonts w:ascii="宋体" w:hAnsi="宋体" w:cs="宋体" w:eastAsia="宋体" w:hint="default"/>
          <w:sz w:val="29"/>
          <w:szCs w:val="29"/>
        </w:rPr>
      </w:pPr>
    </w:p>
    <w:p>
      <w:pPr>
        <w:pStyle w:val="BodyText"/>
        <w:spacing w:line="240" w:lineRule="auto" w:before="44"/>
        <w:ind w:left="501" w:right="0"/>
        <w:jc w:val="left"/>
      </w:pPr>
      <w:r>
        <w:rPr/>
        <w:t>（</w:t>
      </w:r>
      <w:r>
        <w:rPr>
          <w:rFonts w:ascii="宋体" w:hAnsi="宋体" w:cs="宋体" w:eastAsia="宋体" w:hint="default"/>
        </w:rPr>
        <w:t>3</w:t>
      </w:r>
      <w:r>
        <w:rPr/>
        <w:t>）执行《企业会计准则第</w:t>
      </w:r>
      <w:r>
        <w:rPr>
          <w:rFonts w:ascii="宋体" w:hAnsi="宋体" w:cs="宋体" w:eastAsia="宋体" w:hint="default"/>
        </w:rPr>
        <w:t>7</w:t>
      </w:r>
      <w:r>
        <w:rPr/>
        <w:t>号——非货币性资产交换》（</w:t>
      </w:r>
      <w:r>
        <w:rPr>
          <w:rFonts w:ascii="宋体" w:hAnsi="宋体" w:cs="宋体" w:eastAsia="宋体" w:hint="default"/>
        </w:rPr>
        <w:t>2019</w:t>
      </w:r>
      <w:r>
        <w:rPr/>
        <w:t>修订）</w:t>
      </w:r>
    </w:p>
    <w:p>
      <w:pPr>
        <w:spacing w:line="240" w:lineRule="auto" w:before="4"/>
        <w:rPr>
          <w:rFonts w:ascii="宋体" w:hAnsi="宋体" w:cs="宋体" w:eastAsia="宋体" w:hint="default"/>
          <w:sz w:val="15"/>
          <w:szCs w:val="15"/>
        </w:rPr>
      </w:pPr>
    </w:p>
    <w:p>
      <w:pPr>
        <w:pStyle w:val="BodyText"/>
        <w:spacing w:line="316" w:lineRule="auto"/>
        <w:ind w:right="1029" w:firstLine="360"/>
        <w:jc w:val="left"/>
      </w:pP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日发布了《企业会计准则第</w:t>
      </w:r>
      <w:r>
        <w:rPr>
          <w:rFonts w:ascii="宋体" w:hAnsi="宋体" w:cs="宋体" w:eastAsia="宋体" w:hint="default"/>
          <w:spacing w:val="-2"/>
        </w:rPr>
        <w:t>7</w:t>
      </w:r>
      <w:r>
        <w:rPr>
          <w:spacing w:val="-2"/>
        </w:rPr>
        <w:t>号——非货币性资产交换》（</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8</w:t>
      </w:r>
      <w:r>
        <w:rPr>
          <w:spacing w:val="-2"/>
        </w:rPr>
        <w:t>号），修订</w:t>
      </w:r>
      <w:r>
        <w:rPr/>
        <w:t> </w:t>
      </w:r>
      <w:r>
        <w:rPr>
          <w:spacing w:val="-2"/>
        </w:rPr>
        <w:t>后的准则自</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日起施行，对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日至本准则施行日之间发生的非货币性资产交换，应根据本准则进行调整。</w:t>
      </w:r>
      <w:r>
        <w:rPr>
          <w:spacing w:val="-57"/>
        </w:rPr>
        <w:t> </w:t>
      </w:r>
      <w:r>
        <w:rPr>
          <w:spacing w:val="-57"/>
        </w:rPr>
      </w:r>
      <w:r>
        <w:rPr>
          <w:spacing w:val="-2"/>
        </w:rPr>
        <w:t>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日之前发生的非货币性资产交换，不需要按照本准则的规定进行追溯调整。本公司执行上述准则在本报告期内</w:t>
      </w:r>
      <w:r>
        <w:rPr>
          <w:spacing w:val="-67"/>
        </w:rPr>
        <w:t> </w:t>
      </w:r>
      <w:r>
        <w:rPr>
          <w:spacing w:val="-67"/>
        </w:rPr>
      </w:r>
      <w:r>
        <w:rPr/>
        <w:t>无重大影响。</w:t>
      </w:r>
    </w:p>
    <w:p>
      <w:pPr>
        <w:pStyle w:val="BodyText"/>
        <w:spacing w:line="436" w:lineRule="exact" w:before="3"/>
        <w:ind w:left="501" w:right="0"/>
        <w:jc w:val="left"/>
      </w:pPr>
      <w:r>
        <w:rPr/>
        <w:t>（</w:t>
      </w:r>
      <w:r>
        <w:rPr>
          <w:rFonts w:ascii="宋体" w:hAnsi="宋体" w:cs="宋体" w:eastAsia="宋体" w:hint="default"/>
        </w:rPr>
        <w:t>4</w:t>
      </w:r>
      <w:r>
        <w:rPr/>
        <w:t>）执行《企业会计准则第</w:t>
      </w:r>
      <w:r>
        <w:rPr>
          <w:rFonts w:ascii="宋体" w:hAnsi="宋体" w:cs="宋体" w:eastAsia="宋体" w:hint="default"/>
        </w:rPr>
        <w:t>12</w:t>
      </w:r>
      <w:r>
        <w:rPr/>
        <w:t>号——债务重组》（</w:t>
      </w:r>
      <w:r>
        <w:rPr>
          <w:rFonts w:ascii="宋体" w:hAnsi="宋体" w:cs="宋体" w:eastAsia="宋体" w:hint="default"/>
        </w:rPr>
        <w:t>2019</w:t>
      </w:r>
      <w:r>
        <w:rPr/>
        <w:t>修订）</w:t>
      </w:r>
      <w:r>
        <w:rPr>
          <w:spacing w:val="-87"/>
        </w:rPr>
        <w:t>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日发布了《企业会计准则第</w:t>
      </w:r>
      <w:r>
        <w:rPr>
          <w:rFonts w:ascii="宋体" w:hAnsi="宋体" w:cs="宋体" w:eastAsia="宋体" w:hint="default"/>
          <w:spacing w:val="-2"/>
        </w:rPr>
        <w:t>12</w:t>
      </w:r>
      <w:r>
        <w:rPr>
          <w:spacing w:val="-2"/>
        </w:rPr>
        <w:t>号——债务重组》（</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9</w:t>
      </w:r>
      <w:r>
        <w:rPr>
          <w:spacing w:val="-2"/>
        </w:rPr>
        <w:t>号），修订后的准</w:t>
      </w:r>
    </w:p>
    <w:p>
      <w:pPr>
        <w:pStyle w:val="BodyText"/>
        <w:spacing w:line="304" w:lineRule="auto" w:before="18"/>
        <w:ind w:right="1119"/>
        <w:jc w:val="left"/>
      </w:pPr>
      <w:r>
        <w:rPr/>
        <w:t>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rFonts w:ascii="宋体" w:hAnsi="宋体" w:cs="宋体" w:eastAsia="宋体" w:hint="default"/>
          <w:spacing w:val="-83"/>
        </w:rPr>
        <w:t> </w:t>
      </w:r>
      <w:r>
        <w:rPr/>
        <w:t>日之前发生的债务重组，不需要按照本准则的规定进行追溯调整。本公司执行上述准则在本报告期内无重大影响。</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pStyle w:val="BodyText"/>
        <w:spacing w:line="420" w:lineRule="atLeast" w:before="185"/>
        <w:ind w:left="501" w:right="111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spacing w:val="-2"/>
        </w:rPr>
        <w:t>1</w:t>
      </w:r>
      <w:r>
        <w:rPr>
          <w:spacing w:val="-2"/>
        </w:rPr>
        <w:t>、本公司之全资子公司北京品推宝移动科技有限公司（以下简称“品推宝”）于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日与上海聚虎信息科技有</w:t>
      </w:r>
    </w:p>
    <w:p>
      <w:pPr>
        <w:pStyle w:val="BodyText"/>
        <w:spacing w:line="304" w:lineRule="auto" w:before="65"/>
        <w:ind w:right="1119"/>
        <w:jc w:val="left"/>
      </w:pPr>
      <w:r>
        <w:rPr/>
        <w:t>限公司共同成立上海宣亚人工智能科技有限公司。品推宝认缴出资</w:t>
      </w:r>
      <w:r>
        <w:rPr>
          <w:rFonts w:ascii="宋体" w:hAnsi="宋体" w:cs="宋体" w:eastAsia="宋体" w:hint="default"/>
        </w:rPr>
        <w:t>102</w:t>
      </w:r>
      <w:r>
        <w:rPr/>
        <w:t>万元，持股</w:t>
      </w:r>
      <w:r>
        <w:rPr>
          <w:rFonts w:ascii="宋体" w:hAnsi="宋体" w:cs="宋体" w:eastAsia="宋体" w:hint="default"/>
        </w:rPr>
        <w:t>51%</w:t>
      </w:r>
      <w:r>
        <w:rPr/>
        <w:t>，已于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27</w:t>
      </w:r>
      <w:r>
        <w:rPr/>
        <w:t>日支付首笔入资款</w:t>
      </w:r>
      <w:r>
        <w:rPr>
          <w:spacing w:val="-83"/>
        </w:rPr>
        <w:t> </w:t>
      </w:r>
      <w:r>
        <w:rPr>
          <w:rFonts w:ascii="宋体" w:hAnsi="宋体" w:cs="宋体" w:eastAsia="宋体" w:hint="default"/>
        </w:rPr>
        <w:t>25.50</w:t>
      </w:r>
      <w:r>
        <w:rPr/>
        <w:t>万元。公司本期将上海宣亚人工智能科技有限公司纳入合并范围。</w:t>
      </w:r>
    </w:p>
    <w:p>
      <w:pPr>
        <w:pStyle w:val="BodyText"/>
        <w:spacing w:line="321" w:lineRule="auto" w:before="151"/>
        <w:ind w:right="1113" w:firstLine="360"/>
        <w:jc w:val="left"/>
      </w:pPr>
      <w:r>
        <w:rPr>
          <w:rFonts w:ascii="宋体" w:hAnsi="宋体" w:cs="宋体" w:eastAsia="宋体" w:hint="default"/>
          <w:spacing w:val="-3"/>
        </w:rPr>
        <w:t>2</w:t>
      </w:r>
      <w:r>
        <w:rPr>
          <w:spacing w:val="-3"/>
        </w:rPr>
        <w:t>、品推宝于</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21</w:t>
      </w:r>
      <w:r>
        <w:rPr>
          <w:spacing w:val="-3"/>
        </w:rPr>
        <w:t>日与北京清博大数据科技有限公司共同成立上海至深大数据科技有限公司。品推宝认缴出资</w:t>
      </w:r>
      <w:r>
        <w:rPr>
          <w:rFonts w:ascii="宋体" w:hAnsi="宋体" w:cs="宋体" w:eastAsia="宋体" w:hint="default"/>
          <w:spacing w:val="-3"/>
        </w:rPr>
        <w:t>102</w:t>
      </w:r>
      <w:r>
        <w:rPr>
          <w:rFonts w:ascii="宋体" w:hAnsi="宋体" w:cs="宋体" w:eastAsia="宋体" w:hint="default"/>
        </w:rPr>
        <w:t> </w:t>
      </w:r>
      <w:r>
        <w:rPr/>
        <w:t>万元，持股</w:t>
      </w:r>
      <w:r>
        <w:rPr>
          <w:rFonts w:ascii="宋体" w:hAnsi="宋体" w:cs="宋体" w:eastAsia="宋体" w:hint="default"/>
        </w:rPr>
        <w:t>51%</w:t>
      </w:r>
      <w:r>
        <w:rPr/>
        <w:t>，已于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26</w:t>
      </w:r>
      <w:r>
        <w:rPr/>
        <w:t>日支付首笔入资款</w:t>
      </w:r>
      <w:r>
        <w:rPr>
          <w:rFonts w:ascii="宋体" w:hAnsi="宋体" w:cs="宋体" w:eastAsia="宋体" w:hint="default"/>
        </w:rPr>
        <w:t>51</w:t>
      </w:r>
      <w:r>
        <w:rPr/>
        <w:t>万元。公司将上海至深大数据科技有限公司纳入合并范围。</w:t>
      </w:r>
    </w:p>
    <w:p>
      <w:pPr>
        <w:pStyle w:val="BodyText"/>
        <w:spacing w:line="240" w:lineRule="auto" w:before="138"/>
        <w:ind w:left="501" w:right="0"/>
        <w:jc w:val="left"/>
      </w:pPr>
      <w:r>
        <w:rPr>
          <w:rFonts w:ascii="宋体" w:hAnsi="宋体" w:cs="宋体" w:eastAsia="宋体" w:hint="default"/>
        </w:rPr>
        <w:t>3</w:t>
      </w:r>
      <w:r>
        <w:rPr/>
        <w:t>、本公司之控股子公司珠海宣亚互动数字营销有限公司本年度注销。</w:t>
      </w:r>
    </w:p>
    <w:p>
      <w:pPr>
        <w:spacing w:line="240" w:lineRule="auto" w:before="4"/>
        <w:rPr>
          <w:rFonts w:ascii="宋体" w:hAnsi="宋体" w:cs="宋体" w:eastAsia="宋体" w:hint="default"/>
          <w:sz w:val="15"/>
          <w:szCs w:val="15"/>
        </w:rPr>
      </w:pPr>
    </w:p>
    <w:p>
      <w:pPr>
        <w:pStyle w:val="BodyText"/>
        <w:spacing w:line="319" w:lineRule="auto"/>
        <w:ind w:right="1126" w:firstLine="360"/>
        <w:jc w:val="both"/>
      </w:pPr>
      <w:r>
        <w:rPr>
          <w:rFonts w:ascii="宋体" w:hAnsi="宋体" w:cs="宋体" w:eastAsia="宋体" w:hint="default"/>
        </w:rPr>
        <w:t>4</w:t>
      </w:r>
      <w:r>
        <w:rPr/>
        <w:t>、本公司于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日，向天津星言云汇网络科技有限公司（以下简称“星言云汇”）增资人民币</w:t>
      </w:r>
      <w:r>
        <w:rPr>
          <w:rFonts w:ascii="宋体" w:hAnsi="宋体" w:cs="宋体" w:eastAsia="宋体" w:hint="default"/>
        </w:rPr>
        <w:t>2,000</w:t>
      </w:r>
      <w:r>
        <w:rPr/>
        <w:t>万元，增 资完成后持有星言云汇</w:t>
      </w:r>
      <w:r>
        <w:rPr>
          <w:rFonts w:ascii="宋体" w:hAnsi="宋体" w:cs="宋体" w:eastAsia="宋体" w:hint="default"/>
        </w:rPr>
        <w:t>20%</w:t>
      </w:r>
      <w:r>
        <w:rPr/>
        <w:t>的股权。</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29</w:t>
      </w:r>
      <w:r>
        <w:rPr/>
        <w:t>日经第三届董事会第十八次会议批准，以自有资金人民币</w:t>
      </w:r>
      <w:r>
        <w:rPr>
          <w:rFonts w:ascii="宋体" w:hAnsi="宋体" w:cs="宋体" w:eastAsia="宋体" w:hint="default"/>
        </w:rPr>
        <w:t>3,600</w:t>
      </w:r>
      <w:r>
        <w:rPr/>
        <w:t>万元购买星</w:t>
      </w:r>
      <w:r>
        <w:rPr>
          <w:spacing w:val="-81"/>
        </w:rPr>
        <w:t> </w:t>
      </w:r>
      <w:r>
        <w:rPr/>
        <w:t>言云汇股东菏泽众行企业管理咨询中心（有限合伙）（原名：天津众行有道企业管理咨询中心（有限合伙））持有的</w:t>
      </w:r>
      <w:r>
        <w:rPr>
          <w:rFonts w:ascii="宋体" w:hAnsi="宋体" w:cs="宋体" w:eastAsia="宋体" w:hint="default"/>
        </w:rPr>
        <w:t>20%</w:t>
      </w:r>
      <w:r>
        <w:rPr/>
        <w:t>股</w:t>
      </w:r>
      <w:r>
        <w:rPr>
          <w:spacing w:val="-79"/>
        </w:rPr>
        <w:t> </w:t>
      </w:r>
      <w:r>
        <w:rPr/>
        <w:t>权。星言云汇于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日召开股东大会，股东大会选举了新一届董事会成员，共有</w:t>
      </w:r>
      <w:r>
        <w:rPr>
          <w:rFonts w:ascii="宋体" w:hAnsi="宋体" w:cs="宋体" w:eastAsia="宋体" w:hint="default"/>
        </w:rPr>
        <w:t>3</w:t>
      </w:r>
      <w:r>
        <w:rPr/>
        <w:t>名董事，本公司派出</w:t>
      </w:r>
      <w:r>
        <w:rPr>
          <w:rFonts w:ascii="宋体" w:hAnsi="宋体" w:cs="宋体" w:eastAsia="宋体" w:hint="default"/>
        </w:rPr>
        <w:t>2</w:t>
      </w:r>
      <w:r>
        <w:rPr/>
        <w:t>名董事。同</w:t>
      </w:r>
      <w:r>
        <w:rPr>
          <w:spacing w:val="-81"/>
        </w:rPr>
        <w:t> </w:t>
      </w:r>
      <w:r>
        <w:rPr/>
        <w:t>日，召开第一届董事会会议，选举本公司委派的董事邬涛为新任董事长并派驻一名财务经理。综上所述：公司出资</w:t>
      </w:r>
      <w:r>
        <w:rPr>
          <w:rFonts w:ascii="宋体" w:hAnsi="宋体" w:cs="宋体" w:eastAsia="宋体" w:hint="default"/>
        </w:rPr>
        <w:t>5,600</w:t>
      </w:r>
      <w:r>
        <w:rPr/>
        <w:t>万</w:t>
      </w:r>
      <w:r>
        <w:rPr>
          <w:spacing w:val="-79"/>
        </w:rPr>
        <w:t> </w:t>
      </w:r>
      <w:r>
        <w:rPr/>
        <w:t>元取得星言云汇</w:t>
      </w:r>
      <w:r>
        <w:rPr>
          <w:rFonts w:ascii="宋体" w:hAnsi="宋体" w:cs="宋体" w:eastAsia="宋体" w:hint="default"/>
        </w:rPr>
        <w:t>40%</w:t>
      </w:r>
      <w:r>
        <w:rPr/>
        <w:t>的股权，由于在其董事会中占有多数席位，达到控制，故纳入合并范围，合并日为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年</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许培梅、顾欣</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r>
    </w:tbl>
    <w:p>
      <w:pPr>
        <w:pStyle w:val="BodyText"/>
        <w:spacing w:line="240" w:lineRule="auto" w:before="44"/>
        <w:ind w:right="0"/>
        <w:jc w:val="left"/>
      </w:pPr>
      <w:r>
        <w:rPr/>
        <w:t>是否改聘会计师事务所</w:t>
      </w:r>
    </w:p>
    <w:p>
      <w:pPr>
        <w:pStyle w:val="BodyText"/>
        <w:spacing w:line="319" w:lineRule="auto" w:before="125"/>
        <w:ind w:right="62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319" w:lineRule="auto" w:before="80"/>
        <w:ind w:left="501" w:right="19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本年度，公司聘请立信会计师事务所（特殊普通合伙）出具内部控制鉴证报告，报酬包含在年度审计费中。</w:t>
      </w:r>
    </w:p>
    <w:p>
      <w:pPr>
        <w:spacing w:after="0" w:line="319"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04" w:lineRule="auto"/>
        <w:ind w:right="1119" w:firstLine="360"/>
        <w:jc w:val="left"/>
      </w:pPr>
      <w:r>
        <w:rPr/>
        <w:t>从</w:t>
      </w:r>
      <w:r>
        <w:rPr>
          <w:rFonts w:ascii="Times New Roman" w:hAnsi="Times New Roman" w:cs="Times New Roman" w:eastAsia="Times New Roman" w:hint="default"/>
        </w:rPr>
        <w:t>2015</w:t>
      </w:r>
      <w:r>
        <w:rPr/>
        <w:t>年起，公司聘请中德证券有限责任公司作为公司的上市保荐机构，公司于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日上市时从发行费用中支 付承销保荐费共计</w:t>
      </w:r>
      <w:r>
        <w:rPr>
          <w:rFonts w:ascii="Times New Roman" w:hAnsi="Times New Roman" w:cs="Times New Roman" w:eastAsia="Times New Roman" w:hint="default"/>
        </w:rPr>
        <w:t>2,813.36</w:t>
      </w:r>
      <w:r>
        <w:rPr/>
        <w:t>万元。</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457"/>
        <w:gridCol w:w="1082"/>
        <w:gridCol w:w="1261"/>
        <w:gridCol w:w="962"/>
        <w:gridCol w:w="1396"/>
        <w:gridCol w:w="1261"/>
        <w:gridCol w:w="1082"/>
        <w:gridCol w:w="1081"/>
      </w:tblGrid>
      <w:tr>
        <w:trPr>
          <w:trHeight w:val="705" w:hRule="exact"/>
        </w:trPr>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615" w:right="4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45" w:right="15" w:hanging="330"/>
              <w:jc w:val="left"/>
              <w:rPr>
                <w:rFonts w:ascii="宋体" w:hAnsi="宋体" w:cs="宋体" w:eastAsia="宋体" w:hint="default"/>
                <w:sz w:val="18"/>
                <w:szCs w:val="18"/>
              </w:rPr>
            </w:pPr>
            <w:r>
              <w:rPr>
                <w:rFonts w:ascii="宋体" w:hAnsi="宋体" w:cs="宋体" w:eastAsia="宋体" w:hint="default"/>
                <w:spacing w:val="-8"/>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50" w:right="74"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300" w:right="43"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225" w:right="103"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255" w:right="28"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8"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23"/>
                <w:sz w:val="18"/>
                <w:szCs w:val="18"/>
              </w:rPr>
              <w:t>月份，我</w:t>
            </w:r>
            <w:r>
              <w:rPr>
                <w:rFonts w:ascii="宋体" w:hAnsi="宋体" w:cs="宋体" w:eastAsia="宋体" w:hint="default"/>
                <w:sz w:val="18"/>
                <w:szCs w:val="18"/>
              </w:rPr>
              <w:t> 公司向上海斐阅 信息技术有限公</w:t>
            </w:r>
          </w:p>
          <w:p>
            <w:pPr>
              <w:pStyle w:val="TableParagraph"/>
              <w:spacing w:line="312" w:lineRule="auto" w:before="51"/>
              <w:ind w:left="15" w:right="29"/>
              <w:jc w:val="left"/>
              <w:rPr>
                <w:rFonts w:ascii="宋体" w:hAnsi="宋体" w:cs="宋体" w:eastAsia="宋体" w:hint="default"/>
                <w:sz w:val="18"/>
                <w:szCs w:val="18"/>
              </w:rPr>
            </w:pPr>
            <w:r>
              <w:rPr>
                <w:rFonts w:ascii="宋体" w:hAnsi="宋体" w:cs="宋体" w:eastAsia="宋体" w:hint="default"/>
                <w:sz w:val="18"/>
                <w:szCs w:val="18"/>
              </w:rPr>
              <w:t>司提供天天链</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N1</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6"/>
                <w:sz w:val="18"/>
                <w:szCs w:val="18"/>
              </w:rPr>
              <w:t>传播服务，服务结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束后，经多次催收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服务费用无果，于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 我公司在上海市 普陀区人民法院 申请立案。</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83.33</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7" w:lineRule="auto"/>
              <w:ind w:left="30" w:right="194"/>
              <w:jc w:val="left"/>
              <w:rPr>
                <w:rFonts w:ascii="宋体" w:hAnsi="宋体" w:cs="宋体" w:eastAsia="宋体" w:hint="default"/>
                <w:sz w:val="18"/>
                <w:szCs w:val="18"/>
              </w:rPr>
            </w:pPr>
            <w:r>
              <w:rPr>
                <w:rFonts w:ascii="宋体" w:hAnsi="宋体" w:cs="宋体" w:eastAsia="宋体" w:hint="default"/>
                <w:sz w:val="18"/>
                <w:szCs w:val="18"/>
              </w:rPr>
              <w:t>判决已生 效</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09" w:lineRule="auto"/>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 法院判决我公司 胜诉，截至本报 告披露日，我公 司已申请强制执</w:t>
            </w:r>
          </w:p>
          <w:p>
            <w:pPr>
              <w:pStyle w:val="TableParagraph"/>
              <w:spacing w:line="304" w:lineRule="auto" w:before="43"/>
              <w:ind w:left="15" w:right="59"/>
              <w:jc w:val="both"/>
              <w:rPr>
                <w:rFonts w:ascii="宋体" w:hAnsi="宋体" w:cs="宋体" w:eastAsia="宋体" w:hint="default"/>
                <w:sz w:val="18"/>
                <w:szCs w:val="18"/>
              </w:rPr>
            </w:pPr>
            <w:r>
              <w:rPr>
                <w:rFonts w:ascii="宋体" w:hAnsi="宋体" w:cs="宋体" w:eastAsia="宋体" w:hint="default"/>
                <w:sz w:val="18"/>
                <w:szCs w:val="18"/>
              </w:rPr>
              <w:t>行立案。</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日收到法 院强制执行结果 通知：查无可执 行财产。</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561" w:lineRule="exact"/>
              <w:ind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62.35pt;height:78.1pt;mso-position-horizontal-relative:char;mso-position-vertical-relative:line" coordorigin="0,0" coordsize="1247,1562">
                  <v:group style="position:absolute;left:0;top:0;width:1247;height:1562" coordorigin="0,0" coordsize="1247,1562">
                    <v:shape style="position:absolute;left:0;top:0;width:1247;height:1562" coordorigin="0,0" coordsize="1247,1562" path="m0,1561l1246,1561,1246,0,0,0,0,1561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未回款</w:t>
            </w:r>
          </w:p>
        </w:tc>
        <w:tc>
          <w:tcPr>
            <w:tcW w:w="10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44"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23"/>
                <w:sz w:val="18"/>
                <w:szCs w:val="18"/>
              </w:rPr>
              <w:t>月份，我</w:t>
            </w:r>
            <w:r>
              <w:rPr>
                <w:rFonts w:ascii="宋体" w:hAnsi="宋体" w:cs="宋体" w:eastAsia="宋体" w:hint="default"/>
                <w:sz w:val="18"/>
                <w:szCs w:val="18"/>
              </w:rPr>
              <w:t> 公司向上海康斐 信息技术有限公</w:t>
            </w:r>
          </w:p>
          <w:p>
            <w:pPr>
              <w:pStyle w:val="TableParagraph"/>
              <w:spacing w:line="319" w:lineRule="auto" w:before="37"/>
              <w:ind w:left="15" w:right="13"/>
              <w:jc w:val="left"/>
              <w:rPr>
                <w:rFonts w:ascii="宋体" w:hAnsi="宋体" w:cs="宋体" w:eastAsia="宋体" w:hint="default"/>
                <w:sz w:val="18"/>
                <w:szCs w:val="18"/>
              </w:rPr>
            </w:pPr>
            <w:r>
              <w:rPr>
                <w:rFonts w:ascii="宋体" w:hAnsi="宋体" w:cs="宋体" w:eastAsia="宋体" w:hint="default"/>
                <w:sz w:val="18"/>
                <w:szCs w:val="18"/>
              </w:rPr>
              <w:t>司提供澳门发布 会和推啥</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APP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上 市发布会</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个项目</w:t>
            </w:r>
          </w:p>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pacing w:val="-6"/>
                <w:sz w:val="18"/>
                <w:szCs w:val="18"/>
              </w:rPr>
              <w:t>的服务，服务结束</w:t>
            </w:r>
          </w:p>
          <w:p>
            <w:pPr>
              <w:pStyle w:val="TableParagraph"/>
              <w:spacing w:line="321" w:lineRule="auto" w:before="80"/>
              <w:ind w:left="15" w:right="29"/>
              <w:jc w:val="left"/>
              <w:rPr>
                <w:rFonts w:ascii="宋体" w:hAnsi="宋体" w:cs="宋体" w:eastAsia="宋体" w:hint="default"/>
                <w:sz w:val="18"/>
                <w:szCs w:val="18"/>
              </w:rPr>
            </w:pPr>
            <w:r>
              <w:rPr>
                <w:rFonts w:ascii="宋体" w:hAnsi="宋体" w:cs="宋体" w:eastAsia="宋体" w:hint="default"/>
                <w:spacing w:val="-6"/>
                <w:sz w:val="18"/>
                <w:szCs w:val="18"/>
              </w:rPr>
              <w:t>后，经多次催收服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务费用无果，于</w:t>
            </w:r>
          </w:p>
          <w:p>
            <w:pPr>
              <w:pStyle w:val="TableParagraph"/>
              <w:spacing w:line="304" w:lineRule="auto" w:before="33"/>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 我公司在上海市 普陀区人民法院 申请立案。</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153.29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7" w:lineRule="auto"/>
              <w:ind w:left="30"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、澳门发 布会项目 判决已生 效；</w:t>
            </w:r>
            <w:r>
              <w:rPr>
                <w:rFonts w:ascii="Times New Roman" w:hAnsi="Times New Roman" w:cs="Times New Roman" w:eastAsia="Times New Roman" w:hint="default"/>
                <w:sz w:val="18"/>
                <w:szCs w:val="18"/>
              </w:rPr>
              <w:t>2</w:t>
            </w:r>
            <w:r>
              <w:rPr>
                <w:rFonts w:ascii="宋体" w:hAnsi="宋体" w:cs="宋体" w:eastAsia="宋体" w:hint="default"/>
                <w:sz w:val="18"/>
                <w:szCs w:val="18"/>
              </w:rPr>
              <w:t>、推 啥</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APP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 目已撤销 立案。</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319" w:lineRule="auto" w:before="36"/>
              <w:ind w:left="15" w:right="44"/>
              <w:jc w:val="both"/>
              <w:rPr>
                <w:rFonts w:ascii="宋体" w:hAnsi="宋体" w:cs="宋体" w:eastAsia="宋体" w:hint="default"/>
                <w:sz w:val="18"/>
                <w:szCs w:val="18"/>
              </w:rPr>
            </w:pPr>
            <w:r>
              <w:rPr>
                <w:rFonts w:ascii="宋体" w:hAnsi="宋体" w:cs="宋体" w:eastAsia="宋体" w:hint="default"/>
                <w:sz w:val="18"/>
                <w:szCs w:val="18"/>
              </w:rPr>
              <w:t>日，法院判定澳 门发布会项目我 公司胜诉，截至 本报告披露日， 我公司已申请强 制执行立案。</w:t>
            </w:r>
          </w:p>
          <w:p>
            <w:pPr>
              <w:pStyle w:val="TableParagraph"/>
              <w:spacing w:line="304" w:lineRule="auto" w:before="35"/>
              <w:ind w:left="15"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 收到法院强制执 行结果通知：查 无可执行财产。</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未回款</w:t>
            </w:r>
          </w:p>
        </w:tc>
        <w:tc>
          <w:tcPr>
            <w:tcW w:w="10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57"/>
        <w:gridCol w:w="1082"/>
        <w:gridCol w:w="1261"/>
        <w:gridCol w:w="962"/>
        <w:gridCol w:w="1396"/>
        <w:gridCol w:w="1261"/>
        <w:gridCol w:w="1082"/>
        <w:gridCol w:w="1081"/>
      </w:tblGrid>
      <w:tr>
        <w:trPr>
          <w:trHeight w:val="720" w:hRule="exact"/>
        </w:trPr>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615" w:right="4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45" w:right="15" w:hanging="330"/>
              <w:jc w:val="left"/>
              <w:rPr>
                <w:rFonts w:ascii="宋体" w:hAnsi="宋体" w:cs="宋体" w:eastAsia="宋体" w:hint="default"/>
                <w:sz w:val="18"/>
                <w:szCs w:val="18"/>
              </w:rPr>
            </w:pPr>
            <w:r>
              <w:rPr>
                <w:rFonts w:ascii="宋体" w:hAnsi="宋体" w:cs="宋体" w:eastAsia="宋体" w:hint="default"/>
                <w:spacing w:val="-8"/>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50" w:right="74"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300" w:right="43"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25" w:right="103"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55" w:right="28"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4"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月份至</w:t>
            </w:r>
          </w:p>
          <w:p>
            <w:pPr>
              <w:pStyle w:val="TableParagraph"/>
              <w:spacing w:line="314" w:lineRule="auto" w:before="66"/>
              <w:ind w:left="15"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月份期 </w:t>
            </w:r>
            <w:r>
              <w:rPr>
                <w:rFonts w:ascii="宋体" w:hAnsi="宋体" w:cs="宋体" w:eastAsia="宋体" w:hint="default"/>
                <w:spacing w:val="-6"/>
                <w:sz w:val="18"/>
                <w:szCs w:val="18"/>
              </w:rPr>
              <w:t>间，我公司向上海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斐赛克斯通信设 备有限公司提供 日常、天天链</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N1</w:t>
            </w:r>
            <w:r>
              <w:rPr>
                <w:rFonts w:ascii="Times New Roman" w:hAnsi="Times New Roman" w:cs="Times New Roman" w:eastAsia="Times New Roman" w:hint="default"/>
                <w:sz w:val="18"/>
                <w:szCs w:val="18"/>
              </w:rPr>
            </w:r>
          </w:p>
          <w:p>
            <w:pPr>
              <w:pStyle w:val="TableParagraph"/>
              <w:spacing w:line="225" w:lineRule="exact"/>
              <w:ind w:left="15" w:right="0"/>
              <w:jc w:val="both"/>
              <w:rPr>
                <w:rFonts w:ascii="宋体" w:hAnsi="宋体" w:cs="宋体" w:eastAsia="宋体" w:hint="default"/>
                <w:sz w:val="18"/>
                <w:szCs w:val="18"/>
              </w:rPr>
            </w:pPr>
            <w:r>
              <w:rPr>
                <w:rFonts w:ascii="宋体" w:hAnsi="宋体" w:cs="宋体" w:eastAsia="宋体" w:hint="default"/>
                <w:sz w:val="18"/>
                <w:szCs w:val="18"/>
              </w:rPr>
              <w:t>之后及斐讯手环</w:t>
            </w:r>
          </w:p>
          <w:p>
            <w:pPr>
              <w:pStyle w:val="TableParagraph"/>
              <w:spacing w:line="297" w:lineRule="auto" w:before="94"/>
              <w:ind w:left="15" w:right="13"/>
              <w:jc w:val="both"/>
              <w:rPr>
                <w:rFonts w:ascii="宋体" w:hAnsi="宋体" w:cs="宋体" w:eastAsia="宋体" w:hint="default"/>
                <w:sz w:val="18"/>
                <w:szCs w:val="18"/>
              </w:rPr>
            </w:pPr>
            <w:r>
              <w:rPr>
                <w:rFonts w:ascii="宋体" w:hAnsi="宋体" w:cs="宋体" w:eastAsia="宋体" w:hint="default"/>
                <w:sz w:val="18"/>
                <w:szCs w:val="18"/>
              </w:rPr>
              <w:t>传播共计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个项目 </w:t>
            </w:r>
            <w:r>
              <w:rPr>
                <w:rFonts w:ascii="宋体" w:hAnsi="宋体" w:cs="宋体" w:eastAsia="宋体" w:hint="default"/>
                <w:spacing w:val="-6"/>
                <w:sz w:val="18"/>
                <w:szCs w:val="18"/>
              </w:rPr>
              <w:t>的服务，服务结束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后，经多次催收服</w:t>
            </w:r>
          </w:p>
          <w:p>
            <w:pPr>
              <w:pStyle w:val="TableParagraph"/>
              <w:spacing w:line="240" w:lineRule="auto" w:before="37"/>
              <w:ind w:left="15" w:right="0"/>
              <w:jc w:val="both"/>
              <w:rPr>
                <w:rFonts w:ascii="宋体" w:hAnsi="宋体" w:cs="宋体" w:eastAsia="宋体" w:hint="default"/>
                <w:sz w:val="18"/>
                <w:szCs w:val="18"/>
              </w:rPr>
            </w:pPr>
            <w:r>
              <w:rPr>
                <w:rFonts w:ascii="宋体" w:hAnsi="宋体" w:cs="宋体" w:eastAsia="宋体" w:hint="default"/>
                <w:sz w:val="18"/>
                <w:szCs w:val="18"/>
              </w:rPr>
              <w:t>务费用无果，于</w:t>
            </w:r>
          </w:p>
          <w:p>
            <w:pPr>
              <w:pStyle w:val="TableParagraph"/>
              <w:spacing w:line="240" w:lineRule="auto" w:before="95"/>
              <w:ind w:left="15"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314" w:lineRule="auto" w:before="51"/>
              <w:ind w:left="15" w:right="164"/>
              <w:jc w:val="both"/>
              <w:rPr>
                <w:rFonts w:ascii="宋体" w:hAnsi="宋体" w:cs="宋体" w:eastAsia="宋体" w:hint="default"/>
                <w:sz w:val="18"/>
                <w:szCs w:val="18"/>
              </w:rPr>
            </w:pPr>
            <w:r>
              <w:rPr>
                <w:rFonts w:ascii="宋体" w:hAnsi="宋体" w:cs="宋体" w:eastAsia="宋体" w:hint="default"/>
                <w:sz w:val="18"/>
                <w:szCs w:val="18"/>
              </w:rPr>
              <w:t>日我公司在上海 市松江区人民法 院申请立案。</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3"/>
              <w:jc w:val="right"/>
              <w:rPr>
                <w:rFonts w:ascii="Times New Roman" w:hAnsi="Times New Roman" w:cs="Times New Roman" w:eastAsia="Times New Roman" w:hint="default"/>
                <w:sz w:val="18"/>
                <w:szCs w:val="18"/>
              </w:rPr>
            </w:pPr>
            <w:r>
              <w:rPr>
                <w:rFonts w:ascii="Times New Roman"/>
                <w:sz w:val="18"/>
              </w:rPr>
              <w:t>327.11</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21" w:lineRule="auto"/>
              <w:ind w:left="30" w:right="194"/>
              <w:jc w:val="left"/>
              <w:rPr>
                <w:rFonts w:ascii="宋体" w:hAnsi="宋体" w:cs="宋体" w:eastAsia="宋体" w:hint="default"/>
                <w:sz w:val="18"/>
                <w:szCs w:val="18"/>
              </w:rPr>
            </w:pPr>
            <w:r>
              <w:rPr>
                <w:rFonts w:ascii="宋体" w:hAnsi="宋体" w:cs="宋体" w:eastAsia="宋体" w:hint="default"/>
                <w:sz w:val="18"/>
                <w:szCs w:val="18"/>
              </w:rPr>
              <w:t>判决已生 效</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97" w:lineRule="auto"/>
              <w:ind w:left="15"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 法院判决我公司 胜诉，截至本报</w:t>
            </w:r>
          </w:p>
          <w:p>
            <w:pPr>
              <w:pStyle w:val="TableParagraph"/>
              <w:spacing w:line="321" w:lineRule="auto" w:before="36"/>
              <w:ind w:left="15"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告披露日，我公 司已提交强制执 行立案申请。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日收到法院强制</w:t>
            </w:r>
          </w:p>
          <w:p>
            <w:pPr>
              <w:pStyle w:val="TableParagraph"/>
              <w:spacing w:line="321" w:lineRule="auto" w:before="80"/>
              <w:ind w:left="15" w:right="104"/>
              <w:jc w:val="left"/>
              <w:rPr>
                <w:rFonts w:ascii="宋体" w:hAnsi="宋体" w:cs="宋体" w:eastAsia="宋体" w:hint="default"/>
                <w:sz w:val="18"/>
                <w:szCs w:val="18"/>
              </w:rPr>
            </w:pPr>
            <w:r>
              <w:rPr>
                <w:rFonts w:ascii="宋体" w:hAnsi="宋体" w:cs="宋体" w:eastAsia="宋体" w:hint="default"/>
                <w:sz w:val="18"/>
                <w:szCs w:val="18"/>
              </w:rPr>
              <w:t>执行结果通知： 查无可执行财 产。</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未回款</w:t>
            </w:r>
          </w:p>
        </w:tc>
        <w:tc>
          <w:tcPr>
            <w:tcW w:w="10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14"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97" w:lineRule="auto"/>
              <w:ind w:left="15" w:right="11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月份我 公司向珠海市魅 族科技有限公司</w:t>
            </w:r>
          </w:p>
          <w:p>
            <w:pPr>
              <w:pStyle w:val="TableParagraph"/>
              <w:spacing w:line="321" w:lineRule="auto" w:before="36"/>
              <w:ind w:left="15"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提供日常传播服 务，服务结束后， 多次催收服务费 用无果，于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日我公司 向北京市仲裁委 员会申请仲裁。</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477.73</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和解结案</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314" w:lineRule="auto" w:before="51"/>
              <w:ind w:left="15" w:right="103"/>
              <w:jc w:val="both"/>
              <w:rPr>
                <w:rFonts w:ascii="宋体" w:hAnsi="宋体" w:cs="宋体" w:eastAsia="宋体" w:hint="default"/>
                <w:sz w:val="18"/>
                <w:szCs w:val="18"/>
              </w:rPr>
            </w:pPr>
            <w:r>
              <w:rPr>
                <w:rFonts w:ascii="宋体" w:hAnsi="宋体" w:cs="宋体" w:eastAsia="宋体" w:hint="default"/>
                <w:sz w:val="18"/>
                <w:szCs w:val="18"/>
              </w:rPr>
              <w:t>日，我公司与魅 族科技公司达成 和解，项目总金 额按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260 </w:t>
            </w:r>
            <w:r>
              <w:rPr>
                <w:rFonts w:ascii="宋体" w:hAnsi="宋体" w:cs="宋体" w:eastAsia="宋体" w:hint="default"/>
                <w:sz w:val="18"/>
                <w:szCs w:val="18"/>
              </w:rPr>
              <w:t>万元结 算支付，并签署</w:t>
            </w:r>
          </w:p>
          <w:p>
            <w:pPr>
              <w:pStyle w:val="TableParagraph"/>
              <w:spacing w:line="288" w:lineRule="auto" w:before="38"/>
              <w:ind w:left="15" w:right="103"/>
              <w:jc w:val="both"/>
              <w:rPr>
                <w:rFonts w:ascii="宋体" w:hAnsi="宋体" w:cs="宋体" w:eastAsia="宋体" w:hint="default"/>
                <w:sz w:val="18"/>
                <w:szCs w:val="18"/>
              </w:rPr>
            </w:pPr>
            <w:r>
              <w:rPr>
                <w:rFonts w:ascii="宋体" w:hAnsi="宋体" w:cs="宋体" w:eastAsia="宋体" w:hint="default"/>
                <w:sz w:val="18"/>
                <w:szCs w:val="18"/>
              </w:rPr>
              <w:t>和解协议。</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我公司收到魅族</w:t>
            </w:r>
          </w:p>
          <w:p>
            <w:pPr>
              <w:pStyle w:val="TableParagraph"/>
              <w:spacing w:line="288" w:lineRule="auto" w:before="59"/>
              <w:ind w:left="15" w:right="103"/>
              <w:jc w:val="both"/>
              <w:rPr>
                <w:rFonts w:ascii="宋体" w:hAnsi="宋体" w:cs="宋体" w:eastAsia="宋体" w:hint="default"/>
                <w:sz w:val="18"/>
                <w:szCs w:val="18"/>
              </w:rPr>
            </w:pPr>
            <w:r>
              <w:rPr>
                <w:rFonts w:ascii="宋体" w:hAnsi="宋体" w:cs="宋体" w:eastAsia="宋体" w:hint="default"/>
                <w:sz w:val="18"/>
                <w:szCs w:val="18"/>
              </w:rPr>
              <w:t>科技公司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260 </w:t>
            </w:r>
            <w:r>
              <w:rPr>
                <w:rFonts w:ascii="宋体" w:hAnsi="宋体" w:cs="宋体" w:eastAsia="宋体" w:hint="default"/>
                <w:sz w:val="18"/>
                <w:szCs w:val="18"/>
              </w:rPr>
              <w:t>万 元项目款。</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已回款</w:t>
            </w:r>
          </w:p>
        </w:tc>
        <w:tc>
          <w:tcPr>
            <w:tcW w:w="10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2"/>
        <w:rPr>
          <w:rFonts w:ascii="宋体" w:hAnsi="宋体" w:cs="宋体" w:eastAsia="宋体" w:hint="default"/>
          <w:sz w:val="17"/>
          <w:szCs w:val="17"/>
        </w:rPr>
      </w:pPr>
    </w:p>
    <w:p>
      <w:pPr>
        <w:pStyle w:val="Heading3"/>
        <w:spacing w:line="240" w:lineRule="auto" w:before="26"/>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ind w:right="44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公司报告期无股权激励计划、员工持股计划或其他员工激励措施及其实施情况。</w:t>
      </w:r>
    </w:p>
    <w:p>
      <w:pPr>
        <w:spacing w:after="0" w:line="316" w:lineRule="auto"/>
        <w:jc w:val="left"/>
        <w:sectPr>
          <w:pgSz w:w="11910" w:h="16850"/>
          <w:pgMar w:header="866" w:footer="981" w:top="1120" w:bottom="1180" w:left="1000" w:right="0"/>
        </w:sectPr>
      </w:pPr>
    </w:p>
    <w:p>
      <w:pPr>
        <w:spacing w:line="240" w:lineRule="auto" w:before="5"/>
        <w:rPr>
          <w:rFonts w:ascii="宋体" w:hAnsi="宋体" w:cs="宋体" w:eastAsia="宋体" w:hint="default"/>
          <w:sz w:val="29"/>
          <w:szCs w:val="29"/>
        </w:rPr>
      </w:pPr>
    </w:p>
    <w:p>
      <w:pPr>
        <w:pStyle w:val="Heading3"/>
        <w:spacing w:line="240" w:lineRule="auto" w:before="26"/>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公司报告期未发生与日常经营相关的关联交易。</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5"/>
        <w:rPr>
          <w:rFonts w:ascii="宋体" w:hAnsi="宋体" w:cs="宋体" w:eastAsia="宋体" w:hint="default"/>
          <w:sz w:val="23"/>
          <w:szCs w:val="23"/>
        </w:rPr>
      </w:pPr>
    </w:p>
    <w:p>
      <w:pPr>
        <w:pStyle w:val="Heading5"/>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p>
      <w:pPr>
        <w:pStyle w:val="Heading9"/>
        <w:spacing w:line="240" w:lineRule="auto"/>
        <w:ind w:right="0"/>
        <w:jc w:val="left"/>
        <w:rPr>
          <w:b w:val="0"/>
          <w:bCs w:val="0"/>
        </w:rPr>
      </w:pPr>
      <w:r>
        <w:rPr/>
        <w:t>（一）关于公司发行股份、可转换公司债券及支付现金购买资产并募集配套资金暨关联交易预案及终止事项</w:t>
      </w:r>
      <w:r>
        <w:rPr>
          <w:b w:val="0"/>
          <w:bCs w:val="0"/>
        </w:rPr>
      </w:r>
    </w:p>
    <w:p>
      <w:pPr>
        <w:spacing w:line="240" w:lineRule="auto" w:before="4"/>
        <w:rPr>
          <w:rFonts w:ascii="宋体" w:hAnsi="宋体" w:cs="宋体" w:eastAsia="宋体" w:hint="default"/>
          <w:b/>
          <w:bCs/>
          <w:sz w:val="15"/>
          <w:szCs w:val="15"/>
        </w:rPr>
      </w:pPr>
    </w:p>
    <w:p>
      <w:pPr>
        <w:pStyle w:val="BodyText"/>
        <w:spacing w:line="300" w:lineRule="auto"/>
        <w:ind w:right="1034"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日，公司召开第三届董事会第十六次会议、第四届监事会第十四次会议，审议并通过了《关于</w:t>
      </w:r>
      <w:r>
        <w:rPr>
          <w:rFonts w:ascii="Times New Roman" w:hAnsi="Times New Roman" w:cs="Times New Roman" w:eastAsia="Times New Roman" w:hint="default"/>
        </w:rPr>
        <w:t>&lt;</w:t>
      </w:r>
      <w:r>
        <w:rPr/>
        <w:t>公司发行 股份、可转换公司债券及支付现金购买资产并募集配套资金暨关联交易预案</w:t>
      </w:r>
      <w:r>
        <w:rPr>
          <w:rFonts w:ascii="Times New Roman" w:hAnsi="Times New Roman" w:cs="Times New Roman" w:eastAsia="Times New Roman" w:hint="default"/>
        </w:rPr>
        <w:t>&gt;</w:t>
      </w:r>
      <w:r>
        <w:rPr/>
        <w:t>及其摘要的议案》等相关议案。公司拟通过发</w:t>
      </w:r>
      <w:r>
        <w:rPr>
          <w:spacing w:val="-80"/>
        </w:rPr>
        <w:t> </w:t>
      </w:r>
      <w:r>
        <w:rPr>
          <w:spacing w:val="-2"/>
        </w:rPr>
        <w:t>行股份、可转换公司债券及支付现金方式，购买福建湛美企业管理合伙企业（有限合伙）（原名“共青城湛美投资管理合伙</w:t>
      </w:r>
      <w:r>
        <w:rPr>
          <w:spacing w:val="-69"/>
        </w:rPr>
        <w:t> </w:t>
      </w:r>
      <w:r>
        <w:rPr>
          <w:spacing w:val="-69"/>
        </w:rPr>
      </w:r>
      <w:r>
        <w:rPr>
          <w:spacing w:val="-4"/>
        </w:rPr>
        <w:t>企业（有限合伙）”）；福建众维企业管理合伙企业（有限合伙）（原名“共青城众维投资管理合伙企业（有限合伙）”）、</w:t>
      </w:r>
    </w:p>
    <w:p>
      <w:pPr>
        <w:pStyle w:val="BodyText"/>
        <w:spacing w:line="304" w:lineRule="auto" w:before="49"/>
        <w:ind w:right="0"/>
        <w:jc w:val="left"/>
      </w:pPr>
      <w:r>
        <w:rPr/>
        <w:t>齐艳彬、共青城万世一合投资管理合伙企业（有限合伙）、刘伟持有的致维科技（北京）有限公司</w:t>
      </w:r>
      <w:r>
        <w:rPr>
          <w:rFonts w:ascii="Times New Roman" w:hAnsi="Times New Roman" w:cs="Times New Roman" w:eastAsia="Times New Roman" w:hint="default"/>
        </w:rPr>
        <w:t>93.9615%</w:t>
      </w:r>
      <w:r>
        <w:rPr/>
        <w:t>股权，同时拟</w:t>
      </w:r>
      <w:r>
        <w:rPr>
          <w:spacing w:val="-10"/>
        </w:rPr>
        <w:t> </w:t>
      </w:r>
      <w:r>
        <w:rPr>
          <w:spacing w:val="-10"/>
        </w:rPr>
      </w:r>
      <w:r>
        <w:rPr/>
        <w:t>以询价方式向不超过</w:t>
      </w:r>
      <w:r>
        <w:rPr>
          <w:rFonts w:ascii="Times New Roman" w:hAnsi="Times New Roman" w:cs="Times New Roman" w:eastAsia="Times New Roman" w:hint="default"/>
        </w:rPr>
        <w:t>5</w:t>
      </w:r>
      <w:r>
        <w:rPr/>
        <w:t>名特定投资者非公开发行普通股及可转换公司债券募集配套资金（以下简称</w:t>
      </w:r>
      <w:r>
        <w:rPr>
          <w:rFonts w:ascii="Times New Roman" w:hAnsi="Times New Roman" w:cs="Times New Roman" w:eastAsia="Times New Roman" w:hint="default"/>
        </w:rPr>
        <w:t>“</w:t>
      </w:r>
      <w:r>
        <w:rPr/>
        <w:t>本次重组</w:t>
      </w:r>
      <w:r>
        <w:rPr>
          <w:rFonts w:ascii="Times New Roman" w:hAnsi="Times New Roman" w:cs="Times New Roman" w:eastAsia="Times New Roman" w:hint="default"/>
        </w:rPr>
        <w:t>”</w:t>
      </w:r>
      <w:r>
        <w:rPr/>
        <w:t>）。</w:t>
      </w:r>
    </w:p>
    <w:p>
      <w:pPr>
        <w:pStyle w:val="BodyText"/>
        <w:spacing w:line="309" w:lineRule="auto" w:before="132"/>
        <w:ind w:right="1029"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日，公司召开第三届董事会第十七次会议、第四届监事会第十五次会议，审议并通过了《关于终止重大资 产重组事项的议案》。自筹划本次重组事项以来，公司严格按照相关法律法规要求，积极组织相关各方推进本次交易工作， </w:t>
      </w:r>
      <w:r>
        <w:rPr>
          <w:spacing w:val="-2"/>
        </w:rPr>
        <w:t>与交易对方就本次重组事项进行了反复探讨和沟通。但由于交易各方未能就正式协议中的交易对价、业绩承诺等核心条款达</w:t>
      </w:r>
      <w:r>
        <w:rPr>
          <w:spacing w:val="-72"/>
        </w:rPr>
        <w:t> </w:t>
      </w:r>
      <w:r>
        <w:rPr>
          <w:spacing w:val="-72"/>
        </w:rPr>
      </w:r>
      <w:r>
        <w:rPr>
          <w:spacing w:val="-2"/>
        </w:rPr>
        <w:t>成一致，经认真听取各方意见并与交易对方协商一致，为切实维护公司及全体股东利益，经审慎研究，决定终止本次重大资</w:t>
      </w:r>
      <w:r>
        <w:rPr>
          <w:spacing w:val="-42"/>
        </w:rPr>
        <w:t> </w:t>
      </w:r>
      <w:r>
        <w:rPr>
          <w:spacing w:val="-42"/>
        </w:rPr>
      </w:r>
      <w:r>
        <w:rPr/>
        <w:t>产重组事项，独立董事亦发表了事前认可意见及同意的独立意见。</w:t>
      </w:r>
    </w:p>
    <w:p>
      <w:pPr>
        <w:pStyle w:val="Heading9"/>
        <w:spacing w:line="240" w:lineRule="auto" w:before="147"/>
        <w:ind w:right="0"/>
        <w:jc w:val="left"/>
        <w:rPr>
          <w:b w:val="0"/>
          <w:bCs w:val="0"/>
        </w:rPr>
      </w:pPr>
      <w:r>
        <w:rPr/>
        <w:t>（二）关于签订《房屋租赁合同补充协议二》暨关联交易的事项</w:t>
      </w:r>
      <w:r>
        <w:rPr>
          <w:b w:val="0"/>
          <w:bCs w:val="0"/>
        </w:rPr>
      </w:r>
    </w:p>
    <w:p>
      <w:pPr>
        <w:spacing w:line="240" w:lineRule="auto" w:before="6"/>
        <w:rPr>
          <w:rFonts w:ascii="宋体" w:hAnsi="宋体" w:cs="宋体" w:eastAsia="宋体" w:hint="default"/>
          <w:b/>
          <w:bCs/>
          <w:sz w:val="16"/>
          <w:szCs w:val="16"/>
        </w:rPr>
      </w:pPr>
    </w:p>
    <w:p>
      <w:pPr>
        <w:pStyle w:val="BodyText"/>
        <w:spacing w:line="300" w:lineRule="auto"/>
        <w:ind w:right="1035" w:firstLine="360"/>
        <w:jc w:val="left"/>
        <w:rPr>
          <w:rFonts w:ascii="Times New Roman" w:hAnsi="Times New Roman" w:cs="Times New Roman" w:eastAsia="Times New Roman" w:hint="default"/>
        </w:rPr>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日召开的第三届董事会第九次会议、第四届监事会第八次会议同意拟租用北京斯普汇德文化中心 </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（现已更名为：北京斯普汇德文化发展有限公司，以下简称</w:t>
      </w:r>
      <w:r>
        <w:rPr>
          <w:rFonts w:ascii="Times New Roman" w:hAnsi="Times New Roman" w:cs="Times New Roman" w:eastAsia="Times New Roman" w:hint="default"/>
        </w:rPr>
        <w:t>“</w:t>
      </w:r>
      <w:r>
        <w:rPr/>
        <w:t>斯普汇德</w:t>
      </w:r>
      <w:r>
        <w:rPr>
          <w:rFonts w:ascii="Times New Roman" w:hAnsi="Times New Roman" w:cs="Times New Roman" w:eastAsia="Times New Roman" w:hint="default"/>
        </w:rPr>
        <w:t>”</w:t>
      </w:r>
      <w:r>
        <w:rPr/>
        <w:t>）承租的位于北京市朝阳区双桥街</w:t>
      </w:r>
      <w:r>
        <w:rPr>
          <w:rFonts w:ascii="Times New Roman" w:hAnsi="Times New Roman" w:cs="Times New Roman" w:eastAsia="Times New Roman" w:hint="default"/>
        </w:rPr>
        <w:t>12</w:t>
      </w:r>
      <w:r>
        <w:rPr/>
        <w:t>号院</w:t>
      </w:r>
      <w:r>
        <w:rPr>
          <w:spacing w:val="-75"/>
        </w:rPr>
        <w:t> </w:t>
      </w:r>
      <w:r>
        <w:rPr>
          <w:rFonts w:ascii="Times New Roman" w:hAnsi="Times New Roman" w:cs="Times New Roman" w:eastAsia="Times New Roman" w:hint="default"/>
          <w:spacing w:val="-3"/>
          <w:w w:val="100"/>
        </w:rPr>
        <w:t>39#</w:t>
      </w:r>
      <w:r>
        <w:rPr>
          <w:spacing w:val="-3"/>
          <w:w w:val="100"/>
        </w:rPr>
        <w:t>、</w:t>
      </w:r>
      <w:r>
        <w:rPr>
          <w:rFonts w:ascii="Times New Roman" w:hAnsi="Times New Roman" w:cs="Times New Roman" w:eastAsia="Times New Roman" w:hint="default"/>
          <w:spacing w:val="-3"/>
          <w:w w:val="100"/>
        </w:rPr>
        <w:t>41#-45#</w:t>
      </w:r>
      <w:r>
        <w:rPr>
          <w:spacing w:val="-3"/>
          <w:w w:val="100"/>
        </w:rPr>
        <w:t>办公楼，并于当日与斯普汇德签订《房屋租赁合同》（以下简称</w:t>
      </w:r>
      <w:r>
        <w:rPr>
          <w:rFonts w:ascii="Times New Roman" w:hAnsi="Times New Roman" w:cs="Times New Roman" w:eastAsia="Times New Roman" w:hint="default"/>
          <w:spacing w:val="-3"/>
          <w:w w:val="100"/>
        </w:rPr>
        <w:t>“</w:t>
      </w:r>
      <w:r>
        <w:rPr>
          <w:spacing w:val="-3"/>
          <w:w w:val="100"/>
        </w:rPr>
        <w:t>原合同</w:t>
      </w:r>
      <w:r>
        <w:rPr>
          <w:rFonts w:ascii="Times New Roman" w:hAnsi="Times New Roman" w:cs="Times New Roman" w:eastAsia="Times New Roman" w:hint="default"/>
          <w:spacing w:val="-3"/>
          <w:w w:val="100"/>
        </w:rPr>
        <w:t>”</w:t>
      </w:r>
      <w:r>
        <w:rPr>
          <w:spacing w:val="-3"/>
          <w:w w:val="100"/>
        </w:rPr>
        <w:t>），该房屋建筑面积为</w:t>
      </w:r>
      <w:r>
        <w:rPr>
          <w:rFonts w:ascii="Times New Roman" w:hAnsi="Times New Roman" w:cs="Times New Roman" w:eastAsia="Times New Roman" w:hint="default"/>
          <w:spacing w:val="-3"/>
          <w:w w:val="100"/>
        </w:rPr>
        <w:t>5048.49</w:t>
      </w:r>
      <w:r>
        <w:rPr>
          <w:spacing w:val="-3"/>
          <w:w w:val="100"/>
        </w:rPr>
        <w:t>平方米，</w:t>
      </w:r>
      <w:r>
        <w:rPr>
          <w:spacing w:val="-68"/>
          <w:w w:val="100"/>
        </w:rPr>
        <w:t> </w:t>
      </w:r>
      <w:r>
        <w:rPr/>
        <w:t>租赁期限为</w:t>
      </w:r>
      <w:r>
        <w:rPr>
          <w:rFonts w:ascii="Times New Roman" w:hAnsi="Times New Roman" w:cs="Times New Roman" w:eastAsia="Times New Roman" w:hint="default"/>
        </w:rPr>
        <w:t>3519</w:t>
      </w:r>
      <w:r>
        <w:rPr/>
        <w:t>天，租赁期自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日止，公司以每半年为一期支付租金，租金为人民币</w:t>
      </w:r>
      <w:r>
        <w:rPr>
          <w:rFonts w:ascii="Times New Roman" w:hAnsi="Times New Roman" w:cs="Times New Roman" w:eastAsia="Times New Roman" w:hint="default"/>
        </w:rPr>
        <w:t>4,163,865.03</w:t>
      </w:r>
    </w:p>
    <w:p>
      <w:pPr>
        <w:spacing w:after="0" w:line="300" w:lineRule="auto"/>
        <w:jc w:val="left"/>
        <w:rPr>
          <w:rFonts w:ascii="Times New Roman" w:hAnsi="Times New Roman" w:cs="Times New Roman" w:eastAsia="Times New Roman" w:hint="default"/>
        </w:rPr>
        <w:sectPr>
          <w:pgSz w:w="11910" w:h="16850"/>
          <w:pgMar w:header="866" w:footer="981" w:top="112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302" w:lineRule="auto"/>
        <w:ind w:right="1126"/>
        <w:jc w:val="both"/>
      </w:pPr>
      <w:r>
        <w:rPr/>
        <w:t>元</w:t>
      </w:r>
      <w:r>
        <w:rPr>
          <w:rFonts w:ascii="Times New Roman" w:hAnsi="Times New Roman" w:cs="Times New Roman" w:eastAsia="Times New Roman" w:hint="default"/>
        </w:rPr>
        <w:t>/</w:t>
      </w:r>
      <w:r>
        <w:rPr/>
        <w:t>半年（含房屋租金、物业管理费及相关税费），租赁物业全部租期内租金合计为人民币</w:t>
      </w:r>
      <w:r>
        <w:rPr>
          <w:rFonts w:ascii="Times New Roman" w:hAnsi="Times New Roman" w:cs="Times New Roman" w:eastAsia="Times New Roman" w:hint="default"/>
        </w:rPr>
        <w:t>80,953,818.00</w:t>
      </w:r>
      <w:r>
        <w:rPr/>
        <w:t>元，本公司于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日向斯普汇德缴纳相当于租赁物业的</w:t>
      </w:r>
      <w:r>
        <w:rPr>
          <w:rFonts w:ascii="Times New Roman" w:hAnsi="Times New Roman" w:cs="Times New Roman" w:eastAsia="Times New Roman" w:hint="default"/>
        </w:rPr>
        <w:t>92</w:t>
      </w:r>
      <w:r>
        <w:rPr/>
        <w:t>天租金的保证金，合计金额为人民币</w:t>
      </w:r>
      <w:r>
        <w:rPr>
          <w:rFonts w:ascii="Times New Roman" w:hAnsi="Times New Roman" w:cs="Times New Roman" w:eastAsia="Times New Roman" w:hint="default"/>
        </w:rPr>
        <w:t>2,117,942.52</w:t>
      </w:r>
      <w:r>
        <w:rPr/>
        <w:t>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日向斯</w:t>
      </w:r>
      <w:r>
        <w:rPr>
          <w:spacing w:val="-40"/>
        </w:rPr>
        <w:t> </w:t>
      </w:r>
      <w:r>
        <w:rPr/>
        <w:t>普汇德缴纳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1-6</w:t>
      </w:r>
      <w:r>
        <w:rPr/>
        <w:t>月房租</w:t>
      </w:r>
      <w:r>
        <w:rPr>
          <w:rFonts w:ascii="Times New Roman" w:hAnsi="Times New Roman" w:cs="Times New Roman" w:eastAsia="Times New Roman" w:hint="default"/>
        </w:rPr>
        <w:t>4,163,865.03</w:t>
      </w:r>
      <w:r>
        <w:rPr/>
        <w:t>元。</w:t>
      </w:r>
    </w:p>
    <w:p>
      <w:pPr>
        <w:pStyle w:val="BodyText"/>
        <w:spacing w:line="297" w:lineRule="auto" w:before="119"/>
        <w:ind w:right="1110"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日召开第三届董事会第十次会议、第四届监事会第九次会议，审议通过了《关于签订</w:t>
      </w:r>
      <w:r>
        <w:rPr>
          <w:rFonts w:ascii="Times New Roman" w:hAnsi="Times New Roman" w:cs="Times New Roman" w:eastAsia="Times New Roman" w:hint="default"/>
        </w:rPr>
        <w:t>&lt;</w:t>
      </w:r>
      <w:r>
        <w:rPr/>
        <w:t>房屋租赁合 同补充协议</w:t>
      </w:r>
      <w:r>
        <w:rPr>
          <w:rFonts w:ascii="Times New Roman" w:hAnsi="Times New Roman" w:cs="Times New Roman" w:eastAsia="Times New Roman" w:hint="default"/>
        </w:rPr>
        <w:t>&gt;</w:t>
      </w:r>
      <w:r>
        <w:rPr/>
        <w:t>暨关联交易的议案》。协议双方需按国家政府部门出台有关新的政策及市场行情变化，每三年进行必要的租金</w:t>
      </w:r>
      <w:r>
        <w:rPr>
          <w:spacing w:val="-85"/>
        </w:rPr>
        <w:t> </w:t>
      </w:r>
      <w:r>
        <w:rPr>
          <w:spacing w:val="-85"/>
        </w:rPr>
      </w:r>
      <w:r>
        <w:rPr>
          <w:spacing w:val="-2"/>
        </w:rPr>
        <w:t>调整。但是无论如何，调整后的年租金水平不得高于原合同租期内第一年的租金，此调整须经公司重新履行相应的审议程序</w:t>
      </w:r>
    </w:p>
    <w:p>
      <w:pPr>
        <w:pStyle w:val="BodyText"/>
        <w:spacing w:line="297" w:lineRule="auto" w:before="51"/>
        <w:ind w:right="1127"/>
        <w:jc w:val="both"/>
      </w:pPr>
      <w:r>
        <w:rPr/>
        <w:t>后生效。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日房屋租金合计：人民币</w:t>
      </w:r>
      <w:r>
        <w:rPr>
          <w:rFonts w:ascii="Times New Roman" w:hAnsi="Times New Roman" w:cs="Times New Roman" w:eastAsia="Times New Roman" w:hint="default"/>
        </w:rPr>
        <w:t>25,213,237.98 </w:t>
      </w:r>
      <w:r>
        <w:rPr/>
        <w:t>元（大写：贰仟伍佰贰拾壹万叁仟贰佰叁拾柒</w:t>
      </w:r>
      <w:r>
        <w:rPr>
          <w:spacing w:val="-60"/>
        </w:rPr>
        <w:t> </w:t>
      </w:r>
      <w:r>
        <w:rPr>
          <w:spacing w:val="-60"/>
        </w:rPr>
      </w:r>
      <w:r>
        <w:rPr>
          <w:spacing w:val="-1"/>
        </w:rPr>
        <w:t>元玖角捌分）。如租金没有调整，租赁物业全部租期内租金合计：人民币</w:t>
      </w:r>
      <w:r>
        <w:rPr>
          <w:rFonts w:ascii="Times New Roman" w:hAnsi="Times New Roman" w:cs="Times New Roman" w:eastAsia="Times New Roman" w:hint="default"/>
          <w:spacing w:val="-1"/>
        </w:rPr>
        <w:t>80,953,818</w:t>
      </w:r>
      <w:r>
        <w:rPr>
          <w:spacing w:val="-1"/>
        </w:rPr>
        <w:t>元</w:t>
      </w:r>
      <w:r>
        <w:rPr>
          <w:rFonts w:ascii="Times New Roman" w:hAnsi="Times New Roman" w:cs="Times New Roman" w:eastAsia="Times New Roman" w:hint="default"/>
          <w:spacing w:val="-1"/>
        </w:rPr>
        <w:t>(</w:t>
      </w:r>
      <w:r>
        <w:rPr>
          <w:spacing w:val="-1"/>
        </w:rPr>
        <w:t>大写：捌仟零玖拾伍万叁仟捌佰壹拾</w:t>
      </w:r>
      <w:r>
        <w:rPr>
          <w:spacing w:val="-85"/>
        </w:rPr>
        <w:t> </w:t>
      </w:r>
      <w:r>
        <w:rPr>
          <w:spacing w:val="-85"/>
        </w:rPr>
      </w:r>
      <w:r>
        <w:rPr/>
        <w:t>捌元整</w:t>
      </w:r>
      <w:r>
        <w:rPr>
          <w:rFonts w:ascii="Times New Roman" w:hAnsi="Times New Roman" w:cs="Times New Roman" w:eastAsia="Times New Roman" w:hint="default"/>
        </w:rPr>
        <w:t>)</w:t>
      </w:r>
      <w:r>
        <w:rPr/>
        <w:t>。</w:t>
      </w:r>
      <w:r>
        <w:rPr>
          <w:spacing w:val="7"/>
        </w:rPr>
        <w:t> </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w:t>
      </w:r>
      <w:r>
        <w:rPr>
          <w:rFonts w:ascii="Times New Roman" w:hAnsi="Times New Roman" w:cs="Times New Roman" w:eastAsia="Times New Roman" w:hint="default"/>
        </w:rPr>
        <w:t>2018</w:t>
      </w:r>
      <w:r>
        <w:rPr/>
        <w:t>年第四次临时股东大会，审议通过了《关于签订</w:t>
      </w:r>
      <w:r>
        <w:rPr>
          <w:rFonts w:ascii="Times New Roman" w:hAnsi="Times New Roman" w:cs="Times New Roman" w:eastAsia="Times New Roman" w:hint="default"/>
        </w:rPr>
        <w:t>&lt;</w:t>
      </w:r>
      <w:r>
        <w:rPr/>
        <w:t>房屋租赁合同</w:t>
      </w:r>
      <w:r>
        <w:rPr>
          <w:rFonts w:ascii="Times New Roman" w:hAnsi="Times New Roman" w:cs="Times New Roman" w:eastAsia="Times New Roman" w:hint="default"/>
        </w:rPr>
        <w:t>&gt;</w:t>
      </w:r>
      <w:r>
        <w:rPr/>
        <w:t>暨关联交易的议</w:t>
      </w:r>
      <w:r>
        <w:rPr>
          <w:spacing w:val="-88"/>
        </w:rPr>
        <w:t> </w:t>
      </w:r>
      <w:r>
        <w:rPr/>
        <w:t>案》及《关于签订</w:t>
      </w:r>
      <w:r>
        <w:rPr>
          <w:rFonts w:ascii="Times New Roman" w:hAnsi="Times New Roman" w:cs="Times New Roman" w:eastAsia="Times New Roman" w:hint="default"/>
        </w:rPr>
        <w:t>&lt;</w:t>
      </w:r>
      <w:r>
        <w:rPr/>
        <w:t>房屋租赁合同补充协议</w:t>
      </w:r>
      <w:r>
        <w:rPr>
          <w:rFonts w:ascii="Times New Roman" w:hAnsi="Times New Roman" w:cs="Times New Roman" w:eastAsia="Times New Roman" w:hint="default"/>
        </w:rPr>
        <w:t>&gt;</w:t>
      </w:r>
      <w:r>
        <w:rPr/>
        <w:t>暨关联交易的议案》。</w:t>
      </w:r>
    </w:p>
    <w:p>
      <w:pPr>
        <w:pStyle w:val="BodyText"/>
        <w:spacing w:line="300" w:lineRule="auto" w:before="138"/>
        <w:ind w:right="1105" w:firstLine="36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日，召开第三届董事会第十九次会议、第四届监事会第十六次会议，审议通过《关于签订</w:t>
      </w:r>
      <w:r>
        <w:rPr>
          <w:rFonts w:ascii="Times New Roman" w:hAnsi="Times New Roman" w:cs="Times New Roman" w:eastAsia="Times New Roman" w:hint="default"/>
        </w:rPr>
        <w:t>&lt;</w:t>
      </w:r>
      <w:r>
        <w:rPr/>
        <w:t>房屋租 赁合同补充协议二</w:t>
      </w:r>
      <w:r>
        <w:rPr>
          <w:rFonts w:ascii="Times New Roman" w:hAnsi="Times New Roman" w:cs="Times New Roman" w:eastAsia="Times New Roman" w:hint="default"/>
        </w:rPr>
        <w:t>&gt;</w:t>
      </w:r>
      <w:r>
        <w:rPr/>
        <w:t>暨关联交易的议案》后，与斯普汇德签署了《房屋租赁合同补充协议二》。因产权方未将北京市朝阳区</w:t>
      </w:r>
      <w:r>
        <w:rPr>
          <w:spacing w:val="-85"/>
        </w:rPr>
        <w:t> </w:t>
      </w:r>
      <w:r>
        <w:rPr>
          <w:spacing w:val="-2"/>
        </w:rPr>
        <w:t>双桥街</w:t>
      </w:r>
      <w:r>
        <w:rPr>
          <w:rFonts w:ascii="Times New Roman" w:hAnsi="Times New Roman" w:cs="Times New Roman" w:eastAsia="Times New Roman" w:hint="default"/>
          <w:spacing w:val="-2"/>
        </w:rPr>
        <w:t>12</w:t>
      </w:r>
      <w:r>
        <w:rPr>
          <w:spacing w:val="-2"/>
        </w:rPr>
        <w:t>号院的市政配套、园区绿化等项目整改到位，为了更好向承租方提供园区整体配套服务，经与公司友好协商，房屋</w:t>
      </w:r>
      <w:r>
        <w:rPr>
          <w:spacing w:val="-40"/>
        </w:rPr>
        <w:t> </w:t>
      </w:r>
      <w:r>
        <w:rPr>
          <w:spacing w:val="-40"/>
        </w:rPr>
      </w:r>
      <w:r>
        <w:rPr/>
        <w:t>起租日期调整为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日，终止日期不变，即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日。公司严格履行了审议程序并与出租方签署附生效条件的</w:t>
      </w:r>
      <w:r>
        <w:rPr>
          <w:spacing w:val="-87"/>
        </w:rPr>
        <w:t> </w:t>
      </w:r>
      <w:r>
        <w:rPr>
          <w:spacing w:val="-1"/>
        </w:rPr>
        <w:t>补充协议，协议约定将公司已于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4</w:t>
      </w:r>
      <w:r>
        <w:rPr>
          <w:spacing w:val="-1"/>
        </w:rPr>
        <w:t>日向斯普汇德支付的原合同约定的房屋租金</w:t>
      </w:r>
      <w:r>
        <w:rPr>
          <w:rFonts w:ascii="Times New Roman" w:hAnsi="Times New Roman" w:cs="Times New Roman" w:eastAsia="Times New Roman" w:hint="default"/>
          <w:spacing w:val="-1"/>
        </w:rPr>
        <w:t>4,163,865.03</w:t>
      </w:r>
      <w:r>
        <w:rPr>
          <w:spacing w:val="-1"/>
        </w:rPr>
        <w:t>元及利息</w:t>
      </w:r>
      <w:r>
        <w:rPr>
          <w:rFonts w:ascii="Times New Roman" w:hAnsi="Times New Roman" w:cs="Times New Roman" w:eastAsia="Times New Roman" w:hint="default"/>
          <w:spacing w:val="-1"/>
        </w:rPr>
        <w:t>360,174.33</w:t>
      </w:r>
      <w:r>
        <w:rPr>
          <w:spacing w:val="-1"/>
        </w:rPr>
        <w:t>元用</w:t>
      </w:r>
      <w:r>
        <w:rPr>
          <w:spacing w:val="-43"/>
        </w:rPr>
        <w:t> </w:t>
      </w:r>
      <w:r>
        <w:rPr/>
        <w:t>于冲抵</w:t>
      </w:r>
      <w:r>
        <w:rPr>
          <w:rFonts w:ascii="Times New Roman" w:hAnsi="Times New Roman" w:cs="Times New Roman" w:eastAsia="Times New Roman" w:hint="default"/>
        </w:rPr>
        <w:t>2020</w:t>
      </w:r>
      <w:r>
        <w:rPr/>
        <w:t>年租金，该事项经股东大会审议通过后，公司于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日按照协议约定进行了</w:t>
      </w:r>
      <w:r>
        <w:rPr>
          <w:rFonts w:ascii="Times New Roman" w:hAnsi="Times New Roman" w:cs="Times New Roman" w:eastAsia="Times New Roman" w:hint="default"/>
        </w:rPr>
        <w:t>2020</w:t>
      </w:r>
      <w:r>
        <w:rPr/>
        <w:t>年租金冲抵。</w:t>
      </w:r>
    </w:p>
    <w:p>
      <w:pPr>
        <w:pStyle w:val="BodyText"/>
        <w:spacing w:line="297" w:lineRule="auto" w:before="136"/>
        <w:ind w:right="1109" w:firstLine="360"/>
        <w:jc w:val="both"/>
      </w:pPr>
      <w:r>
        <w:rPr>
          <w:spacing w:val="-3"/>
        </w:rPr>
        <w:t>基于上述情况，截至本报告期末，公司的非经营性资金占用期末余额为</w:t>
      </w:r>
      <w:r>
        <w:rPr>
          <w:rFonts w:ascii="Times New Roman" w:hAnsi="Times New Roman" w:cs="Times New Roman" w:eastAsia="Times New Roman" w:hint="default"/>
          <w:spacing w:val="-3"/>
        </w:rPr>
        <w:t>337,169.55</w:t>
      </w:r>
      <w:r>
        <w:rPr>
          <w:spacing w:val="-3"/>
        </w:rPr>
        <w:t>元，是因公司所收取利息用于冲抵</w:t>
      </w:r>
      <w:r>
        <w:rPr>
          <w:rFonts w:ascii="Times New Roman" w:hAnsi="Times New Roman" w:cs="Times New Roman" w:eastAsia="Times New Roman" w:hint="default"/>
          <w:spacing w:val="-3"/>
        </w:rPr>
        <w:t>2020</w:t>
      </w:r>
      <w:r>
        <w:rPr>
          <w:rFonts w:ascii="Times New Roman" w:hAnsi="Times New Roman" w:cs="Times New Roman" w:eastAsia="Times New Roman" w:hint="default"/>
        </w:rPr>
        <w:t> </w:t>
      </w:r>
      <w:r>
        <w:rPr>
          <w:spacing w:val="-2"/>
        </w:rPr>
        <w:t>年租金后剩余金额，在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日至</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日视为其他关联人及其附属企业非经营性资金占用。其他关联方斯普汇德已</w:t>
      </w:r>
      <w:r>
        <w:rPr>
          <w:spacing w:val="-55"/>
        </w:rPr>
        <w:t> </w:t>
      </w:r>
      <w:r>
        <w:rPr>
          <w:spacing w:val="-55"/>
        </w:rPr>
      </w:r>
      <w:r>
        <w:rPr>
          <w:spacing w:val="-2"/>
        </w:rPr>
        <w:t>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日将上述款项归还至公司指定账户，并按照协议约定的计息方式支付了此笔费用自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14</w:t>
      </w:r>
      <w:r>
        <w:rPr/>
        <w:t>日利息款项</w:t>
      </w:r>
      <w:r>
        <w:rPr>
          <w:rFonts w:ascii="Times New Roman" w:hAnsi="Times New Roman" w:cs="Times New Roman" w:eastAsia="Times New Roman" w:hint="default"/>
        </w:rPr>
        <w:t>10,199.38</w:t>
      </w:r>
      <w:r>
        <w:rPr/>
        <w:t>元。</w:t>
      </w:r>
    </w:p>
    <w:p>
      <w:pPr>
        <w:pStyle w:val="Heading9"/>
        <w:spacing w:line="240" w:lineRule="auto" w:before="123"/>
        <w:ind w:right="0"/>
        <w:jc w:val="left"/>
        <w:rPr>
          <w:b w:val="0"/>
          <w:bCs w:val="0"/>
        </w:rPr>
      </w:pPr>
      <w:r>
        <w:rPr/>
        <w:t>（三）关联交易预计及进展</w:t>
      </w:r>
      <w:r>
        <w:rPr>
          <w:b w:val="0"/>
          <w:bCs w:val="0"/>
        </w:rPr>
      </w:r>
    </w:p>
    <w:p>
      <w:pPr>
        <w:spacing w:line="240" w:lineRule="auto" w:before="6"/>
        <w:rPr>
          <w:rFonts w:ascii="宋体" w:hAnsi="宋体" w:cs="宋体" w:eastAsia="宋体" w:hint="default"/>
          <w:b/>
          <w:bCs/>
          <w:sz w:val="16"/>
          <w:szCs w:val="16"/>
        </w:rPr>
      </w:pPr>
    </w:p>
    <w:p>
      <w:pPr>
        <w:pStyle w:val="BodyText"/>
        <w:spacing w:line="288" w:lineRule="auto"/>
        <w:ind w:right="1036" w:firstLine="360"/>
        <w:jc w:val="both"/>
      </w:pP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11</w:t>
      </w:r>
      <w:r>
        <w:rPr>
          <w:spacing w:val="-4"/>
        </w:rPr>
        <w:t>日发布《关于拟与品推宝（深圳）商业保理有限公司进行关联交易的公告》（公告编号：</w:t>
      </w:r>
      <w:r>
        <w:rPr>
          <w:rFonts w:ascii="Times New Roman" w:hAnsi="Times New Roman" w:cs="Times New Roman" w:eastAsia="Times New Roman" w:hint="default"/>
          <w:spacing w:val="-4"/>
        </w:rPr>
        <w:t>2019-035</w:t>
      </w:r>
      <w:r>
        <w:rPr>
          <w:spacing w:val="-4"/>
        </w:rPr>
        <w:t>），</w:t>
      </w:r>
      <w:r>
        <w:rPr>
          <w:spacing w:val="-30"/>
        </w:rPr>
        <w:t> </w:t>
      </w:r>
      <w:r>
        <w:rPr/>
        <w:t>公司的供应商（以下简称</w:t>
      </w:r>
      <w:r>
        <w:rPr>
          <w:rFonts w:ascii="Times New Roman" w:hAnsi="Times New Roman" w:cs="Times New Roman" w:eastAsia="Times New Roman" w:hint="default"/>
        </w:rPr>
        <w:t>“</w:t>
      </w:r>
      <w:r>
        <w:rPr/>
        <w:t>债权人</w:t>
      </w:r>
      <w:r>
        <w:rPr>
          <w:rFonts w:ascii="Times New Roman" w:hAnsi="Times New Roman" w:cs="Times New Roman" w:eastAsia="Times New Roman" w:hint="default"/>
        </w:rPr>
        <w:t>”</w:t>
      </w:r>
      <w:r>
        <w:rPr/>
        <w:t>）拟与品推宝（深圳）商业保理有限公司（以下简称：</w:t>
      </w:r>
      <w:r>
        <w:rPr>
          <w:rFonts w:ascii="Times New Roman" w:hAnsi="Times New Roman" w:cs="Times New Roman" w:eastAsia="Times New Roman" w:hint="default"/>
        </w:rPr>
        <w:t>“</w:t>
      </w:r>
      <w:r>
        <w:rPr/>
        <w:t>品推宝保理公司</w:t>
      </w:r>
      <w:r>
        <w:rPr>
          <w:rFonts w:ascii="Times New Roman" w:hAnsi="Times New Roman" w:cs="Times New Roman" w:eastAsia="Times New Roman" w:hint="default"/>
        </w:rPr>
        <w:t>”</w:t>
      </w:r>
      <w:r>
        <w:rPr/>
        <w:t>）签订《商业保 </w:t>
      </w:r>
      <w:r>
        <w:rPr>
          <w:spacing w:val="-2"/>
        </w:rPr>
        <w:t>理合作协议》，债权人将其与宣亚国际签署的合同项下的应收账款及该应收账款所享有的全部债权及债权的从属权利等相关</w:t>
      </w:r>
    </w:p>
    <w:p>
      <w:pPr>
        <w:pStyle w:val="BodyText"/>
        <w:spacing w:line="328" w:lineRule="auto" w:before="43"/>
        <w:ind w:right="1045"/>
        <w:jc w:val="both"/>
      </w:pPr>
      <w:r>
        <w:rPr>
          <w:spacing w:val="-2"/>
        </w:rPr>
        <w:t>权益转让给品推宝保理公司；债权人与品推宝保理公司将其共同签署的《应收账款转让通知书》发至宣亚国际，由宣亚国际</w:t>
      </w:r>
      <w:r>
        <w:rPr>
          <w:spacing w:val="-42"/>
        </w:rPr>
        <w:t> </w:t>
      </w:r>
      <w:r>
        <w:rPr>
          <w:spacing w:val="-42"/>
        </w:rPr>
      </w:r>
      <w:r>
        <w:rPr>
          <w:spacing w:val="-2"/>
        </w:rPr>
        <w:t>确认被转让的债权人应收账款的真实性、合法性以及该通知书的内容真实无误；待宣亚国际被转让的应付账款到期，宣亚国</w:t>
      </w:r>
      <w:r>
        <w:rPr>
          <w:spacing w:val="-75"/>
        </w:rPr>
        <w:t> </w:t>
      </w:r>
      <w:r>
        <w:rPr>
          <w:spacing w:val="-75"/>
        </w:rPr>
      </w:r>
      <w:r>
        <w:rPr/>
        <w:t>际将应付账款金额支付到品推宝保理公司专用账户。</w:t>
      </w:r>
      <w:r>
        <w:rPr>
          <w:rFonts w:ascii="Times New Roman" w:hAnsi="Times New Roman" w:cs="Times New Roman" w:eastAsia="Times New Roman" w:hint="default"/>
        </w:rPr>
        <w:t>2019</w:t>
      </w:r>
      <w:r>
        <w:rPr/>
        <w:t>年度，宣亚国际拟与品推宝保理公司进行的关联交易预计不超过</w:t>
      </w:r>
    </w:p>
    <w:p>
      <w:pPr>
        <w:pStyle w:val="BodyText"/>
        <w:spacing w:line="276" w:lineRule="auto"/>
        <w:ind w:right="1045"/>
        <w:jc w:val="both"/>
      </w:pPr>
      <w:r>
        <w:rPr>
          <w:rFonts w:ascii="Times New Roman" w:hAnsi="Times New Roman" w:cs="Times New Roman" w:eastAsia="Times New Roman" w:hint="default"/>
          <w:spacing w:val="-1"/>
        </w:rPr>
        <w:t>2,000</w:t>
      </w:r>
      <w:r>
        <w:rPr>
          <w:spacing w:val="-1"/>
        </w:rPr>
        <w:t>万元。相关议案已经公司第三届董事会第十四次会议、第四届监事会第十二次会议审议并通过，关联董事张秀兵先生、</w:t>
      </w:r>
      <w:r>
        <w:rPr>
          <w:spacing w:val="-78"/>
        </w:rPr>
        <w:t> </w:t>
      </w:r>
      <w:r>
        <w:rPr>
          <w:spacing w:val="-78"/>
        </w:rPr>
      </w:r>
      <w:r>
        <w:rPr>
          <w:spacing w:val="-2"/>
        </w:rPr>
        <w:t>万丽莉女士回避表决。同时，公司独立董事发表了事前认可意见和明确同意的独立意见。本次事项构成关联交易，但不构成</w:t>
      </w:r>
    </w:p>
    <w:p>
      <w:pPr>
        <w:pStyle w:val="BodyText"/>
        <w:spacing w:line="381" w:lineRule="auto" w:before="52"/>
        <w:ind w:left="501" w:right="1570" w:hanging="361"/>
        <w:jc w:val="left"/>
      </w:pPr>
      <w:r>
        <w:rPr/>
        <w:t>《上市公司重大资产重组管理办法》规定的重大资产重组。本次交易在董事会审批权限内，无需提交股东大会审议。 截至本报告期末，公司与品推宝保理关联交易实际发生金额为</w:t>
      </w:r>
      <w:r>
        <w:rPr>
          <w:rFonts w:ascii="Times New Roman" w:hAnsi="Times New Roman" w:cs="Times New Roman" w:eastAsia="Times New Roman" w:hint="default"/>
        </w:rPr>
        <w:t>281.29</w:t>
      </w:r>
      <w:r>
        <w:rPr/>
        <w:t>万元。</w:t>
      </w:r>
    </w:p>
    <w:p>
      <w:pPr>
        <w:pStyle w:val="BodyText"/>
        <w:spacing w:line="199" w:lineRule="exact"/>
        <w:ind w:right="0"/>
        <w:jc w:val="both"/>
      </w:pPr>
      <w:r>
        <w:rPr/>
        <w:t>重大关联交易临时报告披露网站相关查询</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69"/>
        <w:gridCol w:w="2643"/>
        <w:gridCol w:w="3469"/>
      </w:tblGrid>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21"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5"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、《关于拟与品推宝（深圳）商业保理有限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公司进行关联交易的公告》</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25"/>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20"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7"/>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、《发行股份、可转换公司债券及支付现金</w:t>
            </w:r>
            <w:r>
              <w:rPr>
                <w:rFonts w:ascii="宋体" w:hAnsi="宋体" w:cs="宋体" w:eastAsia="宋体" w:hint="default"/>
                <w:sz w:val="18"/>
                <w:szCs w:val="18"/>
              </w:rPr>
              <w:t> 购买资产并募集配套资金暨关联交易预案》</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25"/>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91"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《关于终止重大资产重组事项的公告》</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25"/>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20"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、《关于签订《房屋租赁合同补充协议二》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暨关联交易的公告》</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25"/>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3"/>
        <w:rPr>
          <w:rFonts w:ascii="宋体" w:hAnsi="宋体" w:cs="宋体" w:eastAsia="宋体" w:hint="default"/>
          <w:sz w:val="28"/>
          <w:szCs w:val="28"/>
        </w:rPr>
      </w:pPr>
    </w:p>
    <w:p>
      <w:pPr>
        <w:pStyle w:val="Heading3"/>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租赁情况说明</w:t>
      </w:r>
    </w:p>
    <w:p>
      <w:pPr>
        <w:pStyle w:val="BodyText"/>
        <w:spacing w:line="240" w:lineRule="auto" w:before="80"/>
        <w:ind w:right="0"/>
        <w:jc w:val="left"/>
      </w:pPr>
      <w:r>
        <w:rPr/>
        <w:t>租用北京斯普汇德文化发展有限公司（原名：北京斯普汇德文化中心</w:t>
      </w:r>
      <w:r>
        <w:rPr>
          <w:rFonts w:ascii="Times New Roman" w:hAnsi="Times New Roman" w:cs="Times New Roman" w:eastAsia="Times New Roman" w:hint="default"/>
        </w:rPr>
        <w:t>(</w:t>
      </w:r>
      <w:r>
        <w:rPr/>
        <w:t>有限合伙））承租的位于北京市朝阳区双桥街</w:t>
      </w:r>
      <w:r>
        <w:rPr>
          <w:rFonts w:ascii="Times New Roman" w:hAnsi="Times New Roman" w:cs="Times New Roman" w:eastAsia="Times New Roman" w:hint="default"/>
        </w:rPr>
        <w:t>12</w:t>
      </w:r>
      <w:r>
        <w:rPr/>
        <w:t>号院</w:t>
      </w:r>
    </w:p>
    <w:p>
      <w:pPr>
        <w:pStyle w:val="BodyText"/>
        <w:spacing w:line="240" w:lineRule="auto" w:before="66"/>
        <w:ind w:right="0"/>
        <w:jc w:val="left"/>
      </w:pPr>
      <w:r>
        <w:rPr>
          <w:rFonts w:ascii="Times New Roman" w:hAnsi="Times New Roman" w:cs="Times New Roman" w:eastAsia="Times New Roman" w:hint="default"/>
        </w:rPr>
        <w:t>39#</w:t>
      </w:r>
      <w:r>
        <w:rPr/>
        <w:t>、</w:t>
      </w:r>
      <w:r>
        <w:rPr>
          <w:rFonts w:ascii="Times New Roman" w:hAnsi="Times New Roman" w:cs="Times New Roman" w:eastAsia="Times New Roman" w:hint="default"/>
        </w:rPr>
        <w:t>41#-45#</w:t>
      </w:r>
      <w:r>
        <w:rPr/>
        <w:t>办公楼，房屋建筑面积为 </w:t>
      </w:r>
      <w:r>
        <w:rPr>
          <w:rFonts w:ascii="Times New Roman" w:hAnsi="Times New Roman" w:cs="Times New Roman" w:eastAsia="Times New Roman" w:hint="default"/>
        </w:rPr>
        <w:t>5048.49</w:t>
      </w:r>
      <w:r>
        <w:rPr>
          <w:rFonts w:ascii="Times New Roman" w:hAnsi="Times New Roman" w:cs="Times New Roman" w:eastAsia="Times New Roman" w:hint="default"/>
          <w:spacing w:val="18"/>
        </w:rPr>
        <w:t> </w:t>
      </w:r>
      <w:r>
        <w:rPr/>
        <w:t>平方米，租期自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日止。</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right="0"/>
        <w:jc w:val="left"/>
      </w:pPr>
      <w:r>
        <w:rPr/>
        <w:t>为公司带来的损益达到公司报告期利润总额</w:t>
      </w:r>
      <w:r>
        <w:rPr>
          <w:spacing w:val="-41"/>
        </w:rPr>
        <w:t> </w:t>
      </w:r>
      <w:r>
        <w:rPr>
          <w:rFonts w:ascii="Times New Roman" w:hAnsi="Times New Roman" w:cs="Times New Roman" w:eastAsia="Times New Roman" w:hint="default"/>
        </w:rPr>
        <w:t>10%</w:t>
      </w:r>
      <w:r>
        <w:rPr/>
        <w:t>以上的项目</w:t>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111"/>
        <w:ind w:right="0"/>
        <w:jc w:val="left"/>
      </w:pPr>
      <w:r>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公司报告期不存在担保情况。</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公司报告期不存在委托理财。</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after="0" w:line="319"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pStyle w:val="Heading5"/>
        <w:spacing w:line="240" w:lineRule="auto" w:before="183"/>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pStyle w:val="BodyText"/>
        <w:spacing w:line="630" w:lineRule="exact" w:before="36"/>
        <w:ind w:left="501" w:right="1110" w:hanging="361"/>
        <w:jc w:val="left"/>
      </w:pPr>
      <w:r>
        <w:rPr/>
        <w:t>（一）股东及债权人权益保护 </w:t>
      </w:r>
      <w:r>
        <w:rPr>
          <w:spacing w:val="-2"/>
        </w:rPr>
        <w:t>公司严格按照《公司法》、《证券法》、《深圳证券交易所创业板股票上市规则》等相关法律法规和《公司章程</w:t>
      </w:r>
      <w:r>
        <w:rPr>
          <w:spacing w:val="-58"/>
        </w:rPr>
        <w:t> </w:t>
      </w:r>
      <w:r>
        <w:rPr>
          <w:spacing w:val="-5"/>
        </w:rPr>
        <w:t>》的规</w:t>
      </w:r>
    </w:p>
    <w:p>
      <w:pPr>
        <w:pStyle w:val="BodyText"/>
        <w:spacing w:line="200" w:lineRule="exact"/>
        <w:ind w:right="0"/>
        <w:jc w:val="left"/>
      </w:pPr>
      <w:r>
        <w:rPr/>
        <w:t>定，规范股东大会的召集、召开及表决程序，积极主动采用网络投票等方式扩大股东参与股东大会的比例，确保股东对公司</w:t>
      </w:r>
    </w:p>
    <w:p>
      <w:pPr>
        <w:pStyle w:val="BodyText"/>
        <w:spacing w:line="240" w:lineRule="auto" w:before="79"/>
        <w:ind w:right="0"/>
        <w:jc w:val="left"/>
      </w:pPr>
      <w:r>
        <w:rPr/>
        <w:t>重大事项的知情权、参与权和表决权。</w:t>
      </w:r>
    </w:p>
    <w:p>
      <w:pPr>
        <w:spacing w:line="240" w:lineRule="auto" w:before="0"/>
        <w:rPr>
          <w:rFonts w:ascii="宋体" w:hAnsi="宋体" w:cs="宋体" w:eastAsia="宋体" w:hint="default"/>
          <w:sz w:val="18"/>
          <w:szCs w:val="18"/>
        </w:rPr>
      </w:pPr>
    </w:p>
    <w:p>
      <w:pPr>
        <w:pStyle w:val="BodyText"/>
        <w:spacing w:line="314" w:lineRule="auto" w:before="159"/>
        <w:ind w:right="0" w:firstLine="360"/>
        <w:jc w:val="left"/>
      </w:pPr>
      <w:r>
        <w:rPr>
          <w:spacing w:val="-2"/>
        </w:rPr>
        <w:t>报告期内，公司不断完善内控体系，优化公司治理结构；严格履行信息披露义务，真实、准确、完整、及时、公平地向</w:t>
      </w:r>
      <w:r>
        <w:rPr/>
        <w:t> </w:t>
      </w:r>
      <w:r>
        <w:rPr>
          <w:spacing w:val="-4"/>
        </w:rPr>
        <w:t>所有股东披露信息；通过网上业绩说明会、投资者电话、电子邮箱、投资者关系互动平台等多种方式与投资者进行沟通交流，</w:t>
      </w:r>
      <w:r>
        <w:rPr>
          <w:spacing w:val="-50"/>
        </w:rPr>
        <w:t> </w:t>
      </w:r>
      <w:r>
        <w:rPr>
          <w:spacing w:val="-50"/>
        </w:rPr>
      </w:r>
      <w:r>
        <w:rPr/>
        <w:t>建立良好的互动平台。同时，公司的财务政策稳健，资产、资金安全，在维护股东利益的同时兼顾债权人的利益。</w:t>
      </w:r>
    </w:p>
    <w:p>
      <w:pPr>
        <w:pStyle w:val="BodyText"/>
        <w:spacing w:line="630" w:lineRule="exact" w:before="46"/>
        <w:ind w:left="501" w:right="0" w:hanging="361"/>
        <w:jc w:val="left"/>
      </w:pPr>
      <w:r>
        <w:rPr/>
        <w:t>（二）职工权益保护 </w:t>
      </w:r>
      <w:r>
        <w:rPr>
          <w:spacing w:val="-2"/>
        </w:rPr>
        <w:t>公司在用工制度上完全遵循《劳动法》、《劳动合同法》等法律、法规的要求，与所有员工签订了《劳动合同》，办理</w:t>
      </w:r>
    </w:p>
    <w:p>
      <w:pPr>
        <w:pStyle w:val="BodyText"/>
        <w:spacing w:line="199" w:lineRule="exact"/>
        <w:ind w:right="0"/>
        <w:jc w:val="left"/>
      </w:pPr>
      <w:r>
        <w:rPr/>
        <w:t>各种社会保险，尊重和维护员工的个人权益。公司注重人才培养，不断完善职业培训制度，积极开展培训，提升员工素质，</w:t>
      </w:r>
    </w:p>
    <w:p>
      <w:pPr>
        <w:pStyle w:val="BodyText"/>
        <w:spacing w:line="321" w:lineRule="auto" w:before="80"/>
        <w:ind w:right="1014"/>
        <w:jc w:val="left"/>
      </w:pPr>
      <w:r>
        <w:rPr>
          <w:spacing w:val="-3"/>
        </w:rPr>
        <w:t>为员工发展提供更多机会，实现员工与企业的共同成长。公司依据《公司法》、《公司章程》等规定，关注职工的合理诉求，</w:t>
      </w:r>
      <w:r>
        <w:rPr>
          <w:spacing w:val="-76"/>
        </w:rPr>
        <w:t> </w:t>
      </w:r>
      <w:r>
        <w:rPr>
          <w:spacing w:val="-76"/>
        </w:rPr>
      </w:r>
      <w:r>
        <w:rPr/>
        <w:t>关注员工健康和满意度，构建和谐稳定的劳资关系。</w:t>
      </w:r>
    </w:p>
    <w:p>
      <w:pPr>
        <w:spacing w:line="240" w:lineRule="auto" w:before="7"/>
        <w:rPr>
          <w:rFonts w:ascii="宋体" w:hAnsi="宋体" w:cs="宋体" w:eastAsia="宋体" w:hint="default"/>
          <w:sz w:val="25"/>
          <w:szCs w:val="25"/>
        </w:rPr>
      </w:pPr>
    </w:p>
    <w:p>
      <w:pPr>
        <w:pStyle w:val="BodyText"/>
        <w:spacing w:line="240" w:lineRule="auto"/>
        <w:ind w:right="0"/>
        <w:jc w:val="left"/>
      </w:pPr>
      <w:r>
        <w:rPr/>
        <w:t>（三）供应商、客户权益保护</w:t>
      </w:r>
    </w:p>
    <w:p>
      <w:pPr>
        <w:spacing w:line="240" w:lineRule="auto" w:before="0"/>
        <w:rPr>
          <w:rFonts w:ascii="宋体" w:hAnsi="宋体" w:cs="宋体" w:eastAsia="宋体" w:hint="default"/>
          <w:sz w:val="18"/>
          <w:szCs w:val="18"/>
        </w:rPr>
      </w:pPr>
    </w:p>
    <w:p>
      <w:pPr>
        <w:pStyle w:val="BodyText"/>
        <w:spacing w:line="288" w:lineRule="auto" w:before="160"/>
        <w:ind w:right="0" w:firstLine="360"/>
        <w:jc w:val="left"/>
      </w:pPr>
      <w:r>
        <w:rPr>
          <w:spacing w:val="-2"/>
        </w:rPr>
        <w:t>公司遵循</w:t>
      </w:r>
      <w:r>
        <w:rPr>
          <w:rFonts w:ascii="Times New Roman" w:hAnsi="Times New Roman" w:cs="Times New Roman" w:eastAsia="Times New Roman" w:hint="default"/>
          <w:spacing w:val="-2"/>
        </w:rPr>
        <w:t>“</w:t>
      </w:r>
      <w:r>
        <w:rPr>
          <w:spacing w:val="-2"/>
        </w:rPr>
        <w:t>平等、互利</w:t>
      </w:r>
      <w:r>
        <w:rPr>
          <w:rFonts w:ascii="Times New Roman" w:hAnsi="Times New Roman" w:cs="Times New Roman" w:eastAsia="Times New Roman" w:hint="default"/>
          <w:spacing w:val="-2"/>
        </w:rPr>
        <w:t>”</w:t>
      </w:r>
      <w:r>
        <w:rPr>
          <w:spacing w:val="-2"/>
        </w:rPr>
        <w:t>原则，积极构建和发展与供应商、客户的战略合作伙伴关系，注重与各相关方的沟通与协调，共</w:t>
      </w:r>
      <w:r>
        <w:rPr/>
        <w:t> 同构筑信任与合作的平台。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5"/>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宋体" w:hAnsi="宋体" w:cs="宋体" w:eastAsia="宋体" w:hint="default"/>
          <w:b/>
          <w:bCs/>
          <w:sz w:val="25"/>
          <w:szCs w:val="25"/>
        </w:rPr>
      </w:pPr>
    </w:p>
    <w:p>
      <w:pPr>
        <w:pStyle w:val="BodyText"/>
        <w:spacing w:line="367" w:lineRule="auto"/>
        <w:ind w:right="5709"/>
        <w:jc w:val="left"/>
      </w:pPr>
      <w:r>
        <w:rPr/>
        <w:t>上市公司及其子公司是否属于环境保护部门公布的重点排污单位 否</w:t>
      </w:r>
    </w:p>
    <w:p>
      <w:pPr>
        <w:pStyle w:val="BodyText"/>
        <w:spacing w:line="321" w:lineRule="auto" w:before="14"/>
        <w:ind w:right="0"/>
        <w:jc w:val="left"/>
      </w:pPr>
      <w:r>
        <w:rPr>
          <w:spacing w:val="-2"/>
        </w:rPr>
        <w:t>上市公司及其子公司不属于环境保护部分公布的重点排污单位。公司及子公司在日常生产经营中认真执行国家有关环境保护</w:t>
      </w:r>
      <w:r>
        <w:rPr>
          <w:spacing w:val="-58"/>
        </w:rPr>
        <w:t> </w:t>
      </w:r>
      <w:r>
        <w:rPr>
          <w:spacing w:val="-58"/>
        </w:rPr>
      </w:r>
      <w:r>
        <w:rPr/>
        <w:t>方面的法律法规，报告期内未出现因违反环境保护相关法律法规而受到处罚的情况。</w:t>
      </w:r>
    </w:p>
    <w:p>
      <w:pPr>
        <w:spacing w:after="0" w:line="321" w:lineRule="auto"/>
        <w:jc w:val="left"/>
        <w:sectPr>
          <w:pgSz w:w="11910" w:h="16850"/>
          <w:pgMar w:header="866" w:footer="981" w:top="1120" w:bottom="1180" w:left="1000" w:right="0"/>
        </w:sectPr>
      </w:pPr>
    </w:p>
    <w:p>
      <w:pPr>
        <w:spacing w:line="240" w:lineRule="auto" w:before="3"/>
        <w:rPr>
          <w:rFonts w:ascii="宋体" w:hAnsi="宋体" w:cs="宋体" w:eastAsia="宋体" w:hint="default"/>
          <w:sz w:val="28"/>
          <w:szCs w:val="28"/>
        </w:rPr>
      </w:pPr>
    </w:p>
    <w:p>
      <w:pPr>
        <w:pStyle w:val="Heading3"/>
        <w:spacing w:line="240" w:lineRule="auto" w:before="26"/>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
        <w:rPr>
          <w:rFonts w:ascii="宋体" w:hAnsi="宋体" w:cs="宋体" w:eastAsia="宋体" w:hint="default"/>
          <w:sz w:val="13"/>
          <w:szCs w:val="13"/>
        </w:rPr>
      </w:pPr>
    </w:p>
    <w:p>
      <w:pPr>
        <w:pStyle w:val="Heading9"/>
        <w:spacing w:line="240" w:lineRule="auto"/>
        <w:ind w:right="0"/>
        <w:jc w:val="left"/>
        <w:rPr>
          <w:b w:val="0"/>
          <w:bCs w:val="0"/>
        </w:rPr>
      </w:pPr>
      <w:r>
        <w:rPr/>
        <w:t>（一）关于变更公司名称、经营范围及修订《公司章程》事项</w:t>
      </w:r>
      <w:r>
        <w:rPr>
          <w:b w:val="0"/>
          <w:bCs w:val="0"/>
        </w:rPr>
      </w:r>
    </w:p>
    <w:p>
      <w:pPr>
        <w:spacing w:line="240" w:lineRule="auto" w:before="2"/>
        <w:rPr>
          <w:rFonts w:ascii="宋体" w:hAnsi="宋体" w:cs="宋体" w:eastAsia="宋体" w:hint="default"/>
          <w:b/>
          <w:bCs/>
          <w:sz w:val="14"/>
          <w:szCs w:val="14"/>
        </w:rPr>
      </w:pPr>
    </w:p>
    <w:p>
      <w:pPr>
        <w:pStyle w:val="BodyText"/>
        <w:spacing w:line="321" w:lineRule="auto"/>
        <w:ind w:right="1124" w:firstLine="360"/>
        <w:jc w:val="both"/>
      </w:pPr>
      <w:r>
        <w:rPr>
          <w:spacing w:val="-3"/>
        </w:rPr>
        <w:t>（</w:t>
      </w:r>
      <w:r>
        <w:rPr>
          <w:rFonts w:ascii="宋体" w:hAnsi="宋体" w:cs="宋体" w:eastAsia="宋体" w:hint="default"/>
          <w:spacing w:val="-3"/>
        </w:rPr>
        <w:t>1</w:t>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10</w:t>
      </w:r>
      <w:r>
        <w:rPr>
          <w:spacing w:val="-3"/>
        </w:rPr>
        <w:t>日召开第三届董事第十四次会议，于</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13</w:t>
      </w:r>
      <w:r>
        <w:rPr>
          <w:spacing w:val="-3"/>
        </w:rPr>
        <w:t>日召开</w:t>
      </w:r>
      <w:r>
        <w:rPr>
          <w:rFonts w:ascii="宋体" w:hAnsi="宋体" w:cs="宋体" w:eastAsia="宋体" w:hint="default"/>
          <w:spacing w:val="-3"/>
        </w:rPr>
        <w:t>2018</w:t>
      </w:r>
      <w:r>
        <w:rPr>
          <w:spacing w:val="-3"/>
        </w:rPr>
        <w:t>年年度股东大会，审议通过了《关</w:t>
      </w:r>
      <w:r>
        <w:rPr/>
        <w:t> </w:t>
      </w:r>
      <w:r>
        <w:rPr>
          <w:spacing w:val="-2"/>
        </w:rPr>
        <w:t>于变更公司名称及修订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的议案》、《关于变更公司经营范围及修订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的议案》、《关于修订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rFonts w:ascii="宋体" w:hAnsi="宋体" w:cs="宋体" w:eastAsia="宋体" w:hint="default"/>
          <w:spacing w:val="-60"/>
        </w:rPr>
        <w:t> </w:t>
      </w:r>
      <w:r>
        <w:rPr>
          <w:spacing w:val="-2"/>
        </w:rPr>
        <w:t>有关股份回购相关条款的议案》，同意变更公司名称（由“宣亚国际品牌管理（北京）股份有限公司”变更为“宣亚国际营</w:t>
      </w:r>
      <w:r>
        <w:rPr>
          <w:spacing w:val="-64"/>
        </w:rPr>
        <w:t> </w:t>
      </w:r>
      <w:r>
        <w:rPr>
          <w:spacing w:val="-64"/>
        </w:rPr>
      </w:r>
      <w:r>
        <w:rPr/>
        <w:t>销科技（北京）股份有限公司”）、经营范围、《公司章程》中有关股份回购相关条款。具体内容详见公司于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11</w:t>
      </w:r>
      <w:r>
        <w:rPr>
          <w:rFonts w:ascii="宋体" w:hAnsi="宋体" w:cs="宋体" w:eastAsia="宋体" w:hint="default"/>
          <w:spacing w:val="-80"/>
        </w:rPr>
        <w:t> </w:t>
      </w:r>
      <w:r>
        <w:rPr/>
        <w:t>日在巨潮资讯网上披露的《关于拟变更公司名称、经营范围等事项及修订</w:t>
      </w:r>
      <w:r>
        <w:rPr>
          <w:rFonts w:ascii="宋体" w:hAnsi="宋体" w:cs="宋体" w:eastAsia="宋体" w:hint="default"/>
        </w:rPr>
        <w:t>&lt;</w:t>
      </w:r>
      <w:r>
        <w:rPr/>
        <w:t>公司章程</w:t>
      </w:r>
      <w:r>
        <w:rPr>
          <w:rFonts w:ascii="宋体" w:hAnsi="宋体" w:cs="宋体" w:eastAsia="宋体" w:hint="default"/>
        </w:rPr>
        <w:t>&gt;</w:t>
      </w:r>
      <w:r>
        <w:rPr/>
        <w:t>的公告》（</w:t>
      </w:r>
      <w:r>
        <w:rPr>
          <w:rFonts w:ascii="宋体" w:hAnsi="宋体" w:cs="宋体" w:eastAsia="宋体" w:hint="default"/>
        </w:rPr>
        <w:t>2019-034</w:t>
      </w:r>
      <w:r>
        <w:rPr/>
        <w:t>）及相关公告。</w:t>
      </w:r>
    </w:p>
    <w:p>
      <w:pPr>
        <w:pStyle w:val="BodyText"/>
        <w:spacing w:line="321" w:lineRule="auto" w:before="123"/>
        <w:ind w:right="0" w:firstLine="360"/>
        <w:jc w:val="left"/>
      </w:pPr>
      <w:r>
        <w:rPr>
          <w:spacing w:val="-2"/>
        </w:rPr>
        <w:t>（</w:t>
      </w:r>
      <w:r>
        <w:rPr>
          <w:rFonts w:ascii="宋体" w:hAnsi="宋体" w:cs="宋体" w:eastAsia="宋体" w:hint="default"/>
          <w:spacing w:val="-2"/>
        </w:rPr>
        <w:t>2</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日在巨潮资讯网上披露了《关于完成工商变更登记的公告》（</w:t>
      </w:r>
      <w:r>
        <w:rPr>
          <w:rFonts w:ascii="宋体" w:hAnsi="宋体" w:cs="宋体" w:eastAsia="宋体" w:hint="default"/>
          <w:spacing w:val="-2"/>
        </w:rPr>
        <w:t>2019-045</w:t>
      </w:r>
      <w:r>
        <w:rPr>
          <w:spacing w:val="-2"/>
        </w:rPr>
        <w:t>），公司完成了工商变</w:t>
      </w:r>
      <w:r>
        <w:rPr/>
        <w:t> 更登记及章程备案手续，并取得了北京市市场监督管理局颁发的《营业执照》。</w:t>
      </w:r>
    </w:p>
    <w:p>
      <w:pPr>
        <w:pStyle w:val="Heading7"/>
        <w:spacing w:line="240" w:lineRule="auto" w:before="142"/>
        <w:ind w:right="0"/>
        <w:jc w:val="left"/>
        <w:rPr>
          <w:b w:val="0"/>
          <w:bCs w:val="0"/>
        </w:rPr>
      </w:pPr>
      <w:r>
        <w:rPr>
          <w:spacing w:val="-3"/>
          <w:sz w:val="18"/>
          <w:szCs w:val="18"/>
        </w:rPr>
        <w:t>（二）</w:t>
      </w:r>
      <w:r>
        <w:rPr>
          <w:spacing w:val="-3"/>
        </w:rPr>
        <w:t>关于收购参股公司部分股权事项</w:t>
      </w:r>
      <w:r>
        <w:rPr>
          <w:b w:val="0"/>
          <w:bCs w:val="0"/>
          <w:spacing w:val="-3"/>
        </w:rPr>
      </w:r>
    </w:p>
    <w:p>
      <w:pPr>
        <w:spacing w:line="240" w:lineRule="auto" w:before="0"/>
        <w:rPr>
          <w:rFonts w:ascii="宋体" w:hAnsi="宋体" w:cs="宋体" w:eastAsia="宋体" w:hint="default"/>
          <w:b/>
          <w:bCs/>
          <w:sz w:val="14"/>
          <w:szCs w:val="14"/>
        </w:rPr>
      </w:pPr>
    </w:p>
    <w:p>
      <w:pPr>
        <w:pStyle w:val="BodyText"/>
        <w:spacing w:line="316" w:lineRule="auto"/>
        <w:ind w:right="1039" w:firstLine="36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日，公司召开第三届董事会第十八次会议，审议通过了《关于收购参股公司部分股权的议案》。公司</w:t>
      </w:r>
      <w:r>
        <w:rPr/>
        <w:t> 拟以自有资金人民币</w:t>
      </w:r>
      <w:r>
        <w:rPr>
          <w:rFonts w:ascii="宋体" w:hAnsi="宋体" w:cs="宋体" w:eastAsia="宋体" w:hint="default"/>
        </w:rPr>
        <w:t>3,600 </w:t>
      </w:r>
      <w:r>
        <w:rPr>
          <w:spacing w:val="-4"/>
        </w:rPr>
        <w:t>万元购买天津众行有道企业管理咨询中心（有限合伙）持有的天津星言云汇网络科技有限公司</w:t>
      </w:r>
      <w:r>
        <w:rPr>
          <w:rFonts w:ascii="宋体" w:hAnsi="宋体" w:cs="宋体" w:eastAsia="宋体" w:hint="default"/>
          <w:spacing w:val="-4"/>
        </w:rPr>
        <w:t>20%</w:t>
      </w:r>
      <w:r>
        <w:rPr>
          <w:rFonts w:ascii="宋体" w:hAnsi="宋体" w:cs="宋体" w:eastAsia="宋体" w:hint="default"/>
          <w:spacing w:val="-84"/>
        </w:rPr>
        <w:t> </w:t>
      </w:r>
      <w:r>
        <w:rPr>
          <w:spacing w:val="-3"/>
        </w:rPr>
        <w:t>的股权。此次交易完成后，公司持有星言云汇的股权比例由</w:t>
      </w:r>
      <w:r>
        <w:rPr>
          <w:rFonts w:ascii="宋体" w:hAnsi="宋体" w:cs="宋体" w:eastAsia="宋体" w:hint="default"/>
          <w:spacing w:val="-3"/>
        </w:rPr>
        <w:t>20%</w:t>
      </w:r>
      <w:r>
        <w:rPr>
          <w:spacing w:val="-3"/>
        </w:rPr>
        <w:t>增加至</w:t>
      </w:r>
      <w:r>
        <w:rPr>
          <w:rFonts w:ascii="宋体" w:hAnsi="宋体" w:cs="宋体" w:eastAsia="宋体" w:hint="default"/>
          <w:spacing w:val="-3"/>
        </w:rPr>
        <w:t>40%</w:t>
      </w:r>
      <w:r>
        <w:rPr>
          <w:spacing w:val="-3"/>
        </w:rPr>
        <w:t>。本次交易的实施，对公司合并报表范围产生影响。</w:t>
      </w:r>
      <w:r>
        <w:rPr/>
        <w:t> 具体内容详见公司于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30</w:t>
      </w:r>
      <w:r>
        <w:rPr/>
        <w:t>日在巨潮资讯网上披露的《关于收购参股公司部分股权的公告》（公告编号：</w:t>
      </w:r>
      <w:r>
        <w:rPr>
          <w:rFonts w:ascii="宋体" w:hAnsi="宋体" w:cs="宋体" w:eastAsia="宋体" w:hint="default"/>
        </w:rPr>
        <w:t>2019-063</w:t>
      </w:r>
      <w:r>
        <w:rPr/>
        <w:t>）</w:t>
      </w:r>
      <w:r>
        <w:rPr>
          <w:spacing w:val="-80"/>
        </w:rPr>
        <w:t> </w:t>
      </w:r>
      <w:r>
        <w:rPr/>
        <w:t>及相关公告。</w:t>
      </w:r>
    </w:p>
    <w:p>
      <w:pPr>
        <w:pStyle w:val="BodyText"/>
        <w:spacing w:line="321" w:lineRule="auto" w:before="142"/>
        <w:ind w:right="1100" w:firstLine="360"/>
        <w:jc w:val="left"/>
      </w:pPr>
      <w:r>
        <w:rPr>
          <w:spacing w:val="-6"/>
        </w:rPr>
        <w:t>（</w:t>
      </w:r>
      <w:r>
        <w:rPr>
          <w:rFonts w:ascii="宋体" w:hAnsi="宋体" w:cs="宋体" w:eastAsia="宋体" w:hint="default"/>
          <w:spacing w:val="-6"/>
        </w:rPr>
        <w:t>2</w:t>
      </w:r>
      <w:r>
        <w:rPr>
          <w:spacing w:val="-6"/>
        </w:rPr>
        <w:t>）公司于</w:t>
      </w:r>
      <w:r>
        <w:rPr>
          <w:rFonts w:ascii="宋体" w:hAnsi="宋体" w:cs="宋体" w:eastAsia="宋体" w:hint="default"/>
          <w:spacing w:val="-6"/>
        </w:rPr>
        <w:t>2019</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6</w:t>
      </w:r>
      <w:r>
        <w:rPr>
          <w:spacing w:val="-6"/>
        </w:rPr>
        <w:t>日在巨潮资讯网上披露了《关于收购参股公司部分股权完成工商变更登记的公告》（</w:t>
      </w:r>
      <w:r>
        <w:rPr>
          <w:spacing w:val="-59"/>
        </w:rPr>
        <w:t> </w:t>
      </w:r>
      <w:r>
        <w:rPr>
          <w:rFonts w:ascii="宋体" w:hAnsi="宋体" w:cs="宋体" w:eastAsia="宋体" w:hint="default"/>
          <w:spacing w:val="-15"/>
        </w:rPr>
        <w:t>2019-076</w:t>
      </w:r>
      <w:r>
        <w:rPr>
          <w:spacing w:val="-15"/>
        </w:rPr>
        <w:t>），</w:t>
      </w:r>
      <w:r>
        <w:rPr>
          <w:spacing w:val="-75"/>
        </w:rPr>
        <w:t> </w:t>
      </w:r>
      <w:r>
        <w:rPr/>
        <w:t>星言云汇于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日办理完成工商变更登记备案，并取得了天津市武清区市场监督管理局颁发的《营业执照》。</w:t>
      </w:r>
    </w:p>
    <w:p>
      <w:pPr>
        <w:pStyle w:val="Heading7"/>
        <w:spacing w:line="240" w:lineRule="auto"/>
        <w:ind w:right="0"/>
        <w:jc w:val="left"/>
        <w:rPr>
          <w:b w:val="0"/>
          <w:bCs w:val="0"/>
        </w:rPr>
      </w:pPr>
      <w:r>
        <w:rPr>
          <w:spacing w:val="-3"/>
        </w:rPr>
        <w:t>（三）关于签署战略合作协议事项</w:t>
      </w:r>
      <w:r>
        <w:rPr>
          <w:b w:val="0"/>
          <w:bCs w:val="0"/>
          <w:spacing w:val="-3"/>
        </w:rPr>
      </w:r>
    </w:p>
    <w:p>
      <w:pPr>
        <w:spacing w:line="240" w:lineRule="auto" w:before="0"/>
        <w:rPr>
          <w:rFonts w:ascii="宋体" w:hAnsi="宋体" w:cs="宋体" w:eastAsia="宋体" w:hint="default"/>
          <w:b/>
          <w:bCs/>
          <w:sz w:val="14"/>
          <w:szCs w:val="14"/>
        </w:rPr>
      </w:pPr>
    </w:p>
    <w:p>
      <w:pPr>
        <w:pStyle w:val="BodyText"/>
        <w:spacing w:line="316" w:lineRule="auto"/>
        <w:ind w:right="1094" w:firstLine="360"/>
        <w:jc w:val="both"/>
      </w:pPr>
      <w:r>
        <w:rPr/>
        <w:t>（</w:t>
      </w:r>
      <w:r>
        <w:rPr>
          <w:rFonts w:ascii="宋体" w:hAnsi="宋体" w:cs="宋体" w:eastAsia="宋体" w:hint="default"/>
        </w:rPr>
        <w:t>1</w:t>
      </w:r>
      <w:r>
        <w:rPr/>
        <w:t>）公司与中品世纪（北京）科技发展有限公司（以下简称“中品世纪”）本着“优势互补、互利共赢、共谋发展” </w:t>
      </w:r>
      <w:r>
        <w:rPr>
          <w:spacing w:val="-5"/>
        </w:rPr>
        <w:t>的原则，经友好协商，于</w:t>
      </w:r>
      <w:r>
        <w:rPr>
          <w:rFonts w:ascii="宋体" w:hAnsi="宋体" w:cs="宋体" w:eastAsia="宋体" w:hint="default"/>
          <w:spacing w:val="-5"/>
        </w:rPr>
        <w:t>2019</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15</w:t>
      </w:r>
      <w:r>
        <w:rPr>
          <w:spacing w:val="-5"/>
        </w:rPr>
        <w:t>日在北京签署《战略合作协议》，双方就企业标准“领跑者”传播工程（以下简称“该</w:t>
      </w:r>
      <w:r>
        <w:rPr>
          <w:spacing w:val="-61"/>
        </w:rPr>
        <w:t> </w:t>
      </w:r>
      <w:r>
        <w:rPr>
          <w:spacing w:val="-61"/>
        </w:rPr>
      </w:r>
      <w:r>
        <w:rPr>
          <w:spacing w:val="-2"/>
        </w:rPr>
        <w:t>项目”）开展合作，中品世纪作为该项目主办单位，公司为唯一指定营销技术战略合作伙伴，在本协议约定范围内双方共同</w:t>
      </w:r>
      <w:r>
        <w:rPr>
          <w:spacing w:val="-57"/>
        </w:rPr>
        <w:t> </w:t>
      </w:r>
      <w:r>
        <w:rPr>
          <w:spacing w:val="-57"/>
        </w:rPr>
      </w:r>
      <w:r>
        <w:rPr>
          <w:spacing w:val="-1"/>
        </w:rPr>
        <w:t>推动该项目的推广及市场化运作，提升企业标准“领跑者”制度的社会认知度和影响力。具体内容详见公司于</w:t>
      </w:r>
      <w:r>
        <w:rPr>
          <w:rFonts w:ascii="宋体" w:hAnsi="宋体" w:cs="宋体" w:eastAsia="宋体" w:hint="default"/>
          <w:spacing w:val="-1"/>
        </w:rPr>
        <w:t>2019</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16</w:t>
      </w:r>
      <w:r>
        <w:rPr>
          <w:rFonts w:ascii="宋体" w:hAnsi="宋体" w:cs="宋体" w:eastAsia="宋体" w:hint="default"/>
          <w:spacing w:val="-84"/>
        </w:rPr>
        <w:t> </w:t>
      </w:r>
      <w:r>
        <w:rPr/>
        <w:t>日在巨潮资讯网上披露的《关于签订战略合作协议的公告》（公告编号：</w:t>
      </w:r>
      <w:r>
        <w:rPr>
          <w:rFonts w:ascii="宋体" w:hAnsi="宋体" w:cs="宋体" w:eastAsia="宋体" w:hint="default"/>
        </w:rPr>
        <w:t>2019-066</w:t>
      </w:r>
      <w:r>
        <w:rPr/>
        <w:t>）。</w:t>
      </w:r>
    </w:p>
    <w:p>
      <w:pPr>
        <w:pStyle w:val="BodyText"/>
        <w:spacing w:line="316" w:lineRule="auto" w:before="142"/>
        <w:ind w:right="1030" w:firstLine="360"/>
        <w:jc w:val="left"/>
      </w:pPr>
      <w:r>
        <w:rPr>
          <w:spacing w:val="-2"/>
        </w:rPr>
        <w:t>（</w:t>
      </w:r>
      <w:r>
        <w:rPr>
          <w:rFonts w:ascii="宋体" w:hAnsi="宋体" w:cs="宋体" w:eastAsia="宋体" w:hint="default"/>
          <w:spacing w:val="-2"/>
        </w:rPr>
        <w:t>2</w:t>
      </w:r>
      <w:r>
        <w:rPr>
          <w:spacing w:val="-2"/>
        </w:rPr>
        <w:t>）公司与中兴通讯股份有限公司同意充分发挥各自领域的人才、资源、技术、产品及市场优势，开展全方位的合作，</w:t>
      </w:r>
      <w:r>
        <w:rPr/>
        <w:t> 形成全面战略合作伙伴关系。双方本着“优势互补，合作共赢”的原则，经友好协商，于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6</w:t>
      </w:r>
      <w:r>
        <w:rPr/>
        <w:t>日在北京签署《战略</w:t>
      </w:r>
      <w:r>
        <w:rPr>
          <w:spacing w:val="-84"/>
        </w:rPr>
        <w:t> </w:t>
      </w:r>
      <w:r>
        <w:rPr/>
        <w:t>合作框架协议》。双方将共同研究基于 </w:t>
      </w:r>
      <w:r>
        <w:rPr>
          <w:rFonts w:ascii="宋体" w:hAnsi="宋体" w:cs="宋体" w:eastAsia="宋体" w:hint="default"/>
        </w:rPr>
        <w:t>5G </w:t>
      </w:r>
      <w:r>
        <w:rPr/>
        <w:t>技术的内容、传播、数据、营销等应用场景；基于 </w:t>
      </w:r>
      <w:r>
        <w:rPr>
          <w:rFonts w:ascii="宋体" w:hAnsi="宋体" w:cs="宋体" w:eastAsia="宋体" w:hint="default"/>
        </w:rPr>
        <w:t>5G </w:t>
      </w:r>
      <w:r>
        <w:rPr/>
        <w:t>网络建设、</w:t>
      </w:r>
      <w:r>
        <w:rPr>
          <w:rFonts w:ascii="宋体" w:hAnsi="宋体" w:cs="宋体" w:eastAsia="宋体" w:hint="default"/>
        </w:rPr>
        <w:t>5G</w:t>
      </w:r>
      <w:r>
        <w:rPr>
          <w:rFonts w:ascii="宋体" w:hAnsi="宋体" w:cs="宋体" w:eastAsia="宋体" w:hint="default"/>
          <w:spacing w:val="8"/>
        </w:rPr>
        <w:t> </w:t>
      </w:r>
      <w:r>
        <w:rPr/>
        <w:t>创新应用 </w:t>
      </w:r>
      <w:r>
        <w:rPr>
          <w:spacing w:val="-5"/>
        </w:rPr>
        <w:t>场景研究及相关标准、课题的申报等方面进行深度合作；加快</w:t>
      </w:r>
      <w:r>
        <w:rPr>
          <w:spacing w:val="23"/>
        </w:rPr>
        <w:t> </w:t>
      </w:r>
      <w:r>
        <w:rPr>
          <w:rFonts w:ascii="宋体" w:hAnsi="宋体" w:cs="宋体" w:eastAsia="宋体" w:hint="default"/>
        </w:rPr>
        <w:t>5G</w:t>
      </w:r>
      <w:r>
        <w:rPr>
          <w:rFonts w:ascii="宋体" w:hAnsi="宋体" w:cs="宋体" w:eastAsia="宋体" w:hint="default"/>
          <w:spacing w:val="17"/>
        </w:rPr>
        <w:t> </w:t>
      </w:r>
      <w:r>
        <w:rPr>
          <w:spacing w:val="-3"/>
        </w:rPr>
        <w:t>创新应用的研发和商业化进程，共同打造</w:t>
      </w:r>
      <w:r>
        <w:rPr>
          <w:rFonts w:ascii="宋体" w:hAnsi="宋体" w:cs="宋体" w:eastAsia="宋体" w:hint="default"/>
          <w:spacing w:val="-3"/>
        </w:rPr>
        <w:t>5G</w:t>
      </w:r>
      <w:r>
        <w:rPr>
          <w:spacing w:val="-3"/>
        </w:rPr>
        <w:t>行业应用示范。</w:t>
      </w:r>
      <w:r>
        <w:rPr>
          <w:spacing w:val="-88"/>
        </w:rPr>
        <w:t> </w:t>
      </w:r>
      <w:r>
        <w:rPr>
          <w:spacing w:val="-2"/>
        </w:rPr>
        <w:t>具体内容详见公司于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6</w:t>
      </w:r>
      <w:r>
        <w:rPr>
          <w:spacing w:val="-2"/>
        </w:rPr>
        <w:t>日在巨潮资讯网上披露的《关于签订战略合作框架协议的公告》（公告编号：</w:t>
      </w:r>
      <w:r>
        <w:rPr>
          <w:rFonts w:ascii="宋体" w:hAnsi="宋体" w:cs="宋体" w:eastAsia="宋体" w:hint="default"/>
          <w:spacing w:val="-2"/>
        </w:rPr>
        <w:t>2019-089</w:t>
      </w:r>
      <w:r>
        <w:rPr>
          <w:spacing w:val="-2"/>
        </w:rPr>
        <w:t>）。</w:t>
      </w:r>
      <w:r>
        <w:rPr/>
      </w:r>
    </w:p>
    <w:p>
      <w:pPr>
        <w:pStyle w:val="Heading9"/>
        <w:spacing w:line="240" w:lineRule="auto" w:before="142"/>
        <w:ind w:right="0"/>
        <w:jc w:val="left"/>
        <w:rPr>
          <w:b w:val="0"/>
          <w:bCs w:val="0"/>
        </w:rPr>
      </w:pPr>
      <w:r>
        <w:rPr/>
        <w:t>（四）关于对致维科技参股、减资事项</w:t>
      </w:r>
      <w:r>
        <w:rPr>
          <w:b w:val="0"/>
          <w:bCs w:val="0"/>
        </w:rPr>
      </w:r>
    </w:p>
    <w:p>
      <w:pPr>
        <w:spacing w:line="240" w:lineRule="auto" w:before="3"/>
        <w:rPr>
          <w:rFonts w:ascii="宋体" w:hAnsi="宋体" w:cs="宋体" w:eastAsia="宋体" w:hint="default"/>
          <w:b/>
          <w:bCs/>
          <w:sz w:val="15"/>
          <w:szCs w:val="15"/>
        </w:rPr>
      </w:pPr>
    </w:p>
    <w:p>
      <w:pPr>
        <w:pStyle w:val="BodyText"/>
        <w:spacing w:line="319" w:lineRule="auto"/>
        <w:ind w:right="1097" w:firstLine="360"/>
        <w:jc w:val="both"/>
      </w:pPr>
      <w:r>
        <w:rPr>
          <w:spacing w:val="-1"/>
        </w:rPr>
        <w:t>（</w:t>
      </w:r>
      <w:r>
        <w:rPr>
          <w:rFonts w:ascii="宋体" w:hAnsi="宋体" w:cs="宋体" w:eastAsia="宋体" w:hint="default"/>
          <w:spacing w:val="-1"/>
        </w:rPr>
        <w:t>1</w:t>
      </w:r>
      <w:r>
        <w:rPr>
          <w:spacing w:val="-1"/>
        </w:rPr>
        <w:t>）基于公司战略规划及业务发展需要，公司与致维科技及其现有股东于</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31</w:t>
      </w:r>
      <w:r>
        <w:rPr>
          <w:spacing w:val="-1"/>
        </w:rPr>
        <w:t>日在北京签署了《致维科技（北</w:t>
      </w:r>
      <w:r>
        <w:rPr/>
        <w:t> </w:t>
      </w:r>
      <w:r>
        <w:rPr>
          <w:spacing w:val="-2"/>
        </w:rPr>
        <w:t>京）有限公司增资协议》，经双方友好协商，公司拟以自有资金</w:t>
      </w:r>
      <w:r>
        <w:rPr>
          <w:rFonts w:ascii="宋体" w:hAnsi="宋体" w:cs="宋体" w:eastAsia="宋体" w:hint="default"/>
          <w:spacing w:val="-2"/>
        </w:rPr>
        <w:t>3,000</w:t>
      </w:r>
      <w:r>
        <w:rPr>
          <w:spacing w:val="-2"/>
        </w:rPr>
        <w:t>万元（人民币元）通过增资方式取得致维科技</w:t>
      </w:r>
      <w:r>
        <w:rPr>
          <w:rFonts w:ascii="宋体" w:hAnsi="宋体" w:cs="宋体" w:eastAsia="宋体" w:hint="default"/>
          <w:spacing w:val="-2"/>
        </w:rPr>
        <w:t>4.1209%</w:t>
      </w:r>
      <w:r>
        <w:rPr>
          <w:rFonts w:ascii="宋体" w:hAnsi="宋体" w:cs="宋体" w:eastAsia="宋体" w:hint="default"/>
          <w:spacing w:val="-51"/>
        </w:rPr>
        <w:t> </w:t>
      </w:r>
      <w:r>
        <w:rPr/>
        <w:t>的股权，增资完成后，致维科技成为公司的参股公司。本次对外投资已经公司于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31</w:t>
      </w:r>
      <w:r>
        <w:rPr/>
        <w:t>日召开的第三届董事会第十三</w:t>
      </w:r>
      <w:r>
        <w:rPr>
          <w:spacing w:val="-82"/>
        </w:rPr>
        <w:t> </w:t>
      </w:r>
      <w:r>
        <w:rPr>
          <w:spacing w:val="-2"/>
        </w:rPr>
        <w:t>次会议审议通过，无需提交公司股东大会审议。具体内容详见公司</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日在巨潮资讯网上披露的《关于对外投资的公</w:t>
      </w:r>
      <w:r>
        <w:rPr>
          <w:spacing w:val="-63"/>
        </w:rPr>
        <w:t> </w:t>
      </w:r>
      <w:r>
        <w:rPr>
          <w:spacing w:val="-63"/>
        </w:rPr>
      </w:r>
      <w:r>
        <w:rPr>
          <w:spacing w:val="-2"/>
        </w:rPr>
        <w:t>告》（公告编号：</w:t>
      </w:r>
      <w:r>
        <w:rPr>
          <w:rFonts w:ascii="宋体" w:hAnsi="宋体" w:cs="宋体" w:eastAsia="宋体" w:hint="default"/>
          <w:spacing w:val="-2"/>
        </w:rPr>
        <w:t>2019-020</w:t>
      </w:r>
      <w:r>
        <w:rPr>
          <w:spacing w:val="-2"/>
        </w:rPr>
        <w:t>）及相关公告。公司于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29</w:t>
      </w:r>
      <w:r>
        <w:rPr>
          <w:spacing w:val="-2"/>
        </w:rPr>
        <w:t>日在巨潮资讯网上披露了《关于增资致维科技</w:t>
      </w:r>
      <w:r>
        <w:rPr>
          <w:rFonts w:ascii="宋体" w:hAnsi="宋体" w:cs="宋体" w:eastAsia="宋体" w:hint="default"/>
          <w:spacing w:val="-2"/>
        </w:rPr>
        <w:t>4.1209%</w:t>
      </w:r>
      <w:r>
        <w:rPr>
          <w:spacing w:val="-2"/>
        </w:rPr>
        <w:t>股权完</w:t>
      </w:r>
      <w:r>
        <w:rPr>
          <w:spacing w:val="-43"/>
        </w:rPr>
        <w:t> </w:t>
      </w:r>
      <w:r>
        <w:rPr>
          <w:spacing w:val="-2"/>
        </w:rPr>
        <w:t>成工商变更登记的公告》（公告编号：</w:t>
      </w:r>
      <w:r>
        <w:rPr>
          <w:rFonts w:ascii="宋体" w:hAnsi="宋体" w:cs="宋体" w:eastAsia="宋体" w:hint="default"/>
          <w:spacing w:val="-2"/>
        </w:rPr>
        <w:t>2019-043</w:t>
      </w:r>
      <w:r>
        <w:rPr>
          <w:spacing w:val="-2"/>
        </w:rPr>
        <w:t>）。致维科技办理完成工商变更登记，并取得了北京市工商行政管理局海淀</w:t>
      </w:r>
      <w:r>
        <w:rPr>
          <w:spacing w:val="-62"/>
        </w:rPr>
        <w:t> </w:t>
      </w:r>
      <w:r>
        <w:rPr>
          <w:spacing w:val="-62"/>
        </w:rPr>
      </w:r>
      <w:r>
        <w:rPr/>
        <w:t>分局颁发的《营业执照》。</w:t>
      </w:r>
    </w:p>
    <w:p>
      <w:pPr>
        <w:pStyle w:val="BodyText"/>
        <w:spacing w:line="240" w:lineRule="auto" w:before="140"/>
        <w:ind w:left="501" w:right="0"/>
        <w:jc w:val="left"/>
      </w:pPr>
      <w:r>
        <w:rPr/>
        <w:t>（</w:t>
      </w:r>
      <w:r>
        <w:rPr>
          <w:rFonts w:ascii="宋体" w:hAnsi="宋体" w:cs="宋体" w:eastAsia="宋体" w:hint="default"/>
        </w:rPr>
        <w:t>2</w:t>
      </w:r>
      <w:r>
        <w:rPr/>
        <w:t>）根据公司整体战略规划和业务发展需要，经与致维科技及其股东友好协商</w:t>
      </w:r>
      <w:r>
        <w:rPr>
          <w:rFonts w:ascii="宋体" w:hAnsi="宋体" w:cs="宋体" w:eastAsia="宋体" w:hint="default"/>
        </w:rPr>
        <w:t>,</w:t>
      </w:r>
      <w:r>
        <w:rPr/>
        <w:t>由公司单方面对致维科技进行减资（以</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29"/>
          <w:szCs w:val="29"/>
        </w:rPr>
      </w:pPr>
    </w:p>
    <w:p>
      <w:pPr>
        <w:pStyle w:val="BodyText"/>
        <w:spacing w:line="316" w:lineRule="auto" w:before="44"/>
        <w:ind w:right="1106"/>
        <w:jc w:val="both"/>
      </w:pPr>
      <w:r>
        <w:rPr/>
        <w:t>下简称“本次减资”），致维科技的其他股东不参与本次减资。公司于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5</w:t>
      </w:r>
      <w:r>
        <w:rPr/>
        <w:t>日召开第三届董事会第二十次会议及第</w:t>
      </w:r>
      <w:r>
        <w:rPr>
          <w:spacing w:val="-86"/>
        </w:rPr>
        <w:t> </w:t>
      </w:r>
      <w:r>
        <w:rPr>
          <w:spacing w:val="-2"/>
        </w:rPr>
        <w:t>四届监事会第十七次会议，审议通过了《关于对参股公司减资的议案》，同意公司以减资方式退出对参股公司致维科技的投</w:t>
      </w:r>
      <w:r>
        <w:rPr>
          <w:spacing w:val="-42"/>
        </w:rPr>
        <w:t> </w:t>
      </w:r>
      <w:r>
        <w:rPr>
          <w:spacing w:val="-42"/>
        </w:rPr>
      </w:r>
      <w:r>
        <w:rPr/>
        <w:t>资。本次减资经交易各方协商，确定公司应获得的减资对价为人民币</w:t>
      </w:r>
      <w:r>
        <w:rPr>
          <w:rFonts w:ascii="宋体" w:hAnsi="宋体" w:cs="宋体" w:eastAsia="宋体" w:hint="default"/>
        </w:rPr>
        <w:t>3,210</w:t>
      </w:r>
      <w:r>
        <w:rPr/>
        <w:t>万元。本次减资完成后，公司将不再持有致维科</w:t>
      </w:r>
      <w:r>
        <w:rPr>
          <w:spacing w:val="-84"/>
        </w:rPr>
        <w:t> </w:t>
      </w:r>
      <w:r>
        <w:rPr/>
        <w:t>技的股权，完全退出致维科技。具体内容详见公司于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6</w:t>
      </w:r>
      <w:r>
        <w:rPr/>
        <w:t>日在巨潮资讯网上披露的《关于对参股公司减资的公告》</w:t>
      </w:r>
    </w:p>
    <w:p>
      <w:pPr>
        <w:pStyle w:val="BodyText"/>
        <w:spacing w:line="240" w:lineRule="auto" w:before="22"/>
        <w:ind w:right="0"/>
        <w:jc w:val="left"/>
      </w:pPr>
      <w:r>
        <w:rPr/>
        <w:t>（</w:t>
      </w:r>
      <w:r>
        <w:rPr>
          <w:rFonts w:ascii="宋体" w:hAnsi="宋体" w:cs="宋体" w:eastAsia="宋体" w:hint="default"/>
        </w:rPr>
        <w:t>2019-075</w:t>
      </w:r>
      <w:r>
        <w:rPr/>
        <w:t>）及相关公告。</w:t>
      </w:r>
    </w:p>
    <w:p>
      <w:pPr>
        <w:spacing w:line="240" w:lineRule="auto" w:before="4"/>
        <w:rPr>
          <w:rFonts w:ascii="宋体" w:hAnsi="宋体" w:cs="宋体" w:eastAsia="宋体" w:hint="default"/>
          <w:sz w:val="15"/>
          <w:szCs w:val="15"/>
        </w:rPr>
      </w:pPr>
    </w:p>
    <w:p>
      <w:pPr>
        <w:pStyle w:val="Heading9"/>
        <w:spacing w:line="240" w:lineRule="auto"/>
        <w:ind w:right="0"/>
        <w:jc w:val="left"/>
        <w:rPr>
          <w:b w:val="0"/>
          <w:bCs w:val="0"/>
        </w:rPr>
      </w:pPr>
      <w:r>
        <w:rPr/>
        <w:t>（五）关于实际控制人提前终止减持计划事项</w:t>
      </w:r>
      <w:r>
        <w:rPr>
          <w:b w:val="0"/>
          <w:bCs w:val="0"/>
        </w:rPr>
      </w:r>
    </w:p>
    <w:p>
      <w:pPr>
        <w:spacing w:line="240" w:lineRule="auto" w:before="4"/>
        <w:rPr>
          <w:rFonts w:ascii="宋体" w:hAnsi="宋体" w:cs="宋体" w:eastAsia="宋体" w:hint="default"/>
          <w:b/>
          <w:bCs/>
          <w:sz w:val="15"/>
          <w:szCs w:val="15"/>
        </w:rPr>
      </w:pPr>
    </w:p>
    <w:p>
      <w:pPr>
        <w:pStyle w:val="BodyText"/>
        <w:spacing w:line="316" w:lineRule="auto"/>
        <w:ind w:right="1124" w:firstLine="360"/>
        <w:jc w:val="both"/>
      </w:pPr>
      <w:r>
        <w:rPr>
          <w:spacing w:val="-2"/>
        </w:rPr>
        <w:t>（</w:t>
      </w:r>
      <w:r>
        <w:rPr>
          <w:rFonts w:ascii="宋体" w:hAnsi="宋体" w:cs="宋体" w:eastAsia="宋体" w:hint="default"/>
          <w:spacing w:val="-2"/>
        </w:rPr>
        <w:t>1</w:t>
      </w:r>
      <w:r>
        <w:rPr>
          <w:spacing w:val="-2"/>
        </w:rPr>
        <w:t>）张秀兵先生计划在</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日起</w:t>
      </w:r>
      <w:r>
        <w:rPr>
          <w:rFonts w:ascii="宋体" w:hAnsi="宋体" w:cs="宋体" w:eastAsia="宋体" w:hint="default"/>
          <w:spacing w:val="-2"/>
        </w:rPr>
        <w:t>15</w:t>
      </w:r>
      <w:r>
        <w:rPr>
          <w:spacing w:val="-2"/>
        </w:rPr>
        <w:t>个交易日后</w:t>
      </w:r>
      <w:r>
        <w:rPr>
          <w:rFonts w:ascii="宋体" w:hAnsi="宋体" w:cs="宋体" w:eastAsia="宋体" w:hint="default"/>
          <w:spacing w:val="-2"/>
        </w:rPr>
        <w:t>6</w:t>
      </w:r>
      <w:r>
        <w:rPr>
          <w:spacing w:val="-2"/>
        </w:rPr>
        <w:t>个月内以集中竞价方式减持公司股份不超过</w:t>
      </w:r>
      <w:r>
        <w:rPr>
          <w:rFonts w:ascii="宋体" w:hAnsi="宋体" w:cs="宋体" w:eastAsia="宋体" w:hint="default"/>
          <w:spacing w:val="-2"/>
        </w:rPr>
        <w:t>41.2500</w:t>
      </w:r>
      <w:r>
        <w:rPr>
          <w:spacing w:val="-2"/>
        </w:rPr>
        <w:t>万股（占公</w:t>
      </w:r>
      <w:r>
        <w:rPr/>
        <w:t> 司总股本比例</w:t>
      </w:r>
      <w:r>
        <w:rPr>
          <w:rFonts w:ascii="宋体" w:hAnsi="宋体" w:cs="宋体" w:eastAsia="宋体" w:hint="default"/>
        </w:rPr>
        <w:t>0.2546%</w:t>
      </w:r>
      <w:r>
        <w:rPr/>
        <w:t>）；减持价格根据减持时的二级市场价格确定（不低于增持股票的成交均价</w:t>
      </w:r>
      <w:r>
        <w:rPr>
          <w:rFonts w:ascii="宋体" w:hAnsi="宋体" w:cs="宋体" w:eastAsia="宋体" w:hint="default"/>
        </w:rPr>
        <w:t>28.30</w:t>
      </w:r>
      <w:r>
        <w:rPr/>
        <w:t>元）。截至</w:t>
      </w:r>
      <w:r>
        <w:rPr>
          <w:rFonts w:ascii="宋体" w:hAnsi="宋体" w:cs="宋体" w:eastAsia="宋体" w:hint="default"/>
        </w:rPr>
        <w:t>2019</w:t>
      </w:r>
      <w:r>
        <w:rPr/>
        <w:t>年</w:t>
      </w:r>
      <w:r>
        <w:rPr>
          <w:rFonts w:ascii="宋体" w:hAnsi="宋体" w:cs="宋体" w:eastAsia="宋体" w:hint="default"/>
        </w:rPr>
        <w:t>4</w:t>
      </w:r>
      <w:r>
        <w:rPr>
          <w:rFonts w:ascii="宋体" w:hAnsi="宋体" w:cs="宋体" w:eastAsia="宋体" w:hint="default"/>
          <w:spacing w:val="-81"/>
        </w:rPr>
        <w:t> </w:t>
      </w:r>
      <w:r>
        <w:rPr/>
        <w:t>月</w:t>
      </w:r>
      <w:r>
        <w:rPr>
          <w:rFonts w:ascii="宋体" w:hAnsi="宋体" w:cs="宋体" w:eastAsia="宋体" w:hint="default"/>
        </w:rPr>
        <w:t>15</w:t>
      </w:r>
      <w:r>
        <w:rPr/>
        <w:t>日，张秀兵先生直接持有公司股份</w:t>
      </w:r>
      <w:r>
        <w:rPr>
          <w:rFonts w:ascii="宋体" w:hAnsi="宋体" w:cs="宋体" w:eastAsia="宋体" w:hint="default"/>
        </w:rPr>
        <w:t>165.0075</w:t>
      </w:r>
      <w:r>
        <w:rPr/>
        <w:t>万股，持股比例为</w:t>
      </w:r>
      <w:r>
        <w:rPr>
          <w:rFonts w:ascii="宋体" w:hAnsi="宋体" w:cs="宋体" w:eastAsia="宋体" w:hint="default"/>
        </w:rPr>
        <w:t>1.0186%</w:t>
      </w:r>
      <w:r>
        <w:rPr/>
        <w:t>；通过北京宣亚国际投资有限公司间接持有公司</w:t>
      </w:r>
      <w:r>
        <w:rPr>
          <w:spacing w:val="-85"/>
        </w:rPr>
        <w:t> </w:t>
      </w:r>
      <w:r>
        <w:rPr/>
        <w:t>股份</w:t>
      </w:r>
      <w:r>
        <w:rPr>
          <w:rFonts w:ascii="宋体" w:hAnsi="宋体" w:cs="宋体" w:eastAsia="宋体" w:hint="default"/>
        </w:rPr>
        <w:t>5,467.5000</w:t>
      </w:r>
      <w:r>
        <w:rPr/>
        <w:t>万股，持股比例为</w:t>
      </w:r>
      <w:r>
        <w:rPr>
          <w:rFonts w:ascii="宋体" w:hAnsi="宋体" w:cs="宋体" w:eastAsia="宋体" w:hint="default"/>
        </w:rPr>
        <w:t>33.7500%</w:t>
      </w:r>
      <w:r>
        <w:rPr/>
        <w:t>；通过北京橙色动力咨询中心（有限合伙）间接持有公司股份</w:t>
      </w:r>
      <w:r>
        <w:rPr>
          <w:rFonts w:ascii="宋体" w:hAnsi="宋体" w:cs="宋体" w:eastAsia="宋体" w:hint="default"/>
        </w:rPr>
        <w:t>66.8250</w:t>
      </w:r>
      <w:r>
        <w:rPr/>
        <w:t>万股，持</w:t>
      </w:r>
      <w:r>
        <w:rPr>
          <w:spacing w:val="-81"/>
        </w:rPr>
        <w:t> </w:t>
      </w:r>
      <w:r>
        <w:rPr/>
        <w:t>股比例为公司</w:t>
      </w:r>
      <w:r>
        <w:rPr>
          <w:rFonts w:ascii="宋体" w:hAnsi="宋体" w:cs="宋体" w:eastAsia="宋体" w:hint="default"/>
        </w:rPr>
        <w:t>0.4125%</w:t>
      </w:r>
      <w:r>
        <w:rPr/>
        <w:t>，合计持有公司股份</w:t>
      </w:r>
      <w:r>
        <w:rPr>
          <w:rFonts w:ascii="宋体" w:hAnsi="宋体" w:cs="宋体" w:eastAsia="宋体" w:hint="default"/>
        </w:rPr>
        <w:t>5,699.3325</w:t>
      </w:r>
      <w:r>
        <w:rPr/>
        <w:t>万股，占公司总股本的</w:t>
      </w:r>
      <w:r>
        <w:rPr>
          <w:rFonts w:ascii="宋体" w:hAnsi="宋体" w:cs="宋体" w:eastAsia="宋体" w:hint="default"/>
        </w:rPr>
        <w:t>35.1811%</w:t>
      </w:r>
      <w:r>
        <w:rPr/>
        <w:t>，为公司实际控制人之一。</w:t>
      </w:r>
    </w:p>
    <w:p>
      <w:pPr>
        <w:pStyle w:val="BodyText"/>
        <w:spacing w:line="316" w:lineRule="auto" w:before="142"/>
        <w:ind w:right="1036" w:firstLine="360"/>
        <w:jc w:val="left"/>
      </w:pPr>
      <w:r>
        <w:rPr>
          <w:spacing w:val="-10"/>
        </w:rPr>
        <w:t>（</w:t>
      </w:r>
      <w:r>
        <w:rPr>
          <w:rFonts w:ascii="宋体" w:hAnsi="宋体" w:cs="宋体" w:eastAsia="宋体" w:hint="default"/>
          <w:spacing w:val="-10"/>
        </w:rPr>
        <w:t>2</w:t>
      </w:r>
      <w:r>
        <w:rPr>
          <w:spacing w:val="-10"/>
        </w:rPr>
        <w:t>）公司于</w:t>
      </w:r>
      <w:r>
        <w:rPr>
          <w:rFonts w:ascii="宋体" w:hAnsi="宋体" w:cs="宋体" w:eastAsia="宋体" w:hint="default"/>
          <w:spacing w:val="-10"/>
        </w:rPr>
        <w:t>2019</w:t>
      </w:r>
      <w:r>
        <w:rPr>
          <w:spacing w:val="-10"/>
        </w:rPr>
        <w:t>年</w:t>
      </w:r>
      <w:r>
        <w:rPr>
          <w:rFonts w:ascii="宋体" w:hAnsi="宋体" w:cs="宋体" w:eastAsia="宋体" w:hint="default"/>
          <w:spacing w:val="-10"/>
        </w:rPr>
        <w:t>4</w:t>
      </w:r>
      <w:r>
        <w:rPr>
          <w:spacing w:val="-10"/>
        </w:rPr>
        <w:t>月</w:t>
      </w:r>
      <w:r>
        <w:rPr>
          <w:rFonts w:ascii="宋体" w:hAnsi="宋体" w:cs="宋体" w:eastAsia="宋体" w:hint="default"/>
          <w:spacing w:val="-10"/>
        </w:rPr>
        <w:t>15</w:t>
      </w:r>
      <w:r>
        <w:rPr>
          <w:spacing w:val="-10"/>
        </w:rPr>
        <w:t>日在巨潮资讯网上披露了《关于实际控制人股份减持计划的预披露公告》（公告编号：</w:t>
      </w:r>
      <w:r>
        <w:rPr>
          <w:rFonts w:ascii="宋体" w:hAnsi="宋体" w:cs="宋体" w:eastAsia="宋体" w:hint="default"/>
          <w:spacing w:val="-10"/>
        </w:rPr>
        <w:t>2019-037</w:t>
      </w:r>
      <w:r>
        <w:rPr>
          <w:spacing w:val="-10"/>
        </w:rPr>
        <w:t>），</w:t>
      </w:r>
      <w:r>
        <w:rPr>
          <w:spacing w:val="-90"/>
        </w:rPr>
        <w:t> </w:t>
      </w:r>
      <w:r>
        <w:rPr/>
        <w:t>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9</w:t>
      </w:r>
      <w:r>
        <w:rPr/>
        <w:t>日在巨潮资讯网上披露了《关于实际控制人减持进展暨提前终止减持计划的公告》（公告编号：</w:t>
      </w:r>
      <w:r>
        <w:rPr>
          <w:rFonts w:ascii="宋体" w:hAnsi="宋体" w:cs="宋体" w:eastAsia="宋体" w:hint="default"/>
        </w:rPr>
        <w:t>2019-048</w:t>
      </w:r>
      <w:r>
        <w:rPr/>
        <w:t>）。</w:t>
      </w:r>
      <w:r>
        <w:rPr>
          <w:spacing w:val="-82"/>
        </w:rPr>
        <w:t> </w:t>
      </w:r>
      <w:r>
        <w:rPr>
          <w:spacing w:val="-2"/>
        </w:rPr>
        <w:t>自本次减持计划起至</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8</w:t>
      </w:r>
      <w:r>
        <w:rPr>
          <w:spacing w:val="-2"/>
        </w:rPr>
        <w:t>日止，张秀兵先生未减持公司股份，张秀兵先生基于对公司未来持续稳定发展的坚定信心以</w:t>
      </w:r>
      <w:r>
        <w:rPr>
          <w:spacing w:val="-64"/>
        </w:rPr>
        <w:t> </w:t>
      </w:r>
      <w:r>
        <w:rPr>
          <w:spacing w:val="-64"/>
        </w:rPr>
      </w:r>
      <w:r>
        <w:rPr/>
        <w:t>及对公司内在价值的认可，决定提前终止本次减持计划，其未完成减持的股份在原减持计划期间内将不再减持。</w:t>
      </w:r>
    </w:p>
    <w:p>
      <w:pPr>
        <w:pStyle w:val="Heading7"/>
        <w:spacing w:line="240" w:lineRule="auto" w:before="145"/>
        <w:ind w:right="0"/>
        <w:jc w:val="left"/>
        <w:rPr>
          <w:b w:val="0"/>
          <w:bCs w:val="0"/>
        </w:rPr>
      </w:pPr>
      <w:r>
        <w:rPr>
          <w:spacing w:val="-3"/>
        </w:rPr>
        <w:t>（六）关于股东计划减持股份事项</w:t>
      </w:r>
      <w:r>
        <w:rPr>
          <w:b w:val="0"/>
          <w:bCs w:val="0"/>
          <w:spacing w:val="-3"/>
        </w:rPr>
      </w:r>
    </w:p>
    <w:p>
      <w:pPr>
        <w:spacing w:line="240" w:lineRule="auto" w:before="0"/>
        <w:rPr>
          <w:rFonts w:ascii="宋体" w:hAnsi="宋体" w:cs="宋体" w:eastAsia="宋体" w:hint="default"/>
          <w:b/>
          <w:bCs/>
          <w:sz w:val="14"/>
          <w:szCs w:val="14"/>
        </w:rPr>
      </w:pPr>
    </w:p>
    <w:p>
      <w:pPr>
        <w:pStyle w:val="BodyText"/>
        <w:spacing w:line="316" w:lineRule="auto"/>
        <w:ind w:right="1126" w:firstLine="360"/>
        <w:jc w:val="both"/>
      </w:pPr>
      <w:r>
        <w:rPr/>
        <w:t>持有公司股份</w:t>
      </w:r>
      <w:r>
        <w:rPr>
          <w:rFonts w:ascii="宋体" w:hAnsi="宋体" w:cs="宋体" w:eastAsia="宋体" w:hint="default"/>
        </w:rPr>
        <w:t>4,575,075</w:t>
      </w:r>
      <w:r>
        <w:rPr/>
        <w:t>股（占公司总股本的</w:t>
      </w:r>
      <w:r>
        <w:rPr>
          <w:rFonts w:ascii="宋体" w:hAnsi="宋体" w:cs="宋体" w:eastAsia="宋体" w:hint="default"/>
        </w:rPr>
        <w:t>2.82%</w:t>
      </w:r>
      <w:r>
        <w:rPr/>
        <w:t>）的股东</w:t>
      </w:r>
      <w:r>
        <w:rPr>
          <w:rFonts w:ascii="宋体" w:hAnsi="宋体" w:cs="宋体" w:eastAsia="宋体" w:hint="default"/>
        </w:rPr>
        <w:t>BBDO</w:t>
      </w:r>
      <w:r>
        <w:rPr>
          <w:rFonts w:ascii="宋体" w:hAnsi="宋体" w:cs="宋体" w:eastAsia="宋体" w:hint="default"/>
          <w:spacing w:val="-30"/>
        </w:rPr>
        <w:t> </w:t>
      </w:r>
      <w:r>
        <w:rPr>
          <w:rFonts w:ascii="宋体" w:hAnsi="宋体" w:cs="宋体" w:eastAsia="宋体" w:hint="default"/>
        </w:rPr>
        <w:t>Asia</w:t>
      </w:r>
      <w:r>
        <w:rPr>
          <w:rFonts w:ascii="宋体" w:hAnsi="宋体" w:cs="宋体" w:eastAsia="宋体" w:hint="default"/>
          <w:spacing w:val="-30"/>
        </w:rPr>
        <w:t> </w:t>
      </w:r>
      <w:r>
        <w:rPr>
          <w:rFonts w:ascii="宋体" w:hAnsi="宋体" w:cs="宋体" w:eastAsia="宋体" w:hint="default"/>
        </w:rPr>
        <w:t>Pacific</w:t>
      </w:r>
      <w:r>
        <w:rPr>
          <w:rFonts w:ascii="宋体" w:hAnsi="宋体" w:cs="宋体" w:eastAsia="宋体" w:hint="default"/>
          <w:spacing w:val="-30"/>
        </w:rPr>
        <w:t> </w:t>
      </w:r>
      <w:r>
        <w:rPr>
          <w:rFonts w:ascii="宋体" w:hAnsi="宋体" w:cs="宋体" w:eastAsia="宋体" w:hint="default"/>
        </w:rPr>
        <w:t>Limited</w:t>
      </w:r>
      <w:r>
        <w:rPr/>
        <w:t>计划自</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26</w:t>
      </w:r>
      <w:r>
        <w:rPr/>
        <w:t>日起以集中 竞价、大宗交易方式减持公司股份不超过</w:t>
      </w:r>
      <w:r>
        <w:rPr>
          <w:rFonts w:ascii="宋体" w:hAnsi="宋体" w:cs="宋体" w:eastAsia="宋体" w:hint="default"/>
        </w:rPr>
        <w:t>4,575,075</w:t>
      </w:r>
      <w:r>
        <w:rPr/>
        <w:t>股（占公司总股本的</w:t>
      </w:r>
      <w:r>
        <w:rPr>
          <w:rFonts w:ascii="宋体" w:hAnsi="宋体" w:cs="宋体" w:eastAsia="宋体" w:hint="default"/>
        </w:rPr>
        <w:t>2.82%</w:t>
      </w:r>
      <w:r>
        <w:rPr/>
        <w:t>）。具体内容详见公司于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21</w:t>
      </w:r>
      <w:r>
        <w:rPr/>
        <w:t>日在巨</w:t>
      </w:r>
      <w:r>
        <w:rPr>
          <w:spacing w:val="-84"/>
        </w:rPr>
        <w:t> </w:t>
      </w:r>
      <w:r>
        <w:rPr>
          <w:spacing w:val="-2"/>
        </w:rPr>
        <w:t>潮资讯网上披露的《关于股东股份减持计划的提示性公告》（公告编号：</w:t>
      </w:r>
      <w:r>
        <w:rPr>
          <w:rFonts w:ascii="宋体" w:hAnsi="宋体" w:cs="宋体" w:eastAsia="宋体" w:hint="default"/>
          <w:spacing w:val="-2"/>
        </w:rPr>
        <w:t>2019-059</w:t>
      </w:r>
      <w:r>
        <w:rPr>
          <w:spacing w:val="-2"/>
        </w:rPr>
        <w:t>）。截至报告期末，</w:t>
      </w:r>
      <w:r>
        <w:rPr>
          <w:rFonts w:ascii="宋体" w:hAnsi="宋体" w:cs="宋体" w:eastAsia="宋体" w:hint="default"/>
          <w:spacing w:val="-2"/>
        </w:rPr>
        <w:t>BBDO</w:t>
      </w:r>
      <w:r>
        <w:rPr>
          <w:spacing w:val="-2"/>
        </w:rPr>
        <w:t>亚太持有公司股</w:t>
      </w:r>
      <w:r>
        <w:rPr>
          <w:spacing w:val="-54"/>
        </w:rPr>
        <w:t> </w:t>
      </w:r>
      <w:r>
        <w:rPr/>
        <w:t>份</w:t>
      </w:r>
      <w:r>
        <w:rPr>
          <w:rFonts w:ascii="宋体" w:hAnsi="宋体" w:cs="宋体" w:eastAsia="宋体" w:hint="default"/>
        </w:rPr>
        <w:t>2,975,075</w:t>
      </w:r>
      <w:r>
        <w:rPr/>
        <w:t>股，占公司总股本的</w:t>
      </w:r>
      <w:r>
        <w:rPr>
          <w:rFonts w:ascii="宋体" w:hAnsi="宋体" w:cs="宋体" w:eastAsia="宋体" w:hint="default"/>
        </w:rPr>
        <w:t>1.84%</w:t>
      </w:r>
      <w:r>
        <w:rPr/>
        <w:t>。</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420" w:lineRule="exact" w:before="45"/>
        <w:ind w:left="501" w:right="1029" w:firstLine="0"/>
        <w:jc w:val="left"/>
        <w:rPr>
          <w:rFonts w:ascii="宋体" w:hAnsi="宋体" w:cs="宋体" w:eastAsia="宋体" w:hint="default"/>
          <w:sz w:val="18"/>
          <w:szCs w:val="18"/>
        </w:rPr>
      </w:pPr>
      <w:r>
        <w:rPr>
          <w:rFonts w:ascii="宋体" w:hAnsi="宋体" w:cs="宋体" w:eastAsia="宋体" w:hint="default"/>
          <w:b/>
          <w:bCs/>
          <w:sz w:val="18"/>
          <w:szCs w:val="18"/>
        </w:rPr>
        <w:t>（一）公司控股子公司签署战略合作框架协议事项</w:t>
      </w:r>
      <w:r>
        <w:rPr>
          <w:rFonts w:ascii="宋体" w:hAnsi="宋体" w:cs="宋体" w:eastAsia="宋体" w:hint="default"/>
          <w:b/>
          <w:bCs/>
          <w:w w:val="99"/>
          <w:sz w:val="18"/>
          <w:szCs w:val="18"/>
        </w:rPr>
        <w:t> </w:t>
      </w:r>
      <w:r>
        <w:rPr>
          <w:rFonts w:ascii="宋体" w:hAnsi="宋体" w:cs="宋体" w:eastAsia="宋体" w:hint="default"/>
          <w:sz w:val="18"/>
          <w:szCs w:val="18"/>
        </w:rPr>
        <w:t>为适应网络视频技术应用发展新形势的要求，充分运用大数据、人工智能等技术提升网络视频监测、分析和预警水平，</w:t>
      </w:r>
    </w:p>
    <w:p>
      <w:pPr>
        <w:pStyle w:val="BodyText"/>
        <w:spacing w:line="319" w:lineRule="auto" w:before="21"/>
        <w:ind w:right="1035"/>
        <w:jc w:val="left"/>
      </w:pPr>
      <w:r>
        <w:rPr>
          <w:spacing w:val="-5"/>
        </w:rPr>
        <w:t>提高保障湖南省网络视频内容安全、助推网络视频产业健康发展的能力，公司控股子公司北京宣亚国际数字技术有限公司（已</w:t>
      </w:r>
      <w:r>
        <w:rPr>
          <w:spacing w:val="-85"/>
        </w:rPr>
        <w:t> </w:t>
      </w:r>
      <w:r>
        <w:rPr>
          <w:spacing w:val="-85"/>
        </w:rPr>
      </w:r>
      <w:r>
        <w:rPr/>
        <w:t>更名为“云目未来科技（北京）有限公司”）与湖南省互联网信息办公室本着“发挥优势、相互促进、长期合作”的原则，</w:t>
      </w:r>
      <w:r>
        <w:rPr>
          <w:spacing w:val="-83"/>
        </w:rPr>
        <w:t> </w:t>
      </w:r>
      <w:r>
        <w:rPr>
          <w:spacing w:val="-83"/>
        </w:rPr>
      </w:r>
      <w:r>
        <w:rPr/>
        <w:t>经友好协商，于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日在长沙签署《战略合作框架协议》。本次签署的战略合作框架协议属于双方合作意愿的框架 </w:t>
      </w:r>
      <w:r>
        <w:rPr>
          <w:spacing w:val="-2"/>
        </w:rPr>
        <w:t>性、意向性约定，协议内容的每一阶段仍需单独签署协议约定具体事项，并根据相关法律法规及《公司章程》规定履行相关</w:t>
      </w:r>
      <w:r>
        <w:rPr>
          <w:spacing w:val="-56"/>
        </w:rPr>
        <w:t> </w:t>
      </w:r>
      <w:r>
        <w:rPr>
          <w:spacing w:val="-56"/>
        </w:rPr>
      </w:r>
      <w:r>
        <w:rPr>
          <w:spacing w:val="-4"/>
        </w:rPr>
        <w:t>决策程序。具体内容详见公司于</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16</w:t>
      </w:r>
      <w:r>
        <w:rPr>
          <w:spacing w:val="-4"/>
        </w:rPr>
        <w:t>日在巨潮资讯网上披露的《关于控股子公司签署战略合作框架协议的公告》（公</w:t>
      </w:r>
      <w:r>
        <w:rPr>
          <w:spacing w:val="-35"/>
        </w:rPr>
        <w:t> </w:t>
      </w:r>
      <w:r>
        <w:rPr>
          <w:spacing w:val="-35"/>
        </w:rPr>
      </w:r>
      <w:r>
        <w:rPr/>
        <w:t>告编号</w:t>
      </w:r>
      <w:r>
        <w:rPr>
          <w:rFonts w:ascii="宋体" w:hAnsi="宋体" w:cs="宋体" w:eastAsia="宋体" w:hint="default"/>
        </w:rPr>
        <w:t>2019-002</w:t>
      </w:r>
      <w:r>
        <w:rPr/>
        <w:t>）。</w:t>
      </w:r>
    </w:p>
    <w:p>
      <w:pPr>
        <w:pStyle w:val="Heading9"/>
        <w:spacing w:line="240" w:lineRule="auto" w:before="140"/>
        <w:ind w:right="0"/>
        <w:jc w:val="left"/>
        <w:rPr>
          <w:b w:val="0"/>
          <w:bCs w:val="0"/>
        </w:rPr>
      </w:pPr>
      <w:r>
        <w:rPr/>
        <w:t>（二）公司全资子公司签署股权认购协议事项</w:t>
      </w:r>
      <w:r>
        <w:rPr>
          <w:b w:val="0"/>
          <w:bCs w:val="0"/>
        </w:rPr>
      </w:r>
    </w:p>
    <w:p>
      <w:pPr>
        <w:spacing w:line="240" w:lineRule="auto" w:before="6"/>
        <w:rPr>
          <w:rFonts w:ascii="宋体" w:hAnsi="宋体" w:cs="宋体" w:eastAsia="宋体" w:hint="default"/>
          <w:b/>
          <w:bCs/>
          <w:sz w:val="16"/>
          <w:szCs w:val="16"/>
        </w:rPr>
      </w:pPr>
    </w:p>
    <w:p>
      <w:pPr>
        <w:pStyle w:val="BodyText"/>
        <w:spacing w:line="314" w:lineRule="auto"/>
        <w:ind w:right="1111" w:firstLine="360"/>
        <w:jc w:val="both"/>
      </w:pPr>
      <w:r>
        <w:rPr/>
        <w:t>（</w:t>
      </w:r>
      <w:r>
        <w:rPr>
          <w:rFonts w:ascii="宋体" w:hAnsi="宋体" w:cs="宋体" w:eastAsia="宋体" w:hint="default"/>
        </w:rPr>
        <w:t>1</w:t>
      </w:r>
      <w:r>
        <w:rPr/>
        <w:t>）基于公司的经营战略及业务发展需要，宣亚国际全资子公司宣亚国际有限公司与</w:t>
      </w:r>
      <w:r>
        <w:rPr>
          <w:rFonts w:ascii="宋体" w:hAnsi="宋体" w:cs="宋体" w:eastAsia="宋体" w:hint="default"/>
        </w:rPr>
        <w:t>RMDS</w:t>
      </w:r>
      <w:r>
        <w:rPr>
          <w:rFonts w:ascii="宋体" w:hAnsi="宋体" w:cs="宋体" w:eastAsia="宋体" w:hint="default"/>
          <w:spacing w:val="-41"/>
        </w:rPr>
        <w:t> </w:t>
      </w:r>
      <w:r>
        <w:rPr>
          <w:rFonts w:ascii="宋体" w:hAnsi="宋体" w:cs="宋体" w:eastAsia="宋体" w:hint="default"/>
        </w:rPr>
        <w:t>Lab</w:t>
      </w:r>
      <w:r>
        <w:rPr>
          <w:rFonts w:ascii="宋体" w:hAnsi="宋体" w:cs="宋体" w:eastAsia="宋体" w:hint="default"/>
          <w:spacing w:val="-41"/>
        </w:rPr>
        <w:t> </w:t>
      </w:r>
      <w:r>
        <w:rPr>
          <w:rFonts w:ascii="宋体" w:hAnsi="宋体" w:cs="宋体" w:eastAsia="宋体" w:hint="default"/>
        </w:rPr>
        <w:t>Inc.</w:t>
      </w:r>
      <w:r>
        <w:rPr/>
        <w:t>（译为“</w:t>
      </w:r>
      <w:r>
        <w:rPr>
          <w:rFonts w:ascii="宋体" w:hAnsi="宋体" w:cs="宋体" w:eastAsia="宋体" w:hint="default"/>
        </w:rPr>
        <w:t>RMDS</w:t>
      </w:r>
      <w:r>
        <w:rPr/>
        <w:t>实验 室股份有限公司”，以下简称“</w:t>
      </w:r>
      <w:r>
        <w:rPr>
          <w:rFonts w:ascii="宋体" w:hAnsi="宋体" w:cs="宋体" w:eastAsia="宋体" w:hint="default"/>
        </w:rPr>
        <w:t>RMDS</w:t>
      </w:r>
      <w:r>
        <w:rPr/>
        <w:t>”或“标的公司”）于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24</w:t>
      </w:r>
      <w:r>
        <w:rPr/>
        <w:t>日在美国签署了《宣亚国际有限公司与</w:t>
      </w:r>
      <w:r>
        <w:rPr>
          <w:rFonts w:ascii="宋体" w:hAnsi="宋体" w:cs="宋体" w:eastAsia="宋体" w:hint="default"/>
        </w:rPr>
        <w:t>RMDS</w:t>
      </w:r>
      <w:r>
        <w:rPr/>
        <w:t>实验室</w:t>
      </w:r>
      <w:r>
        <w:rPr>
          <w:spacing w:val="-84"/>
        </w:rPr>
        <w:t> </w:t>
      </w:r>
      <w:r>
        <w:rPr>
          <w:spacing w:val="-2"/>
        </w:rPr>
        <w:t>股份有限公司的股权认购协议》，经双方友好协商并达成一致意见，宣亚美国拟以</w:t>
      </w:r>
      <w:r>
        <w:rPr>
          <w:rFonts w:ascii="宋体" w:hAnsi="宋体" w:cs="宋体" w:eastAsia="宋体" w:hint="default"/>
          <w:spacing w:val="-2"/>
        </w:rPr>
        <w:t>300</w:t>
      </w:r>
      <w:r>
        <w:rPr>
          <w:spacing w:val="-2"/>
        </w:rPr>
        <w:t>万美元（约合</w:t>
      </w:r>
      <w:r>
        <w:rPr>
          <w:rFonts w:ascii="宋体" w:hAnsi="宋体" w:cs="宋体" w:eastAsia="宋体" w:hint="default"/>
          <w:spacing w:val="-2"/>
        </w:rPr>
        <w:t>2,100</w:t>
      </w:r>
      <w:r>
        <w:rPr>
          <w:spacing w:val="-2"/>
        </w:rPr>
        <w:t>万元人民币）认购</w:t>
      </w:r>
      <w:r>
        <w:rPr>
          <w:spacing w:val="-42"/>
        </w:rPr>
        <w:t> </w:t>
      </w:r>
      <w:r>
        <w:rPr>
          <w:spacing w:val="-42"/>
        </w:rPr>
      </w:r>
      <w:r>
        <w:rPr>
          <w:rFonts w:ascii="宋体" w:hAnsi="宋体" w:cs="宋体" w:eastAsia="宋体" w:hint="default"/>
        </w:rPr>
        <w:t>RMDS</w:t>
      </w:r>
      <w:r>
        <w:rPr/>
        <w:t>发行的</w:t>
      </w:r>
      <w:r>
        <w:rPr>
          <w:rFonts w:ascii="宋体" w:hAnsi="宋体" w:cs="宋体" w:eastAsia="宋体" w:hint="default"/>
        </w:rPr>
        <w:t>300</w:t>
      </w:r>
      <w:r>
        <w:rPr/>
        <w:t>万股股份并占</w:t>
      </w:r>
      <w:r>
        <w:rPr>
          <w:rFonts w:ascii="宋体" w:hAnsi="宋体" w:cs="宋体" w:eastAsia="宋体" w:hint="default"/>
        </w:rPr>
        <w:t>RMDS</w:t>
      </w:r>
      <w:r>
        <w:rPr/>
        <w:t>总股份数的</w:t>
      </w:r>
      <w:r>
        <w:rPr>
          <w:rFonts w:ascii="宋体" w:hAnsi="宋体" w:cs="宋体" w:eastAsia="宋体" w:hint="default"/>
        </w:rPr>
        <w:t>30%</w:t>
      </w:r>
      <w:r>
        <w:rPr/>
        <w:t>（包括相应的股东权益）。具体内容详见公司</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25</w:t>
      </w:r>
      <w:r>
        <w:rPr/>
        <w:t>日在巨潮资讯网</w:t>
      </w:r>
      <w:r>
        <w:rPr>
          <w:spacing w:val="-85"/>
        </w:rPr>
        <w:t> </w:t>
      </w:r>
      <w:r>
        <w:rPr/>
        <w:t>上披露的《关于全资子公司签署</w:t>
      </w:r>
      <w:r>
        <w:rPr>
          <w:rFonts w:ascii="宋体" w:hAnsi="宋体" w:cs="宋体" w:eastAsia="宋体" w:hint="default"/>
        </w:rPr>
        <w:t>&lt;</w:t>
      </w:r>
      <w:r>
        <w:rPr/>
        <w:t>股权认购协议</w:t>
      </w:r>
      <w:r>
        <w:rPr>
          <w:rFonts w:ascii="宋体" w:hAnsi="宋体" w:cs="宋体" w:eastAsia="宋体" w:hint="default"/>
        </w:rPr>
        <w:t>&gt;</w:t>
      </w:r>
      <w:r>
        <w:rPr/>
        <w:t>的公告》（公告编号：</w:t>
      </w:r>
      <w:r>
        <w:rPr>
          <w:rFonts w:ascii="宋体" w:hAnsi="宋体" w:cs="宋体" w:eastAsia="宋体" w:hint="default"/>
        </w:rPr>
        <w:t>2019-018</w:t>
      </w:r>
      <w:r>
        <w:rPr/>
        <w:t>）。</w:t>
      </w:r>
    </w:p>
    <w:p>
      <w:pPr>
        <w:pStyle w:val="BodyText"/>
        <w:spacing w:line="321" w:lineRule="auto" w:before="144"/>
        <w:ind w:right="1127" w:firstLine="360"/>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24</w:t>
      </w:r>
      <w:r>
        <w:rPr>
          <w:spacing w:val="-2"/>
        </w:rPr>
        <w:t>日，</w:t>
      </w:r>
      <w:r>
        <w:rPr>
          <w:rFonts w:ascii="宋体" w:hAnsi="宋体" w:cs="宋体" w:eastAsia="宋体" w:hint="default"/>
          <w:spacing w:val="-2"/>
        </w:rPr>
        <w:t>RMDS</w:t>
      </w:r>
      <w:r>
        <w:rPr>
          <w:spacing w:val="-2"/>
        </w:rPr>
        <w:t>已办理完毕宣亚美国登记为</w:t>
      </w:r>
      <w:r>
        <w:rPr>
          <w:rFonts w:ascii="宋体" w:hAnsi="宋体" w:cs="宋体" w:eastAsia="宋体" w:hint="default"/>
          <w:spacing w:val="-2"/>
        </w:rPr>
        <w:t>RMDS</w:t>
      </w:r>
      <w:r>
        <w:rPr>
          <w:spacing w:val="-2"/>
        </w:rPr>
        <w:t>股东的证明文件；</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日（美国当地时间），宣亚美</w:t>
      </w:r>
      <w:r>
        <w:rPr/>
        <w:t> 国向</w:t>
      </w:r>
      <w:r>
        <w:rPr>
          <w:rFonts w:ascii="宋体" w:hAnsi="宋体" w:cs="宋体" w:eastAsia="宋体" w:hint="default"/>
        </w:rPr>
        <w:t>RMDS</w:t>
      </w:r>
      <w:r>
        <w:rPr/>
        <w:t>支付了</w:t>
      </w:r>
      <w:r>
        <w:rPr>
          <w:rFonts w:ascii="宋体" w:hAnsi="宋体" w:cs="宋体" w:eastAsia="宋体" w:hint="default"/>
        </w:rPr>
        <w:t>300</w:t>
      </w:r>
      <w:r>
        <w:rPr/>
        <w:t>万美元（折合</w:t>
      </w:r>
      <w:r>
        <w:rPr>
          <w:rFonts w:ascii="宋体" w:hAnsi="宋体" w:cs="宋体" w:eastAsia="宋体" w:hint="default"/>
        </w:rPr>
        <w:t>2,015.79</w:t>
      </w:r>
      <w:r>
        <w:rPr/>
        <w:t>万元人民币）的认购价款（注：汇率为认购价款支付当日银行汇率）；根据标的</w:t>
      </w:r>
    </w:p>
    <w:p>
      <w:pPr>
        <w:spacing w:after="0" w:line="321" w:lineRule="auto"/>
        <w:jc w:val="both"/>
        <w:sectPr>
          <w:pgSz w:w="11910" w:h="16850"/>
          <w:pgMar w:header="866" w:footer="981" w:top="1120" w:bottom="1180" w:left="1000" w:right="0"/>
        </w:sectPr>
      </w:pPr>
    </w:p>
    <w:p>
      <w:pPr>
        <w:spacing w:line="240" w:lineRule="auto" w:before="11"/>
        <w:rPr>
          <w:rFonts w:ascii="宋体" w:hAnsi="宋体" w:cs="宋体" w:eastAsia="宋体" w:hint="default"/>
          <w:sz w:val="29"/>
          <w:szCs w:val="29"/>
        </w:rPr>
      </w:pPr>
    </w:p>
    <w:p>
      <w:pPr>
        <w:pStyle w:val="BodyText"/>
        <w:spacing w:line="316" w:lineRule="auto" w:before="44"/>
        <w:ind w:right="1095"/>
        <w:jc w:val="both"/>
      </w:pPr>
      <w:r>
        <w:rPr>
          <w:spacing w:val="-1"/>
        </w:rPr>
        <w:t>公司章程，标的公司设</w:t>
      </w:r>
      <w:r>
        <w:rPr>
          <w:rFonts w:ascii="宋体" w:hAnsi="宋体" w:cs="宋体" w:eastAsia="宋体" w:hint="default"/>
          <w:spacing w:val="-1"/>
        </w:rPr>
        <w:t>3</w:t>
      </w:r>
      <w:r>
        <w:rPr>
          <w:spacing w:val="-1"/>
        </w:rPr>
        <w:t>名董事，宣亚美国投资完成后，已向</w:t>
      </w:r>
      <w:r>
        <w:rPr>
          <w:rFonts w:ascii="宋体" w:hAnsi="宋体" w:cs="宋体" w:eastAsia="宋体" w:hint="default"/>
          <w:spacing w:val="-1"/>
        </w:rPr>
        <w:t>RMDS</w:t>
      </w:r>
      <w:r>
        <w:rPr>
          <w:spacing w:val="-1"/>
        </w:rPr>
        <w:t>推荐</w:t>
      </w:r>
      <w:r>
        <w:rPr>
          <w:rFonts w:ascii="宋体" w:hAnsi="宋体" w:cs="宋体" w:eastAsia="宋体" w:hint="default"/>
          <w:spacing w:val="-1"/>
        </w:rPr>
        <w:t>1</w:t>
      </w:r>
      <w:r>
        <w:rPr>
          <w:spacing w:val="-1"/>
        </w:rPr>
        <w:t>名人员担任董事，其余</w:t>
      </w:r>
      <w:r>
        <w:rPr>
          <w:rFonts w:ascii="宋体" w:hAnsi="宋体" w:cs="宋体" w:eastAsia="宋体" w:hint="default"/>
          <w:spacing w:val="-1"/>
        </w:rPr>
        <w:t>2</w:t>
      </w:r>
      <w:r>
        <w:rPr>
          <w:spacing w:val="-1"/>
        </w:rPr>
        <w:t>名董事由</w:t>
      </w:r>
      <w:r>
        <w:rPr>
          <w:rFonts w:ascii="宋体" w:hAnsi="宋体" w:cs="宋体" w:eastAsia="宋体" w:hint="default"/>
          <w:spacing w:val="-1"/>
        </w:rPr>
        <w:t>AlexLiu</w:t>
      </w:r>
      <w:r>
        <w:rPr>
          <w:spacing w:val="-1"/>
        </w:rPr>
        <w:t>推荐的人员</w:t>
      </w:r>
      <w:r>
        <w:rPr>
          <w:spacing w:val="-82"/>
        </w:rPr>
        <w:t> </w:t>
      </w:r>
      <w:r>
        <w:rPr>
          <w:spacing w:val="-2"/>
        </w:rPr>
        <w:t>担任。截至</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w:t>
      </w:r>
      <w:r>
        <w:rPr>
          <w:spacing w:val="-2"/>
        </w:rPr>
        <w:t>日，宣亚美国已按照《股权收购协议》的约定完成了付款及认购</w:t>
      </w:r>
      <w:r>
        <w:rPr>
          <w:rFonts w:ascii="宋体" w:hAnsi="宋体" w:cs="宋体" w:eastAsia="宋体" w:hint="default"/>
          <w:spacing w:val="-2"/>
        </w:rPr>
        <w:t>RMDS</w:t>
      </w:r>
      <w:r>
        <w:rPr>
          <w:spacing w:val="-2"/>
        </w:rPr>
        <w:t>股权的交割手续，至此，宣亚美</w:t>
      </w:r>
      <w:r>
        <w:rPr>
          <w:spacing w:val="-56"/>
        </w:rPr>
        <w:t> </w:t>
      </w:r>
      <w:r>
        <w:rPr>
          <w:spacing w:val="-56"/>
        </w:rPr>
      </w:r>
      <w:r>
        <w:rPr/>
        <w:t>国持有</w:t>
      </w:r>
      <w:r>
        <w:rPr>
          <w:rFonts w:ascii="宋体" w:hAnsi="宋体" w:cs="宋体" w:eastAsia="宋体" w:hint="default"/>
        </w:rPr>
        <w:t>RMDS30%</w:t>
      </w:r>
      <w:r>
        <w:rPr/>
        <w:t>的股权。具体内容详见公司于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w:t>
      </w:r>
      <w:r>
        <w:rPr/>
        <w:t>日在巨潮资讯网上披露的《关于全资子公司认购</w:t>
      </w:r>
      <w:r>
        <w:rPr>
          <w:rFonts w:ascii="宋体" w:hAnsi="宋体" w:cs="宋体" w:eastAsia="宋体" w:hint="default"/>
        </w:rPr>
        <w:t>RMDS Lab</w:t>
      </w:r>
      <w:r>
        <w:rPr>
          <w:rFonts w:ascii="宋体" w:hAnsi="宋体" w:cs="宋体" w:eastAsia="宋体" w:hint="default"/>
          <w:spacing w:val="6"/>
        </w:rPr>
        <w:t> </w:t>
      </w:r>
      <w:r>
        <w:rPr>
          <w:rFonts w:ascii="宋体" w:hAnsi="宋体" w:cs="宋体" w:eastAsia="宋体" w:hint="default"/>
        </w:rPr>
        <w:t>Inc.30% </w:t>
      </w:r>
      <w:r>
        <w:rPr/>
        <w:t>股权完成交割的公告》（公告编号：</w:t>
      </w:r>
      <w:r>
        <w:rPr>
          <w:rFonts w:ascii="宋体" w:hAnsi="宋体" w:cs="宋体" w:eastAsia="宋体" w:hint="default"/>
        </w:rPr>
        <w:t>2019-021</w:t>
      </w:r>
      <w:r>
        <w:rPr/>
        <w:t>）。</w:t>
      </w:r>
    </w:p>
    <w:p>
      <w:pPr>
        <w:spacing w:after="0" w:line="316" w:lineRule="auto"/>
        <w:jc w:val="both"/>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040" w:right="0"/>
        <w:jc w:val="left"/>
        <w:rPr>
          <w:b w:val="0"/>
          <w:bCs w:val="0"/>
        </w:rPr>
      </w:pPr>
      <w:bookmarkStart w:name="第六节股份变动及股东情况" w:id="101"/>
      <w:bookmarkEnd w:id="101"/>
      <w:r>
        <w:rPr>
          <w:b w:val="0"/>
          <w:bCs w:val="0"/>
        </w:rPr>
      </w:r>
      <w:bookmarkStart w:name="_bookmark5" w:id="102"/>
      <w:bookmarkEnd w:id="102"/>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3"/>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47"/>
        <w:gridCol w:w="1284"/>
        <w:gridCol w:w="706"/>
        <w:gridCol w:w="571"/>
        <w:gridCol w:w="571"/>
        <w:gridCol w:w="705"/>
        <w:gridCol w:w="992"/>
        <w:gridCol w:w="1141"/>
        <w:gridCol w:w="1262"/>
        <w:gridCol w:w="796"/>
      </w:tblGrid>
      <w:tr>
        <w:trPr>
          <w:trHeight w:val="405" w:hRule="exact"/>
        </w:trPr>
        <w:tc>
          <w:tcPr>
            <w:tcW w:w="1547" w:type="dxa"/>
            <w:vMerge w:val="restart"/>
            <w:tcBorders>
              <w:top w:val="single" w:sz="6" w:space="0" w:color="000000"/>
              <w:left w:val="single" w:sz="6" w:space="0" w:color="000000"/>
              <w:right w:val="single" w:sz="6" w:space="0" w:color="000000"/>
            </w:tcBorders>
            <w:shd w:val="clear" w:color="auto" w:fill="D2D2D2"/>
          </w:tcPr>
          <w:p>
            <w:pPr/>
          </w:p>
        </w:tc>
        <w:tc>
          <w:tcPr>
            <w:tcW w:w="199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3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8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9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5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1547" w:type="dxa"/>
            <w:vMerge/>
            <w:tcBorders>
              <w:left w:val="single" w:sz="6" w:space="0" w:color="000000"/>
              <w:right w:val="single" w:sz="6" w:space="0" w:color="000000"/>
            </w:tcBorders>
            <w:shd w:val="clear" w:color="auto" w:fill="D2D2D2"/>
          </w:tcPr>
          <w:p>
            <w:pPr/>
          </w:p>
        </w:tc>
        <w:tc>
          <w:tcPr>
            <w:tcW w:w="1284" w:type="dxa"/>
            <w:tcBorders>
              <w:top w:val="single" w:sz="6" w:space="0" w:color="000000"/>
              <w:left w:val="single" w:sz="6" w:space="0" w:color="000000"/>
              <w:bottom w:val="nil" w:sz="6" w:space="0" w:color="auto"/>
              <w:right w:val="single" w:sz="6" w:space="0" w:color="000000"/>
            </w:tcBorders>
            <w:shd w:val="clear" w:color="auto" w:fill="D2D2D2"/>
          </w:tcPr>
          <w:p>
            <w:pP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05" w:right="8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70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65" w:right="73"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62"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547" w:type="dxa"/>
            <w:vMerge/>
            <w:tcBorders>
              <w:left w:val="single" w:sz="6" w:space="0" w:color="000000"/>
              <w:right w:val="single" w:sz="6" w:space="0" w:color="000000"/>
            </w:tcBorders>
            <w:shd w:val="clear" w:color="auto" w:fill="D2D2D2"/>
          </w:tcPr>
          <w:p>
            <w:pPr/>
          </w:p>
        </w:tc>
        <w:tc>
          <w:tcPr>
            <w:tcW w:w="12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数量</w:t>
            </w:r>
          </w:p>
        </w:tc>
        <w:tc>
          <w:tcPr>
            <w:tcW w:w="70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71" w:type="dxa"/>
            <w:vMerge/>
            <w:tcBorders>
              <w:left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5" w:type="dxa"/>
            <w:vMerge/>
            <w:tcBorders>
              <w:left w:val="single" w:sz="6" w:space="0" w:color="000000"/>
              <w:right w:val="single" w:sz="6" w:space="0" w:color="000000"/>
            </w:tcBorders>
            <w:shd w:val="clear" w:color="auto" w:fill="D2D2D2"/>
          </w:tcPr>
          <w:p>
            <w:pPr/>
          </w:p>
        </w:tc>
        <w:tc>
          <w:tcPr>
            <w:tcW w:w="9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6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数量</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58" w:hRule="exact"/>
        </w:trPr>
        <w:tc>
          <w:tcPr>
            <w:tcW w:w="1547" w:type="dxa"/>
            <w:vMerge/>
            <w:tcBorders>
              <w:left w:val="single" w:sz="6" w:space="0" w:color="000000"/>
              <w:bottom w:val="single" w:sz="6" w:space="0" w:color="000000"/>
              <w:right w:val="single" w:sz="6" w:space="0" w:color="000000"/>
            </w:tcBorders>
            <w:shd w:val="clear" w:color="auto" w:fill="D2D2D2"/>
          </w:tcPr>
          <w:p>
            <w:pPr/>
          </w:p>
        </w:tc>
        <w:tc>
          <w:tcPr>
            <w:tcW w:w="1284"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705" w:type="dxa"/>
            <w:vMerge/>
            <w:tcBorders>
              <w:left w:val="single" w:sz="6" w:space="0" w:color="000000"/>
              <w:bottom w:val="single" w:sz="6" w:space="0" w:color="000000"/>
              <w:right w:val="single" w:sz="6" w:space="0" w:color="000000"/>
            </w:tcBorders>
            <w:shd w:val="clear" w:color="auto" w:fill="D2D2D2"/>
          </w:tcPr>
          <w:p>
            <w:pPr/>
          </w:p>
        </w:tc>
        <w:tc>
          <w:tcPr>
            <w:tcW w:w="9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62"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82"/>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116,662,555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72.01%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412,520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412,520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117,075,075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72.27%</w:t>
            </w:r>
          </w:p>
        </w:tc>
      </w:tr>
      <w:tr>
        <w:trPr>
          <w:trHeight w:val="4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116,662,555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72.01%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412,520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412,520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117,075,075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72.27%</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82"/>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115,425,000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71.25%</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115,425,000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71.25%</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1,237,555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0.76%</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412,520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412,520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1,650,075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r>
      <w:tr>
        <w:trPr>
          <w:trHeight w:val="390"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82"/>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82"/>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45,337,445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27.99%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-412,520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-412,520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44,924,925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27.73%</w:t>
            </w:r>
          </w:p>
        </w:tc>
      </w:tr>
      <w:tr>
        <w:trPr>
          <w:trHeight w:val="406"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45,337,445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27.99%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-412,520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-412,520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44,924,925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27.73%</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、境内上市的外资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、境外上市的外资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162,000,000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162,000,000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45"/>
        <w:ind w:right="0"/>
        <w:jc w:val="left"/>
      </w:pPr>
      <w:r>
        <w:rPr/>
        <w:t>股份变动的原因</w:t>
      </w:r>
    </w:p>
    <w:p>
      <w:pPr>
        <w:pStyle w:val="BodyText"/>
        <w:spacing w:line="333" w:lineRule="auto" w:before="140"/>
        <w:ind w:left="501" w:right="111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报告期初，张秀兵担任公司董事长职务，直接持有公司股份</w:t>
      </w:r>
      <w:r>
        <w:rPr>
          <w:rFonts w:ascii="Times New Roman" w:hAnsi="Times New Roman" w:cs="Times New Roman" w:eastAsia="Times New Roman" w:hint="default"/>
          <w:spacing w:val="-2"/>
        </w:rPr>
        <w:t>1,650,075</w:t>
      </w:r>
      <w:r>
        <w:rPr>
          <w:spacing w:val="-2"/>
        </w:rPr>
        <w:t>股，按照董监高每年转让的股份不得超过其所持有</w:t>
      </w:r>
    </w:p>
    <w:p>
      <w:pPr>
        <w:spacing w:after="0" w:line="333"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302" w:lineRule="auto" w:before="44"/>
        <w:ind w:left="501" w:right="1164" w:hanging="361"/>
        <w:jc w:val="left"/>
      </w:pPr>
      <w:r>
        <w:rPr/>
        <w:t>上市公司股份总数百分之二十五的规定，张秀兵持有的</w:t>
      </w:r>
      <w:r>
        <w:rPr>
          <w:rFonts w:ascii="Times New Roman" w:hAnsi="Times New Roman" w:cs="Times New Roman" w:eastAsia="Times New Roman" w:hint="default"/>
        </w:rPr>
        <w:t>1,237,555</w:t>
      </w:r>
      <w:r>
        <w:rPr/>
        <w:t>为有限售条件股份，</w:t>
      </w:r>
      <w:r>
        <w:rPr>
          <w:rFonts w:ascii="Times New Roman" w:hAnsi="Times New Roman" w:cs="Times New Roman" w:eastAsia="Times New Roman" w:hint="default"/>
        </w:rPr>
        <w:t>412,520</w:t>
      </w:r>
      <w:r>
        <w:rPr/>
        <w:t>股为无限售条件股份。</w:t>
      </w:r>
      <w:r>
        <w:rPr>
          <w:spacing w:val="-83"/>
        </w:rPr>
        <w:t> </w:t>
      </w:r>
      <w:r>
        <w:rPr/>
        <w:t>报告期内，张秀兵持有的公司股份</w:t>
      </w:r>
      <w:r>
        <w:rPr>
          <w:rFonts w:ascii="Times New Roman" w:hAnsi="Times New Roman" w:cs="Times New Roman" w:eastAsia="Times New Roman" w:hint="default"/>
        </w:rPr>
        <w:t>1,650,075</w:t>
      </w:r>
      <w:r>
        <w:rPr/>
        <w:t>股被司法冻结，因此，</w:t>
      </w:r>
      <w:r>
        <w:rPr>
          <w:rFonts w:ascii="Times New Roman" w:hAnsi="Times New Roman" w:cs="Times New Roman" w:eastAsia="Times New Roman" w:hint="default"/>
        </w:rPr>
        <w:t>412,520</w:t>
      </w:r>
      <w:r>
        <w:rPr/>
        <w:t>股增加为有限售条件股份。报告期内公司有</w:t>
      </w:r>
    </w:p>
    <w:p>
      <w:pPr>
        <w:pStyle w:val="BodyText"/>
        <w:spacing w:line="240" w:lineRule="auto" w:before="14"/>
        <w:ind w:right="0"/>
        <w:jc w:val="both"/>
      </w:pPr>
      <w:r>
        <w:rPr/>
        <w:t>限售条件股份由</w:t>
      </w:r>
      <w:r>
        <w:rPr>
          <w:rFonts w:ascii="Times New Roman" w:hAnsi="Times New Roman" w:cs="Times New Roman" w:eastAsia="Times New Roman" w:hint="default"/>
        </w:rPr>
        <w:t>116,662,555</w:t>
      </w:r>
      <w:r>
        <w:rPr/>
        <w:t>股增加至</w:t>
      </w:r>
      <w:r>
        <w:rPr>
          <w:rFonts w:ascii="Times New Roman" w:hAnsi="Times New Roman" w:cs="Times New Roman" w:eastAsia="Times New Roman" w:hint="default"/>
        </w:rPr>
        <w:t>117,075,075</w:t>
      </w:r>
      <w:r>
        <w:rPr/>
        <w:t>股，占公司股份总数的</w:t>
      </w:r>
      <w:r>
        <w:rPr>
          <w:rFonts w:ascii="Times New Roman" w:hAnsi="Times New Roman" w:cs="Times New Roman" w:eastAsia="Times New Roman" w:hint="default"/>
        </w:rPr>
        <w:t>72.27%</w:t>
      </w:r>
      <w:r>
        <w:rPr/>
        <w:t>。</w:t>
      </w:r>
    </w:p>
    <w:p>
      <w:pPr>
        <w:spacing w:line="240" w:lineRule="auto" w:before="0"/>
        <w:rPr>
          <w:rFonts w:ascii="宋体" w:hAnsi="宋体" w:cs="宋体" w:eastAsia="宋体" w:hint="default"/>
          <w:sz w:val="18"/>
          <w:szCs w:val="18"/>
        </w:rPr>
      </w:pPr>
    </w:p>
    <w:p>
      <w:pPr>
        <w:pStyle w:val="BodyText"/>
        <w:spacing w:line="240" w:lineRule="auto" w:before="160"/>
        <w:ind w:right="0"/>
        <w:jc w:val="both"/>
      </w:pPr>
      <w:r>
        <w:rPr/>
        <w:t>股份变动的批准情况</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股份变动的过户情况</w:t>
      </w:r>
    </w:p>
    <w:p>
      <w:pPr>
        <w:pStyle w:val="BodyText"/>
        <w:spacing w:line="333" w:lineRule="auto" w:before="56"/>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股份回购的实施进展情况</w:t>
      </w:r>
    </w:p>
    <w:p>
      <w:pPr>
        <w:pStyle w:val="BodyText"/>
        <w:spacing w:line="348" w:lineRule="auto" w:before="54"/>
        <w:ind w:left="501"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日召开第三届董事会第七次会议、第四届监事会第六次会议，于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年第三次</w:t>
      </w:r>
    </w:p>
    <w:p>
      <w:pPr>
        <w:pStyle w:val="BodyText"/>
        <w:spacing w:line="210" w:lineRule="exact"/>
        <w:ind w:right="0"/>
        <w:jc w:val="both"/>
      </w:pPr>
      <w:r>
        <w:rPr/>
        <w:t>临时股东大会</w:t>
      </w:r>
      <w:r>
        <w:rPr>
          <w:rFonts w:ascii="Times New Roman" w:hAnsi="Times New Roman" w:cs="Times New Roman" w:eastAsia="Times New Roman" w:hint="default"/>
        </w:rPr>
        <w:t>,</w:t>
      </w:r>
      <w:r>
        <w:rPr/>
        <w:t>审议通过了《关于回购公司股份的预案》。公司拟使用不低于人民币</w:t>
      </w:r>
      <w:r>
        <w:rPr>
          <w:rFonts w:ascii="Times New Roman" w:hAnsi="Times New Roman" w:cs="Times New Roman" w:eastAsia="Times New Roman" w:hint="default"/>
        </w:rPr>
        <w:t>2,000</w:t>
      </w:r>
      <w:r>
        <w:rPr/>
        <w:t>万元（含）且不超过人民币</w:t>
      </w:r>
      <w:r>
        <w:rPr>
          <w:rFonts w:ascii="Times New Roman" w:hAnsi="Times New Roman" w:cs="Times New Roman" w:eastAsia="Times New Roman" w:hint="default"/>
        </w:rPr>
        <w:t>5,000</w:t>
      </w:r>
      <w:r>
        <w:rPr/>
        <w:t>万</w:t>
      </w:r>
    </w:p>
    <w:p>
      <w:pPr>
        <w:pStyle w:val="BodyText"/>
        <w:spacing w:line="304" w:lineRule="auto" w:before="66"/>
        <w:ind w:right="1124"/>
        <w:jc w:val="both"/>
      </w:pPr>
      <w:r>
        <w:rPr/>
        <w:t>元（含）的自有资金，以集中竞价交易方式回购公司股份，回购股份的价格不超过人民币</w:t>
      </w:r>
      <w:r>
        <w:rPr>
          <w:rFonts w:ascii="Times New Roman" w:hAnsi="Times New Roman" w:cs="Times New Roman" w:eastAsia="Times New Roman" w:hint="default"/>
        </w:rPr>
        <w:t>25</w:t>
      </w:r>
      <w:r>
        <w:rPr/>
        <w:t>元</w:t>
      </w:r>
      <w:r>
        <w:rPr>
          <w:rFonts w:ascii="Times New Roman" w:hAnsi="Times New Roman" w:cs="Times New Roman" w:eastAsia="Times New Roman" w:hint="default"/>
        </w:rPr>
        <w:t>/</w:t>
      </w:r>
      <w:r>
        <w:rPr/>
        <w:t>股（含），拟回购的股份将</w:t>
      </w:r>
      <w:r>
        <w:rPr>
          <w:spacing w:val="-46"/>
        </w:rPr>
        <w:t> </w:t>
      </w:r>
      <w:r>
        <w:rPr>
          <w:spacing w:val="-46"/>
        </w:rPr>
      </w:r>
      <w:r>
        <w:rPr/>
        <w:t>用于实施股权激励计划、员工持股计划或依法注销减少注册资本。回购期限自</w:t>
      </w:r>
      <w:r>
        <w:rPr>
          <w:rFonts w:ascii="Times New Roman" w:hAnsi="Times New Roman" w:cs="Times New Roman" w:eastAsia="Times New Roman" w:hint="default"/>
        </w:rPr>
        <w:t>2018</w:t>
      </w:r>
      <w:r>
        <w:rPr/>
        <w:t>年第三次临时股东大会审议通过之日起</w:t>
      </w:r>
      <w:r>
        <w:rPr>
          <w:rFonts w:ascii="Times New Roman" w:hAnsi="Times New Roman" w:cs="Times New Roman" w:eastAsia="Times New Roman" w:hint="default"/>
        </w:rPr>
        <w:t>6</w:t>
      </w:r>
      <w:r>
        <w:rPr>
          <w:rFonts w:ascii="Times New Roman" w:hAnsi="Times New Roman" w:cs="Times New Roman" w:eastAsia="Times New Roman" w:hint="default"/>
          <w:spacing w:val="-35"/>
        </w:rPr>
        <w:t> </w:t>
      </w:r>
      <w:r>
        <w:rPr/>
        <w:t>个月内（即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日）。具体内容详见公司在巨潮资讯网上披露的相关公告。</w:t>
      </w:r>
    </w:p>
    <w:p>
      <w:pPr>
        <w:pStyle w:val="BodyText"/>
        <w:spacing w:line="297" w:lineRule="auto" w:before="132"/>
        <w:ind w:right="1046" w:firstLine="36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日召开第三届董事会第十一次会议，审议通过了《关于确定回购股份用途的议案》，董事会同意本 次回购的股份用于实施股权激励计划。截至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日，公司通过股票回购专用证券账户以集中竞价交易方式累计回购</w:t>
      </w:r>
      <w:r>
        <w:rPr>
          <w:spacing w:val="-86"/>
        </w:rPr>
        <w:t> </w:t>
      </w:r>
      <w:r>
        <w:rPr>
          <w:spacing w:val="-86"/>
        </w:rPr>
      </w:r>
      <w:r>
        <w:rPr/>
        <w:t>公司股份数量为</w:t>
      </w:r>
      <w:r>
        <w:rPr>
          <w:rFonts w:ascii="Times New Roman" w:hAnsi="Times New Roman" w:cs="Times New Roman" w:eastAsia="Times New Roman" w:hint="default"/>
        </w:rPr>
        <w:t>2,960,025</w:t>
      </w:r>
      <w:r>
        <w:rPr/>
        <w:t>股，占公司目前总股本的比例为</w:t>
      </w:r>
      <w:r>
        <w:rPr>
          <w:rFonts w:ascii="Times New Roman" w:hAnsi="Times New Roman" w:cs="Times New Roman" w:eastAsia="Times New Roman" w:hint="default"/>
        </w:rPr>
        <w:t>1.83%</w:t>
      </w:r>
      <w:r>
        <w:rPr/>
        <w:t>，最高成交价为</w:t>
      </w:r>
      <w:r>
        <w:rPr>
          <w:rFonts w:ascii="Times New Roman" w:hAnsi="Times New Roman" w:cs="Times New Roman" w:eastAsia="Times New Roman" w:hint="default"/>
        </w:rPr>
        <w:t>18.50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14.93</w:t>
      </w:r>
      <w:r>
        <w:rPr/>
        <w:t>元</w:t>
      </w:r>
      <w:r>
        <w:rPr>
          <w:rFonts w:ascii="Times New Roman" w:hAnsi="Times New Roman" w:cs="Times New Roman" w:eastAsia="Times New Roman" w:hint="default"/>
        </w:rPr>
        <w:t>/</w:t>
      </w:r>
      <w:r>
        <w:rPr/>
        <w:t>股，成交 总金额为 </w:t>
      </w:r>
      <w:r>
        <w:rPr>
          <w:rFonts w:ascii="Times New Roman" w:hAnsi="Times New Roman" w:cs="Times New Roman" w:eastAsia="Times New Roman" w:hint="default"/>
        </w:rPr>
        <w:t>48,875,219.48</w:t>
      </w:r>
      <w:r>
        <w:rPr/>
        <w:t>元（含手续费）。根据公司于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年第三次临时股东大会授权，公司董事会</w:t>
      </w:r>
      <w:r>
        <w:rPr>
          <w:spacing w:val="-43"/>
        </w:rPr>
        <w:t> </w:t>
      </w:r>
      <w:r>
        <w:rPr>
          <w:spacing w:val="-43"/>
        </w:rPr>
      </w:r>
      <w:r>
        <w:rPr>
          <w:spacing w:val="-4"/>
        </w:rPr>
        <w:t>可根据实际情况决定具体的回购时机、价格和数量等，公司董事会认为公司回购股份事项符合《关于回购公司股份的报告书》</w:t>
      </w:r>
    </w:p>
    <w:p>
      <w:pPr>
        <w:pStyle w:val="BodyText"/>
        <w:spacing w:line="297" w:lineRule="auto" w:before="51"/>
        <w:ind w:right="1072"/>
        <w:jc w:val="both"/>
      </w:pPr>
      <w:r>
        <w:rPr/>
        <w:t>的相关内容，至此公司本次回购股份计划已全部实施完毕。具体内容详见公司于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日在巨潮资讯网上披露的《第</w:t>
      </w:r>
      <w:r>
        <w:rPr>
          <w:spacing w:val="-82"/>
        </w:rPr>
        <w:t> </w:t>
      </w:r>
      <w:r>
        <w:rPr/>
        <w:t>三届董事会第十一次会议决议公告》（公告编号：</w:t>
      </w:r>
      <w:r>
        <w:rPr>
          <w:rFonts w:ascii="Times New Roman" w:hAnsi="Times New Roman" w:cs="Times New Roman" w:eastAsia="Times New Roman" w:hint="default"/>
        </w:rPr>
        <w:t>2019-004</w:t>
      </w:r>
      <w:r>
        <w:rPr/>
        <w:t>）、《关于股份回购实施结果暨股份变动的公告》（公告编号：</w:t>
      </w:r>
      <w:r>
        <w:rPr>
          <w:spacing w:val="-85"/>
        </w:rPr>
        <w:t> </w:t>
      </w:r>
      <w:r>
        <w:rPr>
          <w:rFonts w:ascii="Times New Roman" w:hAnsi="Times New Roman" w:cs="Times New Roman" w:eastAsia="Times New Roman" w:hint="default"/>
        </w:rPr>
        <w:t>2019-007</w:t>
      </w:r>
      <w:r>
        <w:rPr/>
        <w:t>）、《关于确定回购股份用途的公告》（公告编号：</w:t>
      </w:r>
      <w:r>
        <w:rPr>
          <w:rFonts w:ascii="Times New Roman" w:hAnsi="Times New Roman" w:cs="Times New Roman" w:eastAsia="Times New Roman" w:hint="default"/>
        </w:rPr>
        <w:t>2019-008</w:t>
      </w:r>
      <w:r>
        <w:rPr/>
        <w:t>）。</w:t>
      </w:r>
    </w:p>
    <w:p>
      <w:pPr>
        <w:pStyle w:val="BodyText"/>
        <w:spacing w:line="240" w:lineRule="auto" w:before="123"/>
        <w:ind w:right="0"/>
        <w:jc w:val="both"/>
      </w:pPr>
      <w:r>
        <w:rPr/>
        <w:t>采用集中竞价方式减持回购股份的实施进展情况</w:t>
      </w:r>
    </w:p>
    <w:p>
      <w:pPr>
        <w:pStyle w:val="BodyText"/>
        <w:spacing w:line="319" w:lineRule="auto" w:before="140"/>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348" w:lineRule="auto" w:before="65"/>
        <w:ind w:left="501" w:right="1118" w:hanging="361"/>
        <w:jc w:val="left"/>
        <w:rPr>
          <w:rFonts w:ascii="Times New Roman" w:hAnsi="Times New Roman" w:cs="Times New Roman" w:eastAsia="Times New Roman" w:hint="default"/>
        </w:rPr>
      </w:pPr>
      <w:r>
        <w:rPr>
          <w:rFonts w:ascii="Times New Roman" w:hAnsi="Times New Roman" w:cs="Times New Roman" w:eastAsia="Times New Roman" w:hint="default"/>
        </w:rPr>
        <w:t>√</w:t>
      </w:r>
      <w:r>
        <w:rPr/>
        <w:t>适用 </w:t>
      </w:r>
      <w:r>
        <w:rPr>
          <w:rFonts w:ascii="Times New Roman" w:hAnsi="Times New Roman" w:cs="Times New Roman" w:eastAsia="Times New Roman" w:hint="default"/>
          <w:spacing w:val="2"/>
        </w:rPr>
        <w:t>□</w:t>
      </w:r>
      <w:r>
        <w:rPr>
          <w:spacing w:val="2"/>
        </w:rPr>
        <w:t>不适用</w:t>
      </w:r>
      <w:r>
        <w:rPr>
          <w:spacing w:val="-81"/>
        </w:rPr>
        <w:t> </w:t>
      </w:r>
      <w:r>
        <w:rPr>
          <w:spacing w:val="-3"/>
        </w:rPr>
        <w:t>公司</w:t>
      </w:r>
      <w:r>
        <w:rPr>
          <w:rFonts w:ascii="Times New Roman" w:hAnsi="Times New Roman" w:cs="Times New Roman" w:eastAsia="Times New Roman" w:hint="default"/>
          <w:spacing w:val="-3"/>
        </w:rPr>
        <w:t>2018</w:t>
      </w:r>
      <w:r>
        <w:rPr>
          <w:spacing w:val="-3"/>
        </w:rPr>
        <w:t>年度基本每股收益为</w:t>
      </w:r>
      <w:r>
        <w:rPr>
          <w:rFonts w:ascii="Times New Roman" w:hAnsi="Times New Roman" w:cs="Times New Roman" w:eastAsia="Times New Roman" w:hint="default"/>
          <w:spacing w:val="-3"/>
        </w:rPr>
        <w:t>0.13</w:t>
      </w:r>
      <w:r>
        <w:rPr>
          <w:spacing w:val="-3"/>
        </w:rPr>
        <w:t>元，稀释每股收益</w:t>
      </w:r>
      <w:r>
        <w:rPr>
          <w:rFonts w:ascii="Times New Roman" w:hAnsi="Times New Roman" w:cs="Times New Roman" w:eastAsia="Times New Roman" w:hint="default"/>
          <w:spacing w:val="-3"/>
        </w:rPr>
        <w:t>0.13</w:t>
      </w:r>
      <w:r>
        <w:rPr>
          <w:spacing w:val="-3"/>
        </w:rPr>
        <w:t>元，归属于公司普通股股东的加权每股净资产</w:t>
      </w:r>
      <w:r>
        <w:rPr>
          <w:rFonts w:ascii="Times New Roman" w:hAnsi="Times New Roman" w:cs="Times New Roman" w:eastAsia="Times New Roman" w:hint="default"/>
          <w:spacing w:val="-3"/>
        </w:rPr>
        <w:t>2.53</w:t>
      </w:r>
      <w:r>
        <w:rPr>
          <w:spacing w:val="-3"/>
        </w:rPr>
        <w:t>元。公司</w:t>
      </w:r>
      <w:r>
        <w:rPr>
          <w:rFonts w:ascii="Times New Roman" w:hAnsi="Times New Roman" w:cs="Times New Roman" w:eastAsia="Times New Roman" w:hint="default"/>
          <w:spacing w:val="-3"/>
        </w:rPr>
        <w:t>2019</w:t>
      </w:r>
    </w:p>
    <w:p>
      <w:pPr>
        <w:pStyle w:val="BodyText"/>
        <w:spacing w:line="226" w:lineRule="exact"/>
        <w:ind w:right="0"/>
        <w:jc w:val="both"/>
      </w:pPr>
      <w:r>
        <w:rPr/>
        <w:t>年度基本每股收益为</w:t>
      </w:r>
      <w:r>
        <w:rPr>
          <w:rFonts w:ascii="Times New Roman" w:hAnsi="Times New Roman" w:cs="Times New Roman" w:eastAsia="Times New Roman" w:hint="default"/>
        </w:rPr>
        <w:t>0.07</w:t>
      </w:r>
      <w:r>
        <w:rPr/>
        <w:t>元，稀释每股收益</w:t>
      </w:r>
      <w:r>
        <w:rPr>
          <w:rFonts w:ascii="Times New Roman" w:hAnsi="Times New Roman" w:cs="Times New Roman" w:eastAsia="Times New Roman" w:hint="default"/>
        </w:rPr>
        <w:t>0.07</w:t>
      </w:r>
      <w:r>
        <w:rPr/>
        <w:t>元，较上年减少</w:t>
      </w:r>
      <w:r>
        <w:rPr>
          <w:rFonts w:ascii="Times New Roman" w:hAnsi="Times New Roman" w:cs="Times New Roman" w:eastAsia="Times New Roman" w:hint="default"/>
        </w:rPr>
        <w:t>46.15%</w:t>
      </w:r>
      <w:r>
        <w:rPr/>
        <w:t>，归属于公司普通股股东的加权每股净资产</w:t>
      </w:r>
      <w:r>
        <w:rPr>
          <w:rFonts w:ascii="Times New Roman" w:hAnsi="Times New Roman" w:cs="Times New Roman" w:eastAsia="Times New Roman" w:hint="default"/>
        </w:rPr>
        <w:t>2.60</w:t>
      </w:r>
      <w:r>
        <w:rPr/>
        <w:t>元，</w:t>
      </w:r>
    </w:p>
    <w:p>
      <w:pPr>
        <w:pStyle w:val="BodyText"/>
        <w:spacing w:line="319" w:lineRule="auto" w:before="66"/>
        <w:ind w:right="6789"/>
        <w:jc w:val="left"/>
      </w:pPr>
      <w:r>
        <w:rPr/>
        <w:t>较上年增长</w:t>
      </w:r>
      <w:r>
        <w:rPr>
          <w:rFonts w:ascii="Times New Roman" w:hAnsi="Times New Roman" w:cs="Times New Roman" w:eastAsia="Times New Roman" w:hint="default"/>
        </w:rPr>
        <w:t>2.77%</w:t>
      </w:r>
      <w:r>
        <w:rPr/>
        <w:t>。 公司认为必要或证券监管机构要求披露的其他内容</w:t>
      </w:r>
    </w:p>
    <w:p>
      <w:pPr>
        <w:pStyle w:val="BodyText"/>
        <w:spacing w:line="240" w:lineRule="auto" w:before="6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both"/>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856"/>
        <w:gridCol w:w="1412"/>
        <w:gridCol w:w="1277"/>
        <w:gridCol w:w="856"/>
        <w:gridCol w:w="1277"/>
        <w:gridCol w:w="1847"/>
        <w:gridCol w:w="2057"/>
      </w:tblGrid>
      <w:tr>
        <w:trPr>
          <w:trHeight w:val="721"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50" w:right="89" w:hanging="361"/>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0" w:right="60"/>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5"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60,750,000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60,750,000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80"/>
              <w:jc w:val="center"/>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0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20,250,000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20,250,000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0"/>
              <w:jc w:val="center"/>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日（已解 除限售）</w:t>
            </w:r>
          </w:p>
        </w:tc>
      </w:tr>
      <w:tr>
        <w:trPr>
          <w:trHeight w:val="72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0"/>
              <w:jc w:val="center"/>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日（已解 除限售）</w:t>
            </w:r>
          </w:p>
        </w:tc>
      </w:tr>
      <w:tr>
        <w:trPr>
          <w:trHeight w:val="70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16,425,000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16,425,000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0"/>
              <w:jc w:val="center"/>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日（已解 除限售）</w:t>
            </w:r>
          </w:p>
        </w:tc>
      </w:tr>
      <w:tr>
        <w:trPr>
          <w:trHeight w:val="720"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1,237,555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412,520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1,650,075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4" w:right="30"/>
              <w:jc w:val="left"/>
              <w:rPr>
                <w:rFonts w:ascii="宋体" w:hAnsi="宋体" w:cs="宋体" w:eastAsia="宋体" w:hint="default"/>
                <w:sz w:val="18"/>
                <w:szCs w:val="18"/>
              </w:rPr>
            </w:pPr>
            <w:r>
              <w:rPr>
                <w:rFonts w:ascii="宋体" w:hAnsi="宋体" w:cs="宋体" w:eastAsia="宋体" w:hint="default"/>
                <w:spacing w:val="-2"/>
                <w:sz w:val="18"/>
                <w:szCs w:val="18"/>
              </w:rPr>
              <w:t>高管离任锁定、司法冻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结</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223"/>
              <w:jc w:val="left"/>
              <w:rPr>
                <w:rFonts w:ascii="宋体" w:hAnsi="宋体" w:cs="宋体" w:eastAsia="宋体" w:hint="default"/>
                <w:sz w:val="18"/>
                <w:szCs w:val="18"/>
              </w:rPr>
            </w:pPr>
            <w:r>
              <w:rPr>
                <w:rFonts w:ascii="宋体" w:hAnsi="宋体" w:cs="宋体" w:eastAsia="宋体" w:hint="default"/>
                <w:sz w:val="18"/>
                <w:szCs w:val="18"/>
              </w:rPr>
              <w:t>原定任期届满后满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月、司法冻结解除</w:t>
            </w:r>
          </w:p>
        </w:tc>
      </w:tr>
      <w:tr>
        <w:trPr>
          <w:trHeight w:val="391"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116,662,555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412,520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117,075,075</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2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7"/>
          <w:szCs w:val="17"/>
        </w:rPr>
      </w:pPr>
    </w:p>
    <w:p>
      <w:pPr>
        <w:pStyle w:val="Heading3"/>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pict>
          <v:shape style="position:absolute;margin-left:484.350006pt;margin-top:71.266724pt;width:51.1pt;height:30.8pt;mso-position-horizontal-relative:page;mso-position-vertical-relative:paragraph;z-index:-1196944" type="#_x0000_t202" filled="false" stroked="false">
            <v:textbox inset="0,0,0,0">
              <w:txbxContent>
                <w:p>
                  <w:pPr>
                    <w:pStyle w:val="BodyText"/>
                    <w:spacing w:line="205" w:lineRule="exact"/>
                    <w:ind w:left="0" w:right="0"/>
                    <w:jc w:val="left"/>
                  </w:pPr>
                  <w:r>
                    <w:rPr/>
                    <w:t>）</w:t>
                  </w:r>
                </w:p>
              </w:txbxContent>
            </v:textbox>
            <w10:wrap type="none"/>
          </v:shape>
        </w:pict>
      </w: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tabs>
          <w:tab w:pos="8792" w:val="left" w:leader="none"/>
        </w:tabs>
        <w:spacing w:line="615" w:lineRule="exact"/>
        <w:ind w:left="5593" w:right="0" w:firstLine="0"/>
        <w:rPr>
          <w:rFonts w:ascii="宋体" w:hAnsi="宋体" w:cs="宋体" w:eastAsia="宋体" w:hint="default"/>
          <w:sz w:val="20"/>
          <w:szCs w:val="20"/>
        </w:rPr>
      </w:pPr>
      <w:r>
        <w:rPr>
          <w:rFonts w:ascii="宋体"/>
          <w:position w:val="-11"/>
          <w:sz w:val="20"/>
        </w:rPr>
        <w:pict>
          <v:group style="width:53.35pt;height:30.8pt;mso-position-horizontal-relative:char;mso-position-vertical-relative:line" coordorigin="0,0" coordsize="1067,616">
            <v:group style="position:absolute;left:0;top:0;width:1067;height:616" coordorigin="0,0" coordsize="1067,616">
              <v:shape style="position:absolute;left:0;top:0;width:1067;height:616" coordorigin="0,0" coordsize="1067,616" path="m0,615l1066,615,1066,0,0,0,0,615xe" filled="true" fillcolor="#ffffff" stroked="false">
                <v:path arrowok="t"/>
                <v:fill type="solid"/>
              </v:shape>
            </v:group>
          </v:group>
        </w:pict>
      </w:r>
      <w:r>
        <w:rPr>
          <w:rFonts w:ascii="宋体"/>
          <w:position w:val="-11"/>
          <w:sz w:val="20"/>
        </w:rPr>
      </w:r>
      <w:r>
        <w:rPr>
          <w:rFonts w:ascii="宋体"/>
          <w:position w:val="-11"/>
          <w:sz w:val="20"/>
        </w:rPr>
        <w:tab/>
      </w:r>
      <w:r>
        <w:rPr>
          <w:rFonts w:ascii="宋体"/>
          <w:position w:val="-11"/>
          <w:sz w:val="20"/>
        </w:rPr>
        <w:pict>
          <v:group style="width:45.85pt;height:30.8pt;mso-position-horizontal-relative:char;mso-position-vertical-relative:line" coordorigin="0,0" coordsize="917,616">
            <v:group style="position:absolute;left:0;top:0;width:917;height:616" coordorigin="0,0" coordsize="917,616">
              <v:shape style="position:absolute;left:0;top:0;width:917;height:616" coordorigin="0,0" coordsize="917,616" path="m0,615l917,615,917,0,0,0,0,615xe" filled="true" fillcolor="#ffffff" stroked="false">
                <v:path arrowok="t"/>
                <v:fill type="solid"/>
              </v:shape>
            </v:group>
          </v:group>
        </w:pict>
      </w:r>
      <w:r>
        <w:rPr>
          <w:rFonts w:ascii="宋体"/>
          <w:position w:val="-11"/>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140"/>
        <w:jc w:val="right"/>
      </w:pPr>
      <w:r>
        <w:rPr/>
        <w:pict>
          <v:shape style="position:absolute;margin-left:56.325001pt;margin-top:-524.718262pt;width:480.25pt;height:610.3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7"/>
                    <w:gridCol w:w="1420"/>
                    <w:gridCol w:w="924"/>
                    <w:gridCol w:w="1074"/>
                    <w:gridCol w:w="1055"/>
                    <w:gridCol w:w="1066"/>
                    <w:gridCol w:w="923"/>
                    <w:gridCol w:w="1198"/>
                    <w:gridCol w:w="454"/>
                    <w:gridCol w:w="481"/>
                  </w:tblGrid>
                  <w:tr>
                    <w:trPr>
                      <w:trHeight w:val="323" w:hRule="exact"/>
                    </w:trPr>
                    <w:tc>
                      <w:tcPr>
                        <w:tcW w:w="9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5" w:right="55"/>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42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13,085</w:t>
                        </w:r>
                      </w:p>
                    </w:tc>
                    <w:tc>
                      <w:tcPr>
                        <w:tcW w:w="924"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5"/>
                          <w:ind w:left="11" w:right="175"/>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4" w:type="dxa"/>
                        <w:vMerge w:val="restart"/>
                        <w:tcBorders>
                          <w:top w:val="single" w:sz="6"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10,487</w:t>
                        </w:r>
                      </w:p>
                    </w:tc>
                    <w:tc>
                      <w:tcPr>
                        <w:tcW w:w="1055"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5"/>
                          <w:ind w:left="11" w:right="-53"/>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37"/>
                          <w:ind w:left="11" w:right="-8"/>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vMerge w:val="restart"/>
                        <w:tcBorders>
                          <w:top w:val="single" w:sz="6" w:space="0" w:color="000000"/>
                          <w:left w:val="single" w:sz="18" w:space="0" w:color="D2D2D2"/>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2121"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454" w:type="dxa"/>
                        <w:tcBorders>
                          <w:top w:val="single" w:sz="6" w:space="0" w:color="000000"/>
                          <w:left w:val="single" w:sz="6" w:space="0" w:color="000000"/>
                          <w:bottom w:val="nil" w:sz="6" w:space="0" w:color="auto"/>
                          <w:right w:val="nil" w:sz="6" w:space="0" w:color="auto"/>
                        </w:tcBorders>
                      </w:tcPr>
                      <w:p>
                        <w:pPr/>
                      </w:p>
                    </w:tc>
                    <w:tc>
                      <w:tcPr>
                        <w:tcW w:w="481" w:type="dxa"/>
                        <w:tcBorders>
                          <w:top w:val="single" w:sz="6" w:space="0" w:color="000000"/>
                          <w:left w:val="nil" w:sz="6" w:space="0" w:color="auto"/>
                          <w:bottom w:val="nil" w:sz="6" w:space="0" w:color="auto"/>
                          <w:right w:val="single" w:sz="6" w:space="0" w:color="000000"/>
                        </w:tcBorders>
                      </w:tcPr>
                      <w:p>
                        <w:pPr/>
                      </w:p>
                    </w:tc>
                  </w:tr>
                  <w:tr>
                    <w:trPr>
                      <w:trHeight w:val="1006" w:hRule="exact"/>
                    </w:trPr>
                    <w:tc>
                      <w:tcPr>
                        <w:tcW w:w="987" w:type="dxa"/>
                        <w:vMerge/>
                        <w:tcBorders>
                          <w:left w:val="single" w:sz="6" w:space="0" w:color="000000"/>
                          <w:right w:val="single" w:sz="6" w:space="0" w:color="000000"/>
                        </w:tcBorders>
                        <w:shd w:val="clear" w:color="auto" w:fill="D2D2D2"/>
                      </w:tcPr>
                      <w:p>
                        <w:pPr/>
                      </w:p>
                    </w:tc>
                    <w:tc>
                      <w:tcPr>
                        <w:tcW w:w="1420" w:type="dxa"/>
                        <w:vMerge/>
                        <w:tcBorders>
                          <w:left w:val="single" w:sz="6" w:space="0" w:color="000000"/>
                          <w:right w:val="single" w:sz="12" w:space="0" w:color="000000"/>
                        </w:tcBorders>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12" w:space="0" w:color="000000"/>
                          <w:right w:val="single" w:sz="12" w:space="0" w:color="000000"/>
                        </w:tcBorders>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18" w:space="0" w:color="D2D2D2"/>
                          <w:right w:val="single" w:sz="12" w:space="0" w:color="D2D2D2"/>
                        </w:tcBorders>
                      </w:tcPr>
                      <w:p>
                        <w:pPr/>
                      </w:p>
                    </w:tc>
                    <w:tc>
                      <w:tcPr>
                        <w:tcW w:w="2121"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22"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11"/>
                            <w:sz w:val="18"/>
                            <w:szCs w:val="18"/>
                          </w:rPr>
                          <w:t>东总数（如有）（参见注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p>
                    </w:tc>
                    <w:tc>
                      <w:tcPr>
                        <w:tcW w:w="454" w:type="dxa"/>
                        <w:tcBorders>
                          <w:top w:val="nil" w:sz="6" w:space="0" w:color="auto"/>
                          <w:left w:val="single" w:sz="12" w:space="0" w:color="D2D2D2"/>
                          <w:bottom w:val="nil" w:sz="6" w:space="0" w:color="auto"/>
                          <w:right w:val="nil" w:sz="6" w:space="0" w:color="auto"/>
                        </w:tcBorders>
                      </w:tcPr>
                      <w:p>
                        <w:pPr/>
                      </w:p>
                    </w:tc>
                    <w:tc>
                      <w:tcPr>
                        <w:tcW w:w="481" w:type="dxa"/>
                        <w:tcBorders>
                          <w:top w:val="nil" w:sz="6" w:space="0" w:color="auto"/>
                          <w:left w:val="nil" w:sz="6" w:space="0" w:color="auto"/>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87" w:type="dxa"/>
                        <w:vMerge/>
                        <w:tcBorders>
                          <w:left w:val="single" w:sz="6" w:space="0" w:color="000000"/>
                          <w:bottom w:val="single" w:sz="6" w:space="0" w:color="000000"/>
                          <w:right w:val="single" w:sz="6" w:space="0" w:color="000000"/>
                        </w:tcBorders>
                        <w:shd w:val="clear" w:color="auto" w:fill="D2D2D2"/>
                      </w:tcPr>
                      <w:p>
                        <w:pPr/>
                      </w:p>
                    </w:tc>
                    <w:tc>
                      <w:tcPr>
                        <w:tcW w:w="1420" w:type="dxa"/>
                        <w:vMerge/>
                        <w:tcBorders>
                          <w:left w:val="single" w:sz="6" w:space="0" w:color="000000"/>
                          <w:bottom w:val="single" w:sz="6" w:space="0" w:color="000000"/>
                          <w:right w:val="single" w:sz="12" w:space="0" w:color="000000"/>
                        </w:tcBorders>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074" w:type="dxa"/>
                        <w:vMerge/>
                        <w:tcBorders>
                          <w:left w:val="single" w:sz="12" w:space="0" w:color="000000"/>
                          <w:bottom w:val="single" w:sz="6" w:space="0" w:color="000000"/>
                          <w:right w:val="single" w:sz="12" w:space="0" w:color="000000"/>
                        </w:tcBorders>
                      </w:tcPr>
                      <w:p>
                        <w:pPr/>
                      </w:p>
                    </w:tc>
                    <w:tc>
                      <w:tcPr>
                        <w:tcW w:w="1055"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18" w:space="0" w:color="D2D2D2"/>
                          <w:bottom w:val="single" w:sz="6" w:space="0" w:color="000000"/>
                          <w:right w:val="single" w:sz="12" w:space="0" w:color="D2D2D2"/>
                        </w:tcBorders>
                      </w:tcPr>
                      <w:p>
                        <w:pPr/>
                      </w:p>
                    </w:tc>
                    <w:tc>
                      <w:tcPr>
                        <w:tcW w:w="2121"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454" w:type="dxa"/>
                        <w:tcBorders>
                          <w:top w:val="nil" w:sz="6" w:space="0" w:color="auto"/>
                          <w:left w:val="single" w:sz="6" w:space="0" w:color="000000"/>
                          <w:bottom w:val="single" w:sz="6" w:space="0" w:color="000000"/>
                          <w:right w:val="nil" w:sz="6" w:space="0" w:color="auto"/>
                        </w:tcBorders>
                      </w:tcPr>
                      <w:p>
                        <w:pPr/>
                      </w:p>
                    </w:tc>
                    <w:tc>
                      <w:tcPr>
                        <w:tcW w:w="481" w:type="dxa"/>
                        <w:tcBorders>
                          <w:top w:val="nil" w:sz="6" w:space="0" w:color="auto"/>
                          <w:left w:val="nil" w:sz="6" w:space="0" w:color="auto"/>
                          <w:bottom w:val="single" w:sz="6" w:space="0" w:color="000000"/>
                          <w:right w:val="single" w:sz="6" w:space="0" w:color="000000"/>
                        </w:tcBorders>
                      </w:tcPr>
                      <w:p>
                        <w:pPr/>
                      </w:p>
                    </w:tc>
                  </w:tr>
                  <w:tr>
                    <w:trPr>
                      <w:trHeight w:val="398" w:hRule="exact"/>
                    </w:trPr>
                    <w:tc>
                      <w:tcPr>
                        <w:tcW w:w="9582" w:type="dxa"/>
                        <w:gridSpan w:val="10"/>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4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65" w:hRule="exact"/>
                    </w:trPr>
                    <w:tc>
                      <w:tcPr>
                        <w:tcW w:w="987" w:type="dxa"/>
                        <w:vMerge w:val="restart"/>
                        <w:tcBorders>
                          <w:top w:val="single" w:sz="6" w:space="0" w:color="000000"/>
                          <w:left w:val="single" w:sz="6" w:space="0" w:color="000000"/>
                          <w:right w:val="single" w:sz="6" w:space="0" w:color="000000"/>
                        </w:tcBorders>
                        <w:shd w:val="clear" w:color="auto" w:fill="D2D2D2"/>
                      </w:tcPr>
                      <w:p>
                        <w:pPr/>
                      </w:p>
                    </w:tc>
                    <w:tc>
                      <w:tcPr>
                        <w:tcW w:w="1420" w:type="dxa"/>
                        <w:vMerge w:val="restart"/>
                        <w:tcBorders>
                          <w:top w:val="single" w:sz="6" w:space="0" w:color="000000"/>
                          <w:left w:val="single" w:sz="6" w:space="0" w:color="000000"/>
                          <w:right w:val="single" w:sz="6" w:space="0" w:color="000000"/>
                        </w:tcBorders>
                        <w:shd w:val="clear" w:color="auto" w:fill="D2D2D2"/>
                      </w:tcPr>
                      <w:p>
                        <w:pPr/>
                      </w:p>
                    </w:tc>
                    <w:tc>
                      <w:tcPr>
                        <w:tcW w:w="924" w:type="dxa"/>
                        <w:vMerge w:val="restart"/>
                        <w:tcBorders>
                          <w:top w:val="single" w:sz="6" w:space="0" w:color="000000"/>
                          <w:left w:val="single" w:sz="6" w:space="0" w:color="000000"/>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67" w:right="8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3"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97" w:right="8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33"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43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66" w:hRule="exact"/>
                    </w:trPr>
                    <w:tc>
                      <w:tcPr>
                        <w:tcW w:w="987" w:type="dxa"/>
                        <w:vMerge/>
                        <w:tcBorders>
                          <w:left w:val="single" w:sz="6" w:space="0" w:color="000000"/>
                          <w:bottom w:val="nil" w:sz="6" w:space="0" w:color="auto"/>
                          <w:right w:val="single" w:sz="6" w:space="0" w:color="000000"/>
                        </w:tcBorders>
                        <w:shd w:val="clear" w:color="auto" w:fill="D2D2D2"/>
                      </w:tcPr>
                      <w:p>
                        <w:pPr/>
                      </w:p>
                    </w:tc>
                    <w:tc>
                      <w:tcPr>
                        <w:tcW w:w="1420" w:type="dxa"/>
                        <w:vMerge/>
                        <w:tcBorders>
                          <w:left w:val="single" w:sz="6" w:space="0" w:color="000000"/>
                          <w:bottom w:val="nil" w:sz="6" w:space="0" w:color="auto"/>
                          <w:right w:val="single" w:sz="6" w:space="0" w:color="000000"/>
                        </w:tcBorders>
                        <w:shd w:val="clear" w:color="auto" w:fill="D2D2D2"/>
                      </w:tcPr>
                      <w:p>
                        <w:pPr/>
                      </w:p>
                    </w:tc>
                    <w:tc>
                      <w:tcPr>
                        <w:tcW w:w="924" w:type="dxa"/>
                        <w:vMerge/>
                        <w:tcBorders>
                          <w:left w:val="single" w:sz="6" w:space="0" w:color="000000"/>
                          <w:bottom w:val="nil" w:sz="6" w:space="0" w:color="auto"/>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44" w:right="93"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56" w:right="8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2133" w:type="dxa"/>
                        <w:gridSpan w:val="3"/>
                        <w:vMerge/>
                        <w:tcBorders>
                          <w:left w:val="single" w:sz="6" w:space="0" w:color="000000"/>
                          <w:right w:val="single" w:sz="6" w:space="0" w:color="000000"/>
                        </w:tcBorders>
                        <w:shd w:val="clear" w:color="auto" w:fill="D2D2D2"/>
                      </w:tcPr>
                      <w:p>
                        <w:pPr/>
                      </w:p>
                    </w:tc>
                  </w:tr>
                  <w:tr>
                    <w:trPr>
                      <w:trHeight w:val="135" w:hRule="exact"/>
                    </w:trPr>
                    <w:tc>
                      <w:tcPr>
                        <w:tcW w:w="98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2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4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4" w:type="dxa"/>
                        <w:vMerge/>
                        <w:tcBorders>
                          <w:left w:val="single" w:sz="6" w:space="0" w:color="000000"/>
                          <w:right w:val="single" w:sz="6" w:space="0" w:color="000000"/>
                        </w:tcBorders>
                        <w:shd w:val="clear" w:color="auto" w:fill="D2D2D2"/>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2133" w:type="dxa"/>
                        <w:gridSpan w:val="3"/>
                        <w:vMerge/>
                        <w:tcBorders>
                          <w:left w:val="single" w:sz="6" w:space="0" w:color="000000"/>
                          <w:bottom w:val="single" w:sz="6" w:space="0" w:color="000000"/>
                          <w:right w:val="single" w:sz="6" w:space="0" w:color="000000"/>
                        </w:tcBorders>
                        <w:shd w:val="clear" w:color="auto" w:fill="D2D2D2"/>
                      </w:tcPr>
                      <w:p>
                        <w:pPr/>
                      </w:p>
                    </w:tc>
                  </w:tr>
                  <w:tr>
                    <w:trPr>
                      <w:trHeight w:val="255" w:hRule="exact"/>
                    </w:trPr>
                    <w:tc>
                      <w:tcPr>
                        <w:tcW w:w="987" w:type="dxa"/>
                        <w:vMerge/>
                        <w:tcBorders>
                          <w:left w:val="single" w:sz="6" w:space="0" w:color="000000"/>
                          <w:right w:val="single" w:sz="6" w:space="0" w:color="000000"/>
                        </w:tcBorders>
                        <w:shd w:val="clear" w:color="auto" w:fill="D2D2D2"/>
                      </w:tcPr>
                      <w:p>
                        <w:pPr/>
                      </w:p>
                    </w:tc>
                    <w:tc>
                      <w:tcPr>
                        <w:tcW w:w="1420" w:type="dxa"/>
                        <w:vMerge/>
                        <w:tcBorders>
                          <w:left w:val="single" w:sz="6" w:space="0" w:color="000000"/>
                          <w:bottom w:val="nil" w:sz="6" w:space="0" w:color="auto"/>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right w:val="single" w:sz="6" w:space="0" w:color="000000"/>
                        </w:tcBorders>
                        <w:shd w:val="clear" w:color="auto" w:fill="D2D2D2"/>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119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24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3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28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0" w:hRule="exact"/>
                    </w:trPr>
                    <w:tc>
                      <w:tcPr>
                        <w:tcW w:w="987" w:type="dxa"/>
                        <w:vMerge/>
                        <w:tcBorders>
                          <w:left w:val="single" w:sz="6" w:space="0" w:color="000000"/>
                          <w:right w:val="single" w:sz="6" w:space="0" w:color="000000"/>
                        </w:tcBorders>
                        <w:shd w:val="clear" w:color="auto" w:fill="D2D2D2"/>
                      </w:tcPr>
                      <w:p>
                        <w:pPr/>
                      </w:p>
                    </w:tc>
                    <w:tc>
                      <w:tcPr>
                        <w:tcW w:w="1420" w:type="dxa"/>
                        <w:vMerge w:val="restart"/>
                        <w:tcBorders>
                          <w:top w:val="nil" w:sz="6" w:space="0" w:color="auto"/>
                          <w:left w:val="single" w:sz="6" w:space="0" w:color="000000"/>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935" w:type="dxa"/>
                        <w:gridSpan w:val="2"/>
                        <w:vMerge/>
                        <w:tcBorders>
                          <w:left w:val="single" w:sz="6" w:space="0" w:color="000000"/>
                          <w:right w:val="single" w:sz="6" w:space="0" w:color="000000"/>
                        </w:tcBorders>
                        <w:shd w:val="clear" w:color="auto" w:fill="D2D2D2"/>
                      </w:tcPr>
                      <w:p>
                        <w:pPr/>
                      </w:p>
                    </w:tc>
                  </w:tr>
                  <w:tr>
                    <w:trPr>
                      <w:trHeight w:val="158" w:hRule="exact"/>
                    </w:trPr>
                    <w:tc>
                      <w:tcPr>
                        <w:tcW w:w="987" w:type="dxa"/>
                        <w:vMerge/>
                        <w:tcBorders>
                          <w:left w:val="single" w:sz="6" w:space="0" w:color="000000"/>
                          <w:bottom w:val="single" w:sz="6" w:space="0" w:color="000000"/>
                          <w:right w:val="single" w:sz="6" w:space="0" w:color="000000"/>
                        </w:tcBorders>
                        <w:shd w:val="clear" w:color="auto" w:fill="D2D2D2"/>
                      </w:tcPr>
                      <w:p>
                        <w:pPr/>
                      </w:p>
                    </w:tc>
                    <w:tc>
                      <w:tcPr>
                        <w:tcW w:w="1420" w:type="dxa"/>
                        <w:vMerge/>
                        <w:tcBorders>
                          <w:left w:val="single" w:sz="6" w:space="0" w:color="000000"/>
                          <w:bottom w:val="single" w:sz="6" w:space="0" w:color="000000"/>
                          <w:right w:val="single" w:sz="6" w:space="0" w:color="000000"/>
                        </w:tcBorders>
                        <w:shd w:val="clear" w:color="auto" w:fill="D2D2D2"/>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07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923" w:type="dxa"/>
                        <w:vMerge/>
                        <w:tcBorders>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6" w:space="0" w:color="000000"/>
                        </w:tcBorders>
                        <w:shd w:val="clear" w:color="auto" w:fill="D2D2D2"/>
                      </w:tcPr>
                      <w:p>
                        <w:pPr/>
                      </w:p>
                    </w:tc>
                    <w:tc>
                      <w:tcPr>
                        <w:tcW w:w="935" w:type="dxa"/>
                        <w:gridSpan w:val="2"/>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37.50%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60,750,000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60,750,000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8" w:space="0" w:color="D2D2D2"/>
                          <w:left w:val="single" w:sz="6" w:space="0" w:color="000000"/>
                          <w:bottom w:val="single" w:sz="6" w:space="0" w:color="000000"/>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35" w:type="dxa"/>
                        <w:gridSpan w:val="2"/>
                        <w:tcBorders>
                          <w:top w:val="single" w:sz="48" w:space="0" w:color="D2D2D2"/>
                          <w:left w:val="single" w:sz="6" w:space="0" w:color="000000"/>
                          <w:bottom w:val="single" w:sz="6" w:space="0" w:color="000000"/>
                          <w:right w:val="single" w:sz="6" w:space="0" w:color="000000"/>
                        </w:tcBorders>
                      </w:tcPr>
                      <w:p>
                        <w:pPr>
                          <w:pStyle w:val="TableParagraph"/>
                          <w:spacing w:line="240" w:lineRule="auto" w:before="49"/>
                          <w:ind w:left="94" w:right="0"/>
                          <w:jc w:val="left"/>
                          <w:rPr>
                            <w:rFonts w:ascii="Times New Roman" w:hAnsi="Times New Roman" w:cs="Times New Roman" w:eastAsia="Times New Roman" w:hint="default"/>
                            <w:sz w:val="18"/>
                            <w:szCs w:val="18"/>
                          </w:rPr>
                        </w:pPr>
                        <w:r>
                          <w:rPr>
                            <w:rFonts w:ascii="Times New Roman"/>
                            <w:sz w:val="18"/>
                          </w:rPr>
                          <w:t>22,000,000</w:t>
                        </w:r>
                      </w:p>
                    </w:tc>
                  </w:tr>
                  <w:tr>
                    <w:trPr>
                      <w:trHeight w:val="405"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12.50%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20,250,000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20,250,000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20,250,000</w:t>
                        </w:r>
                      </w:p>
                    </w:tc>
                  </w:tr>
                  <w:tr>
                    <w:trPr>
                      <w:trHeight w:val="406"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11.11%</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18,000,000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18,000,000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18,000,000</w:t>
                        </w:r>
                      </w:p>
                    </w:tc>
                  </w:tr>
                  <w:tr>
                    <w:trPr>
                      <w:trHeight w:val="405"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10.14%</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16,425,000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16,425,000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6" w:space="0" w:color="000000"/>
                          <w:left w:val="single" w:sz="6" w:space="0" w:color="000000"/>
                          <w:bottom w:val="single" w:sz="6" w:space="0" w:color="000000"/>
                          <w:right w:val="single" w:sz="6" w:space="0" w:color="000000"/>
                        </w:tcBorders>
                      </w:tcPr>
                      <w:p>
                        <w:pPr/>
                      </w:p>
                    </w:tc>
                    <w:tc>
                      <w:tcPr>
                        <w:tcW w:w="935" w:type="dxa"/>
                        <w:gridSpan w:val="2"/>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亚太</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5"/>
                            <w:sz w:val="18"/>
                          </w:rPr>
                          <w:t>1.84%</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2"/>
                          <w:jc w:val="right"/>
                          <w:rPr>
                            <w:rFonts w:ascii="Times New Roman" w:hAnsi="Times New Roman" w:cs="Times New Roman" w:eastAsia="Times New Roman" w:hint="default"/>
                            <w:sz w:val="18"/>
                            <w:szCs w:val="18"/>
                          </w:rPr>
                        </w:pPr>
                        <w:r>
                          <w:rPr>
                            <w:rFonts w:ascii="Times New Roman"/>
                            <w:sz w:val="18"/>
                          </w:rPr>
                          <w:t>2,975,075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 w:right="0"/>
                          <w:jc w:val="left"/>
                          <w:rPr>
                            <w:rFonts w:ascii="Times New Roman" w:hAnsi="Times New Roman" w:cs="Times New Roman" w:eastAsia="Times New Roman" w:hint="default"/>
                            <w:sz w:val="18"/>
                            <w:szCs w:val="18"/>
                          </w:rPr>
                        </w:pPr>
                        <w:r>
                          <w:rPr>
                            <w:rFonts w:ascii="Times New Roman"/>
                            <w:sz w:val="18"/>
                          </w:rPr>
                          <w:t>-1,600,000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2,975,075</w:t>
                        </w:r>
                      </w:p>
                    </w:tc>
                    <w:tc>
                      <w:tcPr>
                        <w:tcW w:w="1198" w:type="dxa"/>
                        <w:tcBorders>
                          <w:top w:val="single" w:sz="6" w:space="0" w:color="000000"/>
                          <w:left w:val="single" w:sz="6" w:space="0" w:color="000000"/>
                          <w:bottom w:val="single" w:sz="6" w:space="0" w:color="000000"/>
                          <w:right w:val="single" w:sz="6" w:space="0" w:color="000000"/>
                        </w:tcBorders>
                      </w:tcPr>
                      <w:p>
                        <w:pPr/>
                      </w:p>
                    </w:tc>
                    <w:tc>
                      <w:tcPr>
                        <w:tcW w:w="935" w:type="dxa"/>
                        <w:gridSpan w:val="2"/>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1,650,075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1,650,075</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4" w:right="0"/>
                          <w:jc w:val="left"/>
                          <w:rPr>
                            <w:rFonts w:ascii="Times New Roman" w:hAnsi="Times New Roman" w:cs="Times New Roman" w:eastAsia="Times New Roman" w:hint="default"/>
                            <w:sz w:val="18"/>
                            <w:szCs w:val="18"/>
                          </w:rPr>
                        </w:pPr>
                        <w:r>
                          <w:rPr>
                            <w:rFonts w:ascii="Times New Roman"/>
                            <w:sz w:val="18"/>
                          </w:rPr>
                          <w:t>1,650,075</w:t>
                        </w:r>
                      </w:p>
                    </w:tc>
                  </w:tr>
                  <w:tr>
                    <w:trPr>
                      <w:trHeight w:val="1652"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55"/>
                          <w:jc w:val="both"/>
                          <w:rPr>
                            <w:rFonts w:ascii="宋体" w:hAnsi="宋体" w:cs="宋体" w:eastAsia="宋体" w:hint="default"/>
                            <w:sz w:val="18"/>
                            <w:szCs w:val="18"/>
                          </w:rPr>
                        </w:pPr>
                        <w:r>
                          <w:rPr>
                            <w:rFonts w:ascii="宋体" w:hAnsi="宋体" w:cs="宋体" w:eastAsia="宋体" w:hint="default"/>
                            <w:sz w:val="18"/>
                            <w:szCs w:val="18"/>
                          </w:rPr>
                          <w:t>深圳京来投 资管理有限 公司－京来 趋势投资私 募投资基金</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0.40%</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641,925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641,925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641,925</w:t>
                        </w:r>
                      </w:p>
                    </w:tc>
                    <w:tc>
                      <w:tcPr>
                        <w:tcW w:w="1198" w:type="dxa"/>
                        <w:tcBorders>
                          <w:top w:val="single" w:sz="6" w:space="0" w:color="000000"/>
                          <w:left w:val="single" w:sz="6" w:space="0" w:color="000000"/>
                          <w:bottom w:val="single" w:sz="6" w:space="0" w:color="000000"/>
                          <w:right w:val="single" w:sz="6" w:space="0" w:color="000000"/>
                        </w:tcBorders>
                      </w:tcPr>
                      <w:p>
                        <w:pPr/>
                      </w:p>
                    </w:tc>
                    <w:tc>
                      <w:tcPr>
                        <w:tcW w:w="935" w:type="dxa"/>
                        <w:gridSpan w:val="2"/>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石岩梅</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452,900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452,900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452,900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935" w:type="dxa"/>
                        <w:gridSpan w:val="2"/>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李战</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4"/>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2"/>
                          <w:jc w:val="right"/>
                          <w:rPr>
                            <w:rFonts w:ascii="Times New Roman" w:hAnsi="Times New Roman" w:cs="Times New Roman" w:eastAsia="Times New Roman" w:hint="default"/>
                            <w:sz w:val="18"/>
                            <w:szCs w:val="18"/>
                          </w:rPr>
                        </w:pPr>
                        <w:r>
                          <w:rPr>
                            <w:rFonts w:ascii="Times New Roman"/>
                            <w:sz w:val="18"/>
                          </w:rPr>
                          <w:t>428,200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 w:right="0"/>
                          <w:jc w:val="left"/>
                          <w:rPr>
                            <w:rFonts w:ascii="Times New Roman" w:hAnsi="Times New Roman" w:cs="Times New Roman" w:eastAsia="Times New Roman" w:hint="default"/>
                            <w:sz w:val="18"/>
                            <w:szCs w:val="18"/>
                          </w:rPr>
                        </w:pPr>
                        <w:r>
                          <w:rPr>
                            <w:rFonts w:ascii="Times New Roman"/>
                            <w:sz w:val="18"/>
                          </w:rPr>
                          <w:t>428,200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428,200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935" w:type="dxa"/>
                        <w:gridSpan w:val="2"/>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黄永和</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0.23%</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373,900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373,900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373,900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935" w:type="dxa"/>
                        <w:gridSpan w:val="2"/>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40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36" w:lineRule="exact"/>
                          <w:ind w:left="15"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808" w:hRule="exact"/>
                    </w:trPr>
                    <w:tc>
                      <w:tcPr>
                        <w:tcW w:w="240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8"/>
                          <w:ind w:left="15"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95" w:lineRule="auto"/>
                          <w:ind w:left="11" w:right="13"/>
                          <w:jc w:val="left"/>
                          <w:rPr>
                            <w:rFonts w:ascii="宋体" w:hAnsi="宋体" w:cs="宋体" w:eastAsia="宋体" w:hint="default"/>
                            <w:sz w:val="18"/>
                            <w:szCs w:val="18"/>
                          </w:rPr>
                        </w:pPr>
                        <w:r>
                          <w:rPr>
                            <w:rFonts w:ascii="宋体" w:hAnsi="宋体" w:cs="宋体" w:eastAsia="宋体" w:hint="default"/>
                            <w:spacing w:val="-2"/>
                            <w:sz w:val="18"/>
                            <w:szCs w:val="18"/>
                          </w:rPr>
                          <w:t>张秀兵、万丽莉夫妇持有公司控股股东宣亚投资</w:t>
                        </w:r>
                        <w:r>
                          <w:rPr>
                            <w:rFonts w:ascii="宋体" w:hAnsi="宋体" w:cs="宋体" w:eastAsia="宋体" w:hint="default"/>
                            <w:spacing w:val="-27"/>
                            <w:sz w:val="18"/>
                            <w:szCs w:val="18"/>
                          </w:rPr>
                          <w:t> </w:t>
                        </w: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的股权，通过宣亚投资间接持有公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37.50%</w:t>
                        </w:r>
                        <w:r>
                          <w:rPr>
                            <w:rFonts w:ascii="宋体" w:hAnsi="宋体" w:cs="宋体" w:eastAsia="宋体" w:hint="default"/>
                            <w:sz w:val="18"/>
                            <w:szCs w:val="18"/>
                          </w:rPr>
                          <w:t>的股权，系公司实际控制人。张秀兵先生直接持有公司股份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1,650,075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股，占公司</w:t>
                        </w:r>
                        <w:r>
                          <w:rPr>
                            <w:rFonts w:ascii="宋体" w:hAnsi="宋体" w:cs="宋体" w:eastAsia="宋体" w:hint="default"/>
                            <w:sz w:val="18"/>
                            <w:szCs w:val="18"/>
                          </w:rPr>
                          <w:t> 总股本的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w:t>
                        </w:r>
                        <w:r>
                          <w:rPr>
                            <w:rFonts w:ascii="宋体" w:hAnsi="宋体" w:cs="宋体" w:eastAsia="宋体" w:hint="default"/>
                            <w:sz w:val="18"/>
                            <w:szCs w:val="18"/>
                          </w:rPr>
                          <w:t>，张秀兵持有的公司股份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1,650,075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股被司法冻结，目前为有限售条件的股 份；通过宣亚投资间接持有公司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33.75%</w:t>
                        </w:r>
                        <w:r>
                          <w:rPr>
                            <w:rFonts w:ascii="宋体" w:hAnsi="宋体" w:cs="宋体" w:eastAsia="宋体" w:hint="default"/>
                            <w:sz w:val="18"/>
                            <w:szCs w:val="18"/>
                          </w:rPr>
                          <w:t>的股权；通过橙色动力间接持有公司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0.41%</w:t>
                        </w:r>
                        <w:r>
                          <w:rPr>
                            <w:rFonts w:ascii="宋体" w:hAnsi="宋体" w:cs="宋体" w:eastAsia="宋体" w:hint="default"/>
                            <w:sz w:val="18"/>
                            <w:szCs w:val="18"/>
                          </w:rPr>
                          <w:t>的股权 </w:t>
                        </w:r>
                        <w:r>
                          <w:rPr>
                            <w:rFonts w:ascii="宋体" w:hAnsi="宋体" w:cs="宋体" w:eastAsia="宋体" w:hint="default"/>
                            <w:spacing w:val="-3"/>
                            <w:sz w:val="18"/>
                            <w:szCs w:val="18"/>
                          </w:rPr>
                          <w:t>公司实际控制人与上述其他股东之间不存在关联关系，也不存在一致行动。伟岸仲合执行事</w:t>
                        </w:r>
                      </w:p>
                      <w:p>
                        <w:pPr>
                          <w:pStyle w:val="TableParagraph"/>
                          <w:spacing w:line="288" w:lineRule="auto" w:before="53"/>
                          <w:ind w:left="11" w:right="13"/>
                          <w:jc w:val="both"/>
                          <w:rPr>
                            <w:rFonts w:ascii="宋体" w:hAnsi="宋体" w:cs="宋体" w:eastAsia="宋体" w:hint="default"/>
                            <w:sz w:val="18"/>
                            <w:szCs w:val="18"/>
                          </w:rPr>
                        </w:pPr>
                        <w:r>
                          <w:rPr>
                            <w:rFonts w:ascii="宋体" w:hAnsi="宋体" w:cs="宋体" w:eastAsia="宋体" w:hint="default"/>
                            <w:sz w:val="18"/>
                            <w:szCs w:val="18"/>
                          </w:rPr>
                          <w:t>务合伙人张伟先生除了持有伟岸仲合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75.00%</w:t>
                        </w:r>
                        <w:r>
                          <w:rPr>
                            <w:rFonts w:ascii="宋体" w:hAnsi="宋体" w:cs="宋体" w:eastAsia="宋体" w:hint="default"/>
                            <w:sz w:val="18"/>
                            <w:szCs w:val="18"/>
                          </w:rPr>
                          <w:t>的财产份额以外，还同时作为有限合伙人持有 金凤银凰</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13.70%</w:t>
                        </w:r>
                        <w:r>
                          <w:rPr>
                            <w:rFonts w:ascii="宋体" w:hAnsi="宋体" w:cs="宋体" w:eastAsia="宋体" w:hint="default"/>
                            <w:sz w:val="18"/>
                            <w:szCs w:val="18"/>
                          </w:rPr>
                          <w:t>的财产份额。橙色动力为公司员工持股平台。除此之外，公司未知前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 其他股东之间是否存在关联关系。</w:t>
                        </w:r>
                      </w:p>
                    </w:tc>
                  </w:tr>
                </w:tbl>
                <w:p>
                  <w:pPr/>
                </w:p>
              </w:txbxContent>
            </v:textbox>
            <w10:wrap type="none"/>
          </v:shape>
        </w:pict>
      </w:r>
      <w:r>
        <w:rPr/>
        <w:t>。</w:t>
      </w:r>
    </w:p>
    <w:p>
      <w:pPr>
        <w:spacing w:after="0" w:line="240" w:lineRule="auto"/>
        <w:jc w:val="righ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140"/>
        <w:jc w:val="right"/>
      </w:pPr>
      <w:r>
        <w:rPr/>
        <w:pict>
          <v:shape style="position:absolute;margin-left:56.325001pt;margin-top:-325.058289pt;width:480.25pt;height:505.2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3"/>
                    <w:gridCol w:w="5046"/>
                    <w:gridCol w:w="1202"/>
                    <w:gridCol w:w="931"/>
                  </w:tblGrid>
                  <w:tr>
                    <w:trPr>
                      <w:trHeight w:val="405" w:hRule="exact"/>
                    </w:trPr>
                    <w:tc>
                      <w:tcPr>
                        <w:tcW w:w="95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5" w:hRule="exact"/>
                    </w:trPr>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0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0" w:hRule="exact"/>
                    </w:trPr>
                    <w:tc>
                      <w:tcPr>
                        <w:tcW w:w="2403" w:type="dxa"/>
                        <w:vMerge/>
                        <w:tcBorders>
                          <w:left w:val="single" w:sz="6" w:space="0" w:color="000000"/>
                          <w:bottom w:val="single" w:sz="6" w:space="0" w:color="000000"/>
                          <w:right w:val="single" w:sz="6" w:space="0" w:color="000000"/>
                        </w:tcBorders>
                        <w:shd w:val="clear" w:color="auto" w:fill="D2D2D2"/>
                      </w:tcPr>
                      <w:p>
                        <w:pPr/>
                      </w:p>
                    </w:tc>
                    <w:tc>
                      <w:tcPr>
                        <w:tcW w:w="5046"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亚太</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2,975,075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2,975,075</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深圳京来投资管理有限公司－ 京来趋势投资私募投资基金</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641,925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641,925</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石岩梅</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452,900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452,900</w:t>
                        </w:r>
                      </w:p>
                    </w:tc>
                  </w:tr>
                  <w:tr>
                    <w:trPr>
                      <w:trHeight w:val="39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李战</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428,200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428,200</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黄永和</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373,900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373,900</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童立群</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351,200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351,200</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旷文樵</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294,700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294,700</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陈艳</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260,025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260,025</w:t>
                        </w: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徐战</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230,200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230,200</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鞠军平</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230,000</w:t>
                        </w:r>
                      </w:p>
                    </w:tc>
                  </w:tr>
                  <w:tr>
                    <w:trPr>
                      <w:trHeight w:val="2598"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90"/>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90" w:lineRule="auto" w:before="66"/>
                          <w:ind w:left="15" w:right="12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95" w:lineRule="auto" w:before="60"/>
                          <w:ind w:left="15" w:right="13"/>
                          <w:jc w:val="left"/>
                          <w:rPr>
                            <w:rFonts w:ascii="宋体" w:hAnsi="宋体" w:cs="宋体" w:eastAsia="宋体" w:hint="default"/>
                            <w:sz w:val="18"/>
                            <w:szCs w:val="18"/>
                          </w:rPr>
                        </w:pPr>
                        <w:r>
                          <w:rPr>
                            <w:rFonts w:ascii="宋体" w:hAnsi="宋体" w:cs="宋体" w:eastAsia="宋体" w:hint="default"/>
                            <w:spacing w:val="-2"/>
                            <w:sz w:val="18"/>
                            <w:szCs w:val="18"/>
                          </w:rPr>
                          <w:t>张秀兵、万丽莉夫妇持有公司控股股东宣亚投资</w:t>
                        </w:r>
                        <w:r>
                          <w:rPr>
                            <w:rFonts w:ascii="宋体" w:hAnsi="宋体" w:cs="宋体" w:eastAsia="宋体" w:hint="default"/>
                            <w:spacing w:val="-27"/>
                            <w:sz w:val="18"/>
                            <w:szCs w:val="18"/>
                          </w:rPr>
                          <w:t> </w:t>
                        </w: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的股权，通过宣亚投资间接持有公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37.50%</w:t>
                        </w:r>
                        <w:r>
                          <w:rPr>
                            <w:rFonts w:ascii="宋体" w:hAnsi="宋体" w:cs="宋体" w:eastAsia="宋体" w:hint="default"/>
                            <w:sz w:val="18"/>
                            <w:szCs w:val="18"/>
                          </w:rPr>
                          <w:t>的股权，系公司实际控制人。张秀兵先生直接持有公司股份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1,650,075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股，占公司</w:t>
                        </w:r>
                        <w:r>
                          <w:rPr>
                            <w:rFonts w:ascii="宋体" w:hAnsi="宋体" w:cs="宋体" w:eastAsia="宋体" w:hint="default"/>
                            <w:sz w:val="18"/>
                            <w:szCs w:val="18"/>
                          </w:rPr>
                          <w:t> 总股本的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w:t>
                        </w:r>
                        <w:r>
                          <w:rPr>
                            <w:rFonts w:ascii="宋体" w:hAnsi="宋体" w:cs="宋体" w:eastAsia="宋体" w:hint="default"/>
                            <w:sz w:val="18"/>
                            <w:szCs w:val="18"/>
                          </w:rPr>
                          <w:t>，张秀兵持有的公司股份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1,650,075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股被司法冻结，目前为有限售条件的股 份；通过宣亚投资间接持有公司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33.75%</w:t>
                        </w:r>
                        <w:r>
                          <w:rPr>
                            <w:rFonts w:ascii="宋体" w:hAnsi="宋体" w:cs="宋体" w:eastAsia="宋体" w:hint="default"/>
                            <w:sz w:val="18"/>
                            <w:szCs w:val="18"/>
                          </w:rPr>
                          <w:t>的股权；通过橙色动力间接持有公司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0.41%</w:t>
                        </w:r>
                        <w:r>
                          <w:rPr>
                            <w:rFonts w:ascii="宋体" w:hAnsi="宋体" w:cs="宋体" w:eastAsia="宋体" w:hint="default"/>
                            <w:sz w:val="18"/>
                            <w:szCs w:val="18"/>
                          </w:rPr>
                          <w:t>的股权 </w:t>
                        </w:r>
                        <w:r>
                          <w:rPr>
                            <w:rFonts w:ascii="宋体" w:hAnsi="宋体" w:cs="宋体" w:eastAsia="宋体" w:hint="default"/>
                            <w:spacing w:val="-3"/>
                            <w:sz w:val="18"/>
                            <w:szCs w:val="18"/>
                          </w:rPr>
                          <w:t>公司实际控制人与上述其他股东之间不存在关联关系，也不存在一致行动。伟岸仲合执行事</w:t>
                        </w:r>
                      </w:p>
                      <w:p>
                        <w:pPr>
                          <w:pStyle w:val="TableParagraph"/>
                          <w:spacing w:line="288" w:lineRule="auto" w:before="53"/>
                          <w:ind w:left="15" w:right="13"/>
                          <w:jc w:val="both"/>
                          <w:rPr>
                            <w:rFonts w:ascii="宋体" w:hAnsi="宋体" w:cs="宋体" w:eastAsia="宋体" w:hint="default"/>
                            <w:sz w:val="18"/>
                            <w:szCs w:val="18"/>
                          </w:rPr>
                        </w:pPr>
                        <w:r>
                          <w:rPr>
                            <w:rFonts w:ascii="宋体" w:hAnsi="宋体" w:cs="宋体" w:eastAsia="宋体" w:hint="default"/>
                            <w:sz w:val="18"/>
                            <w:szCs w:val="18"/>
                          </w:rPr>
                          <w:t>务合伙人张伟先生除了持有伟岸仲合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75.00%</w:t>
                        </w:r>
                        <w:r>
                          <w:rPr>
                            <w:rFonts w:ascii="宋体" w:hAnsi="宋体" w:cs="宋体" w:eastAsia="宋体" w:hint="default"/>
                            <w:sz w:val="18"/>
                            <w:szCs w:val="18"/>
                          </w:rPr>
                          <w:t>的财产份额以外，还同时作为有限合伙人持有 金凤银凰</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13.70%</w:t>
                        </w:r>
                        <w:r>
                          <w:rPr>
                            <w:rFonts w:ascii="宋体" w:hAnsi="宋体" w:cs="宋体" w:eastAsia="宋体" w:hint="default"/>
                            <w:sz w:val="18"/>
                            <w:szCs w:val="18"/>
                          </w:rPr>
                          <w:t>的财产份额。橙色动力为公司员工持股平台。除此之外，公司未知前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 其他股东之间是否存在关联关系。</w:t>
                        </w:r>
                      </w:p>
                    </w:tc>
                  </w:tr>
                  <w:tr>
                    <w:trPr>
                      <w:trHeight w:val="1951"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5" w:right="31"/>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15" w:right="118"/>
                          <w:jc w:val="both"/>
                          <w:rPr>
                            <w:rFonts w:ascii="宋体" w:hAnsi="宋体" w:cs="宋体" w:eastAsia="宋体" w:hint="default"/>
                            <w:sz w:val="18"/>
                            <w:szCs w:val="18"/>
                          </w:rPr>
                        </w:pPr>
                        <w:r>
                          <w:rPr>
                            <w:rFonts w:ascii="宋体" w:hAnsi="宋体" w:cs="宋体" w:eastAsia="宋体" w:hint="default"/>
                            <w:sz w:val="18"/>
                            <w:szCs w:val="18"/>
                          </w:rPr>
                          <w:t>股东石岩梅通过中信证券（山东）有限责任公司客户信用交易担保证券账户持有股票数量 </w:t>
                        </w:r>
                        <w:r>
                          <w:rPr>
                            <w:rFonts w:ascii="Times New Roman" w:hAnsi="Times New Roman" w:cs="Times New Roman" w:eastAsia="Times New Roman" w:hint="default"/>
                            <w:sz w:val="18"/>
                            <w:szCs w:val="18"/>
                          </w:rPr>
                          <w:t>199,400 </w:t>
                        </w:r>
                        <w:r>
                          <w:rPr>
                            <w:rFonts w:ascii="宋体" w:hAnsi="宋体" w:cs="宋体" w:eastAsia="宋体" w:hint="default"/>
                            <w:sz w:val="18"/>
                            <w:szCs w:val="18"/>
                          </w:rPr>
                          <w:t>股，通过普通证券账户持有股票数量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253,500 </w:t>
                        </w:r>
                        <w:r>
                          <w:rPr>
                            <w:rFonts w:ascii="宋体" w:hAnsi="宋体" w:cs="宋体" w:eastAsia="宋体" w:hint="default"/>
                            <w:sz w:val="18"/>
                            <w:szCs w:val="18"/>
                          </w:rPr>
                          <w:t>股，实际合计持有股票数量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452,900 </w:t>
                        </w:r>
                        <w:r>
                          <w:rPr>
                            <w:rFonts w:ascii="宋体" w:hAnsi="宋体" w:cs="宋体" w:eastAsia="宋体" w:hint="default"/>
                            <w:sz w:val="18"/>
                            <w:szCs w:val="18"/>
                          </w:rPr>
                          <w:t>股；股东李战通过中信建投证券股份有限公司客户信用交易担保证券账户持有股票数量</w:t>
                        </w:r>
                      </w:p>
                      <w:p>
                        <w:pPr>
                          <w:pStyle w:val="TableParagraph"/>
                          <w:spacing w:line="240" w:lineRule="auto" w:before="26"/>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426,200 </w:t>
                        </w:r>
                        <w:r>
                          <w:rPr>
                            <w:rFonts w:ascii="宋体" w:hAnsi="宋体" w:cs="宋体" w:eastAsia="宋体" w:hint="default"/>
                            <w:sz w:val="18"/>
                            <w:szCs w:val="18"/>
                          </w:rPr>
                          <w:t>股，通过普通证券账户持有股票数量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股，实际合计持有股票数量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6"/>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股东旷文樵通过方正证券股份有限公司客户信用交易担保证券账户持有股票数量</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294,700</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z w:val="18"/>
                            <w:szCs w:val="18"/>
                          </w:rPr>
                          <w:t>股，实际合计持有股票数量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294,700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9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111"/>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right="8589"/>
        <w:jc w:val="left"/>
      </w:pPr>
      <w:r>
        <w:rPr/>
        <w:t>控股股东性质：自然人控股 控股股东类型：法人</w:t>
      </w:r>
    </w:p>
    <w:tbl>
      <w:tblPr>
        <w:tblW w:w="0" w:type="auto"/>
        <w:jc w:val="left"/>
        <w:tblInd w:w="126" w:type="dxa"/>
        <w:tblLayout w:type="fixed"/>
        <w:tblCellMar>
          <w:top w:w="0" w:type="dxa"/>
          <w:left w:w="0" w:type="dxa"/>
          <w:bottom w:w="0" w:type="dxa"/>
          <w:right w:w="0" w:type="dxa"/>
        </w:tblCellMar>
        <w:tblLook w:val="01E0"/>
      </w:tblPr>
      <w:tblGrid>
        <w:gridCol w:w="2553"/>
        <w:gridCol w:w="1982"/>
        <w:gridCol w:w="1712"/>
        <w:gridCol w:w="1848"/>
        <w:gridCol w:w="1487"/>
      </w:tblGrid>
      <w:tr>
        <w:trPr>
          <w:trHeight w:val="406"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5"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5"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91110105799040854K</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1021"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81"/>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02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9"/>
        <w:ind w:right="0"/>
        <w:jc w:val="left"/>
      </w:pPr>
      <w:r>
        <w:rPr/>
        <w:t>控股股东报告期内变更</w:t>
      </w:r>
    </w:p>
    <w:p>
      <w:pPr>
        <w:pStyle w:val="BodyText"/>
        <w:spacing w:line="316"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5"/>
        <w:rPr>
          <w:rFonts w:ascii="宋体" w:hAnsi="宋体" w:cs="宋体" w:eastAsia="宋体" w:hint="default"/>
          <w:sz w:val="25"/>
          <w:szCs w:val="25"/>
        </w:rPr>
      </w:pPr>
    </w:p>
    <w:p>
      <w:pPr>
        <w:pStyle w:val="Heading5"/>
        <w:spacing w:line="240" w:lineRule="auto"/>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right="8409"/>
        <w:jc w:val="left"/>
      </w:pPr>
      <w:r>
        <w:rPr/>
        <w:t>实际控制人性质：境内自然人 实际控制人类型：自然人</w:t>
      </w:r>
    </w:p>
    <w:tbl>
      <w:tblPr>
        <w:tblW w:w="0" w:type="auto"/>
        <w:jc w:val="left"/>
        <w:tblInd w:w="126" w:type="dxa"/>
        <w:tblLayout w:type="fixed"/>
        <w:tblCellMar>
          <w:top w:w="0" w:type="dxa"/>
          <w:left w:w="0" w:type="dxa"/>
          <w:bottom w:w="0" w:type="dxa"/>
          <w:right w:w="0" w:type="dxa"/>
        </w:tblCellMar>
        <w:tblLook w:val="01E0"/>
      </w:tblPr>
      <w:tblGrid>
        <w:gridCol w:w="3259"/>
        <w:gridCol w:w="2132"/>
        <w:gridCol w:w="1142"/>
        <w:gridCol w:w="3049"/>
      </w:tblGrid>
      <w:tr>
        <w:trPr>
          <w:trHeight w:val="405" w:hRule="exact"/>
        </w:trPr>
        <w:tc>
          <w:tcPr>
            <w:tcW w:w="32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9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5"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32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23" w:type="dxa"/>
            <w:gridSpan w:val="3"/>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29" w:right="36"/>
              <w:jc w:val="left"/>
              <w:rPr>
                <w:rFonts w:ascii="宋体" w:hAnsi="宋体" w:cs="宋体" w:eastAsia="宋体" w:hint="default"/>
                <w:sz w:val="18"/>
                <w:szCs w:val="18"/>
              </w:rPr>
            </w:pPr>
            <w:r>
              <w:rPr>
                <w:rFonts w:ascii="宋体" w:hAnsi="宋体" w:cs="宋体" w:eastAsia="宋体" w:hint="default"/>
                <w:spacing w:val="-2"/>
                <w:sz w:val="18"/>
                <w:szCs w:val="18"/>
              </w:rPr>
              <w:t>截至目前，张秀兵不担任公司任何职务，万丽莉担任公司全资子公司宣亚美国财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务经理。</w:t>
            </w:r>
          </w:p>
        </w:tc>
      </w:tr>
      <w:tr>
        <w:trPr>
          <w:trHeight w:val="405" w:hRule="exact"/>
        </w:trPr>
        <w:tc>
          <w:tcPr>
            <w:tcW w:w="32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32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9"/>
        <w:ind w:right="0"/>
        <w:jc w:val="left"/>
      </w:pPr>
      <w:r>
        <w:rPr/>
        <w:t>实际控制人报告期内变更</w:t>
      </w:r>
    </w:p>
    <w:p>
      <w:pPr>
        <w:pStyle w:val="BodyText"/>
        <w:spacing w:line="319" w:lineRule="auto" w:before="12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公司报告期实际控制人未发生变更。</w:t>
      </w:r>
    </w:p>
    <w:p>
      <w:pPr>
        <w:pStyle w:val="BodyText"/>
        <w:spacing w:line="240" w:lineRule="auto" w:before="65"/>
        <w:ind w:right="0"/>
        <w:jc w:val="left"/>
      </w:pPr>
      <w:r>
        <w:rPr/>
        <w:t>公司与实际控制人之间的产权及控制关系的方框图</w:t>
      </w:r>
    </w:p>
    <w:p>
      <w:pPr>
        <w:spacing w:line="240" w:lineRule="auto" w:before="11"/>
        <w:rPr>
          <w:rFonts w:ascii="宋体" w:hAnsi="宋体" w:cs="宋体" w:eastAsia="宋体" w:hint="default"/>
          <w:sz w:val="24"/>
          <w:szCs w:val="24"/>
        </w:rPr>
      </w:pPr>
    </w:p>
    <w:p>
      <w:pPr>
        <w:spacing w:line="3607" w:lineRule="exact"/>
        <w:ind w:left="2420"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212770" cy="2290762"/>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33" cstate="print"/>
                    <a:stretch>
                      <a:fillRect/>
                    </a:stretch>
                  </pic:blipFill>
                  <pic:spPr>
                    <a:xfrm>
                      <a:off x="0" y="0"/>
                      <a:ext cx="3212770" cy="2290762"/>
                    </a:xfrm>
                    <a:prstGeom prst="rect">
                      <a:avLst/>
                    </a:prstGeom>
                  </pic:spPr>
                </pic:pic>
              </a:graphicData>
            </a:graphic>
          </wp:inline>
        </w:drawing>
      </w:r>
      <w:r>
        <w:rPr>
          <w:rFonts w:ascii="宋体" w:hAnsi="宋体" w:cs="宋体" w:eastAsia="宋体" w:hint="default"/>
          <w:position w:val="-71"/>
          <w:sz w:val="20"/>
          <w:szCs w:val="20"/>
        </w:rPr>
      </w:r>
    </w:p>
    <w:p>
      <w:pPr>
        <w:spacing w:after="0" w:line="3607" w:lineRule="exact"/>
        <w:rPr>
          <w:rFonts w:ascii="宋体" w:hAnsi="宋体" w:cs="宋体" w:eastAsia="宋体" w:hint="default"/>
          <w:sz w:val="20"/>
          <w:szCs w:val="20"/>
        </w:rPr>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before="157"/>
        <w:ind w:left="141" w:right="0"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0"/>
        <w:rPr>
          <w:rFonts w:ascii="等线" w:hAnsi="等线" w:cs="等线" w:eastAsia="等线" w:hint="default"/>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697"/>
        <w:gridCol w:w="2418"/>
        <w:gridCol w:w="1697"/>
        <w:gridCol w:w="1637"/>
        <w:gridCol w:w="2133"/>
      </w:tblGrid>
      <w:tr>
        <w:trPr>
          <w:trHeight w:val="405"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85"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投资咨询</w:t>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企业管理咨询</w:t>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吴浩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投资咨询</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3355" w:right="0"/>
        <w:jc w:val="left"/>
        <w:rPr>
          <w:b w:val="0"/>
          <w:bCs w:val="0"/>
        </w:rPr>
      </w:pPr>
      <w:bookmarkStart w:name="第七节优先股相关情况" w:id="116"/>
      <w:bookmarkEnd w:id="116"/>
      <w:r>
        <w:rPr>
          <w:b w:val="0"/>
          <w:bCs w:val="0"/>
        </w:rPr>
      </w:r>
      <w:bookmarkStart w:name="_bookmark6" w:id="117"/>
      <w:bookmarkEnd w:id="117"/>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before="44"/>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2709" w:right="0"/>
        <w:jc w:val="left"/>
        <w:rPr>
          <w:b w:val="0"/>
          <w:bCs w:val="0"/>
        </w:rPr>
      </w:pPr>
      <w:bookmarkStart w:name="第八节可转换公司债券相关情况" w:id="118"/>
      <w:bookmarkEnd w:id="118"/>
      <w:r>
        <w:rPr>
          <w:b w:val="0"/>
          <w:bCs w:val="0"/>
        </w:rPr>
      </w:r>
      <w:bookmarkStart w:name="_bookmark7" w:id="119"/>
      <w:bookmarkEnd w:id="119"/>
      <w:r>
        <w:rPr>
          <w:b w:val="0"/>
          <w:bCs w:val="0"/>
        </w:rPr>
      </w:r>
      <w:r>
        <w:rPr>
          <w:spacing w:val="5"/>
        </w:rPr>
        <w:t>第八节可转换公司债券相关情况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r>
        <w:rPr/>
        <w:pict>
          <v:group style="position:absolute;margin-left:114.150002pt;margin-top:542.349976pt;width:42.05pt;height:34.9pt;mso-position-horizontal-relative:page;mso-position-vertical-relative:page;z-index:-1196872" coordorigin="2283,10847" coordsize="841,698">
            <v:group style="position:absolute;left:2291;top:10854;width:2;height:391" coordorigin="2291,10854" coordsize="2,391">
              <v:shape style="position:absolute;left:2291;top:10854;width:2;height:391" coordorigin="2291,10854" coordsize="0,391" path="m2291,10854l2291,11245e" filled="false" stroked="true" strokeweight=".75pt" strokecolor="#ffffff">
                <v:path arrowok="t"/>
              </v:shape>
            </v:group>
            <v:group style="position:absolute;left:2283;top:11245;width:841;height:300" coordorigin="2283,11245" coordsize="841,300">
              <v:shape style="position:absolute;left:2283;top:11245;width:841;height:300" coordorigin="2283,11245" coordsize="841,300" path="m2283,11545l3124,11545,3124,11245,2283,11245,2283,11545xe" filled="true" fillcolor="#ffffff" stroked="false">
                <v:path arrowok="t"/>
                <v:fill type="solid"/>
              </v:shape>
            </v:group>
            <v:group style="position:absolute;left:2298;top:10854;width:796;height:391" coordorigin="2298,10854" coordsize="796,391">
              <v:shape style="position:absolute;left:2298;top:10854;width:796;height:391" coordorigin="2298,10854" coordsize="796,391" path="m2298,11245l3094,11245,3094,10854,2298,10854,2298,1124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2188" w:right="0"/>
        <w:jc w:val="left"/>
        <w:rPr>
          <w:b w:val="0"/>
          <w:bCs w:val="0"/>
        </w:rPr>
      </w:pPr>
      <w:bookmarkStart w:name="第九节董事、监事、高级管理人员和员工情况" w:id="120"/>
      <w:bookmarkEnd w:id="120"/>
      <w:r>
        <w:rPr>
          <w:b w:val="0"/>
          <w:bCs w:val="0"/>
        </w:rPr>
      </w:r>
      <w:bookmarkStart w:name="_bookmark8" w:id="121"/>
      <w:bookmarkEnd w:id="121"/>
      <w:r>
        <w:rPr>
          <w:b w:val="0"/>
          <w:bCs w:val="0"/>
        </w:rPr>
      </w:r>
      <w:r>
        <w:rPr>
          <w:spacing w:val="5"/>
        </w:rPr>
        <w:t>第九节董事、监事、高级管理人员和员工情况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3"/>
        <w:spacing w:line="240" w:lineRule="auto"/>
        <w:ind w:left="581"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736"/>
        <w:gridCol w:w="856"/>
        <w:gridCol w:w="841"/>
        <w:gridCol w:w="856"/>
        <w:gridCol w:w="706"/>
        <w:gridCol w:w="1142"/>
        <w:gridCol w:w="1021"/>
        <w:gridCol w:w="871"/>
        <w:gridCol w:w="886"/>
        <w:gridCol w:w="886"/>
        <w:gridCol w:w="871"/>
        <w:gridCol w:w="886"/>
      </w:tblGrid>
      <w:tr>
        <w:trPr>
          <w:trHeight w:val="1021"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80" w:right="104"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05" w:right="60" w:hanging="361"/>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59" w:right="7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7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0" w:right="9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5" w:firstLine="45"/>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9"/>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数（股）</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53</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1,650,075</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1,650,075</w:t>
            </w:r>
          </w:p>
        </w:tc>
      </w:tr>
      <w:tr>
        <w:trPr>
          <w:trHeight w:val="10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43</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w:t>
              <w:tab/>
              <w:t>硕</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321" w:lineRule="auto"/>
              <w:ind w:left="15" w:right="10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于伟杰</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07" w:lineRule="auto"/>
              <w:ind w:left="15" w:right="10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05"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w:t>
              <w:tab/>
              <w:t>涛</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321" w:lineRule="auto"/>
              <w:ind w:left="15" w:right="105"/>
              <w:jc w:val="left"/>
              <w:rPr>
                <w:rFonts w:ascii="宋体" w:hAnsi="宋体" w:cs="宋体" w:eastAsia="宋体" w:hint="default"/>
                <w:sz w:val="18"/>
                <w:szCs w:val="18"/>
              </w:rPr>
            </w:pPr>
            <w:r>
              <w:rPr>
                <w:rFonts w:ascii="宋体" w:hAnsi="宋体" w:cs="宋体" w:eastAsia="宋体" w:hint="default"/>
                <w:sz w:val="18"/>
                <w:szCs w:val="18"/>
              </w:rPr>
              <w:t>首席执行 </w:t>
            </w:r>
            <w:r>
              <w:rPr>
                <w:rFonts w:ascii="宋体" w:hAnsi="宋体" w:cs="宋体" w:eastAsia="宋体" w:hint="default"/>
                <w:spacing w:val="-4"/>
                <w:sz w:val="18"/>
                <w:szCs w:val="18"/>
              </w:rPr>
              <w:t>官（总裁</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离任</w:t>
            </w:r>
          </w:p>
          <w:p>
            <w:pPr>
              <w:pStyle w:val="TableParagraph"/>
              <w:spacing w:line="193"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w:t>
              <w:tab/>
              <w:t>涛</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w:t>
              <w:tab/>
              <w:t>洋</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董事、首 席执行官</w:t>
            </w:r>
          </w:p>
          <w:p>
            <w:pPr>
              <w:pStyle w:val="TableParagraph"/>
              <w:spacing w:line="240" w:lineRule="auto" w:before="31"/>
              <w:ind w:left="1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465" w:val="left" w:leader="none"/>
              </w:tabs>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宾</w:t>
              <w:tab/>
              <w:t>卫</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05"/>
              <w:jc w:val="both"/>
              <w:rPr>
                <w:rFonts w:ascii="宋体" w:hAnsi="宋体" w:cs="宋体" w:eastAsia="宋体" w:hint="default"/>
                <w:sz w:val="18"/>
                <w:szCs w:val="18"/>
              </w:rPr>
            </w:pPr>
            <w:r>
              <w:rPr>
                <w:rFonts w:ascii="宋体" w:hAnsi="宋体" w:cs="宋体" w:eastAsia="宋体" w:hint="default"/>
                <w:sz w:val="18"/>
                <w:szCs w:val="18"/>
              </w:rPr>
              <w:t>董事、副 总裁、财 务总监</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560" w:right="0"/>
        </w:sectPr>
      </w:pPr>
    </w:p>
    <w:p>
      <w:pPr>
        <w:spacing w:line="240" w:lineRule="auto" w:before="2"/>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736"/>
        <w:gridCol w:w="856"/>
        <w:gridCol w:w="841"/>
        <w:gridCol w:w="856"/>
        <w:gridCol w:w="706"/>
        <w:gridCol w:w="1142"/>
        <w:gridCol w:w="1021"/>
        <w:gridCol w:w="871"/>
        <w:gridCol w:w="886"/>
        <w:gridCol w:w="886"/>
        <w:gridCol w:w="871"/>
        <w:gridCol w:w="886"/>
      </w:tblGrid>
      <w:tr>
        <w:trPr>
          <w:trHeight w:val="1020"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w:t>
              <w:tab/>
              <w:t>翔</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05"/>
              <w:jc w:val="both"/>
              <w:rPr>
                <w:rFonts w:ascii="宋体" w:hAnsi="宋体" w:cs="宋体" w:eastAsia="宋体" w:hint="default"/>
                <w:sz w:val="18"/>
                <w:szCs w:val="18"/>
              </w:rPr>
            </w:pPr>
            <w:r>
              <w:rPr>
                <w:rFonts w:ascii="宋体" w:hAnsi="宋体" w:cs="宋体" w:eastAsia="宋体" w:hint="default"/>
                <w:sz w:val="18"/>
                <w:szCs w:val="18"/>
              </w:rPr>
              <w:t>董事、副 总裁、董 事会秘书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465" w:val="left" w:leader="none"/>
              </w:tabs>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方</w:t>
              <w:tab/>
              <w:t>军</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9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张鹏洲</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汪晓文</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05"/>
              <w:jc w:val="both"/>
              <w:rPr>
                <w:rFonts w:ascii="宋体" w:hAnsi="宋体" w:cs="宋体" w:eastAsia="宋体" w:hint="default"/>
                <w:sz w:val="18"/>
                <w:szCs w:val="18"/>
              </w:rPr>
            </w:pPr>
            <w:r>
              <w:rPr>
                <w:rFonts w:ascii="宋体" w:hAnsi="宋体" w:cs="宋体" w:eastAsia="宋体" w:hint="default"/>
                <w:sz w:val="18"/>
                <w:szCs w:val="18"/>
              </w:rPr>
              <w:t>监事会主 席、内审 部主任</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w:t>
              <w:tab/>
              <w:t>桢</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股东监事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z w:val="18"/>
              </w:rPr>
              <w:t>38</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z w:val="18"/>
              </w:rPr>
              <w:t>0</w:t>
            </w:r>
          </w:p>
        </w:tc>
      </w:tr>
      <w:tr>
        <w:trPr>
          <w:trHeight w:val="10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w:t>
              <w:tab/>
              <w:t>伟</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王亚卓</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05"/>
              <w:jc w:val="both"/>
              <w:rPr>
                <w:rFonts w:ascii="宋体" w:hAnsi="宋体" w:cs="宋体" w:eastAsia="宋体" w:hint="default"/>
                <w:sz w:val="18"/>
                <w:szCs w:val="18"/>
              </w:rPr>
            </w:pPr>
            <w:r>
              <w:rPr>
                <w:rFonts w:ascii="宋体" w:hAnsi="宋体" w:cs="宋体" w:eastAsia="宋体" w:hint="default"/>
                <w:sz w:val="18"/>
                <w:szCs w:val="18"/>
              </w:rPr>
              <w:t>副总裁、 首席技术 官</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30"/>
              <w:jc w:val="center"/>
              <w:rPr>
                <w:rFonts w:ascii="Times New Roman" w:hAnsi="Times New Roman" w:cs="Times New Roman" w:eastAsia="Times New Roman" w:hint="default"/>
                <w:sz w:val="18"/>
                <w:szCs w:val="18"/>
              </w:rPr>
            </w:pPr>
            <w:r>
              <w:rPr>
                <w:rFonts w:ascii="Times New Roman"/>
                <w:sz w:val="18"/>
              </w:rPr>
              <w:t>--</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2"/>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1,650,075</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1,650,075</w:t>
            </w:r>
          </w:p>
        </w:tc>
      </w:tr>
    </w:tbl>
    <w:p>
      <w:pPr>
        <w:spacing w:line="240" w:lineRule="auto" w:before="12"/>
        <w:rPr>
          <w:rFonts w:ascii="宋体" w:hAnsi="宋体" w:cs="宋体" w:eastAsia="宋体" w:hint="default"/>
          <w:b/>
          <w:bCs/>
          <w:sz w:val="17"/>
          <w:szCs w:val="17"/>
        </w:rPr>
      </w:pPr>
    </w:p>
    <w:p>
      <w:pPr>
        <w:pStyle w:val="Heading3"/>
        <w:spacing w:line="240" w:lineRule="auto" w:before="26"/>
        <w:ind w:left="581"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8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56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391"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w:t>
              <w:tab/>
              <w:t>硕</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after="0" w:line="240" w:lineRule="auto"/>
        <w:jc w:val="left"/>
        <w:rPr>
          <w:rFonts w:ascii="宋体" w:hAnsi="宋体" w:cs="宋体" w:eastAsia="宋体" w:hint="default"/>
          <w:sz w:val="18"/>
          <w:szCs w:val="18"/>
        </w:rPr>
        <w:sectPr>
          <w:pgSz w:w="11910" w:h="16850"/>
          <w:pgMar w:header="866" w:footer="981" w:top="1120" w:bottom="1180" w:left="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129"/>
        <w:jc w:val="right"/>
      </w:pPr>
      <w:r>
        <w:rPr/>
        <w:pict>
          <v:shape style="position:absolute;margin-left:56.325001pt;margin-top:-154.658295pt;width:480.25pt;height:457.9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7"/>
                    <w:gridCol w:w="1322"/>
                    <w:gridCol w:w="1337"/>
                    <w:gridCol w:w="1336"/>
                    <w:gridCol w:w="4250"/>
                  </w:tblGrid>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于伟杰</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w:t>
                          <w:tab/>
                          <w:t>涛</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首席执行官（总 裁）</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133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w:t>
                          <w:tab/>
                          <w:t>涛</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60"/>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年第二次临时股东大会 审议通过，补选邬涛先生为公司非独立董事；</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日，公司第三届董事会第二十二次会议审议通 过，补选邬涛先生为公司董事长。</w:t>
                        </w:r>
                      </w:p>
                    </w:tc>
                  </w:tr>
                  <w:tr>
                    <w:trPr>
                      <w:trHeight w:val="1352"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w:t>
                          <w:tab/>
                          <w:t>洋</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15" w:right="29"/>
                          <w:jc w:val="left"/>
                          <w:rPr>
                            <w:rFonts w:ascii="宋体" w:hAnsi="宋体" w:cs="宋体" w:eastAsia="宋体" w:hint="default"/>
                            <w:sz w:val="18"/>
                            <w:szCs w:val="18"/>
                          </w:rPr>
                        </w:pPr>
                        <w:r>
                          <w:rPr>
                            <w:rFonts w:ascii="宋体" w:hAnsi="宋体" w:cs="宋体" w:eastAsia="宋体" w:hint="default"/>
                            <w:sz w:val="18"/>
                            <w:szCs w:val="18"/>
                          </w:rPr>
                          <w:t>董事、首席执行 官（总裁）</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15"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日，公司第三届董事会第二十一次会 </w:t>
                        </w:r>
                        <w:r>
                          <w:rPr>
                            <w:rFonts w:ascii="宋体" w:hAnsi="宋体" w:cs="宋体" w:eastAsia="宋体" w:hint="default"/>
                            <w:spacing w:val="-9"/>
                            <w:sz w:val="18"/>
                            <w:szCs w:val="18"/>
                          </w:rPr>
                          <w:t>议审议通过，聘任刘洋先生为公司首席执行官（总裁）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年第二次临时股东大会 审议通过，补选刘洋先生为公司非独立董事。</w:t>
                        </w:r>
                      </w:p>
                    </w:tc>
                  </w:tr>
                  <w:tr>
                    <w:trPr>
                      <w:trHeight w:val="133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w:t>
                          <w:tab/>
                          <w:t>翔</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董事、副总裁、 董事会秘书</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日，公司第三届董事会第十五次会议审</w:t>
                        </w:r>
                        <w:r>
                          <w:rPr>
                            <w:rFonts w:ascii="宋体" w:hAnsi="宋体" w:cs="宋体" w:eastAsia="宋体" w:hint="default"/>
                            <w:sz w:val="18"/>
                            <w:szCs w:val="18"/>
                          </w:rPr>
                          <w:t> 议通过，聘任任翔先生为公司副总裁、董事会秘书；</w:t>
                        </w:r>
                      </w:p>
                      <w:p>
                        <w:pPr>
                          <w:pStyle w:val="TableParagraph"/>
                          <w:spacing w:line="276" w:lineRule="auto" w:before="56"/>
                          <w:ind w:left="15"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年第二次临时股东大会 审议通过，补选任翔先生为公司非独立董事。</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张鹏洲</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年第一次临时股东大会 审议通过，补选张鹏洲先生为公司独立董事，</w:t>
                        </w:r>
                      </w:p>
                    </w:tc>
                  </w:tr>
                  <w:tr>
                    <w:trPr>
                      <w:trHeight w:val="1967"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汪晓文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4" w:lineRule="auto"/>
                          <w:ind w:left="15" w:right="30"/>
                          <w:jc w:val="left"/>
                          <w:rPr>
                            <w:rFonts w:ascii="宋体" w:hAnsi="宋体" w:cs="宋体" w:eastAsia="宋体" w:hint="default"/>
                            <w:sz w:val="18"/>
                            <w:szCs w:val="18"/>
                          </w:rPr>
                        </w:pPr>
                        <w:r>
                          <w:rPr>
                            <w:rFonts w:ascii="宋体" w:hAnsi="宋体" w:cs="宋体" w:eastAsia="宋体" w:hint="default"/>
                            <w:sz w:val="18"/>
                            <w:szCs w:val="18"/>
                          </w:rPr>
                          <w:t>监事会主席、内 审部主任</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0"/>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19"/>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年第二次职工代表大会 审议通过，补选汪晓文女士为公司职工代表监事；同 日公司第四届监事会第十八次会议审议通过，选举汪 晓文女士为公司监事会主席；公司第三届董事会第二 十一次会议审议通过，聘任汪晓文女士为公司内审部 主任。</w:t>
                        </w:r>
                      </w:p>
                    </w:tc>
                  </w:tr>
                  <w:tr>
                    <w:trPr>
                      <w:trHeight w:val="10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王亚卓</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副总裁、首席技 术官</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日，公司第三届董事会第二十一次会 议审议通过，聘任王亚卓先生为公司副总裁、首席技 术官。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3"/>
        <w:spacing w:line="240" w:lineRule="auto" w:before="26"/>
        <w:ind w:right="0"/>
        <w:jc w:val="left"/>
        <w:rPr>
          <w:b w:val="0"/>
          <w:bCs w:val="0"/>
        </w:rPr>
      </w:pPr>
      <w:bookmarkStart w:name="三、任职情况" w:id="124"/>
      <w:bookmarkEnd w:id="124"/>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spacing w:line="520" w:lineRule="atLeast" w:before="5"/>
        <w:ind w:left="621" w:right="0" w:hanging="481"/>
        <w:jc w:val="left"/>
        <w:rPr>
          <w:rFonts w:ascii="宋体" w:hAnsi="宋体" w:cs="宋体" w:eastAsia="宋体" w:hint="default"/>
          <w:sz w:val="18"/>
          <w:szCs w:val="18"/>
        </w:rPr>
      </w:pPr>
      <w:r>
        <w:rPr>
          <w:rFonts w:ascii="宋体" w:hAnsi="宋体" w:cs="宋体" w:eastAsia="宋体" w:hint="default"/>
          <w:b/>
          <w:bCs/>
          <w:sz w:val="18"/>
          <w:szCs w:val="18"/>
        </w:rPr>
        <w:t>（一）公司董事会成员简历如下：</w:t>
      </w:r>
      <w:r>
        <w:rPr>
          <w:rFonts w:ascii="宋体" w:hAnsi="宋体" w:cs="宋体" w:eastAsia="宋体" w:hint="default"/>
          <w:b/>
          <w:bCs/>
          <w:spacing w:val="-1"/>
          <w:sz w:val="18"/>
          <w:szCs w:val="18"/>
        </w:rPr>
        <w:t> </w:t>
      </w:r>
      <w:r>
        <w:rPr>
          <w:rFonts w:ascii="宋体" w:hAnsi="宋体" w:cs="宋体" w:eastAsia="宋体" w:hint="default"/>
          <w:b/>
          <w:bCs/>
          <w:spacing w:val="-1"/>
          <w:sz w:val="18"/>
          <w:szCs w:val="18"/>
        </w:rPr>
      </w:r>
      <w:r>
        <w:rPr>
          <w:rFonts w:ascii="宋体" w:hAnsi="宋体" w:cs="宋体" w:eastAsia="宋体" w:hint="default"/>
          <w:b/>
          <w:bCs/>
          <w:sz w:val="18"/>
          <w:szCs w:val="18"/>
        </w:rPr>
        <w:t>邬涛：</w:t>
      </w:r>
      <w:r>
        <w:rPr>
          <w:rFonts w:ascii="宋体" w:hAnsi="宋体" w:cs="宋体" w:eastAsia="宋体" w:hint="default"/>
          <w:b/>
          <w:bCs/>
          <w:spacing w:val="-76"/>
          <w:sz w:val="18"/>
          <w:szCs w:val="18"/>
        </w:rPr>
        <w:t> </w:t>
      </w:r>
      <w:r>
        <w:rPr>
          <w:rFonts w:ascii="宋体" w:hAnsi="宋体" w:cs="宋体" w:eastAsia="宋体" w:hint="default"/>
          <w:sz w:val="18"/>
          <w:szCs w:val="18"/>
        </w:rPr>
        <w:t>男，</w:t>
      </w:r>
      <w:r>
        <w:rPr>
          <w:rFonts w:ascii="Times New Roman" w:hAnsi="Times New Roman" w:cs="Times New Roman" w:eastAsia="Times New Roman" w:hint="default"/>
          <w:sz w:val="18"/>
          <w:szCs w:val="18"/>
        </w:rPr>
        <w:t>1977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月出生，中国国籍，无境外永久居留权。北京大学中文系文学学士。</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月任</w:t>
      </w:r>
    </w:p>
    <w:p>
      <w:pPr>
        <w:pStyle w:val="BodyText"/>
        <w:spacing w:line="302" w:lineRule="auto" w:before="66"/>
        <w:ind w:right="0"/>
        <w:jc w:val="left"/>
      </w:pPr>
      <w:r>
        <w:rPr>
          <w:spacing w:val="-2"/>
        </w:rPr>
        <w:t>北京宣亚智杰公关顾问有限公司广州分公司助理客户经理；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月任北京博诚智杰公关咨询有限公司广州分</w:t>
      </w:r>
      <w:r>
        <w:rPr>
          <w:spacing w:val="-42"/>
        </w:rPr>
        <w:t> </w:t>
      </w:r>
      <w:r>
        <w:rPr/>
        <w:t>公司客户经理；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月任秦皇岛宣亚公共关系顾问有限公司广州分公司副总经理；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spacing w:val="-83"/>
        </w:rPr>
        <w:t> </w:t>
      </w:r>
      <w:r>
        <w:rPr>
          <w:spacing w:val="-2"/>
        </w:rPr>
        <w:t>任广州旗智企业管理咨询有限公司总经理；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月任宣亚国际营销科技（北京）股份有限公司广州分公司总</w:t>
      </w:r>
      <w:r>
        <w:rPr>
          <w:spacing w:val="-61"/>
        </w:rPr>
        <w:t> </w:t>
      </w:r>
      <w:r>
        <w:rPr>
          <w:spacing w:val="-61"/>
        </w:rPr>
      </w:r>
      <w:r>
        <w:rPr/>
        <w:t>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月至今任广州宣亚品牌管理有限公司总经理；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月至今任广州宣亚品牌管理有限公司执行董事；</w:t>
      </w:r>
      <w:r>
        <w:rPr>
          <w:rFonts w:ascii="Times New Roman" w:hAnsi="Times New Roman" w:cs="Times New Roman" w:eastAsia="Times New Roman" w:hint="default"/>
        </w:rPr>
        <w:t>2016</w:t>
      </w:r>
      <w:r>
        <w:rPr>
          <w:rFonts w:ascii="Times New Roman" w:hAnsi="Times New Roman" w:cs="Times New Roman" w:eastAsia="Times New Roman" w:hint="default"/>
          <w:spacing w:val="-38"/>
        </w:rPr>
        <w:t> </w:t>
      </w:r>
      <w:r>
        <w:rPr>
          <w:spacing w:val="-2"/>
        </w:rPr>
        <w:t>年</w:t>
      </w:r>
      <w:r>
        <w:rPr>
          <w:rFonts w:ascii="Times New Roman" w:hAnsi="Times New Roman" w:cs="Times New Roman" w:eastAsia="Times New Roman" w:hint="default"/>
          <w:spacing w:val="-2"/>
        </w:rPr>
        <w:t>5</w:t>
      </w:r>
      <w:r>
        <w:rPr>
          <w:spacing w:val="-2"/>
        </w:rPr>
        <w:t>月至今任北京爱特康医疗科技有限公司董事；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月任宣亚国际营销科技（北京）股份有限公司副总裁；</w:t>
      </w:r>
      <w:r>
        <w:rPr>
          <w:spacing w:val="-58"/>
        </w:rPr>
        <w:t> </w:t>
      </w:r>
      <w:r>
        <w:rPr>
          <w:spacing w:val="-58"/>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月至今任北京宣亚国际品牌咨询有限公司执行董事、经理；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11</w:t>
      </w:r>
      <w:r>
        <w:rPr>
          <w:spacing w:val="-3"/>
        </w:rPr>
        <w:t>日至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月任宣亚国际营销科技（北京）</w:t>
      </w:r>
      <w:r>
        <w:rPr>
          <w:spacing w:val="-73"/>
        </w:rPr>
        <w:t> </w:t>
      </w:r>
      <w:r>
        <w:rPr>
          <w:spacing w:val="-73"/>
        </w:rPr>
      </w:r>
      <w:r>
        <w:rPr/>
        <w:t>股份有限公司首席执行官（总裁）；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月至今任北京品推宝移动科技有限公司执行董事、总经理；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2019</w:t>
      </w:r>
      <w:r>
        <w:rPr>
          <w:rFonts w:ascii="Times New Roman" w:hAnsi="Times New Roman" w:cs="Times New Roman" w:eastAsia="Times New Roman" w:hint="default"/>
          <w:spacing w:val="-37"/>
        </w:rPr>
        <w:t> </w:t>
      </w:r>
      <w:r>
        <w:rPr>
          <w:spacing w:val="-1"/>
        </w:rPr>
        <w:t>年</w:t>
      </w:r>
      <w:r>
        <w:rPr>
          <w:rFonts w:ascii="Times New Roman" w:hAnsi="Times New Roman" w:cs="Times New Roman" w:eastAsia="Times New Roman" w:hint="default"/>
          <w:spacing w:val="-1"/>
        </w:rPr>
        <w:t>12</w:t>
      </w:r>
      <w:r>
        <w:rPr>
          <w:spacing w:val="-1"/>
        </w:rPr>
        <w:t>月任云目未来科技（湖南）有限公司董事；</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月至今任北京爱售科技有限公司执行董事；</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月至今任北京新</w:t>
      </w:r>
    </w:p>
    <w:p>
      <w:pPr>
        <w:spacing w:after="0" w:line="302"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288" w:lineRule="auto" w:before="44"/>
        <w:ind w:right="1126"/>
        <w:jc w:val="both"/>
      </w:pPr>
      <w:r>
        <w:rPr/>
        <w:t>兵连文化传媒有限公司执行董事、经理；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月至今历任天津星言云汇网络科技有限公司董事、董事长；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月至</w:t>
      </w:r>
      <w:r>
        <w:rPr>
          <w:spacing w:val="-82"/>
        </w:rPr>
        <w:t> </w:t>
      </w:r>
      <w:r>
        <w:rPr/>
        <w:t>今任宣亚国际营销科技（北京）股份有限公司董事长。</w:t>
      </w:r>
    </w:p>
    <w:p>
      <w:pPr>
        <w:spacing w:line="240" w:lineRule="auto" w:before="9"/>
        <w:rPr>
          <w:rFonts w:ascii="宋体" w:hAnsi="宋体" w:cs="宋体" w:eastAsia="宋体" w:hint="default"/>
          <w:sz w:val="13"/>
          <w:szCs w:val="13"/>
        </w:rPr>
      </w:pPr>
    </w:p>
    <w:p>
      <w:pPr>
        <w:pStyle w:val="BodyText"/>
        <w:spacing w:line="300" w:lineRule="auto"/>
        <w:ind w:right="1038" w:firstLine="360"/>
        <w:jc w:val="left"/>
      </w:pPr>
      <w:r>
        <w:rPr>
          <w:rFonts w:ascii="宋体" w:hAnsi="宋体" w:cs="宋体" w:eastAsia="宋体" w:hint="default"/>
          <w:b/>
          <w:bCs/>
        </w:rPr>
        <w:t>宾卫：</w:t>
      </w:r>
      <w:r>
        <w:rPr>
          <w:rFonts w:ascii="宋体" w:hAnsi="宋体" w:cs="宋体" w:eastAsia="宋体" w:hint="default"/>
          <w:b/>
          <w:bCs/>
          <w:spacing w:val="-75"/>
        </w:rPr>
        <w:t> </w:t>
      </w:r>
      <w:r>
        <w:rPr/>
        <w:t>女，</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月出生，中国国籍，无境外永久居留权，本科学历，中国注册会计师、美国注册管理会计师。</w:t>
      </w:r>
      <w:r>
        <w:rPr>
          <w:rFonts w:ascii="Times New Roman" w:hAnsi="Times New Roman" w:cs="Times New Roman" w:eastAsia="Times New Roman" w:hint="default"/>
        </w:rPr>
        <w:t>1991 </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5</w:t>
      </w:r>
      <w:r>
        <w:rPr>
          <w:spacing w:val="-3"/>
        </w:rPr>
        <w:t>月，担任北京有色金属研究总院助理工程师；</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9</w:t>
      </w:r>
      <w:r>
        <w:rPr>
          <w:spacing w:val="-3"/>
        </w:rPr>
        <w:t>月，担任北京富士彩色设备有限公司会计；</w:t>
      </w:r>
      <w:r>
        <w:rPr>
          <w:spacing w:val="-77"/>
        </w:rPr>
        <w:t> </w:t>
      </w:r>
      <w:r>
        <w:rPr>
          <w:spacing w:val="-77"/>
        </w:rPr>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月，担任爱德曼国际公关（中国）有限公司会计主管；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月，担任万博宣伟国际公关（中国）有限公司会计主管；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月，先后担任北京宣亚智慧广告有限公司助</w:t>
      </w:r>
      <w:r>
        <w:rPr>
          <w:spacing w:val="-85"/>
        </w:rPr>
        <w:t> </w:t>
      </w:r>
      <w:r>
        <w:rPr/>
        <w:t>理财务顾问、财务经理；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月，先后担任北京品推宝移动科技有限公司财务经理、财务总监；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spacing w:val="-82"/>
        </w:rPr>
        <w:t> </w:t>
      </w:r>
      <w:r>
        <w:rPr>
          <w:spacing w:val="-1"/>
        </w:rPr>
        <w:t>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月，担任宣亚国际营销科技（北京）股份有限公司财务总监；</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月担任广州宣亚品牌管理有限</w:t>
      </w:r>
      <w:r>
        <w:rPr>
          <w:spacing w:val="-83"/>
        </w:rPr>
        <w:t> </w:t>
      </w:r>
      <w:r>
        <w:rPr/>
        <w:t>公司执行董事；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月，担任宣亚国际营销科技（北京）股份有限公司董事会秘书；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8"/>
        </w:rPr>
        <w:t> </w:t>
      </w:r>
      <w:r>
        <w:rPr/>
        <w:t>月担任珠海宣亚互动数字营销有限公司执行董事；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月至今担任宣亚国际营销科技（北京）股份有限公司董事、财务</w:t>
      </w:r>
      <w:r>
        <w:rPr>
          <w:spacing w:val="-85"/>
        </w:rPr>
        <w:t> </w:t>
      </w:r>
      <w:r>
        <w:rPr/>
        <w:t>总监、云目未来科技（湖南）有限公司董事；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月至今担任宣亚国际营销科技（北京）股份有限公司副总裁。</w:t>
      </w:r>
    </w:p>
    <w:p>
      <w:pPr>
        <w:pStyle w:val="BodyText"/>
        <w:spacing w:line="297" w:lineRule="auto" w:before="136"/>
        <w:ind w:right="1120" w:firstLine="360"/>
        <w:jc w:val="both"/>
      </w:pPr>
      <w:r>
        <w:rPr>
          <w:rFonts w:ascii="宋体" w:hAnsi="宋体" w:cs="宋体" w:eastAsia="宋体" w:hint="default"/>
          <w:b/>
          <w:bCs/>
        </w:rPr>
        <w:t>刘洋：</w:t>
      </w:r>
      <w:r>
        <w:rPr>
          <w:rFonts w:ascii="宋体" w:hAnsi="宋体" w:cs="宋体" w:eastAsia="宋体" w:hint="default"/>
          <w:b/>
          <w:bCs/>
          <w:spacing w:val="-78"/>
        </w:rPr>
        <w:t> </w:t>
      </w:r>
      <w:r>
        <w:rPr/>
        <w:t>男，</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2</w:t>
      </w:r>
      <w:r>
        <w:rPr/>
        <w:t>月出生，中国国籍，无境外永久居留权，哈尔滨工业大学管理学学士，中国科学院计算技术研究所 计算机体系结构工学硕士。</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月，先后担任百度在线网络技术（北京）有限公司系统工程师、高级研发 </w:t>
      </w:r>
      <w:r>
        <w:rPr>
          <w:spacing w:val="-3"/>
        </w:rPr>
        <w:t>工程师、高级项目经理、技术经理、高级技术经理；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月，担任北京周同科技有限公司首席技术官；</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4"/>
        </w:rPr>
        <w:t> </w:t>
      </w:r>
      <w:r>
        <w:rPr/>
        <w:t>年</w:t>
      </w:r>
      <w:r>
        <w:rPr>
          <w:rFonts w:ascii="Times New Roman" w:hAnsi="Times New Roman" w:cs="Times New Roman" w:eastAsia="Times New Roman" w:hint="default"/>
        </w:rPr>
        <w:t>7</w:t>
      </w:r>
      <w:r>
        <w:rPr/>
        <w:t>月至今，担任云目未来科技（北京）有限公司首席执行官、执行董事；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月至今，担任云目未来科技（湖南）有</w:t>
      </w:r>
      <w:r>
        <w:rPr>
          <w:spacing w:val="-84"/>
        </w:rPr>
        <w:t> </w:t>
      </w:r>
      <w:r>
        <w:rPr/>
        <w:t>限公司董事，宣亚国际营销科技（北京）股份有限公司董事、首席执行官（总裁）。</w:t>
      </w:r>
    </w:p>
    <w:p>
      <w:pPr>
        <w:spacing w:line="240" w:lineRule="auto" w:before="1"/>
        <w:rPr>
          <w:rFonts w:ascii="宋体" w:hAnsi="宋体" w:cs="宋体" w:eastAsia="宋体" w:hint="default"/>
          <w:sz w:val="13"/>
          <w:szCs w:val="13"/>
        </w:rPr>
      </w:pPr>
    </w:p>
    <w:p>
      <w:pPr>
        <w:pStyle w:val="BodyText"/>
        <w:spacing w:line="300" w:lineRule="auto"/>
        <w:ind w:right="1040" w:firstLine="360"/>
        <w:jc w:val="both"/>
      </w:pPr>
      <w:r>
        <w:rPr>
          <w:rFonts w:ascii="宋体" w:hAnsi="宋体" w:cs="宋体" w:eastAsia="宋体" w:hint="default"/>
          <w:b/>
          <w:bCs/>
        </w:rPr>
        <w:t>任翔：</w:t>
      </w:r>
      <w:r>
        <w:rPr>
          <w:rFonts w:ascii="宋体" w:hAnsi="宋体" w:cs="宋体" w:eastAsia="宋体" w:hint="default"/>
          <w:b/>
          <w:bCs/>
          <w:spacing w:val="-76"/>
        </w:rPr>
        <w:t> </w:t>
      </w:r>
      <w:r>
        <w:rPr/>
        <w:t>男，</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4</w:t>
      </w:r>
      <w:r>
        <w:rPr/>
        <w:t>月出生，中国国籍，无境外永久居留权，吉林大学工学学士，北京航空航天大学工商管理学硕士。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月，担任长安福特马自达汽车有限公司质量工程师；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月，担任北京宣亚培恩国际</w:t>
      </w:r>
      <w:r>
        <w:rPr>
          <w:spacing w:val="-86"/>
        </w:rPr>
        <w:t> </w:t>
      </w:r>
      <w:r>
        <w:rPr>
          <w:spacing w:val="-4"/>
        </w:rPr>
        <w:t>公关顾问有限公司（现为北京品推宝移动科技有限公司）客户主管；</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2</w:t>
      </w:r>
      <w:r>
        <w:rPr>
          <w:spacing w:val="-4"/>
        </w:rPr>
        <w:t>月至</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5</w:t>
      </w:r>
      <w:r>
        <w:rPr>
          <w:spacing w:val="-4"/>
        </w:rPr>
        <w:t>月，先后担任宣亚国际营销科技（北</w:t>
      </w:r>
      <w:r>
        <w:rPr>
          <w:spacing w:val="-84"/>
        </w:rPr>
        <w:t> </w:t>
      </w:r>
      <w:r>
        <w:rPr>
          <w:spacing w:val="-84"/>
        </w:rPr>
      </w:r>
      <w:r>
        <w:rPr>
          <w:spacing w:val="-2"/>
        </w:rPr>
        <w:t>京）股份有限公司客户主管、助理客户经理、客户经理、高级客户经理；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月，先后担任宣亚国际营销科</w:t>
      </w:r>
      <w:r>
        <w:rPr>
          <w:spacing w:val="-56"/>
        </w:rPr>
        <w:t> </w:t>
      </w:r>
      <w:r>
        <w:rPr>
          <w:spacing w:val="-56"/>
        </w:rPr>
      </w:r>
      <w:r>
        <w:rPr>
          <w:spacing w:val="-2"/>
        </w:rPr>
        <w:t>技（北京）股份有限公司事业部副总经理、董事长助理；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月，先后担任北京宣亚国际投资有限公司董事</w:t>
      </w:r>
      <w:r>
        <w:rPr>
          <w:spacing w:val="-42"/>
        </w:rPr>
        <w:t> </w:t>
      </w:r>
      <w:r>
        <w:rPr>
          <w:spacing w:val="-42"/>
        </w:rPr>
      </w:r>
      <w:r>
        <w:rPr/>
        <w:t>长助理、总经理；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月，担任北京品推宝移动科技有限公司董事长助理兼投资部总监；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日至今</w:t>
      </w:r>
      <w:r>
        <w:rPr>
          <w:spacing w:val="-83"/>
        </w:rPr>
        <w:t> </w:t>
      </w:r>
      <w:r>
        <w:rPr>
          <w:spacing w:val="-3"/>
        </w:rPr>
        <w:t>担任宣亚国际营销科技（北京）股份有限公司副总裁、董事会秘书；</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月至今任天津星言云汇网络科技有限公司董事；</w:t>
      </w:r>
      <w:r>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月至今担任宣亚国际营销科技（北京）股份有限公司董事。</w:t>
      </w:r>
    </w:p>
    <w:p>
      <w:pPr>
        <w:pStyle w:val="BodyText"/>
        <w:spacing w:line="312" w:lineRule="auto" w:before="136"/>
        <w:ind w:right="1095" w:firstLine="360"/>
        <w:jc w:val="both"/>
      </w:pPr>
      <w:r>
        <w:rPr>
          <w:rFonts w:ascii="宋体" w:hAnsi="宋体" w:cs="宋体" w:eastAsia="宋体" w:hint="default"/>
          <w:b/>
          <w:bCs/>
        </w:rPr>
        <w:t>方军：</w:t>
      </w:r>
      <w:r>
        <w:rPr>
          <w:rFonts w:ascii="宋体" w:hAnsi="宋体" w:cs="宋体" w:eastAsia="宋体" w:hint="default"/>
          <w:b/>
          <w:bCs/>
          <w:spacing w:val="-77"/>
        </w:rPr>
        <w:t> </w:t>
      </w:r>
      <w:r>
        <w:rPr>
          <w:spacing w:val="-3"/>
        </w:rPr>
        <w:t>男，</w:t>
      </w:r>
      <w:r>
        <w:rPr>
          <w:rFonts w:ascii="Times New Roman" w:hAnsi="Times New Roman" w:cs="Times New Roman" w:eastAsia="Times New Roman" w:hint="default"/>
          <w:spacing w:val="-3"/>
        </w:rPr>
        <w:t>1962</w:t>
      </w:r>
      <w:r>
        <w:rPr>
          <w:rFonts w:ascii="Times New Roman" w:hAnsi="Times New Roman" w:cs="Times New Roman" w:eastAsia="Times New Roman" w:hint="default"/>
          <w:spacing w:val="25"/>
        </w:rPr>
        <w:t> </w:t>
      </w:r>
      <w:r>
        <w:rPr/>
        <w:t>年</w:t>
      </w:r>
      <w:r>
        <w:rPr>
          <w:spacing w:val="-20"/>
        </w:rPr>
        <w:t>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月出生，中国国籍，无境外永久居留权。上海财经大学会计学专业本科毕业，杭州电子科技大学 </w:t>
      </w:r>
      <w:r>
        <w:rPr>
          <w:spacing w:val="-1"/>
        </w:rPr>
        <w:t>管理工程学专业硕士研究生毕业获硕士学位，高级会计师，中国注册会计师。曾在中国电子器件工业总公司、中华人民共和</w:t>
      </w:r>
      <w:r>
        <w:rPr>
          <w:spacing w:val="-86"/>
        </w:rPr>
        <w:t> </w:t>
      </w:r>
      <w:r>
        <w:rPr>
          <w:spacing w:val="-86"/>
        </w:rPr>
      </w:r>
      <w:r>
        <w:rPr/>
        <w:t>国电子工业部部经济调节司工作，</w:t>
      </w:r>
      <w:r>
        <w:rPr>
          <w:rFonts w:ascii="Times New Roman" w:hAnsi="Times New Roman" w:cs="Times New Roman" w:eastAsia="Times New Roman" w:hint="default"/>
        </w:rPr>
        <w:t>1988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月起，进入中国信息信托投资公司、中国电子财务有限责任公司工作，先后</w:t>
      </w:r>
    </w:p>
    <w:p>
      <w:pPr>
        <w:pStyle w:val="BodyText"/>
        <w:spacing w:line="300" w:lineRule="auto" w:before="6"/>
        <w:ind w:right="1126"/>
        <w:jc w:val="both"/>
      </w:pPr>
      <w:r>
        <w:rPr/>
        <w:t>担任人民币业务部经理、计划财务部经理、副总会计师兼部门经理、政策研究部总经理等职，</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月任深圳桑达电 子集团有限公司财务总监，监事会主席等职，</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月任中国软件与技术服务股份有限公司财务总监；</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月任北京中软融鑫计算机系统工程有限公司董事长；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月至今任中国注册会计师协会审计准则委员</w:t>
      </w:r>
      <w:r>
        <w:rPr>
          <w:spacing w:val="-85"/>
        </w:rPr>
        <w:t> </w:t>
      </w:r>
      <w:r>
        <w:rPr/>
        <w:t>会委员；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月至今任北京上市公司协会财务总监工作委员会副主任；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月任杭州中软安人网络通信</w:t>
      </w:r>
      <w:r>
        <w:rPr>
          <w:spacing w:val="-85"/>
        </w:rPr>
        <w:t> </w:t>
      </w:r>
      <w:r>
        <w:rPr/>
        <w:t>股份有限公司董事长；</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月任中标软件有限公司董事；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月至今任宣亚国际营销科技（北京）股份</w:t>
      </w:r>
      <w:r>
        <w:rPr>
          <w:spacing w:val="-85"/>
        </w:rPr>
        <w:t> </w:t>
      </w:r>
      <w:r>
        <w:rPr/>
        <w:t>有限公司独立董事；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月至今任中共中国长城科技集团股份有限公司纪委书记、党委委员。</w:t>
      </w:r>
    </w:p>
    <w:p>
      <w:pPr>
        <w:pStyle w:val="BodyText"/>
        <w:spacing w:line="302" w:lineRule="auto" w:before="121"/>
        <w:ind w:right="0" w:firstLine="360"/>
        <w:jc w:val="left"/>
      </w:pPr>
      <w:r>
        <w:rPr>
          <w:rFonts w:ascii="宋体" w:hAnsi="宋体" w:cs="宋体" w:eastAsia="宋体" w:hint="default"/>
          <w:b/>
          <w:bCs/>
        </w:rPr>
        <w:t>王正鹏：</w:t>
      </w:r>
      <w:r>
        <w:rPr>
          <w:rFonts w:ascii="宋体" w:hAnsi="宋体" w:cs="宋体" w:eastAsia="宋体" w:hint="default"/>
          <w:b/>
          <w:bCs/>
          <w:spacing w:val="-75"/>
        </w:rPr>
        <w:t> </w:t>
      </w:r>
      <w:r>
        <w:rPr/>
        <w:t>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8</w:t>
      </w:r>
      <w:r>
        <w:rPr/>
        <w:t>月出生，中国国籍，无境外永久居留权，硕士学历。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1998</w:t>
      </w:r>
      <w:r>
        <w:rPr/>
        <w:t>年</w:t>
      </w:r>
      <w:r>
        <w:rPr>
          <w:spacing w:val="-15"/>
        </w:rPr>
        <w:t> </w:t>
      </w:r>
      <w:r>
        <w:rPr>
          <w:rFonts w:ascii="Times New Roman" w:hAnsi="Times New Roman" w:cs="Times New Roman" w:eastAsia="Times New Roman" w:hint="default"/>
        </w:rPr>
        <w:t>10</w:t>
      </w:r>
      <w:r>
        <w:rPr/>
        <w:t>月，担任国家进出口 商品检验局内刊《中国商检报》要闻部编辑、记者；</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月至</w:t>
      </w:r>
      <w:r>
        <w:rPr>
          <w:spacing w:val="-44"/>
        </w:rPr>
        <w:t>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月，先后担任北京晨报经济部记者、编辑、经济 部主任、财经新闻中心主任；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月，在北京奥组委新闻中心任舆情研究工作人员；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37"/>
        </w:rPr>
        <w:t> </w:t>
      </w:r>
      <w:r>
        <w:rPr>
          <w:spacing w:val="-2"/>
        </w:rPr>
        <w:t>月，担任和讯网财经新闻中心总监；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月，担任香港</w:t>
      </w:r>
      <w:r>
        <w:rPr>
          <w:rFonts w:ascii="Times New Roman" w:hAnsi="Times New Roman" w:cs="Times New Roman" w:eastAsia="Times New Roman" w:hint="default"/>
          <w:spacing w:val="-2"/>
        </w:rPr>
        <w:t>WISERS</w:t>
      </w:r>
      <w:r>
        <w:rPr>
          <w:spacing w:val="-2"/>
        </w:rPr>
        <w:t>公司（中文新闻数据库）中国区内容总监；</w:t>
      </w:r>
      <w:r>
        <w:rPr>
          <w:spacing w:val="-66"/>
        </w:rPr>
        <w:t> </w:t>
      </w:r>
      <w:r>
        <w:rPr>
          <w:spacing w:val="-66"/>
        </w:rPr>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月先后担任和讯网财经传播事业部总经理、和讯网总编辑；</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月至今担任宣亚国际营销科技（北</w:t>
      </w:r>
      <w:r>
        <w:rPr>
          <w:spacing w:val="-76"/>
        </w:rPr>
        <w:t> </w:t>
      </w:r>
      <w:r>
        <w:rPr>
          <w:spacing w:val="-76"/>
        </w:rPr>
      </w:r>
      <w:r>
        <w:rPr>
          <w:spacing w:val="-2"/>
        </w:rPr>
        <w:t>京）股份有限公司独立董事；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月至今担任上海和讯聚信资产管理有限公司董事长；</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月至今担任和讯保险经纪</w:t>
      </w:r>
      <w:r>
        <w:rPr>
          <w:spacing w:val="-55"/>
        </w:rPr>
        <w:t> </w:t>
      </w:r>
      <w:r>
        <w:rPr/>
        <w:t>有限公司董事长；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月至今担任</w:t>
      </w:r>
      <w:r>
        <w:rPr>
          <w:rFonts w:ascii="Times New Roman" w:hAnsi="Times New Roman" w:cs="Times New Roman" w:eastAsia="Times New Roman" w:hint="default"/>
        </w:rPr>
        <w:t>Business Asia Arab </w:t>
      </w:r>
      <w:r>
        <w:rPr>
          <w:rFonts w:ascii="Times New Roman" w:hAnsi="Times New Roman" w:cs="Times New Roman" w:eastAsia="Times New Roman" w:hint="default"/>
          <w:spacing w:val="4"/>
        </w:rPr>
        <w:t>TV</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首席执行官、执行董事。</w:t>
      </w:r>
    </w:p>
    <w:p>
      <w:pPr>
        <w:pStyle w:val="BodyText"/>
        <w:spacing w:line="304" w:lineRule="auto" w:before="134"/>
        <w:ind w:right="0" w:firstLine="360"/>
        <w:jc w:val="left"/>
      </w:pPr>
      <w:r>
        <w:rPr>
          <w:rFonts w:ascii="宋体" w:hAnsi="宋体" w:cs="宋体" w:eastAsia="宋体" w:hint="default"/>
          <w:b/>
          <w:bCs/>
          <w:spacing w:val="-2"/>
        </w:rPr>
        <w:t>张鹏洲：</w:t>
      </w:r>
      <w:r>
        <w:rPr>
          <w:spacing w:val="-2"/>
        </w:rPr>
        <w:t>男，</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8</w:t>
      </w:r>
      <w:r>
        <w:rPr>
          <w:spacing w:val="-2"/>
        </w:rPr>
        <w:t>月出生，中国国籍，无境外永久居留权，北京理工大学信息与电子学院信号与信息处理专业毕业，</w:t>
      </w:r>
      <w:r>
        <w:rPr/>
        <w:t> 工学博士。</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月，在中科院计算所从事博士后研究工作；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月，在北京市教育科学研</w:t>
      </w:r>
    </w:p>
    <w:p>
      <w:pPr>
        <w:spacing w:after="0" w:line="304"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300" w:lineRule="auto" w:before="44"/>
        <w:ind w:right="1029"/>
        <w:jc w:val="left"/>
      </w:pPr>
      <w:r>
        <w:rPr/>
        <w:t>究院从事教学工作；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月，担任北京宽网数码技术有限公司研发部总经理；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w:t>
      </w:r>
      <w:r>
        <w:rPr>
          <w:spacing w:val="-83"/>
        </w:rPr>
        <w:t> </w:t>
      </w:r>
      <w:r>
        <w:rPr>
          <w:spacing w:val="-2"/>
        </w:rPr>
        <w:t>担任北京四通多媒体技术有限公司研发部总经理；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月，担任中国传媒大学计算机学院软件工程系主任；</w:t>
      </w:r>
      <w:r>
        <w:rPr>
          <w:spacing w:val="-56"/>
        </w:rPr>
        <w:t> </w:t>
      </w:r>
      <w:r>
        <w:rPr>
          <w:spacing w:val="-56"/>
        </w:rPr>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月，担任中国传媒大学计算机学院副院长；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月，担任中国传媒大学新媒体研究院党</w:t>
      </w:r>
      <w:r>
        <w:rPr>
          <w:spacing w:val="-50"/>
        </w:rPr>
        <w:t> </w:t>
      </w:r>
      <w:r>
        <w:rPr>
          <w:spacing w:val="-50"/>
        </w:rPr>
      </w:r>
      <w:r>
        <w:rPr/>
        <w:t>总支书记；</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月，担任中国传媒大学理工学部党委书记；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月至今担任中国传媒大学互联网信息研</w:t>
      </w:r>
      <w:r>
        <w:rPr>
          <w:spacing w:val="-86"/>
        </w:rPr>
        <w:t> </w:t>
      </w:r>
      <w:r>
        <w:rPr/>
        <w:t>究院院长；</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月至今担任宣亚国际营销科技（北京）股份有限公司独立董事。</w:t>
      </w:r>
    </w:p>
    <w:p>
      <w:pPr>
        <w:pStyle w:val="Heading9"/>
        <w:spacing w:line="240" w:lineRule="auto" w:before="121"/>
        <w:ind w:right="0"/>
        <w:jc w:val="left"/>
        <w:rPr>
          <w:b w:val="0"/>
          <w:bCs w:val="0"/>
        </w:rPr>
      </w:pPr>
      <w:r>
        <w:rPr/>
        <w:t>（二）公司监事会成员简历如下：</w:t>
      </w:r>
      <w:r>
        <w:rPr>
          <w:b w:val="0"/>
          <w:bCs w:val="0"/>
        </w:rPr>
      </w:r>
    </w:p>
    <w:p>
      <w:pPr>
        <w:spacing w:line="240" w:lineRule="auto" w:before="5"/>
        <w:rPr>
          <w:rFonts w:ascii="宋体" w:hAnsi="宋体" w:cs="宋体" w:eastAsia="宋体" w:hint="default"/>
          <w:b/>
          <w:bCs/>
          <w:sz w:val="16"/>
          <w:szCs w:val="16"/>
        </w:rPr>
      </w:pPr>
    </w:p>
    <w:p>
      <w:pPr>
        <w:pStyle w:val="BodyText"/>
        <w:spacing w:line="297" w:lineRule="auto"/>
        <w:ind w:right="1119" w:firstLine="360"/>
        <w:jc w:val="both"/>
      </w:pPr>
      <w:r>
        <w:rPr>
          <w:rFonts w:ascii="宋体" w:hAnsi="宋体" w:cs="宋体" w:eastAsia="宋体" w:hint="default"/>
          <w:b/>
          <w:bCs/>
        </w:rPr>
        <w:t>汪晓文：</w:t>
      </w:r>
      <w:r>
        <w:rPr>
          <w:rFonts w:ascii="宋体" w:hAnsi="宋体" w:cs="宋体" w:eastAsia="宋体" w:hint="default"/>
          <w:b/>
          <w:bCs/>
          <w:spacing w:val="-77"/>
        </w:rPr>
        <w:t> </w:t>
      </w:r>
      <w:r>
        <w:rPr/>
        <w:t>女，</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w:t>
      </w:r>
      <w:r>
        <w:rPr/>
        <w:t>月出生，中国国籍，无境外永久居留权，研究生学历，曾就职于六安市产业投资发展有限公司， 历任投资部经理、信息中心副主任、主任；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月至今历任宣亚国际营销科技（北京）股份有限公司证券事务专员、证</w:t>
      </w:r>
      <w:r>
        <w:rPr>
          <w:spacing w:val="-87"/>
        </w:rPr>
        <w:t> </w:t>
      </w:r>
      <w:r>
        <w:rPr/>
        <w:t>券事务代表；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月至今担任宣亚国际营销科技（北京）股份有限公司监事会主席、内审部主任。</w:t>
      </w:r>
    </w:p>
    <w:p>
      <w:pPr>
        <w:pStyle w:val="BodyText"/>
        <w:spacing w:line="300" w:lineRule="auto" w:before="138"/>
        <w:ind w:right="1112" w:firstLine="360"/>
        <w:jc w:val="both"/>
      </w:pPr>
      <w:r>
        <w:rPr>
          <w:rFonts w:ascii="宋体" w:hAnsi="宋体" w:cs="宋体" w:eastAsia="宋体" w:hint="default"/>
          <w:b/>
          <w:bCs/>
          <w:spacing w:val="-2"/>
        </w:rPr>
        <w:t>王桢：</w:t>
      </w:r>
      <w:r>
        <w:rPr>
          <w:spacing w:val="-2"/>
        </w:rPr>
        <w:t>女，</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11</w:t>
      </w:r>
      <w:r>
        <w:rPr>
          <w:spacing w:val="-2"/>
        </w:rPr>
        <w:t>月出生，中国国籍，无境外永久居留权，本科学历。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spacing w:val="8"/>
        </w:rPr>
        <w:t> </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4</w:t>
      </w:r>
      <w:r>
        <w:rPr>
          <w:spacing w:val="-1"/>
        </w:rPr>
        <w:t>月，担任乔治国际传播</w:t>
      </w:r>
      <w:r>
        <w:rPr/>
        <w:t> 技术（北京）有限公司客户主管；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月担任秦皇岛宣亚广告有限公司北京分公</w:t>
      </w:r>
      <w:r>
        <w:rPr>
          <w:spacing w:val="-86"/>
        </w:rPr>
        <w:t> </w:t>
      </w:r>
      <w:r>
        <w:rPr>
          <w:spacing w:val="-86"/>
        </w:rPr>
      </w:r>
      <w:r>
        <w:rPr>
          <w:spacing w:val="-2"/>
        </w:rPr>
        <w:t>司客户主管；</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月历任宣亚国际品牌管理（北京）股份有限公司客户主管、人事主管、高级人事主管、助</w:t>
      </w:r>
      <w:r>
        <w:rPr>
          <w:spacing w:val="-61"/>
        </w:rPr>
        <w:t> </w:t>
      </w:r>
      <w:r>
        <w:rPr>
          <w:spacing w:val="-61"/>
        </w:rPr>
      </w:r>
      <w:r>
        <w:rPr>
          <w:spacing w:val="-2"/>
        </w:rPr>
        <w:t>理人事行政经理、人事行政经理；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月至今担任东方伟视网络科技（北京）有限公司监事；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日至今担任宣</w:t>
      </w:r>
      <w:r>
        <w:rPr>
          <w:spacing w:val="-37"/>
        </w:rPr>
        <w:t> </w:t>
      </w:r>
      <w:r>
        <w:rPr/>
        <w:t>亚国际营销科技（北京）股份有限公司监事；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月至今任北京品推宝移动科技有限公司人事行政经理。</w:t>
      </w:r>
    </w:p>
    <w:p>
      <w:pPr>
        <w:pStyle w:val="BodyText"/>
        <w:spacing w:line="297" w:lineRule="auto" w:before="136"/>
        <w:ind w:right="1111" w:firstLine="360"/>
        <w:jc w:val="both"/>
      </w:pPr>
      <w:r>
        <w:rPr>
          <w:rFonts w:ascii="宋体" w:hAnsi="宋体" w:cs="宋体" w:eastAsia="宋体" w:hint="default"/>
          <w:b/>
          <w:bCs/>
          <w:spacing w:val="-2"/>
        </w:rPr>
        <w:t>张伟：</w:t>
      </w:r>
      <w:r>
        <w:rPr>
          <w:spacing w:val="-2"/>
        </w:rPr>
        <w:t>男，</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12</w:t>
      </w:r>
      <w:r>
        <w:rPr>
          <w:spacing w:val="-2"/>
        </w:rPr>
        <w:t>月出生，中国国籍，无境外永久居留权，本科学历。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月，就职于北京欧亚互动</w:t>
      </w:r>
      <w:r>
        <w:rPr/>
        <w:t> </w:t>
      </w:r>
      <w:r>
        <w:rPr>
          <w:spacing w:val="-2"/>
        </w:rPr>
        <w:t>数码有限公司，开发部经理；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月至今任宣亚国际营销科技（北京）股份有限公司软件开发项目经理；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月至今</w:t>
      </w:r>
      <w:r>
        <w:rPr>
          <w:spacing w:val="-38"/>
        </w:rPr>
        <w:t> </w:t>
      </w:r>
      <w:r>
        <w:rPr/>
        <w:t>任宣亚国际营销科技（北京）股份有限公司监事。</w:t>
      </w:r>
    </w:p>
    <w:p>
      <w:pPr>
        <w:pStyle w:val="Heading9"/>
        <w:spacing w:line="352" w:lineRule="auto" w:before="156"/>
        <w:ind w:right="1118" w:firstLine="75"/>
        <w:jc w:val="left"/>
        <w:rPr>
          <w:rFonts w:ascii="宋体" w:hAnsi="宋体" w:cs="宋体" w:eastAsia="宋体" w:hint="default"/>
          <w:b w:val="0"/>
          <w:bCs w:val="0"/>
        </w:rPr>
      </w:pPr>
      <w:r>
        <w:rPr/>
        <w:t>（三）公司高级管理人员简历如下：                                      </w:t>
      </w:r>
      <w:r>
        <w:rPr>
          <w:spacing w:val="12"/>
        </w:rPr>
        <w:t> </w:t>
      </w:r>
      <w:r>
        <w:rPr>
          <w:spacing w:val="12"/>
        </w:rPr>
      </w:r>
      <w:r>
        <w:rPr/>
        <w:t>刘洋：</w:t>
      </w:r>
      <w:r>
        <w:rPr>
          <w:spacing w:val="-76"/>
        </w:rPr>
        <w:t> </w:t>
      </w:r>
      <w:r>
        <w:rPr>
          <w:spacing w:val="-76"/>
        </w:rPr>
        <w:t>                                                                                                                                                                                                                                            </w:t>
      </w:r>
      <w:r>
        <w:rPr>
          <w:rFonts w:ascii="宋体" w:hAnsi="宋体" w:cs="宋体" w:eastAsia="宋体" w:hint="default"/>
          <w:b w:val="0"/>
          <w:bCs w:val="0"/>
        </w:rPr>
        <w:t>首席执行官（总裁），</w:t>
      </w:r>
      <w:r>
        <w:rPr/>
        <w:t>宾卫：</w:t>
      </w:r>
      <w:r>
        <w:rPr>
          <w:spacing w:val="-85"/>
        </w:rPr>
        <w:t> </w:t>
      </w:r>
      <w:r>
        <w:rPr>
          <w:rFonts w:ascii="宋体" w:hAnsi="宋体" w:cs="宋体" w:eastAsia="宋体" w:hint="default"/>
          <w:b w:val="0"/>
          <w:bCs w:val="0"/>
        </w:rPr>
        <w:t>副总裁、财务总监，</w:t>
      </w:r>
      <w:r>
        <w:rPr/>
        <w:t>任翔：</w:t>
      </w:r>
      <w:r>
        <w:rPr>
          <w:spacing w:val="-85"/>
        </w:rPr>
        <w:t> </w:t>
      </w:r>
      <w:r>
        <w:rPr>
          <w:rFonts w:ascii="宋体" w:hAnsi="宋体" w:cs="宋体" w:eastAsia="宋体" w:hint="default"/>
          <w:b w:val="0"/>
          <w:bCs w:val="0"/>
        </w:rPr>
        <w:t>副总裁、董事会秘书。简历详见前述董事会成员简历。</w:t>
      </w:r>
    </w:p>
    <w:p>
      <w:pPr>
        <w:pStyle w:val="BodyText"/>
        <w:spacing w:line="288" w:lineRule="auto" w:before="145"/>
        <w:ind w:right="1111" w:firstLine="360"/>
        <w:jc w:val="both"/>
      </w:pPr>
      <w:r>
        <w:rPr>
          <w:rFonts w:ascii="宋体" w:hAnsi="宋体" w:cs="宋体" w:eastAsia="宋体" w:hint="default"/>
          <w:b/>
          <w:bCs/>
        </w:rPr>
        <w:t>王亚卓：</w:t>
      </w:r>
      <w:r>
        <w:rPr>
          <w:rFonts w:ascii="宋体" w:hAnsi="宋体" w:cs="宋体" w:eastAsia="宋体" w:hint="default"/>
          <w:b/>
          <w:bCs/>
          <w:spacing w:val="-72"/>
        </w:rPr>
        <w:t> </w:t>
      </w:r>
      <w:r>
        <w:rPr/>
        <w:t>男，</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月出生，中国国籍，无境外永久居留权，哈尔滨工业大学工学学士。</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月任北 </w:t>
      </w:r>
      <w:r>
        <w:rPr>
          <w:spacing w:val="-2"/>
        </w:rPr>
        <w:t>京大头无线信息科技有限公司高级开发工程师；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月历任北京当当网信息技术有限公司开发经理、研发总</w:t>
      </w:r>
      <w:r>
        <w:rPr>
          <w:spacing w:val="-58"/>
        </w:rPr>
        <w:t> </w:t>
      </w:r>
      <w:r>
        <w:rPr>
          <w:spacing w:val="-58"/>
        </w:rPr>
      </w:r>
      <w:r>
        <w:rPr/>
        <w:t>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月至今任北京品推宝移动科技有限公司移动研发部副总裁；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月至今任宣亚国际营销科技（北京）股份</w:t>
      </w:r>
      <w:r>
        <w:rPr>
          <w:spacing w:val="-85"/>
        </w:rPr>
        <w:t> </w:t>
      </w:r>
      <w:r>
        <w:rPr/>
        <w:t>有限公司副总裁、首席技术官。</w:t>
      </w:r>
    </w:p>
    <w:p>
      <w:pPr>
        <w:spacing w:line="240" w:lineRule="auto" w:before="7"/>
        <w:rPr>
          <w:rFonts w:ascii="宋体" w:hAnsi="宋体" w:cs="宋体" w:eastAsia="宋体" w:hint="default"/>
          <w:sz w:val="12"/>
          <w:szCs w:val="12"/>
        </w:rPr>
      </w:pPr>
    </w:p>
    <w:p>
      <w:pPr>
        <w:pStyle w:val="BodyText"/>
        <w:spacing w:line="240" w:lineRule="auto"/>
        <w:ind w:right="0"/>
        <w:jc w:val="left"/>
      </w:pPr>
      <w:r>
        <w:rPr/>
        <w:t>在股东单位任职情况</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60" w:right="9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30" w:right="74" w:hanging="271"/>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宾  卫</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35"/>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4"/>
        <w:ind w:right="0"/>
        <w:jc w:val="left"/>
      </w:pPr>
      <w:r>
        <w:rPr/>
        <w:t>在其他单位任职情况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60" w:right="9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30" w:right="74" w:hanging="271"/>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星言云汇</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广州宣亚</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北京爱特康医疗科技有限公司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品牌咨询</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北京爱售科技有限公司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新兵连公司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宾  卫</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云目未来（湖南）</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宾  卫</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珠海宣亚</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  翔</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星言云汇</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  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云目未来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  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云目未来（湖南）</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方  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纪委书记、党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委委员</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Business</w:t>
            </w:r>
            <w:r>
              <w:rPr>
                <w:rFonts w:ascii="Times New Roman"/>
                <w:spacing w:val="-10"/>
                <w:sz w:val="18"/>
              </w:rPr>
              <w:t> </w:t>
            </w:r>
            <w:r>
              <w:rPr>
                <w:rFonts w:ascii="Times New Roman"/>
                <w:sz w:val="18"/>
              </w:rPr>
              <w:t>Asia</w:t>
            </w:r>
            <w:r>
              <w:rPr>
                <w:rFonts w:ascii="Times New Roman"/>
                <w:spacing w:val="-20"/>
                <w:sz w:val="18"/>
              </w:rPr>
              <w:t> </w:t>
            </w:r>
            <w:r>
              <w:rPr>
                <w:rFonts w:ascii="Times New Roman"/>
                <w:sz w:val="18"/>
              </w:rPr>
              <w:t>Arab</w:t>
            </w:r>
            <w:r>
              <w:rPr>
                <w:rFonts w:ascii="Times New Roman"/>
                <w:spacing w:val="1"/>
                <w:sz w:val="18"/>
              </w:rPr>
              <w:t> </w:t>
            </w:r>
            <w:r>
              <w:rPr>
                <w:rFonts w:ascii="Times New Roman"/>
                <w:spacing w:val="4"/>
                <w:sz w:val="18"/>
              </w:rPr>
              <w:t>TV</w:t>
            </w:r>
            <w:r>
              <w:rPr>
                <w:rFonts w:ascii="Times New Roman"/>
                <w:spacing w:val="-9"/>
                <w:sz w:val="18"/>
              </w:rPr>
              <w:t> </w:t>
            </w:r>
            <w:r>
              <w:rPr>
                <w:rFonts w:ascii="Times New Roman"/>
                <w:sz w:val="18"/>
              </w:rPr>
              <w:t>Ltd</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304" w:lineRule="auto" w:before="45"/>
              <w:ind w:left="15" w:right="-52"/>
              <w:jc w:val="left"/>
              <w:rPr>
                <w:rFonts w:ascii="宋体" w:hAnsi="宋体" w:cs="宋体" w:eastAsia="宋体" w:hint="default"/>
                <w:sz w:val="18"/>
                <w:szCs w:val="18"/>
              </w:rPr>
            </w:pPr>
            <w:r>
              <w:rPr>
                <w:rFonts w:ascii="宋体" w:hAnsi="宋体" w:cs="宋体" w:eastAsia="宋体" w:hint="default"/>
                <w:sz w:val="18"/>
                <w:szCs w:val="18"/>
              </w:rPr>
              <w:t>首席执行官、 执行董事</w:t>
            </w:r>
          </w:p>
        </w:tc>
        <w:tc>
          <w:tcPr>
            <w:tcW w:w="11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和讯保险经纪有限公司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上海和讯聚信资产管理有限公司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汪晓文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新兵连公司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汪晓文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品牌咨询</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汪晓文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秦皇岛公共公司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汪晓文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  桢</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东方伟视网络科技（北京）有限公司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  桢</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35"/>
              <w:jc w:val="left"/>
              <w:rPr>
                <w:rFonts w:ascii="宋体" w:hAnsi="宋体" w:cs="宋体" w:eastAsia="宋体" w:hint="default"/>
                <w:sz w:val="18"/>
                <w:szCs w:val="18"/>
              </w:rPr>
            </w:pPr>
            <w:r>
              <w:rPr>
                <w:rFonts w:ascii="宋体" w:hAnsi="宋体" w:cs="宋体" w:eastAsia="宋体" w:hint="default"/>
                <w:sz w:val="18"/>
                <w:szCs w:val="18"/>
              </w:rPr>
              <w:t>人事行政经 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5"/>
        <w:ind w:right="0"/>
        <w:jc w:val="left"/>
      </w:pPr>
      <w:r>
        <w:rPr/>
        <w:t>公司现任及报告期内离任董事、监事和高级管理人员近三年证券监管机构处罚的情况</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right="0"/>
        <w:jc w:val="left"/>
      </w:pPr>
      <w:r>
        <w:rPr/>
        <w:t>董事、监事、高级管理人员报酬的决策程序、确定依据、实际支付情况 董事、监事、高级管理人员报酬的决策程序：公司独立董事津贴由董事会提议后交股东大会审议通过后实施。 </w:t>
      </w:r>
      <w:r>
        <w:rPr>
          <w:spacing w:val="-2"/>
        </w:rPr>
        <w:t>董事、监事、高级管理人员报酬确定依据：在公司领取薪酬的董事、监事、高级管理人员的薪酬和绩效考核方案根据公司薪</w:t>
      </w:r>
      <w:r>
        <w:rPr>
          <w:spacing w:val="-57"/>
        </w:rPr>
        <w:t> </w:t>
      </w:r>
      <w:r>
        <w:rPr>
          <w:spacing w:val="-57"/>
        </w:rPr>
      </w:r>
      <w:r>
        <w:rPr/>
        <w:t>酬体系和绩效考核体系实施。公司董事、监事无特殊津贴。 董事、监事和高级管理人员报酬的实际支付情况：报告期内，公司已向董事、监事和高级管理人员全额支付薪酬。</w:t>
      </w:r>
      <w:r>
        <w:rPr/>
        <w:t> 公司报告期内董事、监事和高级管理人员报酬情况</w:t>
      </w:r>
    </w:p>
    <w:p>
      <w:pPr>
        <w:pStyle w:val="BodyText"/>
        <w:spacing w:line="240" w:lineRule="auto" w:before="39"/>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95"/>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81.84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tabs>
                <w:tab w:pos="465" w:val="left" w:leader="none"/>
              </w:tabs>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黄</w:t>
              <w:tab/>
              <w:t>硕</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于伟杰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20.67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tabs>
                <w:tab w:pos="465" w:val="left" w:leader="none"/>
              </w:tabs>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邬</w:t>
              <w:tab/>
              <w:t>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143.36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w:t>
              <w:tab/>
              <w:t>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61"/>
              <w:jc w:val="left"/>
              <w:rPr>
                <w:rFonts w:ascii="宋体" w:hAnsi="宋体" w:cs="宋体" w:eastAsia="宋体" w:hint="default"/>
                <w:sz w:val="18"/>
                <w:szCs w:val="18"/>
              </w:rPr>
            </w:pPr>
            <w:r>
              <w:rPr>
                <w:rFonts w:ascii="宋体" w:hAnsi="宋体" w:cs="宋体" w:eastAsia="宋体" w:hint="default"/>
                <w:sz w:val="18"/>
                <w:szCs w:val="18"/>
              </w:rPr>
              <w:t>董事、首席执行 官（总裁）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28.09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宾</w:t>
              <w:tab/>
              <w:t>卫</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61"/>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143.36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465"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w:t>
              <w:tab/>
              <w:t>翔</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61"/>
              <w:jc w:val="left"/>
              <w:rPr>
                <w:rFonts w:ascii="宋体" w:hAnsi="宋体" w:cs="宋体" w:eastAsia="宋体" w:hint="default"/>
                <w:sz w:val="18"/>
                <w:szCs w:val="18"/>
              </w:rPr>
            </w:pPr>
            <w:r>
              <w:rPr>
                <w:rFonts w:ascii="宋体" w:hAnsi="宋体" w:cs="宋体" w:eastAsia="宋体" w:hint="default"/>
                <w:sz w:val="18"/>
                <w:szCs w:val="18"/>
              </w:rPr>
              <w:t>董事、副总裁、 董事会秘书</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tabs>
                <w:tab w:pos="465" w:val="left" w:leader="none"/>
              </w:tabs>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方</w:t>
              <w:tab/>
              <w:t>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汪晓文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tabs>
                <w:tab w:pos="465" w:val="left" w:leader="none"/>
              </w:tabs>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w:t>
              <w:tab/>
              <w:t>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tabs>
                <w:tab w:pos="465" w:val="left" w:leader="none"/>
              </w:tabs>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w:t>
              <w:tab/>
              <w:t>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王亚卓</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61"/>
              <w:jc w:val="left"/>
              <w:rPr>
                <w:rFonts w:ascii="宋体" w:hAnsi="宋体" w:cs="宋体" w:eastAsia="宋体" w:hint="default"/>
                <w:sz w:val="18"/>
                <w:szCs w:val="18"/>
              </w:rPr>
            </w:pPr>
            <w:r>
              <w:rPr>
                <w:rFonts w:ascii="宋体" w:hAnsi="宋体" w:cs="宋体" w:eastAsia="宋体" w:hint="default"/>
                <w:sz w:val="18"/>
                <w:szCs w:val="18"/>
              </w:rPr>
              <w:t>副总裁、首席技 术官</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95"/>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558.46</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公司董事、高级管理人员报告期内被授予的股权激励情况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3"/>
        <w:rPr>
          <w:rFonts w:ascii="宋体" w:hAnsi="宋体" w:cs="宋体" w:eastAsia="宋体" w:hint="default"/>
          <w:sz w:val="20"/>
          <w:szCs w:val="20"/>
        </w:rPr>
      </w:pPr>
    </w:p>
    <w:p>
      <w:pPr>
        <w:pStyle w:val="Heading3"/>
        <w:spacing w:line="240" w:lineRule="auto" w:before="26"/>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89"/>
        <w:gridCol w:w="4793"/>
      </w:tblGrid>
      <w:tr>
        <w:trPr>
          <w:trHeight w:val="405"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174</w:t>
            </w:r>
          </w:p>
        </w:tc>
      </w:tr>
      <w:tr>
        <w:trPr>
          <w:trHeight w:val="391"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144</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318</w:t>
            </w:r>
          </w:p>
        </w:tc>
      </w:tr>
      <w:tr>
        <w:trPr>
          <w:trHeight w:val="406"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318</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3"/>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1"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7"/>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w:t>
            </w:r>
          </w:p>
        </w:tc>
      </w:tr>
      <w:tr>
        <w:trPr>
          <w:trHeight w:val="406"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16</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74</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客户服务管理人员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202</w:t>
            </w:r>
          </w:p>
        </w:tc>
      </w:tr>
      <w:tr>
        <w:trPr>
          <w:trHeight w:val="390"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审计部</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采购部</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证券部</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投资部</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总裁室</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w:t>
            </w:r>
          </w:p>
        </w:tc>
      </w:tr>
      <w:tr>
        <w:trPr>
          <w:trHeight w:val="398"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318</w:t>
            </w:r>
          </w:p>
        </w:tc>
      </w:tr>
      <w:tr>
        <w:trPr>
          <w:trHeight w:val="390"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13"/>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13"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6"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246</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64</w:t>
            </w:r>
          </w:p>
        </w:tc>
      </w:tr>
      <w:tr>
        <w:trPr>
          <w:trHeight w:val="390"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w:t>
            </w:r>
          </w:p>
        </w:tc>
      </w:tr>
      <w:tr>
        <w:trPr>
          <w:trHeight w:val="406" w:hRule="exact"/>
        </w:trPr>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w:t>
            </w:r>
          </w:p>
        </w:tc>
      </w:tr>
      <w:tr>
        <w:trPr>
          <w:trHeight w:val="405" w:hRule="exact"/>
        </w:trPr>
        <w:tc>
          <w:tcPr>
            <w:tcW w:w="4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318</w:t>
            </w: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273" w:lineRule="auto"/>
        <w:ind w:right="1102" w:firstLine="360"/>
        <w:jc w:val="left"/>
      </w:pPr>
      <w:r>
        <w:rPr>
          <w:spacing w:val="-1"/>
        </w:rPr>
        <w:t>公司的薪酬体系，强调按</w:t>
      </w:r>
      <w:r>
        <w:rPr>
          <w:rFonts w:ascii="Times New Roman" w:hAnsi="Times New Roman" w:cs="Times New Roman" w:eastAsia="Times New Roman" w:hint="default"/>
          <w:spacing w:val="-1"/>
        </w:rPr>
        <w:t>“</w:t>
      </w:r>
      <w:r>
        <w:rPr>
          <w:spacing w:val="-1"/>
        </w:rPr>
        <w:t>价值分配</w:t>
      </w:r>
      <w:r>
        <w:rPr>
          <w:rFonts w:ascii="Times New Roman" w:hAnsi="Times New Roman" w:cs="Times New Roman" w:eastAsia="Times New Roman" w:hint="default"/>
          <w:spacing w:val="-1"/>
        </w:rPr>
        <w:t>”</w:t>
      </w:r>
      <w:r>
        <w:rPr>
          <w:spacing w:val="-1"/>
        </w:rPr>
        <w:t>的基本原则，对能够并愿意创造价值的人员给予更多的回报，同时对乐于突破、能</w:t>
      </w:r>
      <w:r>
        <w:rPr/>
        <w:t> 够创新、勇于承担、拥抱变化、乐于协作的人才重点给予奖励。</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336" w:lineRule="auto"/>
        <w:ind w:right="0" w:firstLine="360"/>
        <w:jc w:val="left"/>
      </w:pPr>
      <w:r>
        <w:rPr>
          <w:spacing w:val="-4"/>
        </w:rPr>
        <w:t>公司培训以适合为本，使企业发展现状、企业需求与员工当前需求相结合。培训计划归为企业文化渗透类、职业素养类、</w:t>
      </w:r>
      <w:r>
        <w:rPr/>
        <w:t> 业务技能类、</w:t>
      </w:r>
      <w:r>
        <w:rPr>
          <w:rFonts w:ascii="Times New Roman" w:hAnsi="Times New Roman" w:cs="Times New Roman" w:eastAsia="Times New Roman" w:hint="default"/>
        </w:rPr>
        <w:t>MARTECH</w:t>
      </w:r>
      <w:r>
        <w:rPr/>
        <w:t>营销类。</w:t>
      </w:r>
    </w:p>
    <w:p>
      <w:pPr>
        <w:spacing w:after="0" w:line="336"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288" w:lineRule="auto" w:before="44"/>
        <w:ind w:left="501" w:right="4809"/>
        <w:jc w:val="left"/>
      </w:pPr>
      <w:r>
        <w:rPr/>
        <w:t>（</w:t>
      </w:r>
      <w:r>
        <w:rPr>
          <w:rFonts w:ascii="Times New Roman" w:hAnsi="Times New Roman" w:cs="Times New Roman" w:eastAsia="Times New Roman" w:hint="default"/>
        </w:rPr>
        <w:t>1</w:t>
      </w:r>
      <w:r>
        <w:rPr/>
        <w:t>）企业文化渗透类、职业素养类 培训要点：企业文化、企业价值观、企业理念、战略目标及实现进展。</w:t>
      </w:r>
    </w:p>
    <w:p>
      <w:pPr>
        <w:pStyle w:val="BodyText"/>
        <w:spacing w:line="276" w:lineRule="auto" w:before="59"/>
        <w:ind w:left="501" w:right="1029"/>
        <w:jc w:val="left"/>
      </w:pPr>
      <w:r>
        <w:rPr/>
        <w:t>（</w:t>
      </w:r>
      <w:r>
        <w:rPr>
          <w:rFonts w:ascii="Times New Roman" w:hAnsi="Times New Roman" w:cs="Times New Roman" w:eastAsia="Times New Roman" w:hint="default"/>
        </w:rPr>
        <w:t>2</w:t>
      </w:r>
      <w:r>
        <w:rPr/>
        <w:t>）业务技能类 专业技能的需求分为管理技能及工作技能。按需求层次主要有四种，即核心人才、管理人员、业务专业人员、新员工。</w:t>
      </w:r>
    </w:p>
    <w:p>
      <w:pPr>
        <w:pStyle w:val="BodyText"/>
        <w:spacing w:line="312" w:lineRule="auto" w:before="67"/>
        <w:ind w:left="501" w:right="5349"/>
        <w:jc w:val="left"/>
      </w:pPr>
      <w:r>
        <w:rPr>
          <w:rFonts w:ascii="Times New Roman" w:hAnsi="Times New Roman" w:cs="Times New Roman" w:eastAsia="Times New Roman" w:hint="default"/>
        </w:rPr>
        <w:t>A.</w:t>
      </w:r>
      <w:r>
        <w:rPr/>
        <w:t>核心人才</w:t>
      </w:r>
      <w:r>
        <w:rPr>
          <w:spacing w:val="-86"/>
        </w:rPr>
        <w:t> </w:t>
      </w:r>
      <w:r>
        <w:rPr/>
        <w:t>培训要点：强调战略性思维、领导能力、竞争战术、业务能力。 </w:t>
      </w:r>
      <w:r>
        <w:rPr>
          <w:rFonts w:ascii="Times New Roman" w:hAnsi="Times New Roman" w:cs="Times New Roman" w:eastAsia="Times New Roman" w:hint="default"/>
        </w:rPr>
        <w:t>B.</w:t>
      </w:r>
      <w:r>
        <w:rPr/>
        <w:t>中层管理人员</w:t>
      </w:r>
    </w:p>
    <w:p>
      <w:pPr>
        <w:pStyle w:val="BodyText"/>
        <w:spacing w:line="227" w:lineRule="exact"/>
        <w:ind w:left="501" w:right="0"/>
        <w:jc w:val="left"/>
      </w:pPr>
      <w:r>
        <w:rPr/>
        <w:t>培训要点：强调创造思维、组织、协调、跨部门联合、管理能力、专业性技能的提高及运用。</w:t>
      </w:r>
    </w:p>
    <w:p>
      <w:pPr>
        <w:pStyle w:val="BodyText"/>
        <w:spacing w:line="290" w:lineRule="auto" w:before="79"/>
        <w:ind w:left="501" w:right="1133"/>
        <w:jc w:val="left"/>
      </w:pPr>
      <w:r>
        <w:rPr>
          <w:rFonts w:ascii="Times New Roman" w:hAnsi="Times New Roman" w:cs="Times New Roman" w:eastAsia="Times New Roman" w:hint="default"/>
        </w:rPr>
        <w:t>C.</w:t>
      </w:r>
      <w:r>
        <w:rPr/>
        <w:t>专业人员 </w:t>
      </w:r>
      <w:r>
        <w:rPr>
          <w:spacing w:val="-2"/>
        </w:rPr>
        <w:t>培训要点：强调解决问题、处理问题的思维角度及深度、沟通能力、合作能力、关注企业内外部的客户满意度、对企业</w:t>
      </w:r>
    </w:p>
    <w:p>
      <w:pPr>
        <w:pStyle w:val="BodyText"/>
        <w:spacing w:line="240" w:lineRule="auto" w:before="41"/>
        <w:ind w:right="0"/>
        <w:jc w:val="left"/>
      </w:pPr>
      <w:r>
        <w:rPr/>
        <w:t>文化的认同及忠诚。对某些单一业务技能强化训练。</w:t>
      </w:r>
    </w:p>
    <w:p>
      <w:pPr>
        <w:pStyle w:val="BodyText"/>
        <w:spacing w:line="290" w:lineRule="auto" w:before="95"/>
        <w:ind w:left="501" w:right="2829"/>
        <w:jc w:val="left"/>
      </w:pPr>
      <w:r>
        <w:rPr>
          <w:rFonts w:ascii="Times New Roman" w:hAnsi="Times New Roman" w:cs="Times New Roman" w:eastAsia="Times New Roman" w:hint="default"/>
        </w:rPr>
        <w:t>D.</w:t>
      </w:r>
      <w:r>
        <w:rPr/>
        <w:t>新员工</w:t>
      </w:r>
      <w:r>
        <w:rPr>
          <w:spacing w:val="-86"/>
        </w:rPr>
        <w:t> </w:t>
      </w:r>
      <w:r>
        <w:rPr/>
        <w:t>培训要点：熟悉、了解、认同公司，对企业文化、管理制度、工作流程、组织业务范围的培训。</w:t>
      </w:r>
    </w:p>
    <w:p>
      <w:pPr>
        <w:pStyle w:val="BodyText"/>
        <w:spacing w:line="304" w:lineRule="auto" w:before="41"/>
        <w:ind w:left="501" w:right="4179"/>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MARTECH</w:t>
      </w:r>
      <w:r>
        <w:rPr/>
        <w:t>营销类</w:t>
      </w:r>
      <w:r>
        <w:rPr>
          <w:spacing w:val="-73"/>
        </w:rPr>
        <w:t> </w:t>
      </w:r>
      <w:r>
        <w:rPr/>
        <w:t>培训要点：学习掌握基于</w:t>
      </w:r>
      <w:r>
        <w:rPr>
          <w:rFonts w:ascii="Times New Roman" w:hAnsi="Times New Roman" w:cs="Times New Roman" w:eastAsia="Times New Roman" w:hint="default"/>
        </w:rPr>
        <w:t>MARTECH</w:t>
      </w:r>
      <w:r>
        <w:rPr/>
        <w:t>、互联网技术等营销思路及技能。</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1690" w:right="2673"/>
        <w:jc w:val="center"/>
        <w:rPr>
          <w:b w:val="0"/>
          <w:bCs w:val="0"/>
        </w:rPr>
      </w:pPr>
      <w:bookmarkStart w:name="第十节公司治理" w:id="131"/>
      <w:bookmarkEnd w:id="131"/>
      <w:r>
        <w:rPr>
          <w:b w:val="0"/>
          <w:bCs w:val="0"/>
        </w:rPr>
      </w:r>
      <w:bookmarkStart w:name="_bookmark9" w:id="132"/>
      <w:bookmarkEnd w:id="132"/>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321" w:lineRule="auto"/>
        <w:ind w:right="1135" w:firstLine="360"/>
        <w:jc w:val="both"/>
      </w:pPr>
      <w:r>
        <w:rPr>
          <w:spacing w:val="-2"/>
        </w:rPr>
        <w:t>公司按照《公司法》、《证券法》、《深圳证券交易所创业板上市公司规范运作指引》等法律、法规和规范性文件的要</w:t>
      </w:r>
      <w:r>
        <w:rPr/>
        <w:t> </w:t>
      </w:r>
      <w:r>
        <w:rPr>
          <w:spacing w:val="-2"/>
        </w:rPr>
        <w:t>求，建立了由股东大会、董事会、监事会及高级管理人员组成的公司治理架构，形成了权力机构、决策机构、监督机构和管</w:t>
      </w:r>
      <w:r>
        <w:rPr>
          <w:spacing w:val="-72"/>
        </w:rPr>
        <w:t> </w:t>
      </w:r>
      <w:r>
        <w:rPr>
          <w:spacing w:val="-72"/>
        </w:rPr>
      </w:r>
      <w:r>
        <w:rPr/>
        <w:t>理层之间权责明确、运作规范的相互协调和相互制衡机制。</w:t>
      </w:r>
    </w:p>
    <w:p>
      <w:pPr>
        <w:pStyle w:val="BodyText"/>
        <w:spacing w:line="321" w:lineRule="auto" w:before="3"/>
        <w:ind w:right="1111" w:firstLine="360"/>
        <w:jc w:val="both"/>
      </w:pPr>
      <w:r>
        <w:rPr>
          <w:spacing w:val="-2"/>
        </w:rPr>
        <w:t>股份公司设立之初，公司未聘请独立董事。为提升公司治理水平，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月，公司聘请了</w:t>
      </w:r>
      <w:r>
        <w:rPr>
          <w:rFonts w:ascii="宋体" w:hAnsi="宋体" w:cs="宋体" w:eastAsia="宋体" w:hint="default"/>
          <w:spacing w:val="-2"/>
        </w:rPr>
        <w:t>3</w:t>
      </w:r>
      <w:r>
        <w:rPr>
          <w:spacing w:val="-2"/>
        </w:rPr>
        <w:t>名独立董事，参与公司重大</w:t>
      </w:r>
      <w:r>
        <w:rPr/>
        <w:t> 决策，在公司法人治理结构的完善与规范化运作等方面发挥了积极的作用。</w:t>
      </w:r>
    </w:p>
    <w:p>
      <w:pPr>
        <w:pStyle w:val="BodyText"/>
        <w:spacing w:line="240" w:lineRule="auto" w:before="18"/>
        <w:ind w:left="501" w:right="0"/>
        <w:jc w:val="left"/>
      </w:pPr>
      <w:r>
        <w:rPr>
          <w:spacing w:val="-3"/>
        </w:rPr>
        <w:t>根据相关法律、法规及规范性文件的规定，本公司制定了《公司章程》、《股东大会议事规则》、《董事会议事规则》、</w:t>
      </w:r>
    </w:p>
    <w:p>
      <w:pPr>
        <w:pStyle w:val="BodyText"/>
        <w:spacing w:line="314" w:lineRule="auto" w:before="80"/>
        <w:ind w:right="1029"/>
        <w:jc w:val="left"/>
      </w:pPr>
      <w:r>
        <w:rPr/>
        <w:t>《监事会议事规则》、《首席执行官（总裁）工作细则》、《独立董事工作制度》、《董事会秘书工作制度》等规章制度， </w:t>
      </w:r>
      <w:r>
        <w:rPr>
          <w:spacing w:val="-2"/>
        </w:rPr>
        <w:t>为公司治理的规范化运行进一步提供了制度保证。公司董事会设立了审计委员会、提名委员会、薪酬与考核委员会、战略委</w:t>
      </w:r>
      <w:r>
        <w:rPr>
          <w:spacing w:val="-42"/>
        </w:rPr>
        <w:t> </w:t>
      </w:r>
      <w:r>
        <w:rPr>
          <w:spacing w:val="-42"/>
        </w:rPr>
      </w:r>
      <w:r>
        <w:rPr/>
        <w:t>员会四个专门委员会，并制订了相应的议事规则，明确了权责和决策程序。</w:t>
      </w:r>
    </w:p>
    <w:p>
      <w:pPr>
        <w:pStyle w:val="BodyText"/>
        <w:spacing w:line="240" w:lineRule="auto" w:before="23"/>
        <w:ind w:left="501" w:right="0"/>
        <w:jc w:val="left"/>
      </w:pPr>
      <w:r>
        <w:rPr/>
        <w:t>报告期内，公司已建立了完善的法人治理结构，各项规章制度已建立健全，并得到有效执行。</w:t>
      </w:r>
    </w:p>
    <w:p>
      <w:pPr>
        <w:pStyle w:val="BodyText"/>
        <w:spacing w:line="321" w:lineRule="auto" w:before="80"/>
        <w:ind w:left="501" w:right="1029"/>
        <w:jc w:val="left"/>
      </w:pPr>
      <w:r>
        <w:rPr>
          <w:rFonts w:ascii="宋体" w:hAnsi="宋体" w:cs="宋体" w:eastAsia="宋体" w:hint="default"/>
          <w:b/>
          <w:bCs/>
        </w:rPr>
        <w:t>（一）股东大会</w:t>
      </w:r>
      <w:r>
        <w:rPr>
          <w:rFonts w:ascii="宋体" w:hAnsi="宋体" w:cs="宋体" w:eastAsia="宋体" w:hint="default"/>
          <w:b/>
          <w:bCs/>
          <w:w w:val="99"/>
        </w:rPr>
        <w:t> </w:t>
      </w:r>
      <w:r>
        <w:rPr/>
        <w:t>报告期内，公司股东依法履行股东义务、行使股东权利。历次股东大会的召集、召开、表决程序合法，决议合法有效，</w:t>
      </w:r>
    </w:p>
    <w:p>
      <w:pPr>
        <w:pStyle w:val="BodyText"/>
        <w:spacing w:line="240" w:lineRule="auto" w:before="19"/>
        <w:ind w:right="0"/>
        <w:jc w:val="left"/>
      </w:pPr>
      <w:r>
        <w:rPr/>
        <w:t>会议记录规范。不存在董事会或高级管理人员违反《公司法》及其他规定行使职权的情形。</w:t>
      </w:r>
    </w:p>
    <w:p>
      <w:pPr>
        <w:pStyle w:val="BodyText"/>
        <w:spacing w:line="321" w:lineRule="auto" w:before="65"/>
        <w:ind w:left="501" w:right="1112"/>
        <w:jc w:val="left"/>
      </w:pPr>
      <w:r>
        <w:rPr>
          <w:rFonts w:ascii="宋体" w:hAnsi="宋体" w:cs="宋体" w:eastAsia="宋体" w:hint="default"/>
          <w:b/>
          <w:bCs/>
        </w:rPr>
        <w:t>（二）董事会</w:t>
      </w:r>
      <w:r>
        <w:rPr>
          <w:rFonts w:ascii="宋体" w:hAnsi="宋体" w:cs="宋体" w:eastAsia="宋体" w:hint="default"/>
          <w:b/>
          <w:bCs/>
          <w:w w:val="99"/>
        </w:rPr>
        <w:t> </w:t>
      </w:r>
      <w:r>
        <w:rPr>
          <w:spacing w:val="-2"/>
        </w:rPr>
        <w:t>报告期内，公司历次董事会会议严格按照《公司章程》规定的职权范围对公司各项事务进行了讨论决策，并形成有效决</w:t>
      </w:r>
    </w:p>
    <w:p>
      <w:pPr>
        <w:pStyle w:val="BodyText"/>
        <w:spacing w:line="321" w:lineRule="auto" w:before="18"/>
        <w:ind w:right="0"/>
        <w:jc w:val="left"/>
      </w:pPr>
      <w:r>
        <w:rPr>
          <w:spacing w:val="-2"/>
        </w:rPr>
        <w:t>议。历次会议通知、召开、表决方式符合《公司法》和《公司章程》的规定，会议记录完整规范。董事会依法履行了《公司</w:t>
      </w:r>
      <w:r>
        <w:rPr>
          <w:spacing w:val="-73"/>
        </w:rPr>
        <w:t> </w:t>
      </w:r>
      <w:r>
        <w:rPr>
          <w:spacing w:val="-73"/>
        </w:rPr>
      </w:r>
      <w:r>
        <w:rPr/>
        <w:t>法》、《公司章程》赋予的权利和义务，董事会制度运行良好，不存在违反相关法律、法规行使职权的行为。</w:t>
      </w:r>
    </w:p>
    <w:p>
      <w:pPr>
        <w:pStyle w:val="BodyText"/>
        <w:spacing w:line="304" w:lineRule="auto" w:before="19"/>
        <w:ind w:left="501" w:right="1029"/>
        <w:jc w:val="left"/>
      </w:pPr>
      <w:r>
        <w:rPr>
          <w:rFonts w:ascii="宋体" w:hAnsi="宋体" w:cs="宋体" w:eastAsia="宋体" w:hint="default"/>
          <w:b/>
          <w:bCs/>
        </w:rPr>
        <w:t>（三）监事会</w:t>
      </w:r>
      <w:r>
        <w:rPr>
          <w:rFonts w:ascii="宋体" w:hAnsi="宋体" w:cs="宋体" w:eastAsia="宋体" w:hint="default"/>
          <w:b/>
          <w:bCs/>
          <w:w w:val="99"/>
        </w:rPr>
        <w:t> </w:t>
      </w:r>
      <w:r>
        <w:rPr/>
        <w:t>报告期内，公司历次监事会会议的召集、提案、出席、议事、表决、决议及会议记录均按照《公司法》、《公司章程》</w:t>
      </w:r>
    </w:p>
    <w:p>
      <w:pPr>
        <w:pStyle w:val="BodyText"/>
        <w:spacing w:line="321" w:lineRule="auto" w:before="31"/>
        <w:ind w:right="0"/>
        <w:jc w:val="left"/>
      </w:pPr>
      <w:r>
        <w:rPr>
          <w:spacing w:val="-2"/>
        </w:rPr>
        <w:t>的要求规范运作，对公司财务状况、董事会运作情况、董事及高级管理人员履职行为情况、公司主要管理制度的制订与执行</w:t>
      </w:r>
      <w:r>
        <w:rPr>
          <w:spacing w:val="-42"/>
        </w:rPr>
        <w:t> </w:t>
      </w:r>
      <w:r>
        <w:rPr>
          <w:spacing w:val="-42"/>
        </w:rPr>
      </w:r>
      <w:r>
        <w:rPr/>
        <w:t>和公司对外投资项目等重大事宜实施了有效监督，不存在违反相关法律、法规行使职权的行为。</w:t>
      </w:r>
    </w:p>
    <w:p>
      <w:pPr>
        <w:pStyle w:val="BodyText"/>
        <w:spacing w:line="321" w:lineRule="auto" w:before="19"/>
        <w:ind w:left="501" w:right="0"/>
        <w:jc w:val="left"/>
      </w:pPr>
      <w:r>
        <w:rPr>
          <w:rFonts w:ascii="宋体" w:hAnsi="宋体" w:cs="宋体" w:eastAsia="宋体" w:hint="default"/>
          <w:b/>
          <w:bCs/>
        </w:rPr>
        <w:t>（四）独立董事制度</w:t>
      </w:r>
      <w:r>
        <w:rPr>
          <w:rFonts w:ascii="宋体" w:hAnsi="宋体" w:cs="宋体" w:eastAsia="宋体" w:hint="default"/>
          <w:b/>
          <w:bCs/>
          <w:w w:val="99"/>
        </w:rPr>
        <w:t> </w:t>
      </w:r>
      <w:r>
        <w:rPr>
          <w:spacing w:val="-2"/>
        </w:rPr>
        <w:t>为进一步完善公司的法人治理结构及公司董事会结构，促进公司的规范运作，</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w:t>
      </w:r>
      <w:r>
        <w:rPr>
          <w:spacing w:val="-2"/>
        </w:rPr>
        <w:t>日，公司召开</w:t>
      </w:r>
      <w:r>
        <w:rPr>
          <w:rFonts w:ascii="宋体" w:hAnsi="宋体" w:cs="宋体" w:eastAsia="宋体" w:hint="default"/>
          <w:spacing w:val="-2"/>
        </w:rPr>
        <w:t>2015</w:t>
      </w:r>
      <w:r>
        <w:rPr>
          <w:spacing w:val="-2"/>
        </w:rPr>
        <w:t>年第二次临</w:t>
      </w:r>
    </w:p>
    <w:p>
      <w:pPr>
        <w:pStyle w:val="BodyText"/>
        <w:spacing w:line="321" w:lineRule="auto" w:before="3"/>
        <w:ind w:right="1118"/>
        <w:jc w:val="left"/>
      </w:pPr>
      <w:r>
        <w:rPr>
          <w:spacing w:val="-2"/>
        </w:rPr>
        <w:t>时股东大会，审议通过了《独立董事工作制度》。方军、王正鹏和张鹏洲为公司现任第三届董事会独立董事，其中方军为会</w:t>
      </w:r>
      <w:r>
        <w:rPr>
          <w:spacing w:val="-72"/>
        </w:rPr>
        <w:t> </w:t>
      </w:r>
      <w:r>
        <w:rPr>
          <w:spacing w:val="-72"/>
        </w:rPr>
      </w:r>
      <w:r>
        <w:rPr/>
        <w:t>计专业人士。</w:t>
      </w:r>
    </w:p>
    <w:p>
      <w:pPr>
        <w:pStyle w:val="BodyText"/>
        <w:spacing w:line="321" w:lineRule="auto" w:before="18"/>
        <w:ind w:right="1121" w:firstLine="360"/>
        <w:jc w:val="both"/>
      </w:pPr>
      <w:r>
        <w:rPr>
          <w:spacing w:val="-2"/>
        </w:rPr>
        <w:t>自独立董事聘任以来，本公司独立董事严格依据有关法律、法规、《公司章程》及《独立董事工作制度》的规定，独立</w:t>
      </w:r>
      <w:r>
        <w:rPr/>
        <w:t> </w:t>
      </w:r>
      <w:r>
        <w:rPr>
          <w:spacing w:val="-2"/>
        </w:rPr>
        <w:t>履职、勤勉尽责，及时了解公司经营、积极参与公司决策，在公司重大决策、法人治理结构的完善与规范化运作等方面发挥</w:t>
      </w:r>
      <w:r>
        <w:rPr>
          <w:spacing w:val="-57"/>
        </w:rPr>
        <w:t> </w:t>
      </w:r>
      <w:r>
        <w:rPr>
          <w:spacing w:val="-57"/>
        </w:rPr>
      </w:r>
      <w:r>
        <w:rPr/>
        <w:t>了积极的作用。</w:t>
      </w:r>
    </w:p>
    <w:p>
      <w:pPr>
        <w:pStyle w:val="BodyText"/>
        <w:spacing w:line="321" w:lineRule="auto" w:before="3"/>
        <w:ind w:left="501" w:right="0"/>
        <w:jc w:val="left"/>
        <w:rPr>
          <w:rFonts w:ascii="宋体" w:hAnsi="宋体" w:cs="宋体" w:eastAsia="宋体" w:hint="default"/>
        </w:rPr>
      </w:pPr>
      <w:r>
        <w:rPr>
          <w:rFonts w:ascii="宋体" w:hAnsi="宋体" w:cs="宋体" w:eastAsia="宋体" w:hint="default"/>
          <w:b/>
          <w:bCs/>
        </w:rPr>
        <w:t>（五）董事会秘书制度</w:t>
      </w:r>
      <w:r>
        <w:rPr>
          <w:rFonts w:ascii="宋体" w:hAnsi="宋体" w:cs="宋体" w:eastAsia="宋体" w:hint="default"/>
          <w:b/>
          <w:bCs/>
          <w:spacing w:val="-84"/>
        </w:rPr>
        <w:t> </w:t>
      </w:r>
      <w:r>
        <w:rPr>
          <w:rFonts w:ascii="宋体" w:hAnsi="宋体" w:cs="宋体" w:eastAsia="宋体" w:hint="default"/>
          <w:b/>
          <w:bCs/>
          <w:spacing w:val="-84"/>
        </w:rPr>
      </w:r>
      <w:r>
        <w:rPr/>
        <w:t>公司制定了《董事会秘书工作细则》，经公司第一届董事会第一次会议决议，由宾卫女士担任公司董事会秘书；</w:t>
      </w:r>
      <w:r>
        <w:rPr>
          <w:rFonts w:ascii="宋体" w:hAnsi="宋体" w:cs="宋体" w:eastAsia="宋体" w:hint="default"/>
        </w:rPr>
        <w:t>2018</w:t>
      </w:r>
    </w:p>
    <w:p>
      <w:pPr>
        <w:pStyle w:val="BodyText"/>
        <w:spacing w:line="319" w:lineRule="auto" w:before="19"/>
        <w:ind w:right="1096"/>
        <w:jc w:val="both"/>
      </w:pP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19</w:t>
      </w:r>
      <w:r>
        <w:rPr>
          <w:spacing w:val="-1"/>
        </w:rPr>
        <w:t>日，经公司第三届董事会第一次会议决议，续聘宾卫女士担任公司董事会秘书。</w:t>
      </w:r>
      <w:r>
        <w:rPr>
          <w:rFonts w:ascii="宋体" w:hAnsi="宋体" w:cs="宋体" w:eastAsia="宋体" w:hint="default"/>
          <w:spacing w:val="-1"/>
        </w:rPr>
        <w:t>2019</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25</w:t>
      </w:r>
      <w:r>
        <w:rPr>
          <w:spacing w:val="-1"/>
        </w:rPr>
        <w:t>日，公司第三届董事会</w:t>
      </w:r>
      <w:r>
        <w:rPr>
          <w:spacing w:val="-84"/>
        </w:rPr>
        <w:t> </w:t>
      </w:r>
      <w:r>
        <w:rPr>
          <w:spacing w:val="-84"/>
        </w:rPr>
      </w:r>
      <w:r>
        <w:rPr>
          <w:spacing w:val="-2"/>
        </w:rPr>
        <w:t>第十五次会议审议通过了《关于聘任公司副总裁、董事会秘书的议案》，同意聘任任翔先生为公司副总裁、董事会秘书。自</w:t>
      </w:r>
      <w:r>
        <w:rPr>
          <w:spacing w:val="-70"/>
        </w:rPr>
        <w:t> </w:t>
      </w:r>
      <w:r>
        <w:rPr>
          <w:spacing w:val="-70"/>
        </w:rPr>
      </w:r>
      <w:r>
        <w:rPr>
          <w:spacing w:val="-2"/>
        </w:rPr>
        <w:t>董事会秘书聘任以来，严格依据有关法律、法规、《公司章程》和《董事会秘书工作细则》的规定，积极负责筹备并出席了</w:t>
      </w:r>
      <w:r>
        <w:rPr>
          <w:spacing w:val="-76"/>
        </w:rPr>
        <w:t> </w:t>
      </w:r>
      <w:r>
        <w:rPr>
          <w:spacing w:val="-76"/>
        </w:rPr>
      </w:r>
      <w:r>
        <w:rPr>
          <w:spacing w:val="-2"/>
        </w:rPr>
        <w:t>历次股东大会、董事会，确保了公司董事会和股东大会依法召开、依法行使职权；历次股东大会、董事会召开前，董事会秘</w:t>
      </w:r>
      <w:r>
        <w:rPr>
          <w:spacing w:val="-72"/>
        </w:rPr>
        <w:t> </w:t>
      </w:r>
      <w:r>
        <w:rPr>
          <w:spacing w:val="-72"/>
        </w:rPr>
      </w:r>
      <w:r>
        <w:rPr>
          <w:spacing w:val="-2"/>
        </w:rPr>
        <w:t>书均及时为股东、董事提供会议材料、会议通知等相关文件，较好地履行了相关职责。董事会秘书在公司法人治理结构的完</w:t>
      </w:r>
      <w:r>
        <w:rPr>
          <w:spacing w:val="-42"/>
        </w:rPr>
        <w:t> </w:t>
      </w:r>
      <w:r>
        <w:rPr>
          <w:spacing w:val="-42"/>
        </w:rPr>
      </w:r>
      <w:r>
        <w:rPr/>
        <w:t>善、与监管部门和股东的沟通协调、管理制度的制定等方面亦发挥了重大作用。</w:t>
      </w:r>
    </w:p>
    <w:p>
      <w:pPr>
        <w:pStyle w:val="BodyText"/>
        <w:spacing w:line="321" w:lineRule="auto" w:before="20"/>
        <w:ind w:left="501" w:right="1119"/>
        <w:jc w:val="left"/>
      </w:pPr>
      <w:r>
        <w:rPr>
          <w:rFonts w:ascii="宋体" w:hAnsi="宋体" w:cs="宋体" w:eastAsia="宋体" w:hint="default"/>
          <w:b/>
          <w:bCs/>
        </w:rPr>
        <w:t>（六）董事会专门委员会</w:t>
      </w:r>
      <w:r>
        <w:rPr>
          <w:rFonts w:ascii="宋体" w:hAnsi="宋体" w:cs="宋体" w:eastAsia="宋体" w:hint="default"/>
          <w:b/>
          <w:bCs/>
          <w:spacing w:val="-85"/>
        </w:rPr>
        <w:t> </w:t>
      </w:r>
      <w:r>
        <w:rPr>
          <w:rFonts w:ascii="宋体" w:hAnsi="宋体" w:cs="宋体" w:eastAsia="宋体" w:hint="default"/>
          <w:b/>
          <w:bCs/>
          <w:spacing w:val="-85"/>
        </w:rPr>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18</w:t>
      </w:r>
      <w:r>
        <w:rPr/>
        <w:t>日，公司第一届董事会第五次会议审议通过了《关于董事会设立战略、审计、薪酬与考核、提名委员会的</w:t>
      </w:r>
    </w:p>
    <w:p>
      <w:pPr>
        <w:spacing w:after="0" w:line="321"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21" w:lineRule="auto" w:before="44"/>
        <w:ind w:right="1106"/>
        <w:jc w:val="both"/>
      </w:pPr>
      <w:r>
        <w:rPr/>
        <w:t>议案》，经</w:t>
      </w:r>
      <w:r>
        <w:rPr>
          <w:rFonts w:ascii="宋体" w:hAnsi="宋体" w:cs="宋体" w:eastAsia="宋体" w:hint="default"/>
        </w:rPr>
        <w:t>2015</w:t>
      </w:r>
      <w:r>
        <w:rPr/>
        <w:t>年第</w:t>
      </w:r>
      <w:r>
        <w:rPr>
          <w:rFonts w:ascii="宋体" w:hAnsi="宋体" w:cs="宋体" w:eastAsia="宋体" w:hint="default"/>
        </w:rPr>
        <w:t>2</w:t>
      </w:r>
      <w:r>
        <w:rPr/>
        <w:t>次临时股东大会决议，公司董事会决定下设战略委员会、审计委员会、提名委员会、薪酬与考核委员 </w:t>
      </w:r>
      <w:r>
        <w:rPr>
          <w:spacing w:val="-2"/>
        </w:rPr>
        <w:t>会四个专门委员会。专门委员会是董事会下设的专门工作机构，对董事会负责，在董事会授权下开展工作，为董事会的决策</w:t>
      </w:r>
      <w:r>
        <w:rPr>
          <w:spacing w:val="-42"/>
        </w:rPr>
        <w:t> </w:t>
      </w:r>
      <w:r>
        <w:rPr>
          <w:spacing w:val="-42"/>
        </w:rPr>
      </w:r>
      <w:r>
        <w:rPr/>
        <w:t>提供咨询意见，并向董事会提交工作报告。董事会各专门委员会自设立以来，运行情况良好。</w:t>
      </w:r>
    </w:p>
    <w:p>
      <w:pPr>
        <w:spacing w:line="240" w:lineRule="auto" w:before="5"/>
        <w:rPr>
          <w:rFonts w:ascii="宋体" w:hAnsi="宋体" w:cs="宋体" w:eastAsia="宋体" w:hint="default"/>
          <w:sz w:val="24"/>
          <w:szCs w:val="24"/>
        </w:rPr>
      </w:pPr>
    </w:p>
    <w:p>
      <w:pPr>
        <w:pStyle w:val="BodyText"/>
        <w:spacing w:line="240" w:lineRule="auto"/>
        <w:ind w:left="501" w:right="0"/>
        <w:jc w:val="left"/>
      </w:pPr>
      <w:r>
        <w:rPr/>
        <w:t>公司董事会各专门委员会现任委员名单如下：</w:t>
      </w:r>
    </w:p>
    <w:p>
      <w:pPr>
        <w:spacing w:line="240" w:lineRule="auto" w:before="9"/>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3515"/>
        <w:gridCol w:w="3124"/>
        <w:gridCol w:w="2974"/>
      </w:tblGrid>
      <w:tr>
        <w:trPr>
          <w:trHeight w:val="331" w:hRule="exact"/>
        </w:trPr>
        <w:tc>
          <w:tcPr>
            <w:tcW w:w="35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34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1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1021"/>
              <w:jc w:val="right"/>
              <w:rPr>
                <w:rFonts w:ascii="宋体" w:hAnsi="宋体" w:cs="宋体" w:eastAsia="宋体" w:hint="default"/>
                <w:sz w:val="18"/>
                <w:szCs w:val="18"/>
              </w:rPr>
            </w:pPr>
            <w:r>
              <w:rPr>
                <w:rFonts w:ascii="宋体" w:hAnsi="宋体" w:cs="宋体" w:eastAsia="宋体" w:hint="default"/>
                <w:sz w:val="18"/>
                <w:szCs w:val="18"/>
              </w:rPr>
              <w:t>主任委员</w:t>
            </w:r>
          </w:p>
        </w:tc>
        <w:tc>
          <w:tcPr>
            <w:tcW w:w="29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345" w:right="0"/>
              <w:jc w:val="center"/>
              <w:rPr>
                <w:rFonts w:ascii="宋体" w:hAnsi="宋体" w:cs="宋体" w:eastAsia="宋体" w:hint="default"/>
                <w:sz w:val="18"/>
                <w:szCs w:val="18"/>
              </w:rPr>
            </w:pPr>
            <w:r>
              <w:rPr>
                <w:rFonts w:ascii="宋体" w:hAnsi="宋体" w:cs="宋体" w:eastAsia="宋体" w:hint="default"/>
                <w:sz w:val="18"/>
                <w:szCs w:val="18"/>
              </w:rPr>
              <w:t>委员</w:t>
            </w:r>
          </w:p>
        </w:tc>
      </w:tr>
      <w:tr>
        <w:trPr>
          <w:trHeight w:val="353"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44" w:right="0"/>
              <w:jc w:val="center"/>
              <w:rPr>
                <w:rFonts w:ascii="宋体" w:hAnsi="宋体" w:cs="宋体" w:eastAsia="宋体" w:hint="default"/>
                <w:sz w:val="18"/>
                <w:szCs w:val="18"/>
              </w:rPr>
            </w:pPr>
            <w:r>
              <w:rPr>
                <w:rFonts w:ascii="宋体" w:hAnsi="宋体" w:cs="宋体" w:eastAsia="宋体" w:hint="default"/>
                <w:sz w:val="18"/>
                <w:szCs w:val="18"/>
              </w:rPr>
              <w:t>战略委员会</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45" w:right="0"/>
              <w:jc w:val="center"/>
              <w:rPr>
                <w:rFonts w:ascii="宋体" w:hAnsi="宋体" w:cs="宋体" w:eastAsia="宋体" w:hint="default"/>
                <w:sz w:val="18"/>
                <w:szCs w:val="18"/>
              </w:rPr>
            </w:pPr>
            <w:r>
              <w:rPr>
                <w:rFonts w:ascii="宋体" w:hAnsi="宋体" w:cs="宋体" w:eastAsia="宋体" w:hint="default"/>
                <w:sz w:val="18"/>
                <w:szCs w:val="18"/>
              </w:rPr>
              <w:t>邬涛</w:t>
            </w:r>
          </w:p>
        </w:tc>
        <w:tc>
          <w:tcPr>
            <w:tcW w:w="29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675"/>
              <w:jc w:val="right"/>
              <w:rPr>
                <w:rFonts w:ascii="宋体" w:hAnsi="宋体" w:cs="宋体" w:eastAsia="宋体" w:hint="default"/>
                <w:sz w:val="18"/>
                <w:szCs w:val="18"/>
              </w:rPr>
            </w:pPr>
            <w:r>
              <w:rPr>
                <w:rFonts w:ascii="宋体" w:hAnsi="宋体" w:cs="宋体" w:eastAsia="宋体" w:hint="default"/>
                <w:sz w:val="18"/>
                <w:szCs w:val="18"/>
              </w:rPr>
              <w:t>王正鹏、张鹏洲</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4" w:right="0"/>
              <w:jc w:val="center"/>
              <w:rPr>
                <w:rFonts w:ascii="宋体" w:hAnsi="宋体" w:cs="宋体" w:eastAsia="宋体" w:hint="default"/>
                <w:sz w:val="18"/>
                <w:szCs w:val="18"/>
              </w:rPr>
            </w:pPr>
            <w:r>
              <w:rPr>
                <w:rFonts w:ascii="宋体" w:hAnsi="宋体" w:cs="宋体" w:eastAsia="宋体" w:hint="default"/>
                <w:sz w:val="18"/>
                <w:szCs w:val="18"/>
              </w:rPr>
              <w:t>提名委员会</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111"/>
              <w:jc w:val="right"/>
              <w:rPr>
                <w:rFonts w:ascii="宋体" w:hAnsi="宋体" w:cs="宋体" w:eastAsia="宋体" w:hint="default"/>
                <w:sz w:val="18"/>
                <w:szCs w:val="18"/>
              </w:rPr>
            </w:pPr>
            <w:r>
              <w:rPr>
                <w:rFonts w:ascii="宋体" w:hAnsi="宋体" w:cs="宋体" w:eastAsia="宋体" w:hint="default"/>
                <w:sz w:val="18"/>
                <w:szCs w:val="18"/>
              </w:rPr>
              <w:t>王正鹏</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765"/>
              <w:jc w:val="right"/>
              <w:rPr>
                <w:rFonts w:ascii="宋体" w:hAnsi="宋体" w:cs="宋体" w:eastAsia="宋体" w:hint="default"/>
                <w:sz w:val="18"/>
                <w:szCs w:val="18"/>
              </w:rPr>
            </w:pPr>
            <w:r>
              <w:rPr>
                <w:rFonts w:ascii="宋体" w:hAnsi="宋体" w:cs="宋体" w:eastAsia="宋体" w:hint="default"/>
                <w:sz w:val="18"/>
                <w:szCs w:val="18"/>
              </w:rPr>
              <w:t>邬涛、张鹏洲</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4" w:right="0"/>
              <w:jc w:val="center"/>
              <w:rPr>
                <w:rFonts w:ascii="宋体" w:hAnsi="宋体" w:cs="宋体" w:eastAsia="宋体" w:hint="default"/>
                <w:sz w:val="18"/>
                <w:szCs w:val="18"/>
              </w:rPr>
            </w:pPr>
            <w:r>
              <w:rPr>
                <w:rFonts w:ascii="宋体" w:hAnsi="宋体" w:cs="宋体" w:eastAsia="宋体" w:hint="default"/>
                <w:sz w:val="18"/>
                <w:szCs w:val="18"/>
              </w:rPr>
              <w:t>审计委员会</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5" w:right="0"/>
              <w:jc w:val="center"/>
              <w:rPr>
                <w:rFonts w:ascii="宋体" w:hAnsi="宋体" w:cs="宋体" w:eastAsia="宋体" w:hint="default"/>
                <w:sz w:val="18"/>
                <w:szCs w:val="18"/>
              </w:rPr>
            </w:pPr>
            <w:r>
              <w:rPr>
                <w:rFonts w:ascii="宋体" w:hAnsi="宋体" w:cs="宋体" w:eastAsia="宋体" w:hint="default"/>
                <w:sz w:val="18"/>
                <w:szCs w:val="18"/>
              </w:rPr>
              <w:t>方军</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765"/>
              <w:jc w:val="right"/>
              <w:rPr>
                <w:rFonts w:ascii="宋体" w:hAnsi="宋体" w:cs="宋体" w:eastAsia="宋体" w:hint="default"/>
                <w:sz w:val="18"/>
                <w:szCs w:val="18"/>
              </w:rPr>
            </w:pPr>
            <w:r>
              <w:rPr>
                <w:rFonts w:ascii="宋体" w:hAnsi="宋体" w:cs="宋体" w:eastAsia="宋体" w:hint="default"/>
                <w:sz w:val="18"/>
                <w:szCs w:val="18"/>
              </w:rPr>
              <w:t>王正鹏、任翔</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43" w:right="0"/>
              <w:jc w:val="center"/>
              <w:rPr>
                <w:rFonts w:ascii="宋体" w:hAnsi="宋体" w:cs="宋体" w:eastAsia="宋体" w:hint="default"/>
                <w:sz w:val="18"/>
                <w:szCs w:val="18"/>
              </w:rPr>
            </w:pPr>
            <w:r>
              <w:rPr>
                <w:rFonts w:ascii="宋体" w:hAnsi="宋体" w:cs="宋体" w:eastAsia="宋体" w:hint="default"/>
                <w:sz w:val="18"/>
                <w:szCs w:val="18"/>
              </w:rPr>
              <w:t>薪酬与考核委员会</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45" w:right="0"/>
              <w:jc w:val="center"/>
              <w:rPr>
                <w:rFonts w:ascii="宋体" w:hAnsi="宋体" w:cs="宋体" w:eastAsia="宋体" w:hint="default"/>
                <w:sz w:val="18"/>
                <w:szCs w:val="18"/>
              </w:rPr>
            </w:pPr>
            <w:r>
              <w:rPr>
                <w:rFonts w:ascii="宋体" w:hAnsi="宋体" w:cs="宋体" w:eastAsia="宋体" w:hint="default"/>
                <w:sz w:val="18"/>
                <w:szCs w:val="18"/>
              </w:rPr>
              <w:t>方军</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765"/>
              <w:jc w:val="right"/>
              <w:rPr>
                <w:rFonts w:ascii="宋体" w:hAnsi="宋体" w:cs="宋体" w:eastAsia="宋体" w:hint="default"/>
                <w:sz w:val="18"/>
                <w:szCs w:val="18"/>
              </w:rPr>
            </w:pPr>
            <w:r>
              <w:rPr>
                <w:rFonts w:ascii="宋体" w:hAnsi="宋体" w:cs="宋体" w:eastAsia="宋体" w:hint="default"/>
                <w:sz w:val="18"/>
                <w:szCs w:val="18"/>
              </w:rPr>
              <w:t>王正鹏、宾卫</w:t>
            </w:r>
          </w:p>
        </w:tc>
      </w:tr>
    </w:tbl>
    <w:p>
      <w:pPr>
        <w:spacing w:line="240" w:lineRule="auto" w:before="13"/>
        <w:rPr>
          <w:rFonts w:ascii="宋体" w:hAnsi="宋体" w:cs="宋体" w:eastAsia="宋体" w:hint="default"/>
          <w:sz w:val="22"/>
          <w:szCs w:val="22"/>
        </w:rPr>
      </w:pPr>
    </w:p>
    <w:p>
      <w:pPr>
        <w:pStyle w:val="BodyText"/>
        <w:spacing w:line="240" w:lineRule="auto" w:before="44"/>
        <w:ind w:right="0"/>
        <w:jc w:val="both"/>
      </w:pPr>
      <w:r>
        <w:rPr/>
        <w:t>公司治理的实际状况与中国证监会发布的有关上市公司治理的规范性文件是否存在重大差异</w:t>
      </w:r>
    </w:p>
    <w:p>
      <w:pPr>
        <w:pStyle w:val="BodyText"/>
        <w:spacing w:line="319" w:lineRule="auto" w:before="140"/>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5"/>
          <w:szCs w:val="25"/>
        </w:rPr>
      </w:pPr>
    </w:p>
    <w:p>
      <w:pPr>
        <w:spacing w:line="295" w:lineRule="auto" w:before="0"/>
        <w:ind w:left="141" w:right="1098" w:firstLine="360"/>
        <w:jc w:val="both"/>
        <w:rPr>
          <w:rFonts w:ascii="宋体" w:hAnsi="宋体" w:cs="宋体" w:eastAsia="宋体" w:hint="default"/>
          <w:sz w:val="18"/>
          <w:szCs w:val="18"/>
        </w:rPr>
      </w:pPr>
      <w:r>
        <w:rPr>
          <w:rFonts w:ascii="宋体" w:hAnsi="宋体" w:cs="宋体" w:eastAsia="宋体" w:hint="default"/>
          <w:spacing w:val="-4"/>
          <w:sz w:val="18"/>
          <w:szCs w:val="18"/>
        </w:rPr>
        <w:t>公司自成立以来，严格按照《公司法》、</w:t>
      </w:r>
      <w:r>
        <w:rPr>
          <w:rFonts w:ascii="宋体" w:hAnsi="宋体" w:cs="宋体" w:eastAsia="宋体" w:hint="default"/>
          <w:spacing w:val="-4"/>
          <w:sz w:val="19"/>
          <w:szCs w:val="19"/>
        </w:rPr>
        <w:t>《深圳证券交易所创业板股票上市规则》、《深圳证券交易所创业板上市</w:t>
      </w:r>
      <w:r>
        <w:rPr>
          <w:rFonts w:ascii="宋体" w:hAnsi="宋体" w:cs="宋体" w:eastAsia="宋体" w:hint="default"/>
          <w:w w:val="102"/>
          <w:sz w:val="19"/>
          <w:szCs w:val="19"/>
        </w:rPr>
        <w:t> </w:t>
      </w:r>
      <w:r>
        <w:rPr>
          <w:rFonts w:ascii="宋体" w:hAnsi="宋体" w:cs="宋体" w:eastAsia="宋体" w:hint="default"/>
          <w:spacing w:val="-5"/>
          <w:sz w:val="19"/>
          <w:szCs w:val="19"/>
        </w:rPr>
        <w:t>公司规范运作指引》、《上市公司治理准则》、《公司章程》等有关规定和要求</w:t>
      </w:r>
      <w:r>
        <w:rPr>
          <w:rFonts w:ascii="宋体" w:hAnsi="宋体" w:cs="宋体" w:eastAsia="宋体" w:hint="default"/>
          <w:spacing w:val="-5"/>
          <w:sz w:val="18"/>
          <w:szCs w:val="18"/>
        </w:rPr>
        <w:t>规范运作，逐步建立健全公司法人治理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结构，业务、人员、资产、机构、财务等方面均独立运营，具有完整的业务体系和面向市场自主经营的能力。</w:t>
      </w:r>
    </w:p>
    <w:p>
      <w:pPr>
        <w:pStyle w:val="BodyText"/>
        <w:spacing w:line="321" w:lineRule="auto" w:before="38"/>
        <w:ind w:left="501" w:right="1133"/>
        <w:jc w:val="left"/>
      </w:pPr>
      <w:r>
        <w:rPr>
          <w:rFonts w:ascii="宋体" w:hAnsi="宋体" w:cs="宋体" w:eastAsia="宋体" w:hint="default"/>
          <w:b/>
          <w:bCs/>
        </w:rPr>
        <w:t>1</w:t>
      </w:r>
      <w:r>
        <w:rPr>
          <w:rFonts w:ascii="宋体" w:hAnsi="宋体" w:cs="宋体" w:eastAsia="宋体" w:hint="default"/>
          <w:b/>
          <w:bCs/>
        </w:rPr>
        <w:t>．业务独立</w:t>
      </w:r>
      <w:r>
        <w:rPr>
          <w:rFonts w:ascii="宋体" w:hAnsi="宋体" w:cs="宋体" w:eastAsia="宋体" w:hint="default"/>
          <w:b/>
          <w:bCs/>
          <w:w w:val="99"/>
        </w:rPr>
        <w:t> </w:t>
      </w:r>
      <w:r>
        <w:rPr>
          <w:spacing w:val="-2"/>
        </w:rPr>
        <w:t>公司的业务完全独立于控股股东、实际控制人和实际控制人控制的其他企业，与其不存在同业竞争或显失公平的关联交</w:t>
      </w:r>
    </w:p>
    <w:p>
      <w:pPr>
        <w:pStyle w:val="BodyText"/>
        <w:spacing w:line="321" w:lineRule="auto" w:before="19"/>
        <w:ind w:left="501" w:right="3370" w:hanging="361"/>
        <w:jc w:val="left"/>
        <w:rPr>
          <w:rFonts w:ascii="宋体" w:hAnsi="宋体" w:cs="宋体" w:eastAsia="宋体" w:hint="default"/>
        </w:rPr>
      </w:pPr>
      <w:r>
        <w:rPr/>
        <w:t>易。同时，公司控股股东及实际控制人已向公司出具承诺函，承诺避免与公司发生同业竞争。 </w:t>
      </w:r>
      <w:r>
        <w:rPr>
          <w:rFonts w:ascii="宋体" w:hAnsi="宋体" w:cs="宋体" w:eastAsia="宋体" w:hint="default"/>
          <w:b/>
          <w:bCs/>
        </w:rPr>
        <w:t>2</w:t>
      </w:r>
      <w:r>
        <w:rPr>
          <w:rFonts w:ascii="宋体" w:hAnsi="宋体" w:cs="宋体" w:eastAsia="宋体" w:hint="default"/>
          <w:b/>
          <w:bCs/>
        </w:rPr>
        <w:t>、人员独立</w:t>
      </w:r>
      <w:r>
        <w:rPr>
          <w:rFonts w:ascii="宋体" w:hAnsi="宋体" w:cs="宋体" w:eastAsia="宋体" w:hint="default"/>
        </w:rPr>
      </w:r>
    </w:p>
    <w:p>
      <w:pPr>
        <w:pStyle w:val="BodyText"/>
        <w:spacing w:line="321" w:lineRule="auto" w:before="3"/>
        <w:ind w:right="1133" w:firstLine="360"/>
        <w:jc w:val="left"/>
      </w:pPr>
      <w:r>
        <w:rPr>
          <w:spacing w:val="-2"/>
        </w:rPr>
        <w:t>公司董事、监事及高级管理人员均依《公司法》、《公司章程》等规定的合法程序选举或聘任，不存在超越董事会和股</w:t>
      </w:r>
      <w:r>
        <w:rPr/>
        <w:t> 东大会作出人事任免决定的情况。</w:t>
      </w:r>
    </w:p>
    <w:p>
      <w:pPr>
        <w:pStyle w:val="BodyText"/>
        <w:spacing w:line="321" w:lineRule="auto" w:before="19"/>
        <w:ind w:right="0" w:firstLine="360"/>
        <w:jc w:val="left"/>
      </w:pPr>
      <w:r>
        <w:rPr>
          <w:spacing w:val="-2"/>
        </w:rPr>
        <w:t>公司首席执行官（总裁）、副总裁、财务总监、董事会秘书等高级管理人员均专职于公司工作并领取报酬，不存在在控</w:t>
      </w:r>
      <w:r>
        <w:rPr/>
        <w:t> </w:t>
      </w:r>
      <w:r>
        <w:rPr>
          <w:spacing w:val="-4"/>
        </w:rPr>
        <w:t>股股东、实际控制人及其控制的其他企业担任除董事、监事以外的其他职务或领薪的情况。公司财务人员不存在在控股股东、</w:t>
      </w:r>
      <w:r>
        <w:rPr>
          <w:spacing w:val="-50"/>
        </w:rPr>
        <w:t> </w:t>
      </w:r>
      <w:r>
        <w:rPr>
          <w:spacing w:val="-50"/>
        </w:rPr>
      </w:r>
      <w:r>
        <w:rPr/>
        <w:t>实际控制人及其控制的其他企业中兼职的情形。</w:t>
      </w:r>
    </w:p>
    <w:p>
      <w:pPr>
        <w:pStyle w:val="BodyText"/>
        <w:spacing w:line="321" w:lineRule="auto" w:before="3"/>
        <w:ind w:left="501" w:right="2649"/>
        <w:jc w:val="left"/>
      </w:pPr>
      <w:r>
        <w:rPr>
          <w:rFonts w:ascii="宋体" w:hAnsi="宋体" w:cs="宋体" w:eastAsia="宋体" w:hint="default"/>
          <w:b/>
          <w:bCs/>
        </w:rPr>
        <w:t>3</w:t>
      </w:r>
      <w:r>
        <w:rPr>
          <w:rFonts w:ascii="宋体" w:hAnsi="宋体" w:cs="宋体" w:eastAsia="宋体" w:hint="default"/>
          <w:b/>
          <w:bCs/>
        </w:rPr>
        <w:t>、资产完整</w:t>
      </w:r>
      <w:r>
        <w:rPr>
          <w:rFonts w:ascii="宋体" w:hAnsi="宋体" w:cs="宋体" w:eastAsia="宋体" w:hint="default"/>
          <w:b/>
          <w:bCs/>
          <w:w w:val="99"/>
        </w:rPr>
        <w:t> </w:t>
      </w:r>
      <w:r>
        <w:rPr/>
        <w:t>公司拥有独立于发起人股东的生产经营场所，拥有独立完整的与经营有关的业务体系和相关资产。</w:t>
      </w:r>
    </w:p>
    <w:p>
      <w:pPr>
        <w:pStyle w:val="BodyText"/>
        <w:spacing w:line="321" w:lineRule="auto" w:before="18"/>
        <w:ind w:right="1133" w:firstLine="360"/>
        <w:jc w:val="left"/>
      </w:pPr>
      <w:r>
        <w:rPr>
          <w:spacing w:val="-2"/>
        </w:rPr>
        <w:t>公司对所有资产拥有完全的控制和支配权，不存在资金、资产被控股股东、实际控制人及其控制的其他企业占用而损害</w:t>
      </w:r>
      <w:r>
        <w:rPr/>
        <w:t> 公司利益的情况，也不存在公司为股东和其他个人违规提供担保的情形。</w:t>
      </w:r>
    </w:p>
    <w:p>
      <w:pPr>
        <w:pStyle w:val="BodyText"/>
        <w:spacing w:line="304" w:lineRule="auto" w:before="18"/>
        <w:ind w:left="501" w:right="1133"/>
        <w:jc w:val="left"/>
      </w:pPr>
      <w:r>
        <w:rPr>
          <w:rFonts w:ascii="宋体" w:hAnsi="宋体" w:cs="宋体" w:eastAsia="宋体"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2"/>
        </w:rPr>
        <w:t>公司依照《公司法》等有关法律法规和《公司章程》建立了以股东大会为权力机构、董事会为决策机构、监事会为监督</w:t>
      </w:r>
    </w:p>
    <w:p>
      <w:pPr>
        <w:pStyle w:val="BodyText"/>
        <w:spacing w:line="321" w:lineRule="auto" w:before="31"/>
        <w:ind w:right="1136"/>
        <w:jc w:val="both"/>
      </w:pPr>
      <w:r>
        <w:rPr>
          <w:spacing w:val="-2"/>
        </w:rPr>
        <w:t>机构、经理层为执行机构的法人治理结构。公司拥有独立于控股股东和实际控制人的经营和办公场所，所有的组织机构均不</w:t>
      </w:r>
      <w:r>
        <w:rPr>
          <w:spacing w:val="-75"/>
        </w:rPr>
        <w:t> </w:t>
      </w:r>
      <w:r>
        <w:rPr>
          <w:spacing w:val="-75"/>
        </w:rPr>
      </w:r>
      <w:r>
        <w:rPr>
          <w:spacing w:val="-2"/>
        </w:rPr>
        <w:t>存在与控股股东、实际控制人及其控制的其他企业混合经营、合署办公的情况，机构设置和生产经营活动不存在受控股股东</w:t>
      </w:r>
      <w:r>
        <w:rPr>
          <w:spacing w:val="-75"/>
        </w:rPr>
        <w:t> </w:t>
      </w:r>
      <w:r>
        <w:rPr>
          <w:spacing w:val="-75"/>
        </w:rPr>
      </w:r>
      <w:r>
        <w:rPr/>
        <w:t>及其他单位或个人干预的情形。</w:t>
      </w:r>
    </w:p>
    <w:p>
      <w:pPr>
        <w:pStyle w:val="BodyText"/>
        <w:spacing w:line="307" w:lineRule="auto" w:before="18"/>
        <w:ind w:left="501" w:right="1112"/>
        <w:jc w:val="left"/>
      </w:pPr>
      <w:r>
        <w:rPr>
          <w:rFonts w:ascii="宋体" w:hAnsi="宋体" w:cs="宋体" w:eastAsia="宋体" w:hint="default"/>
          <w:b/>
          <w:bCs/>
        </w:rPr>
        <w:t>5</w:t>
      </w:r>
      <w:r>
        <w:rPr>
          <w:rFonts w:ascii="宋体" w:hAnsi="宋体" w:cs="宋体" w:eastAsia="宋体" w:hint="default"/>
          <w:b/>
          <w:bCs/>
        </w:rPr>
        <w:t>、财务独立</w:t>
      </w:r>
      <w:r>
        <w:rPr>
          <w:rFonts w:ascii="宋体" w:hAnsi="宋体" w:cs="宋体" w:eastAsia="宋体" w:hint="default"/>
          <w:b/>
          <w:bCs/>
          <w:w w:val="99"/>
        </w:rPr>
        <w:t> </w:t>
      </w:r>
      <w:r>
        <w:rPr>
          <w:spacing w:val="-2"/>
        </w:rPr>
        <w:t>公司设有独立的财务部门。公司根据现行法律法规，结合公司实际，制定了财务管理制度，建立了独立完善的财务核算</w:t>
      </w:r>
    </w:p>
    <w:p>
      <w:pPr>
        <w:pStyle w:val="BodyText"/>
        <w:spacing w:line="321" w:lineRule="auto" w:before="29"/>
        <w:ind w:right="0"/>
        <w:jc w:val="left"/>
      </w:pPr>
      <w:r>
        <w:rPr>
          <w:spacing w:val="-2"/>
        </w:rPr>
        <w:t>体系。公司在银行开设了独立账户，独立支配自有资金和资产，公司独立对外签订合同，不存在与控股股东、实际控制人及</w:t>
      </w:r>
      <w:r>
        <w:rPr>
          <w:spacing w:val="-55"/>
        </w:rPr>
        <w:t> </w:t>
      </w:r>
      <w:r>
        <w:rPr>
          <w:spacing w:val="-55"/>
        </w:rPr>
      </w:r>
      <w:r>
        <w:rPr/>
        <w:t>其控制的其他企业共用银行账户的情形。公司作为独立的纳税人进行纳税申报及履行纳税义务。</w:t>
      </w:r>
    </w:p>
    <w:p>
      <w:pPr>
        <w:spacing w:after="0" w:line="321" w:lineRule="auto"/>
        <w:jc w:val="left"/>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left="181"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18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3"/>
        <w:spacing w:line="240" w:lineRule="auto"/>
        <w:ind w:left="181"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81"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2312"/>
        <w:gridCol w:w="1457"/>
        <w:gridCol w:w="1442"/>
        <w:gridCol w:w="1592"/>
        <w:gridCol w:w="1592"/>
        <w:gridCol w:w="1366"/>
      </w:tblGrid>
      <w:tr>
        <w:trPr>
          <w:trHeight w:val="406" w:hRule="exact"/>
        </w:trPr>
        <w:tc>
          <w:tcPr>
            <w:tcW w:w="2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5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35"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年年度股东大会</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2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63.29%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80"/>
              <w:ind w:left="30" w:right="44"/>
              <w:jc w:val="left"/>
              <w:rPr>
                <w:rFonts w:ascii="宋体" w:hAnsi="宋体" w:cs="宋体" w:eastAsia="宋体" w:hint="default"/>
                <w:sz w:val="18"/>
                <w:szCs w:val="18"/>
              </w:rPr>
            </w:pPr>
            <w:r>
              <w:rPr>
                <w:rFonts w:ascii="宋体" w:hAnsi="宋体" w:cs="宋体" w:eastAsia="宋体" w:hint="default"/>
                <w:spacing w:val="-2"/>
                <w:sz w:val="18"/>
                <w:szCs w:val="18"/>
              </w:rPr>
              <w:t>（</w:t>
            </w:r>
            <w:hyperlink r:id="rId3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03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年第一次临时股东大会</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24.05%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4" w:lineRule="auto" w:before="79"/>
              <w:ind w:left="30" w:right="44"/>
              <w:jc w:val="left"/>
              <w:rPr>
                <w:rFonts w:ascii="宋体" w:hAnsi="宋体" w:cs="宋体" w:eastAsia="宋体" w:hint="default"/>
                <w:sz w:val="18"/>
                <w:szCs w:val="18"/>
              </w:rPr>
            </w:pPr>
            <w:r>
              <w:rPr>
                <w:rFonts w:ascii="宋体" w:hAnsi="宋体" w:cs="宋体" w:eastAsia="宋体" w:hint="default"/>
                <w:spacing w:val="-2"/>
                <w:sz w:val="18"/>
                <w:szCs w:val="18"/>
              </w:rPr>
              <w:t>（</w:t>
            </w:r>
            <w:hyperlink r:id="rId3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021"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年第二次临时股东大会</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51.97%</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4" w:lineRule="auto" w:before="79"/>
              <w:ind w:left="30" w:right="44"/>
              <w:jc w:val="left"/>
              <w:rPr>
                <w:rFonts w:ascii="宋体" w:hAnsi="宋体" w:cs="宋体" w:eastAsia="宋体" w:hint="default"/>
                <w:sz w:val="18"/>
                <w:szCs w:val="18"/>
              </w:rPr>
            </w:pPr>
            <w:r>
              <w:rPr>
                <w:rFonts w:ascii="宋体" w:hAnsi="宋体" w:cs="宋体" w:eastAsia="宋体" w:hint="default"/>
                <w:spacing w:val="-2"/>
                <w:sz w:val="18"/>
                <w:szCs w:val="18"/>
              </w:rPr>
              <w:t>（</w:t>
            </w:r>
            <w:hyperlink r:id="rId3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line="240" w:lineRule="auto" w:before="11"/>
        <w:rPr>
          <w:rFonts w:ascii="宋体" w:hAnsi="宋体" w:cs="宋体" w:eastAsia="宋体" w:hint="default"/>
          <w:b/>
          <w:bCs/>
          <w:sz w:val="19"/>
          <w:szCs w:val="19"/>
        </w:rPr>
      </w:pPr>
    </w:p>
    <w:p>
      <w:pPr>
        <w:pStyle w:val="Heading5"/>
        <w:spacing w:line="240" w:lineRule="auto" w:before="35"/>
        <w:ind w:left="181"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8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3"/>
        <w:spacing w:line="240" w:lineRule="auto"/>
        <w:ind w:left="181"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181"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4"/>
          <w:szCs w:val="24"/>
        </w:rPr>
      </w:pPr>
    </w:p>
    <w:tbl>
      <w:tblPr>
        <w:tblW w:w="0" w:type="auto"/>
        <w:jc w:val="left"/>
        <w:tblInd w:w="16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6"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35"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21"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21"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21"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21"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21"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21"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91"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方军</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2" w:lineRule="auto" w:before="44"/>
        <w:ind w:left="181" w:right="8049"/>
        <w:jc w:val="left"/>
      </w:pPr>
      <w:r>
        <w:rPr/>
        <w:t>连续两次未亲自出席董事会的说明 不适用</w:t>
      </w:r>
    </w:p>
    <w:p>
      <w:pPr>
        <w:spacing w:line="240" w:lineRule="auto" w:before="2"/>
        <w:rPr>
          <w:rFonts w:ascii="宋体" w:hAnsi="宋体" w:cs="宋体" w:eastAsia="宋体" w:hint="default"/>
          <w:sz w:val="22"/>
          <w:szCs w:val="22"/>
        </w:rPr>
      </w:pPr>
    </w:p>
    <w:p>
      <w:pPr>
        <w:pStyle w:val="Heading5"/>
        <w:spacing w:line="240" w:lineRule="auto"/>
        <w:ind w:left="181"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181" w:right="0"/>
        <w:jc w:val="left"/>
      </w:pPr>
      <w:r>
        <w:rPr/>
        <w:t>独立董事对公司有关事项是否提出异议</w:t>
      </w:r>
    </w:p>
    <w:p>
      <w:pPr>
        <w:pStyle w:val="BodyText"/>
        <w:spacing w:line="319" w:lineRule="auto" w:before="124"/>
        <w:ind w:left="181"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after="0" w:line="319" w:lineRule="auto"/>
        <w:jc w:val="left"/>
        <w:sectPr>
          <w:pgSz w:w="11910" w:h="16850"/>
          <w:pgMar w:header="866" w:footer="981" w:top="1120" w:bottom="1180" w:left="960" w:right="0"/>
        </w:sectPr>
      </w:pPr>
    </w:p>
    <w:p>
      <w:pPr>
        <w:spacing w:line="240" w:lineRule="auto" w:before="2"/>
        <w:rPr>
          <w:rFonts w:ascii="宋体" w:hAnsi="宋体" w:cs="宋体" w:eastAsia="宋体" w:hint="default"/>
          <w:sz w:val="22"/>
          <w:szCs w:val="22"/>
        </w:rPr>
      </w:pPr>
    </w:p>
    <w:p>
      <w:pPr>
        <w:pStyle w:val="Heading5"/>
        <w:spacing w:line="240" w:lineRule="auto" w:before="35"/>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独立董事对公司有关建议是否被采纳</w:t>
      </w:r>
    </w:p>
    <w:p>
      <w:pPr>
        <w:pStyle w:val="BodyText"/>
        <w:spacing w:line="331" w:lineRule="auto" w:before="125"/>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316" w:lineRule="auto" w:before="41"/>
        <w:ind w:right="1029" w:firstLine="360"/>
        <w:jc w:val="left"/>
      </w:pPr>
      <w:r>
        <w:rPr>
          <w:spacing w:val="-2"/>
        </w:rPr>
        <w:t>报告期内，公司独立董事严格按照《公司法》、《证券法》、《关于在上市公司建立独立董事制度的指导意见》、《深</w:t>
      </w:r>
      <w:r>
        <w:rPr/>
        <w:t> 圳证券交易所创业板上市公司规范运作指引》、《公司章程》、《公司独立董事工作细则》等相关法律法规及制度的要求， </w:t>
      </w:r>
      <w:r>
        <w:rPr>
          <w:spacing w:val="-2"/>
        </w:rPr>
        <w:t>勤勉尽职，积极出席相关会议，对会议议案进行认真研究审议。积极与公司高管沟通，了解掌握公司各方面的经营信息，运</w:t>
      </w:r>
      <w:r>
        <w:rPr>
          <w:spacing w:val="-57"/>
        </w:rPr>
        <w:t> </w:t>
      </w:r>
      <w:r>
        <w:rPr>
          <w:spacing w:val="-57"/>
        </w:rPr>
      </w:r>
      <w:r>
        <w:rPr>
          <w:spacing w:val="-2"/>
        </w:rPr>
        <w:t>用各自的专业知识对公司重大事项进行客观公正评价，并发表独立意见，充分发挥了独立董事及各专门委员会的作用，有效</w:t>
      </w:r>
      <w:r>
        <w:rPr>
          <w:spacing w:val="-64"/>
        </w:rPr>
        <w:t> </w:t>
      </w:r>
      <w:r>
        <w:rPr>
          <w:spacing w:val="-64"/>
        </w:rPr>
      </w:r>
      <w:r>
        <w:rPr/>
        <w:t>提高董事会决策的科学性和规范性，切实维护公司和全体股东的合法权益。</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6"/>
          <w:szCs w:val="26"/>
        </w:rPr>
      </w:pPr>
    </w:p>
    <w:p>
      <w:pPr>
        <w:pStyle w:val="BodyText"/>
        <w:spacing w:line="321" w:lineRule="auto"/>
        <w:ind w:right="1106" w:firstLine="360"/>
        <w:jc w:val="both"/>
      </w:pPr>
      <w:r>
        <w:rPr>
          <w:spacing w:val="-2"/>
        </w:rPr>
        <w:t>公司董事会设审计、提名、战略、薪酬与考核等四个专业委员会，并制定了《董事会审计委员会议事规则》、《董事会</w:t>
      </w:r>
      <w:r>
        <w:rPr/>
        <w:t> </w:t>
      </w:r>
      <w:r>
        <w:rPr>
          <w:spacing w:val="-2"/>
        </w:rPr>
        <w:t>提名委员会议事规则》、《董事会战略委员会议事规则》、《董事会薪酬与考核委员会议事规则》，各委员会按照各自议事</w:t>
      </w:r>
      <w:r>
        <w:rPr>
          <w:spacing w:val="-74"/>
        </w:rPr>
        <w:t> </w:t>
      </w:r>
      <w:r>
        <w:rPr>
          <w:spacing w:val="-74"/>
        </w:rPr>
      </w:r>
      <w:r>
        <w:rPr>
          <w:spacing w:val="-2"/>
        </w:rPr>
        <w:t>规则，对公司运作过程中出现的各自专业领域事项积极审议，向董事会提供专业意见。报告期内，各专门委员会积极审议有</w:t>
      </w:r>
      <w:r>
        <w:rPr>
          <w:spacing w:val="-42"/>
        </w:rPr>
        <w:t> </w:t>
      </w:r>
      <w:r>
        <w:rPr>
          <w:spacing w:val="-42"/>
        </w:rPr>
      </w:r>
      <w:r>
        <w:rPr/>
        <w:t>关事项，提供的专业意见对董事会起到了有益的参考作用。</w:t>
      </w:r>
    </w:p>
    <w:p>
      <w:pPr>
        <w:pStyle w:val="BodyText"/>
        <w:spacing w:line="336" w:lineRule="auto" w:before="3"/>
        <w:ind w:left="501" w:right="1119"/>
        <w:jc w:val="left"/>
      </w:pPr>
      <w:r>
        <w:rPr/>
        <w:t>报告期内，各专门委员会会议召开情况如下： 审计委员会共召开</w:t>
      </w:r>
      <w:r>
        <w:rPr>
          <w:rFonts w:ascii="Times New Roman" w:hAnsi="Times New Roman" w:cs="Times New Roman" w:eastAsia="Times New Roman" w:hint="default"/>
        </w:rPr>
        <w:t>6</w:t>
      </w:r>
      <w:r>
        <w:rPr/>
        <w:t>次会议，对公司定期报告、审计报告、募集资金存放与使用报告以及重大事项等情况进行了研究审</w:t>
      </w:r>
    </w:p>
    <w:p>
      <w:pPr>
        <w:pStyle w:val="BodyText"/>
        <w:spacing w:line="207" w:lineRule="exact"/>
        <w:ind w:right="0"/>
        <w:jc w:val="left"/>
      </w:pPr>
      <w:r>
        <w:rPr/>
        <w:t>议；对会计师事务所审计工作进行督促，维护审计的独立性；对公司内部审计工作情况进行检查，审议审计部提交的工作报</w:t>
      </w:r>
    </w:p>
    <w:p>
      <w:pPr>
        <w:pStyle w:val="BodyText"/>
        <w:spacing w:line="336" w:lineRule="auto" w:before="80"/>
        <w:ind w:left="501" w:right="1119" w:hanging="361"/>
        <w:jc w:val="left"/>
      </w:pPr>
      <w:r>
        <w:rPr/>
        <w:t>告等，切实履行了审计委员会的工作职责。 提名委员会共召开</w:t>
      </w:r>
      <w:r>
        <w:rPr>
          <w:rFonts w:ascii="Times New Roman" w:hAnsi="Times New Roman" w:cs="Times New Roman" w:eastAsia="Times New Roman" w:hint="default"/>
        </w:rPr>
        <w:t>4</w:t>
      </w:r>
      <w:r>
        <w:rPr/>
        <w:t>次会议，对非独立董事候选人、独立董事候选人、高级管理人员候选人进行审议并向董事会提出建</w:t>
      </w:r>
    </w:p>
    <w:p>
      <w:pPr>
        <w:pStyle w:val="BodyText"/>
        <w:spacing w:line="192" w:lineRule="exact"/>
        <w:ind w:right="0"/>
        <w:jc w:val="left"/>
      </w:pPr>
      <w:r>
        <w:rPr/>
        <w:t>议。</w:t>
      </w:r>
    </w:p>
    <w:p>
      <w:pPr>
        <w:pStyle w:val="BodyText"/>
        <w:spacing w:line="302" w:lineRule="auto" w:before="95"/>
        <w:ind w:left="501" w:right="1119"/>
        <w:jc w:val="left"/>
      </w:pPr>
      <w:r>
        <w:rPr/>
        <w:t>战略委员会共召开</w:t>
      </w:r>
      <w:r>
        <w:rPr>
          <w:rFonts w:ascii="Times New Roman" w:hAnsi="Times New Roman" w:cs="Times New Roman" w:eastAsia="Times New Roman" w:hint="default"/>
        </w:rPr>
        <w:t>5</w:t>
      </w:r>
      <w:r>
        <w:rPr/>
        <w:t>次会议，对公司长期发展战略、重大投资方案和重大事项等进行研究，向董事会提出建议。 薪酬与考核委员会召开</w:t>
      </w:r>
      <w:r>
        <w:rPr>
          <w:rFonts w:ascii="Times New Roman" w:hAnsi="Times New Roman" w:cs="Times New Roman" w:eastAsia="Times New Roman" w:hint="default"/>
        </w:rPr>
        <w:t>1</w:t>
      </w:r>
      <w:r>
        <w:rPr/>
        <w:t>次会议，对公司</w:t>
      </w:r>
      <w:r>
        <w:rPr>
          <w:rFonts w:ascii="Times New Roman" w:hAnsi="Times New Roman" w:cs="Times New Roman" w:eastAsia="Times New Roman" w:hint="default"/>
        </w:rPr>
        <w:t>2019</w:t>
      </w:r>
      <w:r>
        <w:rPr/>
        <w:t>年度董监高薪酬方案进行了审议，并对董事、监事、高级管理人员薪酬进</w:t>
      </w:r>
    </w:p>
    <w:p>
      <w:pPr>
        <w:pStyle w:val="BodyText"/>
        <w:spacing w:line="235" w:lineRule="exact"/>
        <w:ind w:right="0"/>
        <w:jc w:val="left"/>
      </w:pPr>
      <w:r>
        <w:rPr/>
        <w:t>行评估与考核，根据公司整体经营业绩情况确定董事、高级管理人员的薪酬政策与方案。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3"/>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19" w:lineRule="auto" w:before="140"/>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公司监事会对报告期内的监督事项无异议。</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13"/>
        <w:rPr>
          <w:rFonts w:ascii="宋体" w:hAnsi="宋体" w:cs="宋体" w:eastAsia="宋体" w:hint="default"/>
          <w:b/>
          <w:bCs/>
          <w:sz w:val="24"/>
          <w:szCs w:val="24"/>
        </w:rPr>
      </w:pPr>
    </w:p>
    <w:p>
      <w:pPr>
        <w:pStyle w:val="BodyText"/>
        <w:spacing w:line="321" w:lineRule="auto"/>
        <w:ind w:right="1133" w:firstLine="360"/>
        <w:jc w:val="left"/>
      </w:pPr>
      <w:r>
        <w:rPr>
          <w:spacing w:val="-2"/>
        </w:rPr>
        <w:t>报告期内，公司已按照目标责任制管理办法对高级管理人员的工作能力、履职情况、责任目标完成情况等进行了考核和</w:t>
      </w:r>
      <w:r>
        <w:rPr/>
        <w:t> 评价，并已在绩效奖励的发放中予以体现。</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ind w:left="0" w:right="1109"/>
        <w:jc w:val="right"/>
      </w:pPr>
      <w:r>
        <w:rPr/>
        <w:pict>
          <v:shape style="position:absolute;margin-left:56.325001pt;margin-top:-295.738281pt;width:481.75pt;height:531.450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5"/>
                    <w:gridCol w:w="4851"/>
                    <w:gridCol w:w="3056"/>
                  </w:tblGrid>
                  <w:tr>
                    <w:trPr>
                      <w:trHeight w:val="705" w:hRule="exact"/>
                    </w:trPr>
                    <w:tc>
                      <w:tcPr>
                        <w:tcW w:w="1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52"/>
                          <w:jc w:val="left"/>
                          <w:rPr>
                            <w:rFonts w:ascii="宋体" w:hAnsi="宋体" w:cs="宋体" w:eastAsia="宋体" w:hint="default"/>
                            <w:sz w:val="18"/>
                            <w:szCs w:val="18"/>
                          </w:rPr>
                        </w:pPr>
                        <w:r>
                          <w:rPr>
                            <w:rFonts w:ascii="宋体" w:hAnsi="宋体" w:cs="宋体" w:eastAsia="宋体" w:hint="default"/>
                            <w:sz w:val="18"/>
                            <w:szCs w:val="18"/>
                          </w:rPr>
                          <w:t>内部控制评价报告全 文披露日期</w:t>
                        </w:r>
                      </w:p>
                    </w:tc>
                    <w:tc>
                      <w:tcPr>
                        <w:tcW w:w="7907"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721" w:hRule="exact"/>
                    </w:trPr>
                    <w:tc>
                      <w:tcPr>
                        <w:tcW w:w="1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52"/>
                          <w:jc w:val="left"/>
                          <w:rPr>
                            <w:rFonts w:ascii="宋体" w:hAnsi="宋体" w:cs="宋体" w:eastAsia="宋体" w:hint="default"/>
                            <w:sz w:val="18"/>
                            <w:szCs w:val="18"/>
                          </w:rPr>
                        </w:pPr>
                        <w:r>
                          <w:rPr>
                            <w:rFonts w:ascii="宋体" w:hAnsi="宋体" w:cs="宋体" w:eastAsia="宋体" w:hint="default"/>
                            <w:sz w:val="18"/>
                            <w:szCs w:val="18"/>
                          </w:rPr>
                          <w:t>内部控制评价报告全 文披露索引</w:t>
                        </w:r>
                      </w:p>
                    </w:tc>
                    <w:tc>
                      <w:tcPr>
                        <w:tcW w:w="7907"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1336" w:hRule="exact"/>
                    </w:trPr>
                    <w:tc>
                      <w:tcPr>
                        <w:tcW w:w="1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52"/>
                          <w:jc w:val="both"/>
                          <w:rPr>
                            <w:rFonts w:ascii="宋体" w:hAnsi="宋体" w:cs="宋体" w:eastAsia="宋体" w:hint="default"/>
                            <w:sz w:val="18"/>
                            <w:szCs w:val="18"/>
                          </w:rPr>
                        </w:pPr>
                        <w:r>
                          <w:rPr>
                            <w:rFonts w:ascii="宋体" w:hAnsi="宋体" w:cs="宋体" w:eastAsia="宋体" w:hint="default"/>
                            <w:sz w:val="18"/>
                            <w:szCs w:val="18"/>
                          </w:rPr>
                          <w:t>纳入评价范围单位资 产总额占公司合并财 务报表资产总额的比 例</w:t>
                        </w:r>
                      </w:p>
                    </w:tc>
                    <w:tc>
                      <w:tcPr>
                        <w:tcW w:w="7907"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1336" w:hRule="exact"/>
                    </w:trPr>
                    <w:tc>
                      <w:tcPr>
                        <w:tcW w:w="1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52"/>
                          <w:jc w:val="both"/>
                          <w:rPr>
                            <w:rFonts w:ascii="宋体" w:hAnsi="宋体" w:cs="宋体" w:eastAsia="宋体" w:hint="default"/>
                            <w:sz w:val="18"/>
                            <w:szCs w:val="18"/>
                          </w:rPr>
                        </w:pPr>
                        <w:r>
                          <w:rPr>
                            <w:rFonts w:ascii="宋体" w:hAnsi="宋体" w:cs="宋体" w:eastAsia="宋体" w:hint="default"/>
                            <w:sz w:val="18"/>
                            <w:szCs w:val="18"/>
                          </w:rPr>
                          <w:t>纳入评价范围单位营 业收入占公司合并财 务报表营业收入的比 例</w:t>
                        </w:r>
                      </w:p>
                    </w:tc>
                    <w:tc>
                      <w:tcPr>
                        <w:tcW w:w="7907"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61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1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65" w:hRule="exact"/>
                    </w:trPr>
                    <w:tc>
                      <w:tcPr>
                        <w:tcW w:w="1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4851" w:type="dxa"/>
                        <w:vMerge w:val="restart"/>
                        <w:tcBorders>
                          <w:top w:val="single" w:sz="6" w:space="0" w:color="000000"/>
                          <w:left w:val="single" w:sz="12" w:space="0" w:color="D2D2D2"/>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15" w:right="-16"/>
                          <w:jc w:val="both"/>
                          <w:rPr>
                            <w:rFonts w:ascii="宋体" w:hAnsi="宋体" w:cs="宋体" w:eastAsia="宋体" w:hint="default"/>
                            <w:sz w:val="18"/>
                            <w:szCs w:val="18"/>
                          </w:rPr>
                        </w:pPr>
                        <w:r>
                          <w:rPr>
                            <w:rFonts w:ascii="宋体" w:hAnsi="宋体" w:cs="宋体" w:eastAsia="宋体" w:hint="default"/>
                            <w:spacing w:val="-4"/>
                            <w:sz w:val="18"/>
                            <w:szCs w:val="18"/>
                          </w:rPr>
                          <w:t>①重大缺陷：单独缺陷或连同其他缺陷导致不能及时防止或发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现并纠正财务报告中的重大错报。出现下列情形的，认定为重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）控制环境无效；</w:t>
                        </w:r>
                        <w:r>
                          <w:rPr>
                            <w:rFonts w:ascii="Times New Roman" w:hAnsi="Times New Roman" w:cs="Times New Roman" w:eastAsia="Times New Roman" w:hint="default"/>
                            <w:sz w:val="18"/>
                            <w:szCs w:val="18"/>
                          </w:rPr>
                          <w:t>B</w:t>
                        </w:r>
                        <w:r>
                          <w:rPr>
                            <w:rFonts w:ascii="宋体" w:hAnsi="宋体" w:cs="宋体" w:eastAsia="宋体" w:hint="default"/>
                            <w:sz w:val="18"/>
                            <w:szCs w:val="18"/>
                          </w:rPr>
                          <w:t>）公司董事、监事和高级管理</w:t>
                        </w:r>
                        <w:r>
                          <w:rPr>
                            <w:rFonts w:ascii="宋体" w:hAnsi="宋体" w:cs="宋体" w:eastAsia="宋体" w:hint="default"/>
                            <w:spacing w:val="-84"/>
                            <w:sz w:val="18"/>
                            <w:szCs w:val="18"/>
                          </w:rPr>
                          <w:t> </w:t>
                        </w:r>
                        <w:r>
                          <w:rPr>
                            <w:rFonts w:ascii="宋体" w:hAnsi="宋体" w:cs="宋体" w:eastAsia="宋体" w:hint="default"/>
                            <w:sz w:val="18"/>
                            <w:szCs w:val="18"/>
                          </w:rPr>
                          <w:t>人员舞弊并给企业造成重大损失和不利影响；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）外部审计发</w:t>
                        </w:r>
                      </w:p>
                      <w:p>
                        <w:pPr>
                          <w:pStyle w:val="TableParagraph"/>
                          <w:spacing w:line="304" w:lineRule="auto" w:before="4"/>
                          <w:ind w:left="15" w:right="-40"/>
                          <w:jc w:val="left"/>
                          <w:rPr>
                            <w:rFonts w:ascii="宋体" w:hAnsi="宋体" w:cs="宋体" w:eastAsia="宋体" w:hint="default"/>
                            <w:sz w:val="18"/>
                            <w:szCs w:val="18"/>
                          </w:rPr>
                        </w:pPr>
                        <w:r>
                          <w:rPr>
                            <w:rFonts w:ascii="宋体" w:hAnsi="宋体" w:cs="宋体" w:eastAsia="宋体" w:hint="default"/>
                            <w:sz w:val="18"/>
                            <w:szCs w:val="18"/>
                          </w:rPr>
                          <w:t>现当期财务报告存在重大错报，公司未能首先发现错报；</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r>
                          <w:rPr>
                            <w:rFonts w:ascii="宋体" w:hAnsi="宋体" w:cs="宋体" w:eastAsia="宋体" w:hint="default"/>
                            <w:spacing w:val="-81"/>
                            <w:sz w:val="18"/>
                            <w:szCs w:val="18"/>
                          </w:rPr>
                          <w:t> </w:t>
                        </w:r>
                        <w:r>
                          <w:rPr>
                            <w:rFonts w:ascii="宋体" w:hAnsi="宋体" w:cs="宋体" w:eastAsia="宋体" w:hint="default"/>
                            <w:spacing w:val="2"/>
                            <w:sz w:val="18"/>
                            <w:szCs w:val="18"/>
                          </w:rPr>
                          <w:t>已经发现并报告给管理层的重大缺陷在合理的时间内未加改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正；</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）公司审计委员会和公司内审部对内部控制的监督无效。</w:t>
                        </w:r>
                      </w:p>
                      <w:p>
                        <w:pPr>
                          <w:pStyle w:val="TableParagraph"/>
                          <w:spacing w:line="312" w:lineRule="auto"/>
                          <w:ind w:left="15" w:right="-16"/>
                          <w:jc w:val="both"/>
                          <w:rPr>
                            <w:rFonts w:ascii="宋体" w:hAnsi="宋体" w:cs="宋体" w:eastAsia="宋体" w:hint="default"/>
                            <w:sz w:val="18"/>
                            <w:szCs w:val="18"/>
                          </w:rPr>
                        </w:pPr>
                        <w:r>
                          <w:rPr>
                            <w:rFonts w:ascii="宋体" w:hAnsi="宋体" w:cs="宋体" w:eastAsia="宋体" w:hint="default"/>
                            <w:spacing w:val="-4"/>
                            <w:sz w:val="18"/>
                            <w:szCs w:val="18"/>
                          </w:rPr>
                          <w:t>②重要缺陷：严重程度低于重大缺陷，但导致企业无法及时防</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范或发现严重偏离整体控制目标的严重程度依然重大，需引起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管理关注。公司财务报告内部控制重要缺陷的定性标准：</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未按公认会计准则选择和应用会计政策；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）未建立防止舞弊 和重要缺陷的制衡制度和控制措施；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）财务报告过程中出现</w:t>
                        </w:r>
                      </w:p>
                      <w:p>
                        <w:pPr>
                          <w:pStyle w:val="TableParagraph"/>
                          <w:spacing w:line="321" w:lineRule="auto"/>
                          <w:ind w:left="15" w:right="32"/>
                          <w:jc w:val="both"/>
                          <w:rPr>
                            <w:rFonts w:ascii="宋体" w:hAnsi="宋体" w:cs="宋体" w:eastAsia="宋体" w:hint="default"/>
                            <w:sz w:val="18"/>
                            <w:szCs w:val="18"/>
                          </w:rPr>
                        </w:pPr>
                        <w:r>
                          <w:rPr>
                            <w:rFonts w:ascii="宋体" w:hAnsi="宋体" w:cs="宋体" w:eastAsia="宋体" w:hint="default"/>
                            <w:spacing w:val="-4"/>
                            <w:sz w:val="18"/>
                            <w:szCs w:val="18"/>
                          </w:rPr>
                          <w:t>单独或多项缺陷，虽然未达到重要缺陷认定标准，但影响到财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务报告的真实、准确目标。</w:t>
                        </w:r>
                        <w:r>
                          <w:rPr>
                            <w:rFonts w:ascii="宋体" w:hAnsi="宋体" w:cs="宋体" w:eastAsia="宋体" w:hint="default"/>
                            <w:spacing w:val="3"/>
                            <w:sz w:val="18"/>
                            <w:szCs w:val="18"/>
                          </w:rPr>
                          <w:t> </w:t>
                        </w:r>
                        <w:r>
                          <w:rPr>
                            <w:rFonts w:ascii="宋体" w:hAnsi="宋体" w:cs="宋体" w:eastAsia="宋体" w:hint="default"/>
                            <w:sz w:val="18"/>
                            <w:szCs w:val="18"/>
                          </w:rPr>
                          <w:t>③一般缺陷：未构成重大缺陷、</w:t>
                        </w:r>
                        <w:r>
                          <w:rPr>
                            <w:rFonts w:ascii="宋体" w:hAnsi="宋体" w:cs="宋体" w:eastAsia="宋体" w:hint="default"/>
                            <w:sz w:val="18"/>
                            <w:szCs w:val="18"/>
                          </w:rPr>
                          <w:t> 重要缺陷标准的其他内部控制缺陷。</w:t>
                        </w:r>
                      </w:p>
                    </w:tc>
                    <w:tc>
                      <w:tcPr>
                        <w:tcW w:w="3056" w:type="dxa"/>
                        <w:vMerge w:val="restart"/>
                        <w:tcBorders>
                          <w:top w:val="single" w:sz="6" w:space="0" w:color="000000"/>
                          <w:left w:val="single" w:sz="12" w:space="0" w:color="000000"/>
                          <w:right w:val="single" w:sz="6" w:space="0" w:color="000000"/>
                        </w:tcBorders>
                      </w:tcPr>
                      <w:p>
                        <w:pPr>
                          <w:pStyle w:val="TableParagraph"/>
                          <w:spacing w:line="307" w:lineRule="auto" w:before="45"/>
                          <w:ind w:right="13"/>
                          <w:jc w:val="left"/>
                          <w:rPr>
                            <w:rFonts w:ascii="宋体" w:hAnsi="宋体" w:cs="宋体" w:eastAsia="宋体" w:hint="default"/>
                            <w:sz w:val="18"/>
                            <w:szCs w:val="18"/>
                          </w:rPr>
                        </w:pPr>
                        <w:r>
                          <w:rPr>
                            <w:rFonts w:ascii="宋体" w:hAnsi="宋体" w:cs="宋体" w:eastAsia="宋体" w:hint="default"/>
                            <w:spacing w:val="-4"/>
                            <w:sz w:val="18"/>
                            <w:szCs w:val="18"/>
                          </w:rPr>
                          <w:t>①非财务报告内部控制重大缺陷。出现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下列情形的，认定为重大缺陷：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）违</w:t>
                        </w:r>
                        <w:r>
                          <w:rPr>
                            <w:rFonts w:ascii="宋体" w:hAnsi="宋体" w:cs="宋体" w:eastAsia="宋体" w:hint="default"/>
                            <w:spacing w:val="-83"/>
                            <w:sz w:val="18"/>
                            <w:szCs w:val="18"/>
                          </w:rPr>
                          <w:t> </w:t>
                        </w:r>
                        <w:r>
                          <w:rPr>
                            <w:rFonts w:ascii="宋体" w:hAnsi="宋体" w:cs="宋体" w:eastAsia="宋体" w:hint="default"/>
                            <w:sz w:val="18"/>
                            <w:szCs w:val="18"/>
                          </w:rPr>
                          <w:t>反国家法律、法规或规范性文件；</w:t>
                        </w:r>
                        <w:r>
                          <w:rPr>
                            <w:rFonts w:ascii="Times New Roman" w:hAnsi="Times New Roman" w:cs="Times New Roman" w:eastAsia="Times New Roman" w:hint="default"/>
                            <w:sz w:val="18"/>
                            <w:szCs w:val="18"/>
                          </w:rPr>
                          <w:t>B</w:t>
                        </w:r>
                        <w:r>
                          <w:rPr>
                            <w:rFonts w:ascii="宋体" w:hAnsi="宋体" w:cs="宋体" w:eastAsia="宋体" w:hint="default"/>
                            <w:sz w:val="18"/>
                            <w:szCs w:val="18"/>
                          </w:rPr>
                          <w:t>） </w:t>
                        </w:r>
                        <w:r>
                          <w:rPr>
                            <w:rFonts w:ascii="宋体" w:hAnsi="宋体" w:cs="宋体" w:eastAsia="宋体" w:hint="default"/>
                            <w:spacing w:val="-6"/>
                            <w:sz w:val="18"/>
                            <w:szCs w:val="18"/>
                          </w:rPr>
                          <w:t>决策程序不科学导致重大决策失误；</w:t>
                        </w:r>
                        <w:r>
                          <w:rPr>
                            <w:rFonts w:ascii="Times New Roman" w:hAnsi="Times New Roman" w:cs="Times New Roman" w:eastAsia="Times New Roman" w:hint="default"/>
                            <w:spacing w:val="-6"/>
                            <w:sz w:val="18"/>
                            <w:szCs w:val="18"/>
                          </w:rPr>
                          <w:t>C</w:t>
                        </w:r>
                        <w:r>
                          <w:rPr>
                            <w:rFonts w:ascii="Times New Roman" w:hAnsi="Times New Roman" w:cs="Times New Roman" w:eastAsia="Times New Roman" w:hint="default"/>
                            <w:spacing w:val="-30"/>
                            <w:sz w:val="18"/>
                            <w:szCs w:val="18"/>
                          </w:rPr>
                          <w:t> </w:t>
                        </w:r>
                        <w:r>
                          <w:rPr>
                            <w:rFonts w:ascii="宋体" w:hAnsi="宋体" w:cs="宋体" w:eastAsia="宋体" w:hint="default"/>
                            <w:spacing w:val="7"/>
                            <w:sz w:val="18"/>
                            <w:szCs w:val="18"/>
                          </w:rPr>
                          <w:t>重要业务制度性缺失或系统性失效；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pacing w:val="10"/>
                            <w:sz w:val="18"/>
                            <w:szCs w:val="18"/>
                          </w:rPr>
                          <w:t>D</w:t>
                        </w:r>
                        <w:r>
                          <w:rPr>
                            <w:rFonts w:ascii="宋体" w:hAnsi="宋体" w:cs="宋体" w:eastAsia="宋体" w:hint="default"/>
                            <w:spacing w:val="10"/>
                            <w:sz w:val="18"/>
                            <w:szCs w:val="18"/>
                          </w:rPr>
                          <w:t>）重大或重要缺陷不能得到有效整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改；</w:t>
                        </w:r>
                        <w:r>
                          <w:rPr>
                            <w:rFonts w:ascii="Times New Roman" w:hAnsi="Times New Roman" w:cs="Times New Roman" w:eastAsia="Times New Roman" w:hint="default"/>
                            <w:sz w:val="18"/>
                            <w:szCs w:val="18"/>
                          </w:rPr>
                          <w:t>E</w:t>
                        </w:r>
                        <w:r>
                          <w:rPr>
                            <w:rFonts w:ascii="宋体" w:hAnsi="宋体" w:cs="宋体" w:eastAsia="宋体" w:hint="default"/>
                            <w:sz w:val="18"/>
                            <w:szCs w:val="18"/>
                          </w:rPr>
                          <w:t>）安全事故对公司造成重大负面 影响的情形；</w:t>
                        </w:r>
                        <w:r>
                          <w:rPr>
                            <w:rFonts w:ascii="Times New Roman" w:hAnsi="Times New Roman" w:cs="Times New Roman" w:eastAsia="Times New Roman" w:hint="default"/>
                            <w:sz w:val="18"/>
                            <w:szCs w:val="18"/>
                          </w:rPr>
                          <w:t>F</w:t>
                        </w:r>
                        <w:r>
                          <w:rPr>
                            <w:rFonts w:ascii="宋体" w:hAnsi="宋体" w:cs="宋体" w:eastAsia="宋体" w:hint="default"/>
                            <w:sz w:val="18"/>
                            <w:szCs w:val="18"/>
                          </w:rPr>
                          <w:t>）其他对公司产生重大</w:t>
                        </w:r>
                        <w:r>
                          <w:rPr>
                            <w:rFonts w:ascii="宋体" w:hAnsi="宋体" w:cs="宋体" w:eastAsia="宋体" w:hint="default"/>
                            <w:spacing w:val="-86"/>
                            <w:sz w:val="18"/>
                            <w:szCs w:val="18"/>
                          </w:rPr>
                          <w:t> </w:t>
                        </w:r>
                        <w:r>
                          <w:rPr>
                            <w:rFonts w:ascii="宋体" w:hAnsi="宋体" w:cs="宋体" w:eastAsia="宋体" w:hint="default"/>
                            <w:spacing w:val="-4"/>
                            <w:sz w:val="18"/>
                            <w:szCs w:val="18"/>
                          </w:rPr>
                          <w:t>负面影响的情形。②非财务报告内部控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制重要缺陷。出现下列情形的，认定为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）重要业务制度或系统存</w:t>
                        </w:r>
                        <w:r>
                          <w:rPr>
                            <w:rFonts w:ascii="宋体" w:hAnsi="宋体" w:cs="宋体" w:eastAsia="宋体" w:hint="default"/>
                            <w:spacing w:val="-85"/>
                            <w:sz w:val="18"/>
                            <w:szCs w:val="18"/>
                          </w:rPr>
                          <w:t> </w:t>
                        </w:r>
                        <w:r>
                          <w:rPr>
                            <w:rFonts w:ascii="宋体" w:hAnsi="宋体" w:cs="宋体" w:eastAsia="宋体" w:hint="default"/>
                            <w:sz w:val="18"/>
                            <w:szCs w:val="18"/>
                          </w:rPr>
                          <w:t>在的缺陷；</w:t>
                        </w:r>
                        <w:r>
                          <w:rPr>
                            <w:rFonts w:ascii="Times New Roman" w:hAnsi="Times New Roman" w:cs="Times New Roman" w:eastAsia="Times New Roman" w:hint="default"/>
                            <w:sz w:val="18"/>
                            <w:szCs w:val="18"/>
                          </w:rPr>
                          <w:t>B</w:t>
                        </w:r>
                        <w:r>
                          <w:rPr>
                            <w:rFonts w:ascii="宋体" w:hAnsi="宋体" w:cs="宋体" w:eastAsia="宋体" w:hint="default"/>
                            <w:sz w:val="18"/>
                            <w:szCs w:val="18"/>
                          </w:rPr>
                          <w:t>）内部控制内部监督发现 的重要缺陷未及时整改；</w:t>
                        </w:r>
                        <w:r>
                          <w:rPr>
                            <w:rFonts w:ascii="Times New Roman" w:hAnsi="Times New Roman" w:cs="Times New Roman" w:eastAsia="Times New Roman" w:hint="default"/>
                            <w:sz w:val="18"/>
                            <w:szCs w:val="18"/>
                          </w:rPr>
                          <w:t>C</w:t>
                        </w:r>
                        <w:r>
                          <w:rPr>
                            <w:rFonts w:ascii="宋体" w:hAnsi="宋体" w:cs="宋体" w:eastAsia="宋体" w:hint="default"/>
                            <w:sz w:val="18"/>
                            <w:szCs w:val="18"/>
                          </w:rPr>
                          <w:t>）其他对公 </w:t>
                        </w:r>
                        <w:r>
                          <w:rPr>
                            <w:rFonts w:ascii="宋体" w:hAnsi="宋体" w:cs="宋体" w:eastAsia="宋体" w:hint="default"/>
                            <w:spacing w:val="-4"/>
                            <w:sz w:val="18"/>
                            <w:szCs w:val="18"/>
                          </w:rPr>
                          <w:t>司产生较大负面影响的情形。③非财务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报告内部控制一般缺陷。出现下列情形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的，认定为一般缺陷：</w:t>
                        </w:r>
                        <w:r>
                          <w:rPr>
                            <w:rFonts w:ascii="Times New Roman" w:hAnsi="Times New Roman" w:cs="Times New Roman" w:eastAsia="Times New Roman" w:hint="default"/>
                            <w:sz w:val="18"/>
                            <w:szCs w:val="18"/>
                          </w:rPr>
                          <w:t>A</w:t>
                        </w:r>
                        <w:r>
                          <w:rPr>
                            <w:rFonts w:ascii="宋体" w:hAnsi="宋体" w:cs="宋体" w:eastAsia="宋体" w:hint="default"/>
                            <w:sz w:val="18"/>
                            <w:szCs w:val="18"/>
                          </w:rPr>
                          <w:t>）一般业务制</w:t>
                        </w:r>
                        <w:r>
                          <w:rPr>
                            <w:rFonts w:ascii="宋体" w:hAnsi="宋体" w:cs="宋体" w:eastAsia="宋体" w:hint="default"/>
                            <w:spacing w:val="-84"/>
                            <w:sz w:val="18"/>
                            <w:szCs w:val="18"/>
                          </w:rPr>
                          <w:t> </w:t>
                        </w:r>
                        <w:r>
                          <w:rPr>
                            <w:rFonts w:ascii="宋体" w:hAnsi="宋体" w:cs="宋体" w:eastAsia="宋体" w:hint="default"/>
                            <w:sz w:val="18"/>
                            <w:szCs w:val="18"/>
                          </w:rPr>
                          <w:t>度或系统存在缺陷；</w:t>
                        </w:r>
                        <w:r>
                          <w:rPr>
                            <w:rFonts w:ascii="Times New Roman" w:hAnsi="Times New Roman" w:cs="Times New Roman" w:eastAsia="Times New Roman" w:hint="default"/>
                            <w:sz w:val="18"/>
                            <w:szCs w:val="18"/>
                          </w:rPr>
                          <w:t>B</w:t>
                        </w:r>
                        <w:r>
                          <w:rPr>
                            <w:rFonts w:ascii="宋体" w:hAnsi="宋体" w:cs="宋体" w:eastAsia="宋体" w:hint="default"/>
                            <w:sz w:val="18"/>
                            <w:szCs w:val="18"/>
                          </w:rPr>
                          <w:t>）内部控制内部 监督发现的一般缺陷未及时整改。</w:t>
                        </w:r>
                      </w:p>
                    </w:tc>
                  </w:tr>
                  <w:tr>
                    <w:trPr>
                      <w:trHeight w:val="390" w:hRule="exact"/>
                    </w:trPr>
                    <w:tc>
                      <w:tcPr>
                        <w:tcW w:w="170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851" w:type="dxa"/>
                        <w:vMerge/>
                        <w:tcBorders>
                          <w:left w:val="single" w:sz="12" w:space="0" w:color="D2D2D2"/>
                          <w:right w:val="single" w:sz="12" w:space="0" w:color="000000"/>
                        </w:tcBorders>
                      </w:tcPr>
                      <w:p>
                        <w:pPr/>
                      </w:p>
                    </w:tc>
                    <w:tc>
                      <w:tcPr>
                        <w:tcW w:w="3056" w:type="dxa"/>
                        <w:vMerge/>
                        <w:tcBorders>
                          <w:left w:val="single" w:sz="12" w:space="0" w:color="000000"/>
                          <w:right w:val="single" w:sz="6" w:space="0" w:color="000000"/>
                        </w:tcBorders>
                      </w:tcPr>
                      <w:p>
                        <w:pPr/>
                      </w:p>
                    </w:tc>
                  </w:tr>
                  <w:tr>
                    <w:trPr>
                      <w:trHeight w:val="2649" w:hRule="exact"/>
                    </w:trPr>
                    <w:tc>
                      <w:tcPr>
                        <w:tcW w:w="1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4851" w:type="dxa"/>
                        <w:vMerge/>
                        <w:tcBorders>
                          <w:left w:val="single" w:sz="12" w:space="0" w:color="D2D2D2"/>
                          <w:bottom w:val="single" w:sz="6" w:space="0" w:color="000000"/>
                          <w:right w:val="single" w:sz="12" w:space="0" w:color="000000"/>
                        </w:tcBorders>
                      </w:tcPr>
                      <w:p>
                        <w:pPr/>
                      </w:p>
                    </w:tc>
                    <w:tc>
                      <w:tcPr>
                        <w:tcW w:w="3056" w:type="dxa"/>
                        <w:vMerge/>
                        <w:tcBorders>
                          <w:left w:val="single" w:sz="12" w:space="0" w:color="000000"/>
                          <w:bottom w:val="single" w:sz="6" w:space="0" w:color="000000"/>
                          <w:right w:val="single" w:sz="6" w:space="0" w:color="000000"/>
                        </w:tcBorders>
                      </w:tcPr>
                      <w:p>
                        <w:pPr/>
                      </w:p>
                    </w:tc>
                  </w:tr>
                </w:tbl>
                <w:p>
                  <w:pPr/>
                </w:p>
              </w:txbxContent>
            </v:textbox>
            <w10:wrap type="none"/>
          </v:shape>
        </w:pict>
      </w:r>
      <w:r>
        <w:rPr/>
        <w:t>）</w:t>
      </w:r>
    </w:p>
    <w:p>
      <w:pPr>
        <w:spacing w:after="0" w:line="240" w:lineRule="auto"/>
        <w:jc w:val="right"/>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group style="position:absolute;margin-left:385.230011pt;margin-top:152.375pt;width:150.950pt;height:31.55pt;mso-position-horizontal-relative:page;mso-position-vertical-relative:page;z-index:-1196800" coordorigin="7705,3048" coordsize="3019,631">
            <v:group style="position:absolute;left:7705;top:3048;width:3019;height:316" coordorigin="7705,3048" coordsize="3019,316">
              <v:shape style="position:absolute;left:7705;top:3048;width:3019;height:316" coordorigin="7705,3048" coordsize="3019,316" path="m7705,3363l10724,3363,10724,3048,7705,3048,7705,3363xe" filled="true" fillcolor="#ffffff" stroked="false">
                <v:path arrowok="t"/>
                <v:fill type="solid"/>
              </v:shape>
            </v:group>
            <v:group style="position:absolute;left:7705;top:3363;width:3019;height:315" coordorigin="7705,3363" coordsize="3019,315">
              <v:shape style="position:absolute;left:7705;top:3363;width:3019;height:315" coordorigin="7705,3363" coordsize="3019,315" path="m7705,3678l10724,3678,10724,3363,7705,3363,7705,3678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1712"/>
        <w:gridCol w:w="4844"/>
        <w:gridCol w:w="3056"/>
      </w:tblGrid>
      <w:tr>
        <w:trPr>
          <w:trHeight w:val="5089"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8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1"/>
              <w:ind w:left="15"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①符合下列条件之一的，可以认定为重大缺陷：项目</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w:t>
            </w:r>
            <w:r>
              <w:rPr>
                <w:rFonts w:ascii="宋体" w:hAnsi="宋体" w:cs="宋体" w:eastAsia="宋体" w:hint="default"/>
                <w:spacing w:val="-71"/>
                <w:sz w:val="18"/>
                <w:szCs w:val="18"/>
              </w:rPr>
              <w:t> </w:t>
            </w:r>
            <w:r>
              <w:rPr>
                <w:rFonts w:ascii="宋体" w:hAnsi="宋体" w:cs="宋体" w:eastAsia="宋体" w:hint="default"/>
                <w:sz w:val="18"/>
                <w:szCs w:val="18"/>
              </w:rPr>
              <w:t>额潜在错报，缺陷影响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81"/>
                <w:sz w:val="18"/>
                <w:szCs w:val="18"/>
              </w:rPr>
              <w:t> </w:t>
            </w:r>
            <w:r>
              <w:rPr>
                <w:rFonts w:ascii="宋体" w:hAnsi="宋体" w:cs="宋体" w:eastAsia="宋体" w:hint="default"/>
                <w:sz w:val="18"/>
                <w:szCs w:val="18"/>
              </w:rPr>
              <w:t>潜在错报，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 潜在错报</w:t>
            </w:r>
            <w:r>
              <w:rPr>
                <w:rFonts w:ascii="宋体" w:hAnsi="宋体" w:cs="宋体" w:eastAsia="宋体" w:hint="default"/>
                <w:spacing w:val="2"/>
                <w:sz w:val="18"/>
                <w:szCs w:val="18"/>
              </w:rPr>
              <w:t> </w:t>
            </w:r>
            <w:r>
              <w:rPr>
                <w:rFonts w:ascii="宋体" w:hAnsi="宋体" w:cs="宋体" w:eastAsia="宋体" w:hint="default"/>
                <w:spacing w:val="-3"/>
                <w:sz w:val="18"/>
                <w:szCs w:val="18"/>
              </w:rPr>
              <w:t>，缺陷影响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营业收入总额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②符合下列</w:t>
            </w:r>
            <w:r>
              <w:rPr>
                <w:rFonts w:ascii="宋体" w:hAnsi="宋体" w:cs="宋体" w:eastAsia="宋体" w:hint="default"/>
                <w:sz w:val="18"/>
                <w:szCs w:val="18"/>
              </w:rPr>
              <w:t> </w:t>
            </w:r>
            <w:r>
              <w:rPr>
                <w:rFonts w:ascii="宋体" w:hAnsi="宋体" w:cs="宋体" w:eastAsia="宋体" w:hint="default"/>
                <w:spacing w:val="-3"/>
                <w:sz w:val="18"/>
                <w:szCs w:val="18"/>
              </w:rPr>
              <w:t>条件之一的，可以认定为重要缺陷：项目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利润总额潜在错报，</w:t>
            </w:r>
            <w:r>
              <w:rPr>
                <w:rFonts w:ascii="宋体" w:hAnsi="宋体" w:cs="宋体" w:eastAsia="宋体" w:hint="default"/>
                <w:spacing w:val="-64"/>
                <w:sz w:val="18"/>
                <w:szCs w:val="18"/>
              </w:rPr>
              <w:t> </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87"/>
                <w:sz w:val="18"/>
                <w:szCs w:val="18"/>
              </w:rPr>
              <w:t> </w:t>
            </w:r>
            <w:r>
              <w:rPr>
                <w:rFonts w:ascii="宋体" w:hAnsi="宋体" w:cs="宋体" w:eastAsia="宋体" w:hint="default"/>
                <w:sz w:val="18"/>
                <w:szCs w:val="18"/>
              </w:rPr>
              <w:t>潜在错报，</w:t>
            </w:r>
            <w:r>
              <w:rPr>
                <w:rFonts w:ascii="宋体" w:hAnsi="宋体" w:cs="宋体" w:eastAsia="宋体" w:hint="default"/>
                <w:spacing w:val="2"/>
                <w:sz w:val="18"/>
                <w:szCs w:val="18"/>
              </w:rPr>
              <w:t> </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营业收入总额潜在错报 缺陷影响</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错报＜营业收入总额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③符合下列条件之一的，可以认 定为一般缺陷：项目</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利润总额潜在错报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宋体" w:hAnsi="宋体" w:cs="宋体" w:eastAsia="宋体" w:hint="default"/>
                <w:spacing w:val="-44"/>
                <w:sz w:val="18"/>
                <w:szCs w:val="18"/>
              </w:rPr>
              <w:t> </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资产总额潜在错报</w:t>
            </w:r>
            <w:r>
              <w:rPr>
                <w:rFonts w:ascii="宋体" w:hAnsi="宋体" w:cs="宋体" w:eastAsia="宋体" w:hint="default"/>
                <w:spacing w:val="2"/>
                <w:sz w:val="18"/>
                <w:szCs w:val="18"/>
              </w:rPr>
              <w:t> </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 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营业收入总额潜在错报，缺陷影响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错 报＜营业收入总额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tc>
        <w:tc>
          <w:tcPr>
            <w:tcW w:w="3056" w:type="dxa"/>
            <w:tcBorders>
              <w:top w:val="single" w:sz="6" w:space="0" w:color="000000"/>
              <w:left w:val="single" w:sz="12" w:space="0" w:color="000000"/>
              <w:bottom w:val="single" w:sz="6" w:space="0" w:color="000000"/>
              <w:right w:val="single" w:sz="6" w:space="0" w:color="000000"/>
            </w:tcBorders>
          </w:tcPr>
          <w:p>
            <w:pPr>
              <w:pStyle w:val="TableParagraph"/>
              <w:spacing w:line="312" w:lineRule="auto" w:before="44"/>
              <w:ind w:right="18"/>
              <w:jc w:val="both"/>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损失与利润表有关的，以营业收入指标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衡量。如果该缺陷单独或连同其他缺陷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可能导致财务报告错报金额超过营业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收入</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，则认定为重大缺陷；如果超 过营业收入的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，则为重</w:t>
            </w:r>
            <w:r>
              <w:rPr>
                <w:rFonts w:ascii="宋体" w:hAnsi="宋体" w:cs="宋体" w:eastAsia="宋体" w:hint="default"/>
                <w:sz w:val="18"/>
                <w:szCs w:val="18"/>
              </w:rPr>
              <w:t> 要缺陷；如果小于营业收入的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w:t>
            </w:r>
            <w:r>
              <w:rPr>
                <w:rFonts w:ascii="宋体" w:hAnsi="宋体" w:cs="宋体" w:eastAsia="宋体" w:hint="default"/>
                <w:spacing w:val="-4"/>
                <w:sz w:val="18"/>
                <w:szCs w:val="18"/>
              </w:rPr>
              <w:t>则认定为一般缺陷。内部控制缺陷可能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导致或导致损失与资产管理相关的，以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资产总额指标衡量。如果该缺陷单独或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连同其他缺陷可能导致财务报告错报</w:t>
            </w:r>
          </w:p>
          <w:p>
            <w:pPr>
              <w:pStyle w:val="TableParagraph"/>
              <w:spacing w:line="297" w:lineRule="auto" w:before="41"/>
              <w:ind w:right="28"/>
              <w:jc w:val="both"/>
              <w:rPr>
                <w:rFonts w:ascii="宋体" w:hAnsi="宋体" w:cs="宋体" w:eastAsia="宋体" w:hint="default"/>
                <w:sz w:val="18"/>
                <w:szCs w:val="18"/>
              </w:rPr>
            </w:pPr>
            <w:r>
              <w:rPr>
                <w:rFonts w:ascii="宋体" w:hAnsi="宋体" w:cs="宋体" w:eastAsia="宋体" w:hint="default"/>
                <w:sz w:val="18"/>
                <w:szCs w:val="18"/>
              </w:rPr>
              <w:t>金额超过资产总额</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 缺陷；如果超过资产总额的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 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，则为重要缺陷；如果小于资产 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财务报告重大缺陷数 量（个）</w:t>
            </w:r>
          </w:p>
        </w:tc>
        <w:tc>
          <w:tcPr>
            <w:tcW w:w="7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非财务报告重大缺陷 数量（个）</w:t>
            </w:r>
          </w:p>
        </w:tc>
        <w:tc>
          <w:tcPr>
            <w:tcW w:w="7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财务报告重要缺陷数 量（个）</w:t>
            </w:r>
          </w:p>
        </w:tc>
        <w:tc>
          <w:tcPr>
            <w:tcW w:w="7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非财务报告重要缺陷 数量（个）</w:t>
            </w:r>
          </w:p>
        </w:tc>
        <w:tc>
          <w:tcPr>
            <w:tcW w:w="7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8"/>
        <w:rPr>
          <w:rFonts w:ascii="Times New Roman" w:hAnsi="Times New Roman" w:cs="Times New Roman" w:eastAsia="Times New Roman" w:hint="default"/>
          <w:sz w:val="21"/>
          <w:szCs w:val="21"/>
        </w:rPr>
      </w:pPr>
    </w:p>
    <w:p>
      <w:pPr>
        <w:pStyle w:val="Heading3"/>
        <w:spacing w:line="240" w:lineRule="auto" w:before="26"/>
        <w:ind w:left="641" w:right="4629"/>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pStyle w:val="BodyText"/>
        <w:spacing w:line="240" w:lineRule="auto" w:before="41"/>
        <w:ind w:left="641" w:right="4629"/>
        <w:jc w:val="left"/>
      </w:pP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572"/>
        <w:jc w:val="right"/>
      </w:pPr>
      <w:r>
        <w:rPr/>
        <w:pict>
          <v:shape style="position:absolute;margin-left:30.799999pt;margin-top:-168.938278pt;width:534.3pt;height:586.2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4"/>
                    <w:gridCol w:w="7689"/>
                  </w:tblGrid>
                  <w:tr>
                    <w:trPr>
                      <w:trHeight w:val="405" w:hRule="exact"/>
                    </w:trPr>
                    <w:tc>
                      <w:tcPr>
                        <w:tcW w:w="1066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9294" w:hRule="exact"/>
                    </w:trPr>
                    <w:tc>
                      <w:tcPr>
                        <w:tcW w:w="106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444" w:lineRule="auto"/>
                          <w:ind w:left="585" w:right="32" w:hanging="556"/>
                          <w:jc w:val="left"/>
                          <w:rPr>
                            <w:rFonts w:ascii="宋体" w:hAnsi="宋体" w:cs="宋体" w:eastAsia="宋体" w:hint="default"/>
                            <w:sz w:val="18"/>
                            <w:szCs w:val="18"/>
                          </w:rPr>
                        </w:pPr>
                        <w:r>
                          <w:rPr>
                            <w:rFonts w:ascii="宋体" w:hAnsi="宋体" w:cs="宋体" w:eastAsia="宋体" w:hint="default"/>
                            <w:sz w:val="18"/>
                            <w:szCs w:val="18"/>
                          </w:rPr>
                          <w:t>宣亚国际营销科技（北京）股份有限公司全体股东： </w:t>
                        </w:r>
                        <w:r>
                          <w:rPr>
                            <w:rFonts w:ascii="宋体" w:hAnsi="宋体" w:cs="宋体" w:eastAsia="宋体" w:hint="default"/>
                            <w:spacing w:val="-1"/>
                            <w:sz w:val="18"/>
                            <w:szCs w:val="18"/>
                          </w:rPr>
                          <w:t>我们接受委托，审核了后附的宣亚国际营销科技（北京）股份有限公司（以下简称“贵公司”）管理层按照《企业内部控制基本</w:t>
                        </w:r>
                      </w:p>
                      <w:p>
                        <w:pPr>
                          <w:pStyle w:val="TableParagraph"/>
                          <w:spacing w:line="412" w:lineRule="auto" w:before="2"/>
                          <w:ind w:left="585" w:right="3679" w:hanging="556"/>
                          <w:jc w:val="left"/>
                          <w:rPr>
                            <w:rFonts w:ascii="宋体" w:hAnsi="宋体" w:cs="宋体" w:eastAsia="宋体" w:hint="default"/>
                            <w:sz w:val="18"/>
                            <w:szCs w:val="18"/>
                          </w:rPr>
                        </w:pPr>
                        <w:r>
                          <w:rPr>
                            <w:rFonts w:ascii="宋体" w:hAnsi="宋体" w:cs="宋体" w:eastAsia="宋体" w:hint="default"/>
                            <w:sz w:val="18"/>
                            <w:szCs w:val="18"/>
                          </w:rPr>
                          <w:t>规范》及相关规定对</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日与财务报表相关的内部控制有效性作出的认定。 一、重大固有限制的说明</w:t>
                        </w:r>
                      </w:p>
                      <w:p>
                        <w:pPr>
                          <w:pStyle w:val="TableParagraph"/>
                          <w:spacing w:line="398" w:lineRule="auto" w:before="40"/>
                          <w:ind w:left="29" w:right="25" w:firstLine="555"/>
                          <w:jc w:val="both"/>
                          <w:rPr>
                            <w:rFonts w:ascii="宋体" w:hAnsi="宋体" w:cs="宋体" w:eastAsia="宋体" w:hint="default"/>
                            <w:sz w:val="18"/>
                            <w:szCs w:val="18"/>
                          </w:rPr>
                        </w:pPr>
                        <w:r>
                          <w:rPr>
                            <w:rFonts w:ascii="宋体" w:hAnsi="宋体" w:cs="宋体" w:eastAsia="宋体" w:hint="default"/>
                            <w:spacing w:val="-1"/>
                            <w:sz w:val="18"/>
                            <w:szCs w:val="18"/>
                          </w:rPr>
                          <w:t>内部控制具有固有限制，存在由于错误或舞弊而导致错报发生且未被发现的可能性。此外，由于情况的变化可能导致内部控制变</w:t>
                        </w:r>
                        <w:r>
                          <w:rPr>
                            <w:rFonts w:ascii="宋体" w:hAnsi="宋体" w:cs="宋体" w:eastAsia="宋体" w:hint="default"/>
                            <w:sz w:val="18"/>
                            <w:szCs w:val="18"/>
                          </w:rPr>
                          <w:t> 得不恰当，或降低对控制政策、程序遵循的程度，根据内部控制评价结果推测未来内部控制有效性具有一定的风险。</w:t>
                        </w:r>
                      </w:p>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二、对报告使用者和使用目的的限定</w:t>
                        </w:r>
                      </w:p>
                      <w:p>
                        <w:pPr>
                          <w:pStyle w:val="TableParagraph"/>
                          <w:spacing w:line="240" w:lineRule="auto" w:before="13"/>
                          <w:ind w:right="0"/>
                          <w:jc w:val="left"/>
                          <w:rPr>
                            <w:rFonts w:ascii="宋体" w:hAnsi="宋体" w:cs="宋体" w:eastAsia="宋体" w:hint="default"/>
                            <w:sz w:val="12"/>
                            <w:szCs w:val="12"/>
                          </w:rPr>
                        </w:pPr>
                      </w:p>
                      <w:p>
                        <w:pPr>
                          <w:pStyle w:val="TableParagraph"/>
                          <w:spacing w:line="398" w:lineRule="auto"/>
                          <w:ind w:left="29" w:right="121" w:firstLine="555"/>
                          <w:jc w:val="left"/>
                          <w:rPr>
                            <w:rFonts w:ascii="宋体" w:hAnsi="宋体" w:cs="宋体" w:eastAsia="宋体" w:hint="default"/>
                            <w:sz w:val="18"/>
                            <w:szCs w:val="18"/>
                          </w:rPr>
                        </w:pPr>
                        <w:r>
                          <w:rPr>
                            <w:rFonts w:ascii="宋体" w:hAnsi="宋体" w:cs="宋体" w:eastAsia="宋体" w:hint="default"/>
                            <w:sz w:val="18"/>
                            <w:szCs w:val="18"/>
                          </w:rPr>
                          <w:t>本鉴证报告仅供</w:t>
                        </w:r>
                        <w:r>
                          <w:rPr>
                            <w:rFonts w:ascii="宋体" w:hAnsi="宋体" w:cs="宋体" w:eastAsia="宋体" w:hint="default"/>
                            <w:spacing w:val="-39"/>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5"/>
                            <w:sz w:val="18"/>
                            <w:szCs w:val="18"/>
                          </w:rPr>
                          <w:t>公司年度报告披露时使用，不得用作任何其他目的。我们同意将本鉴证报告作为</w:t>
                        </w:r>
                        <w:r>
                          <w:rPr>
                            <w:rFonts w:ascii="宋体" w:hAnsi="宋体" w:cs="宋体" w:eastAsia="宋体" w:hint="default"/>
                            <w:spacing w:val="-32"/>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年度报告的必备文件 随同其他文件一起报送并对外披露。</w:t>
                        </w:r>
                      </w:p>
                      <w:p>
                        <w:pPr>
                          <w:pStyle w:val="TableParagraph"/>
                          <w:spacing w:line="412" w:lineRule="auto" w:before="50"/>
                          <w:ind w:left="585" w:right="36"/>
                          <w:jc w:val="left"/>
                          <w:rPr>
                            <w:rFonts w:ascii="宋体" w:hAnsi="宋体" w:cs="宋体" w:eastAsia="宋体" w:hint="default"/>
                            <w:sz w:val="18"/>
                            <w:szCs w:val="18"/>
                          </w:rPr>
                        </w:pPr>
                        <w:r>
                          <w:rPr>
                            <w:rFonts w:ascii="宋体" w:hAnsi="宋体" w:cs="宋体" w:eastAsia="宋体" w:hint="default"/>
                            <w:sz w:val="18"/>
                            <w:szCs w:val="18"/>
                          </w:rPr>
                          <w:t>三、管理层的责任 </w:t>
                        </w:r>
                        <w:r>
                          <w:rPr>
                            <w:rFonts w:ascii="宋体" w:hAnsi="宋体" w:cs="宋体" w:eastAsia="宋体" w:hint="default"/>
                            <w:spacing w:val="2"/>
                            <w:sz w:val="18"/>
                            <w:szCs w:val="18"/>
                          </w:rPr>
                          <w:t>贵公司管理层的责任是建立健全内部控制并保持其有效性，同时按照财政部等五部委颁布的《企业内部控制基本规范》（财会</w:t>
                        </w:r>
                      </w:p>
                      <w:p>
                        <w:pPr>
                          <w:pStyle w:val="TableParagraph"/>
                          <w:spacing w:line="412" w:lineRule="auto" w:before="25"/>
                          <w:ind w:left="585" w:right="1476" w:hanging="55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7 </w:t>
                        </w:r>
                        <w:r>
                          <w:rPr>
                            <w:rFonts w:ascii="宋体" w:hAnsi="宋体" w:cs="宋体" w:eastAsia="宋体" w:hint="default"/>
                            <w:sz w:val="18"/>
                            <w:szCs w:val="18"/>
                          </w:rPr>
                          <w:t>号）及相关规定对</w:t>
                        </w:r>
                        <w:r>
                          <w:rPr>
                            <w:rFonts w:ascii="宋体" w:hAnsi="宋体" w:cs="宋体" w:eastAsia="宋体" w:hint="default"/>
                            <w:spacing w:val="2"/>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日与财务报表相关的内部控制有效性作出认定，并对上述认定负责。 四、注册会计师的责任</w:t>
                        </w:r>
                      </w:p>
                      <w:p>
                        <w:pPr>
                          <w:pStyle w:val="TableParagraph"/>
                          <w:spacing w:line="398" w:lineRule="auto" w:before="40"/>
                          <w:ind w:left="585" w:right="4300"/>
                          <w:jc w:val="left"/>
                          <w:rPr>
                            <w:rFonts w:ascii="宋体" w:hAnsi="宋体" w:cs="宋体" w:eastAsia="宋体" w:hint="default"/>
                            <w:sz w:val="18"/>
                            <w:szCs w:val="18"/>
                          </w:rPr>
                        </w:pPr>
                        <w:r>
                          <w:rPr>
                            <w:rFonts w:ascii="宋体" w:hAnsi="宋体" w:cs="宋体" w:eastAsia="宋体" w:hint="default"/>
                            <w:sz w:val="18"/>
                            <w:szCs w:val="18"/>
                          </w:rPr>
                          <w:t>我们的责任是在实施鉴证工作的基础上对内部控制有效性发表鉴证意见。 五、工作概述</w:t>
                        </w:r>
                      </w:p>
                      <w:p>
                        <w:pPr>
                          <w:pStyle w:val="TableParagraph"/>
                          <w:spacing w:line="408" w:lineRule="auto" w:before="51"/>
                          <w:ind w:left="29" w:right="-24" w:firstLine="555"/>
                          <w:jc w:val="both"/>
                          <w:rPr>
                            <w:rFonts w:ascii="宋体" w:hAnsi="宋体" w:cs="宋体" w:eastAsia="宋体" w:hint="default"/>
                            <w:sz w:val="18"/>
                            <w:szCs w:val="18"/>
                          </w:rPr>
                        </w:pPr>
                        <w:r>
                          <w:rPr>
                            <w:rFonts w:ascii="宋体" w:hAnsi="宋体" w:cs="宋体" w:eastAsia="宋体" w:hint="default"/>
                            <w:sz w:val="18"/>
                            <w:szCs w:val="18"/>
                          </w:rPr>
                          <w:t>我们按照《中国注册会计师其他鉴证业务准则第 </w:t>
                        </w:r>
                        <w:r>
                          <w:rPr>
                            <w:rFonts w:ascii="宋体" w:hAnsi="宋体" w:cs="宋体" w:eastAsia="宋体" w:hint="default"/>
                            <w:sz w:val="18"/>
                            <w:szCs w:val="18"/>
                          </w:rPr>
                          <w:t>3101</w:t>
                        </w:r>
                        <w:r>
                          <w:rPr>
                            <w:rFonts w:ascii="宋体" w:hAnsi="宋体" w:cs="宋体" w:eastAsia="宋体" w:hint="default"/>
                            <w:spacing w:val="5"/>
                            <w:sz w:val="18"/>
                            <w:szCs w:val="18"/>
                          </w:rPr>
                          <w:t> </w:t>
                        </w:r>
                        <w:r>
                          <w:rPr>
                            <w:rFonts w:ascii="宋体" w:hAnsi="宋体" w:cs="宋体" w:eastAsia="宋体" w:hint="default"/>
                            <w:sz w:val="18"/>
                            <w:szCs w:val="18"/>
                          </w:rPr>
                          <w:t>号—历史财务信息审计或审阅以外的鉴证业务》的规定执行了鉴证业务。 上述规定要求我们计划和实施鉴证工作，以对鉴证对象信息是否不存在重大错报获取合理保证。在鉴证过程中，我们实施了包括了解、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测试和评价内部控制设计的合理性和执行的有效性，以及我们认为必要的其他程序。我们相信，我们的鉴证工作为发表意见提供了合理</w:t>
                        </w:r>
                        <w:r>
                          <w:rPr>
                            <w:rFonts w:ascii="宋体" w:hAnsi="宋体" w:cs="宋体" w:eastAsia="宋体" w:hint="default"/>
                            <w:sz w:val="18"/>
                            <w:szCs w:val="18"/>
                          </w:rPr>
                          <w:t> 的基础。</w:t>
                        </w:r>
                      </w:p>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六、鉴证结论</w:t>
                        </w:r>
                      </w:p>
                      <w:p>
                        <w:pPr>
                          <w:pStyle w:val="TableParagraph"/>
                          <w:spacing w:line="412" w:lineRule="auto" w:before="154"/>
                          <w:ind w:left="29" w:right="31" w:firstLine="555"/>
                          <w:jc w:val="both"/>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37"/>
                            <w:sz w:val="18"/>
                            <w:szCs w:val="18"/>
                          </w:rPr>
                          <w:t> </w:t>
                        </w:r>
                        <w:r>
                          <w:rPr>
                            <w:rFonts w:ascii="宋体" w:hAnsi="宋体" w:cs="宋体" w:eastAsia="宋体" w:hint="default"/>
                            <w:sz w:val="18"/>
                            <w:szCs w:val="18"/>
                          </w:rPr>
                          <w:t>2019</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7"/>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日在所有重大方面保持 了与财务报表相关的有效的内部控制。</w:t>
                        </w:r>
                      </w:p>
                      <w:p>
                        <w:pPr>
                          <w:pStyle w:val="TableParagraph"/>
                          <w:spacing w:line="240" w:lineRule="auto" w:before="40"/>
                          <w:ind w:left="585" w:right="0"/>
                          <w:jc w:val="left"/>
                          <w:rPr>
                            <w:rFonts w:ascii="宋体" w:hAnsi="宋体" w:cs="宋体" w:eastAsia="宋体" w:hint="default"/>
                            <w:sz w:val="18"/>
                            <w:szCs w:val="18"/>
                          </w:rPr>
                        </w:pPr>
                        <w:r>
                          <w:rPr>
                            <w:rFonts w:ascii="宋体" w:hAnsi="宋体" w:cs="宋体" w:eastAsia="宋体" w:hint="default"/>
                            <w:sz w:val="18"/>
                            <w:szCs w:val="18"/>
                          </w:rPr>
                          <w:t>本结论是在受到鉴证报告中指出的固有限制的条件下形成的。</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7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7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7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7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7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44"/>
        <w:ind w:left="641" w:right="4629"/>
        <w:jc w:val="left"/>
      </w:pPr>
      <w:r>
        <w:rPr/>
        <w:t>会计师事务所是否出具非标准意见的内部控制鉴证报告</w:t>
      </w:r>
    </w:p>
    <w:p>
      <w:pPr>
        <w:pStyle w:val="BodyText"/>
        <w:spacing w:line="333" w:lineRule="auto" w:before="124"/>
        <w:ind w:left="641" w:right="46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会计师事务所出具的内部控制鉴证报告与董事会的自我评价报告意见是否一致</w:t>
      </w:r>
    </w:p>
    <w:p>
      <w:pPr>
        <w:pStyle w:val="BodyText"/>
        <w:spacing w:line="240" w:lineRule="auto" w:before="54"/>
        <w:ind w:left="641" w:right="46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866" w:footer="981" w:top="1120" w:bottom="1180" w:left="5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3040" w:right="0"/>
        <w:jc w:val="left"/>
        <w:rPr>
          <w:b w:val="0"/>
          <w:bCs w:val="0"/>
        </w:rPr>
      </w:pPr>
      <w:bookmarkStart w:name="第十一节公司债券相关情况" w:id="150"/>
      <w:bookmarkEnd w:id="150"/>
      <w:r>
        <w:rPr>
          <w:b w:val="0"/>
          <w:bCs w:val="0"/>
        </w:rPr>
      </w:r>
      <w:bookmarkStart w:name="_bookmark10" w:id="151"/>
      <w:bookmarkEnd w:id="151"/>
      <w:r>
        <w:rPr>
          <w:b w:val="0"/>
          <w:bCs w:val="0"/>
        </w:rPr>
      </w:r>
      <w:r>
        <w:rPr>
          <w:spacing w:val="5"/>
        </w:rPr>
        <w:t>第十一节公司债券相关情况</w:t>
      </w:r>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right="2658"/>
        <w:jc w:val="center"/>
        <w:rPr>
          <w:b w:val="0"/>
          <w:bCs w:val="0"/>
        </w:rPr>
      </w:pPr>
      <w:bookmarkStart w:name="第十二节财务报告" w:id="152"/>
      <w:bookmarkEnd w:id="152"/>
      <w:r>
        <w:rPr>
          <w:b w:val="0"/>
          <w:bCs w:val="0"/>
        </w:rPr>
      </w:r>
      <w:bookmarkStart w:name="_bookmark11" w:id="153"/>
      <w:bookmarkEnd w:id="153"/>
      <w:r>
        <w:rPr>
          <w:b w:val="0"/>
          <w:bCs w:val="0"/>
        </w:rPr>
      </w:r>
      <w:r>
        <w:rPr>
          <w:spacing w:val="4"/>
        </w:rPr>
        <w:t>第十二节财务报告</w:t>
      </w:r>
      <w:r>
        <w:rPr>
          <w:b w:val="0"/>
          <w:bCs w:val="0"/>
          <w:spacing w:val="4"/>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ZG10765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许培梅、顾欣</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line="505" w:lineRule="exact" w:before="0"/>
        <w:ind w:left="1691" w:right="2645" w:firstLine="0"/>
        <w:jc w:val="center"/>
        <w:rPr>
          <w:rFonts w:ascii="宋体" w:hAnsi="宋体" w:cs="宋体" w:eastAsia="宋体" w:hint="default"/>
          <w:sz w:val="40"/>
          <w:szCs w:val="40"/>
        </w:rPr>
      </w:pPr>
      <w:r>
        <w:rPr>
          <w:rFonts w:ascii="宋体" w:hAnsi="宋体" w:cs="宋体" w:eastAsia="宋体" w:hint="default"/>
          <w:b/>
          <w:bCs/>
          <w:sz w:val="40"/>
          <w:szCs w:val="40"/>
        </w:rPr>
        <w:t>审计报告正文</w:t>
      </w:r>
      <w:r>
        <w:rPr>
          <w:rFonts w:ascii="宋体" w:hAnsi="宋体" w:cs="宋体" w:eastAsia="宋体" w:hint="default"/>
          <w:sz w:val="40"/>
          <w:szCs w:val="40"/>
        </w:rPr>
      </w:r>
    </w:p>
    <w:p>
      <w:pPr>
        <w:spacing w:line="240" w:lineRule="auto" w:before="11"/>
        <w:rPr>
          <w:rFonts w:ascii="宋体" w:hAnsi="宋体" w:cs="宋体" w:eastAsia="宋体" w:hint="default"/>
          <w:b/>
          <w:bCs/>
          <w:sz w:val="41"/>
          <w:szCs w:val="41"/>
        </w:rPr>
      </w:pPr>
    </w:p>
    <w:p>
      <w:pPr>
        <w:pStyle w:val="Heading2"/>
        <w:spacing w:line="240" w:lineRule="auto"/>
        <w:ind w:right="0"/>
        <w:jc w:val="left"/>
        <w:rPr>
          <w:b w:val="0"/>
          <w:bCs w:val="0"/>
        </w:rPr>
      </w:pPr>
      <w:r>
        <w:rPr>
          <w:spacing w:val="-4"/>
        </w:rPr>
        <w:t>宣亚国际营销科技（北京）股份有限公司全体股东：</w:t>
      </w:r>
      <w:r>
        <w:rPr>
          <w:b w:val="0"/>
          <w:bCs w:val="0"/>
          <w:spacing w:val="-4"/>
        </w:rPr>
      </w:r>
    </w:p>
    <w:p>
      <w:pPr>
        <w:pStyle w:val="Heading4"/>
        <w:spacing w:line="240" w:lineRule="auto" w:before="154"/>
        <w:ind w:right="0"/>
        <w:jc w:val="left"/>
        <w:rPr>
          <w:b w:val="0"/>
          <w:bCs w:val="0"/>
        </w:rPr>
      </w:pPr>
      <w:r>
        <w:rPr>
          <w:spacing w:val="-3"/>
        </w:rPr>
        <w:t>一、审计意见</w:t>
      </w:r>
      <w:r>
        <w:rPr>
          <w:b w:val="0"/>
          <w:bCs w:val="0"/>
          <w:spacing w:val="-3"/>
        </w:rPr>
      </w:r>
    </w:p>
    <w:p>
      <w:pPr>
        <w:spacing w:line="240" w:lineRule="auto" w:before="8"/>
        <w:rPr>
          <w:rFonts w:ascii="宋体" w:hAnsi="宋体" w:cs="宋体" w:eastAsia="宋体" w:hint="default"/>
          <w:b/>
          <w:bCs/>
          <w:sz w:val="28"/>
          <w:szCs w:val="28"/>
        </w:rPr>
      </w:pPr>
    </w:p>
    <w:p>
      <w:pPr>
        <w:pStyle w:val="BodyText"/>
        <w:spacing w:line="290" w:lineRule="auto"/>
        <w:ind w:right="1127" w:firstLine="360"/>
        <w:jc w:val="both"/>
      </w:pPr>
      <w:r>
        <w:rPr>
          <w:spacing w:val="-2"/>
        </w:rPr>
        <w:t>我们审计了宣亚国际营销科技（北京）股份有限公司（以下简称</w:t>
      </w:r>
      <w:r>
        <w:rPr>
          <w:rFonts w:ascii="Times New Roman" w:hAnsi="Times New Roman" w:cs="Times New Roman" w:eastAsia="Times New Roman" w:hint="default"/>
          <w:spacing w:val="-2"/>
        </w:rPr>
        <w:t>“</w:t>
      </w:r>
      <w:r>
        <w:rPr>
          <w:spacing w:val="-2"/>
        </w:rPr>
        <w:t>贵公司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r>
        <w:rPr/>
        <w:t> </w:t>
      </w:r>
      <w:r>
        <w:rPr>
          <w:spacing w:val="-2"/>
        </w:rPr>
        <w:t>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年度的合并及母公司利润表、合并及母公司现金流量表、合并及母公司股东权益变动表以及相关财务</w:t>
      </w:r>
      <w:r>
        <w:rPr>
          <w:spacing w:val="-69"/>
        </w:rPr>
        <w:t> </w:t>
      </w:r>
      <w:r>
        <w:rPr>
          <w:spacing w:val="-69"/>
        </w:rPr>
      </w:r>
      <w:r>
        <w:rPr/>
        <w:t>报表附注。</w:t>
      </w:r>
    </w:p>
    <w:p>
      <w:pPr>
        <w:pStyle w:val="BodyText"/>
        <w:spacing w:line="302" w:lineRule="auto" w:before="57"/>
        <w:ind w:right="1125" w:firstLine="360"/>
        <w:jc w:val="both"/>
      </w:pPr>
      <w:r>
        <w:rPr>
          <w:spacing w:val="-2"/>
        </w:rPr>
        <w:t>我们认为，后附的财务报表在所有重大方面按照企业会计准则的规定编制，公允反映了贵公司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spacing w:val="-3"/>
        </w:rPr>
        <w:t>二、形成审计意见的基础</w:t>
      </w:r>
      <w:r>
        <w:rPr>
          <w:b w:val="0"/>
          <w:bCs w:val="0"/>
          <w:spacing w:val="-3"/>
        </w:rPr>
      </w:r>
    </w:p>
    <w:p>
      <w:pPr>
        <w:spacing w:line="240" w:lineRule="auto" w:before="7"/>
        <w:rPr>
          <w:rFonts w:ascii="宋体" w:hAnsi="宋体" w:cs="宋体" w:eastAsia="宋体" w:hint="default"/>
          <w:b/>
          <w:bCs/>
          <w:sz w:val="27"/>
          <w:szCs w:val="27"/>
        </w:rPr>
      </w:pPr>
    </w:p>
    <w:p>
      <w:pPr>
        <w:pStyle w:val="BodyText"/>
        <w:spacing w:line="304" w:lineRule="auto"/>
        <w:ind w:right="1110" w:firstLine="360"/>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部分进一步</w:t>
      </w:r>
      <w:r>
        <w:rPr/>
        <w:t> </w:t>
      </w:r>
      <w:r>
        <w:rPr>
          <w:spacing w:val="-2"/>
        </w:rPr>
        <w:t>阐述了我们在这些准则下的责任。按照中国注册会计师职业道德守则，我们独立于贵公司，并履行了职业道德方面的其他责</w:t>
      </w:r>
      <w:r>
        <w:rPr>
          <w:spacing w:val="-72"/>
        </w:rPr>
        <w:t> </w:t>
      </w:r>
      <w:r>
        <w:rPr>
          <w:spacing w:val="-72"/>
        </w:rPr>
      </w:r>
      <w:r>
        <w:rPr/>
        <w:t>任。我们相信，我们获取的审计证据是充分、适当的，为发表审计意见提供了基础。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三、关键审计事项</w:t>
      </w:r>
      <w:r>
        <w:rPr>
          <w:b w:val="0"/>
          <w:bCs w:val="0"/>
        </w:rPr>
      </w:r>
    </w:p>
    <w:p>
      <w:pPr>
        <w:spacing w:line="240" w:lineRule="auto" w:before="6"/>
        <w:rPr>
          <w:rFonts w:ascii="宋体" w:hAnsi="宋体" w:cs="宋体" w:eastAsia="宋体" w:hint="default"/>
          <w:b/>
          <w:bCs/>
          <w:sz w:val="27"/>
          <w:szCs w:val="27"/>
        </w:rPr>
      </w:pPr>
    </w:p>
    <w:p>
      <w:pPr>
        <w:pStyle w:val="BodyText"/>
        <w:spacing w:line="321" w:lineRule="auto"/>
        <w:ind w:right="1046" w:firstLine="360"/>
        <w:jc w:val="both"/>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spacing w:after="0" w:line="321" w:lineRule="auto"/>
        <w:jc w:val="both"/>
        <w:sectPr>
          <w:pgSz w:w="11910" w:h="16850"/>
          <w:pgMar w:header="866" w:footer="981" w:top="112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455002pt;width:484pt;height:664.7pt;mso-position-horizontal-relative:page;mso-position-vertical-relative:page;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1"/>
                    <w:gridCol w:w="5256"/>
                  </w:tblGrid>
                  <w:tr>
                    <w:trPr>
                      <w:trHeight w:val="330" w:hRule="exact"/>
                    </w:trPr>
                    <w:tc>
                      <w:tcPr>
                        <w:tcW w:w="4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52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1441" w:right="0"/>
                          <w:jc w:val="left"/>
                          <w:rPr>
                            <w:rFonts w:ascii="宋体" w:hAnsi="宋体" w:cs="宋体" w:eastAsia="宋体" w:hint="default"/>
                            <w:sz w:val="18"/>
                            <w:szCs w:val="18"/>
                          </w:rPr>
                        </w:pPr>
                        <w:r>
                          <w:rPr>
                            <w:rFonts w:ascii="宋体" w:hAnsi="宋体" w:cs="宋体" w:eastAsia="宋体" w:hint="default"/>
                            <w:sz w:val="18"/>
                            <w:szCs w:val="18"/>
                          </w:rPr>
                          <w:t>该事项在审计中是如何应对的</w:t>
                        </w:r>
                      </w:p>
                    </w:tc>
                  </w:tr>
                  <w:tr>
                    <w:trPr>
                      <w:trHeight w:val="353" w:hRule="exact"/>
                    </w:trPr>
                    <w:tc>
                      <w:tcPr>
                        <w:tcW w:w="96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（一）应收账款预期信用损失</w:t>
                        </w:r>
                      </w:p>
                    </w:tc>
                  </w:tr>
                  <w:tr>
                    <w:trPr>
                      <w:trHeight w:val="5660"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5"/>
                          <w:jc w:val="left"/>
                          <w:rPr>
                            <w:rFonts w:ascii="宋体" w:hAnsi="宋体" w:cs="宋体" w:eastAsia="宋体" w:hint="default"/>
                            <w:sz w:val="18"/>
                            <w:szCs w:val="18"/>
                          </w:rPr>
                        </w:pPr>
                        <w:r>
                          <w:rPr>
                            <w:rFonts w:ascii="宋体" w:hAnsi="宋体" w:cs="宋体" w:eastAsia="宋体" w:hint="default"/>
                            <w:sz w:val="18"/>
                            <w:szCs w:val="18"/>
                          </w:rPr>
                          <w:t>关于应收账款减值的会计政策请参阅附注五（十二）；</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关于应收账款的披露请参阅附注七（五）。</w:t>
                        </w:r>
                      </w:p>
                      <w:p>
                        <w:pPr>
                          <w:pStyle w:val="TableParagraph"/>
                          <w:spacing w:line="314" w:lineRule="auto" w:before="18"/>
                          <w:ind w:right="0" w:firstLine="36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日，贵公司合并财务报表中应收 </w:t>
                        </w:r>
                        <w:r>
                          <w:rPr>
                            <w:rFonts w:ascii="宋体" w:hAnsi="宋体" w:cs="宋体" w:eastAsia="宋体" w:hint="default"/>
                            <w:spacing w:val="-1"/>
                            <w:sz w:val="18"/>
                            <w:szCs w:val="18"/>
                          </w:rPr>
                          <w:t>账款账面余额为</w:t>
                        </w:r>
                        <w:r>
                          <w:rPr>
                            <w:rFonts w:ascii="宋体" w:hAnsi="宋体" w:cs="宋体" w:eastAsia="宋体" w:hint="default"/>
                            <w:spacing w:val="-1"/>
                            <w:sz w:val="18"/>
                            <w:szCs w:val="18"/>
                          </w:rPr>
                          <w:t>20,280.56</w:t>
                        </w:r>
                        <w:r>
                          <w:rPr>
                            <w:rFonts w:ascii="宋体" w:hAnsi="宋体" w:cs="宋体" w:eastAsia="宋体" w:hint="default"/>
                            <w:spacing w:val="-1"/>
                            <w:sz w:val="18"/>
                            <w:szCs w:val="18"/>
                          </w:rPr>
                          <w:t>万元，坏账准备余额为</w:t>
                        </w:r>
                        <w:r>
                          <w:rPr>
                            <w:rFonts w:ascii="宋体" w:hAnsi="宋体" w:cs="宋体" w:eastAsia="宋体" w:hint="default"/>
                            <w:spacing w:val="-1"/>
                            <w:sz w:val="18"/>
                            <w:szCs w:val="18"/>
                          </w:rPr>
                          <w:t>942.69</w:t>
                        </w:r>
                        <w:r>
                          <w:rPr>
                            <w:rFonts w:ascii="宋体" w:hAnsi="宋体" w:cs="宋体" w:eastAsia="宋体" w:hint="default"/>
                            <w:spacing w:val="-85"/>
                            <w:sz w:val="18"/>
                            <w:szCs w:val="18"/>
                          </w:rPr>
                          <w:t> </w:t>
                        </w:r>
                        <w:r>
                          <w:rPr>
                            <w:rFonts w:ascii="宋体" w:hAnsi="宋体" w:cs="宋体" w:eastAsia="宋体" w:hint="default"/>
                            <w:sz w:val="18"/>
                            <w:szCs w:val="18"/>
                          </w:rPr>
                          <w:t>万元，账面价值为</w:t>
                        </w:r>
                        <w:r>
                          <w:rPr>
                            <w:rFonts w:ascii="宋体" w:hAnsi="宋体" w:cs="宋体" w:eastAsia="宋体" w:hint="default"/>
                            <w:sz w:val="18"/>
                            <w:szCs w:val="18"/>
                          </w:rPr>
                          <w:t>19,337.87</w:t>
                        </w:r>
                        <w:r>
                          <w:rPr>
                            <w:rFonts w:ascii="宋体" w:hAnsi="宋体" w:cs="宋体" w:eastAsia="宋体" w:hint="default"/>
                            <w:sz w:val="18"/>
                            <w:szCs w:val="18"/>
                          </w:rPr>
                          <w:t>万元。</w:t>
                        </w:r>
                      </w:p>
                      <w:p>
                        <w:pPr>
                          <w:pStyle w:val="TableParagraph"/>
                          <w:spacing w:line="316" w:lineRule="auto" w:before="24"/>
                          <w:ind w:right="13" w:firstLine="360"/>
                          <w:jc w:val="both"/>
                          <w:rPr>
                            <w:rFonts w:ascii="宋体" w:hAnsi="宋体" w:cs="宋体" w:eastAsia="宋体" w:hint="default"/>
                            <w:sz w:val="18"/>
                            <w:szCs w:val="18"/>
                          </w:rPr>
                        </w:pPr>
                        <w:r>
                          <w:rPr>
                            <w:rFonts w:ascii="宋体" w:hAnsi="宋体" w:cs="宋体" w:eastAsia="宋体" w:hint="default"/>
                            <w:sz w:val="18"/>
                            <w:szCs w:val="18"/>
                          </w:rPr>
                          <w:t>贵公司管理层根据各项应收账款的信用风险特征， 以单项应收账款和组合应收账款为基础，按照相当于整</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个存续期内的预期信用损失金额计量其损失准备。对于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单项计提且已发生信用损失的应收账款，贵公司管理层</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基于已发生信用损失的客观证据，通过估计预期收取的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现金流量单独确定信用损失。除单独确定信用损失之外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的应收账款，管理层基于共同信用风险特征以及考虑前</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瞻性信息，采用账龄分析法和其他方法确定预期信用损</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失。</w:t>
                        </w:r>
                      </w:p>
                      <w:p>
                        <w:pPr>
                          <w:pStyle w:val="TableParagraph"/>
                          <w:spacing w:line="321" w:lineRule="auto" w:before="22"/>
                          <w:ind w:right="18" w:firstLine="360"/>
                          <w:jc w:val="both"/>
                          <w:rPr>
                            <w:rFonts w:ascii="宋体" w:hAnsi="宋体" w:cs="宋体" w:eastAsia="宋体" w:hint="default"/>
                            <w:sz w:val="18"/>
                            <w:szCs w:val="18"/>
                          </w:rPr>
                        </w:pPr>
                        <w:r>
                          <w:rPr>
                            <w:rFonts w:ascii="宋体" w:hAnsi="宋体" w:cs="宋体" w:eastAsia="宋体" w:hint="default"/>
                            <w:sz w:val="18"/>
                            <w:szCs w:val="18"/>
                          </w:rPr>
                          <w:t>应收账款预期信用损失的确定涉及管理层运用重大 会计估计和判断，且应收账款的预期信用损失对于财务</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报表整体具有重要性。基于上述原因，我们将应收账款</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的预期信用损失认定为关键审计事项。</w:t>
                        </w:r>
                      </w:p>
                    </w:tc>
                    <w:tc>
                      <w:tcPr>
                        <w:tcW w:w="5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right="19"/>
                          <w:jc w:val="left"/>
                          <w:rPr>
                            <w:rFonts w:ascii="宋体" w:hAnsi="宋体" w:cs="宋体" w:eastAsia="宋体" w:hint="default"/>
                            <w:sz w:val="18"/>
                            <w:szCs w:val="18"/>
                          </w:rPr>
                        </w:pPr>
                        <w:r>
                          <w:rPr>
                            <w:rFonts w:ascii="宋体" w:hAnsi="宋体" w:cs="宋体" w:eastAsia="宋体" w:hint="default"/>
                            <w:sz w:val="18"/>
                            <w:szCs w:val="18"/>
                          </w:rPr>
                          <w:t>我们针对应收账款预期信用损失执行的审计程序主要有： </w:t>
                        </w:r>
                        <w:r>
                          <w:rPr>
                            <w:rFonts w:ascii="宋体" w:hAnsi="宋体" w:cs="宋体" w:eastAsia="宋体" w:hint="default"/>
                            <w:spacing w:val="-3"/>
                            <w:sz w:val="18"/>
                            <w:szCs w:val="18"/>
                          </w:rPr>
                          <w:t>1</w:t>
                        </w:r>
                        <w:r>
                          <w:rPr>
                            <w:rFonts w:ascii="宋体" w:hAnsi="宋体" w:cs="宋体" w:eastAsia="宋体" w:hint="default"/>
                            <w:spacing w:val="-3"/>
                            <w:sz w:val="18"/>
                            <w:szCs w:val="18"/>
                          </w:rPr>
                          <w:t>、了解和评价管理层与应收账款预期信用损失计提相关的关键内部</w:t>
                        </w:r>
                        <w:r>
                          <w:rPr>
                            <w:rFonts w:ascii="宋体" w:hAnsi="宋体" w:cs="宋体" w:eastAsia="宋体" w:hint="default"/>
                            <w:sz w:val="18"/>
                            <w:szCs w:val="18"/>
                          </w:rPr>
                          <w:t> 控制的设计和运行有效性； </w:t>
                        </w:r>
                        <w:r>
                          <w:rPr>
                            <w:rFonts w:ascii="宋体" w:hAnsi="宋体" w:cs="宋体" w:eastAsia="宋体" w:hint="default"/>
                            <w:sz w:val="18"/>
                            <w:szCs w:val="18"/>
                          </w:rPr>
                          <w:t>2</w:t>
                        </w:r>
                        <w:r>
                          <w:rPr>
                            <w:rFonts w:ascii="宋体" w:hAnsi="宋体" w:cs="宋体" w:eastAsia="宋体" w:hint="default"/>
                            <w:sz w:val="18"/>
                            <w:szCs w:val="18"/>
                          </w:rPr>
                          <w:t>、复核以前年度应收账款坏账计提后转回或实际发生损失的情况 判断贵公司管理层对历史数据预期的准确性； </w:t>
                        </w:r>
                        <w:r>
                          <w:rPr>
                            <w:rFonts w:ascii="宋体" w:hAnsi="宋体" w:cs="宋体" w:eastAsia="宋体" w:hint="default"/>
                            <w:spacing w:val="-3"/>
                            <w:sz w:val="18"/>
                            <w:szCs w:val="18"/>
                          </w:rPr>
                          <w:t>3</w:t>
                        </w:r>
                        <w:r>
                          <w:rPr>
                            <w:rFonts w:ascii="宋体" w:hAnsi="宋体" w:cs="宋体" w:eastAsia="宋体" w:hint="default"/>
                            <w:spacing w:val="-3"/>
                            <w:sz w:val="18"/>
                            <w:szCs w:val="18"/>
                          </w:rPr>
                          <w:t>、对于单项计提单独确定信用损失的应收账款选取样本，复核管理</w:t>
                        </w:r>
                        <w:r>
                          <w:rPr>
                            <w:rFonts w:ascii="宋体" w:hAnsi="宋体" w:cs="宋体" w:eastAsia="宋体" w:hint="default"/>
                            <w:sz w:val="18"/>
                            <w:szCs w:val="18"/>
                          </w:rPr>
                          <w:t> 层对预计未来可获得的现金流量所做评估的依据及假设的合理性； </w:t>
                        </w:r>
                        <w:r>
                          <w:rPr>
                            <w:rFonts w:ascii="宋体" w:hAnsi="宋体" w:cs="宋体" w:eastAsia="宋体" w:hint="default"/>
                            <w:spacing w:val="-3"/>
                            <w:sz w:val="18"/>
                            <w:szCs w:val="18"/>
                          </w:rPr>
                          <w:t>4</w:t>
                        </w:r>
                        <w:r>
                          <w:rPr>
                            <w:rFonts w:ascii="宋体" w:hAnsi="宋体" w:cs="宋体" w:eastAsia="宋体" w:hint="default"/>
                            <w:spacing w:val="-3"/>
                            <w:sz w:val="18"/>
                            <w:szCs w:val="18"/>
                          </w:rPr>
                          <w:t>、对于以共同信用风险特征为依据采用组合计提的方法确定信用损</w:t>
                        </w:r>
                        <w:r>
                          <w:rPr>
                            <w:rFonts w:ascii="宋体" w:hAnsi="宋体" w:cs="宋体" w:eastAsia="宋体" w:hint="default"/>
                            <w:sz w:val="18"/>
                            <w:szCs w:val="18"/>
                          </w:rPr>
                          <w:t> </w:t>
                        </w:r>
                        <w:r>
                          <w:rPr>
                            <w:rFonts w:ascii="宋体" w:hAnsi="宋体" w:cs="宋体" w:eastAsia="宋体" w:hint="default"/>
                            <w:spacing w:val="-4"/>
                            <w:sz w:val="18"/>
                            <w:szCs w:val="18"/>
                          </w:rPr>
                          <w:t>失的应收账款，抽样检查组合分类重点是账龄分类的适当性，同时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结合历史发生的损失率和前瞻性信息，评价管理层确定的预期信用 损失率的合理性； </w:t>
                        </w:r>
                        <w:r>
                          <w:rPr>
                            <w:rFonts w:ascii="宋体" w:hAnsi="宋体" w:cs="宋体" w:eastAsia="宋体" w:hint="default"/>
                            <w:spacing w:val="-3"/>
                            <w:sz w:val="18"/>
                            <w:szCs w:val="18"/>
                          </w:rPr>
                          <w:t>5</w:t>
                        </w:r>
                        <w:r>
                          <w:rPr>
                            <w:rFonts w:ascii="宋体" w:hAnsi="宋体" w:cs="宋体" w:eastAsia="宋体" w:hint="default"/>
                            <w:spacing w:val="-3"/>
                            <w:sz w:val="18"/>
                            <w:szCs w:val="18"/>
                          </w:rPr>
                          <w:t>、检查与应收账款预期信用损失相关的信息是否已在财务报表中作</w:t>
                        </w:r>
                        <w:r>
                          <w:rPr>
                            <w:rFonts w:ascii="宋体" w:hAnsi="宋体" w:cs="宋体" w:eastAsia="宋体" w:hint="default"/>
                            <w:sz w:val="18"/>
                            <w:szCs w:val="18"/>
                          </w:rPr>
                          <w:t> 出恰当列报。</w:t>
                        </w:r>
                      </w:p>
                    </w:tc>
                  </w:tr>
                  <w:tr>
                    <w:trPr>
                      <w:trHeight w:val="345" w:hRule="exact"/>
                    </w:trPr>
                    <w:tc>
                      <w:tcPr>
                        <w:tcW w:w="96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（二）收入的确认</w:t>
                        </w:r>
                      </w:p>
                    </w:tc>
                  </w:tr>
                  <w:tr>
                    <w:trPr>
                      <w:trHeight w:val="6591"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5"/>
                          <w:ind w:right="-30" w:firstLine="300"/>
                          <w:jc w:val="left"/>
                          <w:rPr>
                            <w:rFonts w:ascii="宋体" w:hAnsi="宋体" w:cs="宋体" w:eastAsia="宋体" w:hint="default"/>
                            <w:sz w:val="18"/>
                            <w:szCs w:val="18"/>
                          </w:rPr>
                        </w:pPr>
                        <w:r>
                          <w:rPr>
                            <w:rFonts w:ascii="宋体" w:hAnsi="宋体" w:cs="宋体" w:eastAsia="宋体" w:hint="default"/>
                            <w:spacing w:val="-3"/>
                            <w:sz w:val="18"/>
                            <w:szCs w:val="18"/>
                          </w:rPr>
                          <w:t>关于收入确认会计政策请参阅附注五（三十九）；关</w:t>
                        </w:r>
                        <w:r>
                          <w:rPr>
                            <w:rFonts w:ascii="宋体" w:hAnsi="宋体" w:cs="宋体" w:eastAsia="宋体" w:hint="default"/>
                            <w:spacing w:val="-15"/>
                            <w:sz w:val="18"/>
                            <w:szCs w:val="18"/>
                          </w:rPr>
                          <w:t> </w:t>
                        </w:r>
                        <w:r>
                          <w:rPr>
                            <w:rFonts w:ascii="宋体" w:hAnsi="宋体" w:cs="宋体" w:eastAsia="宋体" w:hint="default"/>
                            <w:sz w:val="18"/>
                            <w:szCs w:val="18"/>
                          </w:rPr>
                          <w:t>于收入的披露请参阅附注七（六十一）。</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年度，贵公司合并口径主营业务收入</w:t>
                        </w:r>
                        <w:r>
                          <w:rPr>
                            <w:rFonts w:ascii="Times New Roman" w:hAnsi="Times New Roman" w:cs="Times New Roman" w:eastAsia="Times New Roman" w:hint="default"/>
                            <w:spacing w:val="-4"/>
                            <w:sz w:val="18"/>
                            <w:szCs w:val="18"/>
                          </w:rPr>
                          <w:t>35,422.87</w:t>
                        </w:r>
                        <w:r>
                          <w:rPr>
                            <w:rFonts w:ascii="宋体" w:hAnsi="宋体" w:cs="宋体" w:eastAsia="宋体" w:hint="default"/>
                            <w:spacing w:val="-4"/>
                            <w:sz w:val="18"/>
                            <w:szCs w:val="18"/>
                          </w:rPr>
                          <w:t>万元，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比上年度主营业务收入</w:t>
                        </w:r>
                        <w:r>
                          <w:rPr>
                            <w:rFonts w:ascii="Times New Roman" w:hAnsi="Times New Roman" w:cs="Times New Roman" w:eastAsia="Times New Roman" w:hint="default"/>
                            <w:sz w:val="18"/>
                            <w:szCs w:val="18"/>
                          </w:rPr>
                          <w:t>36,928.12</w:t>
                        </w:r>
                        <w:r>
                          <w:rPr>
                            <w:rFonts w:ascii="宋体" w:hAnsi="宋体" w:cs="宋体" w:eastAsia="宋体" w:hint="default"/>
                            <w:sz w:val="18"/>
                            <w:szCs w:val="18"/>
                          </w:rPr>
                          <w:t>万元减少</w:t>
                        </w:r>
                        <w:r>
                          <w:rPr>
                            <w:rFonts w:ascii="Times New Roman" w:hAnsi="Times New Roman" w:cs="Times New Roman" w:eastAsia="Times New Roman" w:hint="default"/>
                            <w:sz w:val="18"/>
                            <w:szCs w:val="18"/>
                          </w:rPr>
                          <w:t>1,505.25</w:t>
                        </w:r>
                        <w:r>
                          <w:rPr>
                            <w:rFonts w:ascii="宋体" w:hAnsi="宋体" w:cs="宋体" w:eastAsia="宋体" w:hint="default"/>
                            <w:sz w:val="18"/>
                            <w:szCs w:val="18"/>
                          </w:rPr>
                          <w:t>万元。</w:t>
                        </w:r>
                      </w:p>
                      <w:p>
                        <w:pPr>
                          <w:pStyle w:val="TableParagraph"/>
                          <w:spacing w:line="321" w:lineRule="auto"/>
                          <w:ind w:right="124" w:firstLine="300"/>
                          <w:jc w:val="left"/>
                          <w:rPr>
                            <w:rFonts w:ascii="宋体" w:hAnsi="宋体" w:cs="宋体" w:eastAsia="宋体" w:hint="default"/>
                            <w:sz w:val="18"/>
                            <w:szCs w:val="18"/>
                          </w:rPr>
                        </w:pPr>
                        <w:r>
                          <w:rPr>
                            <w:rFonts w:ascii="宋体" w:hAnsi="宋体" w:cs="宋体" w:eastAsia="宋体" w:hint="default"/>
                            <w:sz w:val="18"/>
                            <w:szCs w:val="18"/>
                          </w:rPr>
                          <w:t>贵公司的主营业务收入主要来源于服务收入和广告 收入。公司确认收入的具体原则为：</w:t>
                        </w:r>
                      </w:p>
                      <w:p>
                        <w:pPr>
                          <w:pStyle w:val="TableParagraph"/>
                          <w:spacing w:line="297" w:lineRule="auto" w:before="34"/>
                          <w:ind w:right="17"/>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）对于服务收入：常年顾问服务收入，公司按合同约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定提供服务并定期予以确认收入；项目服务收入，公司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按项目合同的约定为客户提供专属化的营销传播服务，</w:t>
                        </w:r>
                      </w:p>
                      <w:p>
                        <w:pPr>
                          <w:pStyle w:val="TableParagraph"/>
                          <w:spacing w:line="312" w:lineRule="auto" w:before="37"/>
                          <w:ind w:right="-12"/>
                          <w:jc w:val="both"/>
                          <w:rPr>
                            <w:rFonts w:ascii="宋体" w:hAnsi="宋体" w:cs="宋体" w:eastAsia="宋体" w:hint="default"/>
                            <w:sz w:val="18"/>
                            <w:szCs w:val="18"/>
                          </w:rPr>
                        </w:pPr>
                        <w:r>
                          <w:rPr>
                            <w:rFonts w:ascii="宋体" w:hAnsi="宋体" w:cs="宋体" w:eastAsia="宋体" w:hint="default"/>
                            <w:sz w:val="18"/>
                            <w:szCs w:val="18"/>
                          </w:rPr>
                          <w:t>项目服务结束后，公司收到客户确认的完工证明时予以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1"/>
                            <w:sz w:val="18"/>
                            <w:szCs w:val="18"/>
                          </w:rPr>
                          <w:t>确认收入。（</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）对于广告收入：效果广告收入，客户确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认关键指标后，公司按照关键指标的实际转化数量来计</w:t>
                        </w:r>
                      </w:p>
                      <w:p>
                        <w:pPr>
                          <w:pStyle w:val="TableParagraph"/>
                          <w:spacing w:line="321" w:lineRule="auto" w:before="10"/>
                          <w:ind w:right="19"/>
                          <w:jc w:val="both"/>
                          <w:rPr>
                            <w:rFonts w:ascii="宋体" w:hAnsi="宋体" w:cs="宋体" w:eastAsia="宋体" w:hint="default"/>
                            <w:sz w:val="18"/>
                            <w:szCs w:val="18"/>
                          </w:rPr>
                        </w:pPr>
                        <w:r>
                          <w:rPr>
                            <w:rFonts w:ascii="宋体" w:hAnsi="宋体" w:cs="宋体" w:eastAsia="宋体" w:hint="default"/>
                            <w:sz w:val="18"/>
                            <w:szCs w:val="18"/>
                          </w:rPr>
                          <w:t>费确认收入；信息流广告收入，根据客户的广告投放需</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求定制广告投放排期表，约定投放的媒体、期间、频次</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等要素，按排期表执行进度逐月确认广告投放收入。</w:t>
                        </w:r>
                      </w:p>
                      <w:p>
                        <w:pPr>
                          <w:pStyle w:val="TableParagraph"/>
                          <w:spacing w:line="314" w:lineRule="auto" w:before="19"/>
                          <w:ind w:right="18" w:firstLine="225"/>
                          <w:jc w:val="both"/>
                          <w:rPr>
                            <w:rFonts w:ascii="宋体" w:hAnsi="宋体" w:cs="宋体" w:eastAsia="宋体" w:hint="default"/>
                            <w:sz w:val="18"/>
                            <w:szCs w:val="18"/>
                          </w:rPr>
                        </w:pPr>
                        <w:r>
                          <w:rPr>
                            <w:rFonts w:ascii="宋体" w:hAnsi="宋体" w:cs="宋体" w:eastAsia="宋体" w:hint="default"/>
                            <w:sz w:val="18"/>
                            <w:szCs w:val="18"/>
                          </w:rPr>
                          <w:t>由于收入是贵公司的关键业绩指标之一，从而存在管 理层为了达到特定目标或期望而操纵收入确认时点的固 有风险，因此我们将收入确认识别为关键审计事项。</w:t>
                        </w:r>
                      </w:p>
                    </w:tc>
                    <w:tc>
                      <w:tcPr>
                        <w:tcW w:w="5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0" w:right="0"/>
                          <w:jc w:val="left"/>
                          <w:rPr>
                            <w:rFonts w:ascii="宋体" w:hAnsi="宋体" w:cs="宋体" w:eastAsia="宋体" w:hint="default"/>
                            <w:sz w:val="18"/>
                            <w:szCs w:val="18"/>
                          </w:rPr>
                        </w:pPr>
                        <w:r>
                          <w:rPr>
                            <w:rFonts w:ascii="宋体" w:hAnsi="宋体" w:cs="宋体" w:eastAsia="宋体" w:hint="default"/>
                            <w:sz w:val="18"/>
                            <w:szCs w:val="18"/>
                          </w:rPr>
                          <w:t>我们针对收入确认执行的审计程序主要有：</w:t>
                        </w:r>
                      </w:p>
                      <w:p>
                        <w:pPr>
                          <w:pStyle w:val="TableParagraph"/>
                          <w:spacing w:line="276" w:lineRule="auto" w:before="94"/>
                          <w:ind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、了解和评价管理层与收入确认相关的关键内部控制的设计和运行</w:t>
                        </w:r>
                        <w:r>
                          <w:rPr>
                            <w:rFonts w:ascii="宋体" w:hAnsi="宋体" w:cs="宋体" w:eastAsia="宋体" w:hint="default"/>
                            <w:sz w:val="18"/>
                            <w:szCs w:val="18"/>
                          </w:rPr>
                          <w:t> 有效性；</w:t>
                        </w:r>
                      </w:p>
                      <w:p>
                        <w:pPr>
                          <w:pStyle w:val="TableParagraph"/>
                          <w:spacing w:line="290" w:lineRule="auto" w:before="67"/>
                          <w:ind w:right="1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、选取样本检查项目合同，评价收入确认时点是否符合企业会计准</w:t>
                        </w:r>
                        <w:r>
                          <w:rPr>
                            <w:rFonts w:ascii="宋体" w:hAnsi="宋体" w:cs="宋体" w:eastAsia="宋体" w:hint="default"/>
                            <w:sz w:val="18"/>
                            <w:szCs w:val="18"/>
                          </w:rPr>
                          <w:t> 则的要求；</w:t>
                        </w:r>
                      </w:p>
                      <w:p>
                        <w:pPr>
                          <w:pStyle w:val="TableParagraph"/>
                          <w:spacing w:line="297" w:lineRule="auto" w:before="57"/>
                          <w:ind w:right="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、结合应收账款函证程序，对本年记录的收入交易选取样本，核对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发票、项目合同、完工验收单及排期表等单据，检查已确认收入的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真实性；</w:t>
                        </w:r>
                      </w:p>
                      <w:p>
                        <w:pPr>
                          <w:pStyle w:val="TableParagraph"/>
                          <w:spacing w:line="314" w:lineRule="auto" w:before="51"/>
                          <w:ind w:right="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、对收入和成本执行分析性程序，包括：针对服务收入，以收入为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基准，抽查部分项目对应成本情况，主要包括以合同执行的内容为 主，逐一检查项目开始前企业预算内容和项目过程中供应商采购情 况以及事后供应商付款情况，重点关注采购内容与供应商提供服务 内容匹配性；针对广告业务收入，获取客户确认的关键指标证明、 企业的广告投放排期，抽查广告投放合同、投放平台业务数据，并 根据广告投放排期以及关键指标的实际转化数量来进行收入测算。</w:t>
                        </w:r>
                      </w:p>
                      <w:p>
                        <w:pPr>
                          <w:pStyle w:val="TableParagraph"/>
                          <w:spacing w:line="316" w:lineRule="auto" w:before="24"/>
                          <w:ind w:right="19"/>
                          <w:jc w:val="both"/>
                          <w:rPr>
                            <w:rFonts w:ascii="宋体" w:hAnsi="宋体" w:cs="宋体" w:eastAsia="宋体" w:hint="default"/>
                            <w:sz w:val="18"/>
                            <w:szCs w:val="18"/>
                          </w:rPr>
                        </w:pPr>
                        <w:r>
                          <w:rPr>
                            <w:rFonts w:ascii="宋体" w:hAnsi="宋体" w:cs="宋体" w:eastAsia="宋体" w:hint="default"/>
                            <w:sz w:val="18"/>
                            <w:szCs w:val="18"/>
                          </w:rPr>
                          <w:t>根据收入不同分类测算毛利率，分析异常项目，抽查合同等相关资 料，确认收入成本的准确性；核查项目成本，检查成本的完整性， 根据测算不同业务类型毛利率，重点检查高毛利率项目，对低毛利 率项目和正常项目进行抽查；</w:t>
                        </w:r>
                      </w:p>
                      <w:p>
                        <w:pPr>
                          <w:pStyle w:val="TableParagraph"/>
                          <w:spacing w:line="290" w:lineRule="auto" w:before="37"/>
                          <w:ind w:right="1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、就资产负债表日前后记录的收入交易，选取样本，核对完工验收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单及其他支持性文件，以评价收入是否被记录于恰当的会计期间。</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44"/>
        <w:ind w:left="0" w:right="10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4"/>
        <w:ind w:left="0" w:right="1057"/>
        <w:jc w:val="right"/>
      </w:pPr>
      <w:r>
        <w:rPr/>
        <w:t>，</w:t>
      </w:r>
    </w:p>
    <w:p>
      <w:pPr>
        <w:spacing w:after="0" w:line="240" w:lineRule="auto"/>
        <w:jc w:val="righ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before="36"/>
        <w:ind w:right="0"/>
        <w:jc w:val="left"/>
        <w:rPr>
          <w:b w:val="0"/>
          <w:bCs w:val="0"/>
        </w:rPr>
      </w:pPr>
      <w:r>
        <w:rPr>
          <w:spacing w:val="-3"/>
        </w:rPr>
        <w:t>四、其他信息</w:t>
      </w:r>
      <w:r>
        <w:rPr>
          <w:b w:val="0"/>
          <w:bCs w:val="0"/>
          <w:spacing w:val="-3"/>
        </w:rPr>
      </w:r>
    </w:p>
    <w:p>
      <w:pPr>
        <w:spacing w:line="240" w:lineRule="auto" w:before="13"/>
        <w:rPr>
          <w:rFonts w:ascii="宋体" w:hAnsi="宋体" w:cs="宋体" w:eastAsia="宋体" w:hint="default"/>
          <w:b/>
          <w:bCs/>
          <w:sz w:val="15"/>
          <w:szCs w:val="15"/>
        </w:rPr>
      </w:pPr>
    </w:p>
    <w:p>
      <w:pPr>
        <w:pStyle w:val="BodyText"/>
        <w:spacing w:line="307" w:lineRule="auto"/>
        <w:ind w:right="1098" w:firstLine="360"/>
        <w:jc w:val="both"/>
      </w:pPr>
      <w:r>
        <w:rPr>
          <w:spacing w:val="-1"/>
        </w:rPr>
        <w:t>贵公司管理层（以下简称管理层）对其他信息负责。其他信息包括贵公司</w:t>
      </w:r>
      <w:r>
        <w:rPr>
          <w:rFonts w:ascii="宋体" w:hAnsi="宋体" w:cs="宋体" w:eastAsia="宋体" w:hint="default"/>
          <w:spacing w:val="-1"/>
        </w:rPr>
        <w:t>2019</w:t>
      </w:r>
      <w:r>
        <w:rPr>
          <w:spacing w:val="-1"/>
        </w:rPr>
        <w:t>年年度报告中涵盖的信息，但不包括财务</w:t>
      </w:r>
      <w:r>
        <w:rPr/>
        <w:t> 报表和我们的审计报告。</w:t>
      </w:r>
    </w:p>
    <w:p>
      <w:pPr>
        <w:pStyle w:val="BodyText"/>
        <w:spacing w:line="307" w:lineRule="auto" w:before="29"/>
        <w:ind w:left="501" w:right="1133"/>
        <w:jc w:val="left"/>
      </w:pPr>
      <w:r>
        <w:rPr/>
        <w:t>我们对财务报表发表的审计意见不涵盖其他信息，我们也不对其他信息发表任何形式的鉴证结论。</w:t>
      </w:r>
      <w:r>
        <w:rPr>
          <w:spacing w:val="-87"/>
        </w:rPr>
        <w:t> </w:t>
      </w:r>
      <w:r>
        <w:rPr>
          <w:spacing w:val="-87"/>
        </w:rPr>
      </w:r>
      <w:r>
        <w:rPr>
          <w:spacing w:val="-2"/>
        </w:rPr>
        <w:t>结合我们对财务报表的审计，我们的责任是阅读其他信息，在此过程中，考虑其他信息是否与财务报表或我们在审计过</w:t>
      </w:r>
    </w:p>
    <w:p>
      <w:pPr>
        <w:pStyle w:val="BodyText"/>
        <w:spacing w:line="321" w:lineRule="auto" w:before="29"/>
        <w:ind w:left="501" w:right="0"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spacing w:val="-4"/>
        </w:rPr>
        <w:t>五、管理层和治理层对财务报表的责任</w:t>
      </w:r>
      <w:r>
        <w:rPr>
          <w:b w:val="0"/>
          <w:bCs w:val="0"/>
          <w:spacing w:val="-4"/>
        </w:rPr>
      </w:r>
    </w:p>
    <w:p>
      <w:pPr>
        <w:spacing w:line="240" w:lineRule="auto" w:before="0"/>
        <w:rPr>
          <w:rFonts w:ascii="宋体" w:hAnsi="宋体" w:cs="宋体" w:eastAsia="宋体" w:hint="default"/>
          <w:b/>
          <w:bCs/>
          <w:sz w:val="16"/>
          <w:szCs w:val="16"/>
        </w:rPr>
      </w:pPr>
    </w:p>
    <w:p>
      <w:pPr>
        <w:pStyle w:val="BodyText"/>
        <w:spacing w:line="304" w:lineRule="auto"/>
        <w:ind w:right="1105" w:firstLine="360"/>
        <w:jc w:val="both"/>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21" w:lineRule="auto" w:before="31"/>
        <w:ind w:right="1120" w:firstLine="360"/>
        <w:jc w:val="both"/>
      </w:pPr>
      <w:r>
        <w:rPr>
          <w:spacing w:val="-2"/>
        </w:rPr>
        <w:t>在编制财务报表时，管理层负责评估贵公司的持续经营能力，披露与持续经营相关的事项（如适用），并运用持续经营</w:t>
      </w:r>
      <w:r>
        <w:rPr/>
        <w:t> 假设，除非计划进行清算、终止运营或别无其他现实的选择。</w:t>
      </w:r>
    </w:p>
    <w:p>
      <w:pPr>
        <w:pStyle w:val="BodyText"/>
        <w:spacing w:line="240" w:lineRule="auto" w:before="18"/>
        <w:ind w:left="501" w:right="0"/>
        <w:jc w:val="left"/>
      </w:pPr>
      <w:r>
        <w:rPr/>
        <w:t>治理层负责监督贵公司的财务报告过程。</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spacing w:val="-4"/>
        </w:rPr>
        <w:t>六、注册会计师对财务报表审计的责任</w:t>
      </w:r>
      <w:r>
        <w:rPr>
          <w:b w:val="0"/>
          <w:bCs w:val="0"/>
          <w:spacing w:val="-4"/>
        </w:rPr>
      </w:r>
    </w:p>
    <w:p>
      <w:pPr>
        <w:spacing w:line="240" w:lineRule="auto" w:before="13"/>
        <w:rPr>
          <w:rFonts w:ascii="宋体" w:hAnsi="宋体" w:cs="宋体" w:eastAsia="宋体" w:hint="default"/>
          <w:b/>
          <w:bCs/>
          <w:sz w:val="15"/>
          <w:szCs w:val="15"/>
        </w:rPr>
      </w:pPr>
    </w:p>
    <w:p>
      <w:pPr>
        <w:pStyle w:val="BodyText"/>
        <w:spacing w:line="316" w:lineRule="auto"/>
        <w:ind w:right="1130" w:firstLine="405"/>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75"/>
        </w:rPr>
        <w:t> </w:t>
      </w:r>
      <w:r>
        <w:rPr>
          <w:spacing w:val="-75"/>
        </w:rPr>
      </w:r>
      <w:r>
        <w:rPr>
          <w:spacing w:val="-2"/>
        </w:rPr>
        <w:t>弊或错误导致，如果合理预期错报单独或汇总起来可能影响财务报表使用者依据财务报表作出的经济决策，则通常认为错报</w:t>
      </w:r>
      <w:r>
        <w:rPr>
          <w:spacing w:val="-66"/>
        </w:rPr>
        <w:t> </w:t>
      </w:r>
      <w:r>
        <w:rPr>
          <w:spacing w:val="-66"/>
        </w:rPr>
      </w:r>
      <w:r>
        <w:rPr/>
        <w:t>是重大的。</w:t>
      </w:r>
    </w:p>
    <w:p>
      <w:pPr>
        <w:pStyle w:val="BodyText"/>
        <w:spacing w:line="240" w:lineRule="auto" w:before="22"/>
        <w:ind w:left="546" w:right="0"/>
        <w:jc w:val="left"/>
      </w:pPr>
      <w:r>
        <w:rPr/>
        <w:t>在按照审计准则执行审计工作的过程中，我们运用职业判断，并保持职业怀疑。同时，我们也执行以下工作：</w:t>
      </w:r>
    </w:p>
    <w:p>
      <w:pPr>
        <w:pStyle w:val="BodyText"/>
        <w:spacing w:line="297" w:lineRule="auto" w:before="94"/>
        <w:ind w:right="1029" w:firstLine="33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2"/>
        <w:ind w:left="471"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6"/>
        <w:ind w:left="471"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97" w:lineRule="auto" w:before="66"/>
        <w:ind w:right="1136" w:firstLine="33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）对管理层使用持续经营假设的恰当性得出结论。同时，根据获取的审计证据，就可能导致对贵公司持续经营能力 </w:t>
      </w:r>
      <w:r>
        <w:rPr>
          <w:spacing w:val="-2"/>
        </w:rPr>
        <w:t>产生重大疑虑的事项或情况是否存在重大不确定性得出结论。如果我们得出结论认为存在重大不确定性，审计准则要求我们</w:t>
      </w:r>
      <w:r>
        <w:rPr>
          <w:spacing w:val="-72"/>
        </w:rPr>
        <w:t> </w:t>
      </w:r>
      <w:r>
        <w:rPr>
          <w:spacing w:val="-72"/>
        </w:rPr>
      </w:r>
      <w:r>
        <w:rPr>
          <w:spacing w:val="-2"/>
        </w:rPr>
        <w:t>在审计报告中提请报表使用者注意财务报表中的相关披露；如果披露不充分，我们应当发表非无保留意见。我们的结论基于</w:t>
      </w:r>
    </w:p>
    <w:p>
      <w:pPr>
        <w:pStyle w:val="BodyText"/>
        <w:spacing w:line="240" w:lineRule="auto" w:before="37"/>
        <w:ind w:right="0"/>
        <w:jc w:val="left"/>
      </w:pPr>
      <w:r>
        <w:rPr/>
        <w:t>截至审计报告日可获得的信息。然而，未来的事项或情况可能导致贵公司不能持续经营。</w:t>
      </w:r>
    </w:p>
    <w:p>
      <w:pPr>
        <w:pStyle w:val="BodyText"/>
        <w:spacing w:line="240" w:lineRule="auto" w:before="94"/>
        <w:ind w:left="471" w:right="0"/>
        <w:jc w:val="left"/>
      </w:pPr>
      <w:r>
        <w:rPr/>
        <w:t>（</w:t>
      </w:r>
      <w:r>
        <w:rPr>
          <w:rFonts w:ascii="Times New Roman" w:hAnsi="Times New Roman" w:cs="Times New Roman" w:eastAsia="Times New Roman" w:hint="default"/>
        </w:rPr>
        <w:t>5</w:t>
      </w:r>
      <w:r>
        <w:rPr/>
        <w:t>）评价财务报表的总体列报（包括披露）、结构和内容，并评价财务报表是否公允反映相关交易和事项。</w:t>
      </w:r>
    </w:p>
    <w:p>
      <w:pPr>
        <w:pStyle w:val="BodyText"/>
        <w:spacing w:line="273" w:lineRule="auto" w:before="66"/>
        <w:ind w:right="1045" w:firstLine="330"/>
        <w:jc w:val="both"/>
      </w:pPr>
      <w:r>
        <w:rPr>
          <w:spacing w:val="-2"/>
        </w:rPr>
        <w:t>（</w:t>
      </w:r>
      <w:r>
        <w:rPr>
          <w:rFonts w:ascii="Times New Roman" w:hAnsi="Times New Roman" w:cs="Times New Roman" w:eastAsia="Times New Roman" w:hint="default"/>
          <w:spacing w:val="-2"/>
        </w:rPr>
        <w:t>6</w:t>
      </w:r>
      <w:r>
        <w:rPr>
          <w:spacing w:val="-2"/>
        </w:rPr>
        <w:t>）就贵公司中实体或业务活动的财务信息获取充分、适当的审计证据，以对财务报表发表审计意见。我们负责指导、</w:t>
      </w:r>
      <w:r>
        <w:rPr/>
        <w:t> 监督和执行集团审计，并对审计意见承担全部责任。</w:t>
      </w:r>
    </w:p>
    <w:p>
      <w:pPr>
        <w:pStyle w:val="BodyText"/>
        <w:spacing w:line="321" w:lineRule="auto" w:before="55"/>
        <w:ind w:right="1137"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21" w:lineRule="auto" w:before="18"/>
        <w:ind w:right="1126" w:firstLine="405"/>
        <w:jc w:val="both"/>
      </w:pPr>
      <w:r>
        <w:rPr/>
        <w:t>我们还就已遵守与独立性相关的职业道德要求向治理层提供声明，并与治理层沟通可能被合理认为影响我们独立性的 所有关系和其他事项，以及相关的防范措施（如适用）。</w:t>
      </w:r>
    </w:p>
    <w:p>
      <w:pPr>
        <w:pStyle w:val="BodyText"/>
        <w:spacing w:line="321" w:lineRule="auto" w:before="3"/>
        <w:ind w:right="1136" w:firstLine="405"/>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75"/>
        </w:rPr>
        <w:t> </w:t>
      </w:r>
      <w:r>
        <w:rPr>
          <w:spacing w:val="-75"/>
        </w:rPr>
      </w:r>
      <w:r>
        <w:rPr/>
        <w:t>成的负面后果超过在公众利益方面产生的益处，我们确定不应在审计报告中沟通该事项。</w:t>
      </w:r>
    </w:p>
    <w:p>
      <w:pPr>
        <w:spacing w:after="0" w:line="321" w:lineRule="auto"/>
        <w:jc w:val="both"/>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120" w:bottom="1180" w:left="1000" w:right="0"/>
        </w:sectPr>
      </w:pPr>
    </w:p>
    <w:p>
      <w:pPr>
        <w:pStyle w:val="BodyText"/>
        <w:spacing w:line="240" w:lineRule="auto" w:before="44"/>
        <w:ind w:right="0"/>
        <w:jc w:val="left"/>
      </w:pPr>
      <w:r>
        <w:rPr/>
        <w:t>编制单位：宣亚国际营销科技（北京）股份有限公司</w:t>
      </w:r>
    </w:p>
    <w:p>
      <w:pPr>
        <w:pStyle w:val="BodyText"/>
        <w:spacing w:line="240" w:lineRule="auto" w:before="125"/>
        <w:ind w:left="0" w:right="0"/>
        <w:jc w:val="right"/>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5714" w:space="3223"/>
            <w:col w:w="1973"/>
          </w:cols>
        </w:sectPr>
      </w:pP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130,883,932.96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210,949,768.73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18,221,304.20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16,984,595.19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193,378,696.98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140,540,231.26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4,566,203.25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118,152.41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14,063,619.70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4,773,939.89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15,562,610.18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14,646,178.30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28,656,872.23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12,078,108.29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405,733,239.50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400,090,974.07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type w:val="continuous"/>
          <w:pgSz w:w="11910" w:h="16850"/>
          <w:pgMar w:top="104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50,233,669.58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49,177,119.17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36,590,096.82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73,284,651.36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5,112,590.15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6,952,349.64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38,242,214.91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1,404,383.56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32,840,454.75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798,691.06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1,074,190.95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814,507.12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2,820,939.09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2,621,119.43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1,000,000.00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204,602,160.38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100,414,817.21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610,335,399.88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500,505,791.28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95,326,705.05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41,677,219.28</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13,394,542.62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12,037,837.41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6,881,467.00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7,478,435.64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20,190,730.26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17,766,010.80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11,608,969.15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2,424,268.52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1,891,128.74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1,809,106.51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147,402,414.08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81,383,771.65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7,360,254.50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7,360,254.50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154,762,668.58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81,383,771.65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162,000,000.00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200,032,062.25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200,205,305.28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48,875,219.48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39,999,113.66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5,771,646.82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3,456,934.40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28,678,606.26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25,760,503.00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65,343,081.35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57,911,271.76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412,950,177.20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409,334,900.78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42,622,554.10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9,787,118.85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455,572,731.30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419,122,019.63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610,335,399.88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500,505,791.28</w:t>
            </w:r>
          </w:p>
        </w:tc>
      </w:tr>
    </w:tbl>
    <w:p>
      <w:pPr>
        <w:spacing w:line="240" w:lineRule="auto" w:before="3"/>
        <w:rPr>
          <w:rFonts w:ascii="Times New Roman" w:hAnsi="Times New Roman" w:cs="Times New Roman" w:eastAsia="Times New Roman" w:hint="default"/>
          <w:sz w:val="22"/>
          <w:szCs w:val="22"/>
        </w:rPr>
      </w:pPr>
    </w:p>
    <w:p>
      <w:pPr>
        <w:pStyle w:val="BodyText"/>
        <w:tabs>
          <w:tab w:pos="3655" w:val="left" w:leader="none"/>
          <w:tab w:pos="7890" w:val="left" w:leader="none"/>
        </w:tabs>
        <w:spacing w:line="240" w:lineRule="auto" w:before="44"/>
        <w:ind w:right="0"/>
        <w:jc w:val="left"/>
      </w:pPr>
      <w:r>
        <w:rPr/>
        <w:t>法定代表人：邬涛</w:t>
        <w:tab/>
        <w:t>主管会计工作负责人：宾卫</w:t>
        <w:tab/>
        <w:t>会计机构负责人：张靖</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43,742,752.49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39,554,325.41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15,600,604.20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15,035,069.94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129,975,522.44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123,041,361.90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4,439,170.65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8,659.10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7,472,220.30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8,646,068.07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133"/>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132"/>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2,460,397.10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4,584,866.11</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8,574,504.73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12,784,782.65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24,761,827.68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10,935,783.13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234,566,602.49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210,006,050.20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27,652,274.00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285,966,542.92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237,908,218.67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53,097,080.00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522,298.61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1,239,873.99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61,236.55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256,688.74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797,491.93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814,507.12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2,552,647.72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2,604,513.79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342,997,297.73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270,476,076.31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577,563,900.22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480,482,126.51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79,118,627.08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45,341,737.92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10,285,109.11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12,024,673.90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3,148,035.39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5,835,772.40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13,051,354.23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12,595,112.26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48,478,592.82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3,607,575.23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154,081,718.63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79,404,871.71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154,606,718.63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79,404,871.71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205,303,490.61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205,303,490.61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48,875,219.48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39,999,113.66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27,404,052.90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24,485,949.64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75,549,857.56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49,286,928.21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422,957,181.59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401,077,254.80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577,563,900.22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480,482,126.51</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530"/>
        <w:gridCol w:w="2756"/>
        <w:gridCol w:w="3289"/>
      </w:tblGrid>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7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354,228,722.98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369,281,216.23</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354,228,722.98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369,281,216.23</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325,751,750.77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341,719,322.35</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210,800,520.81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221,176,989.52</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1,848,382.63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2,282,999.81</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66,919,776.11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77,909,360.25</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22,275,637.63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25,843,835.43</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25,560,231.05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14,684,127.72</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-1,652,797.46</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-177,990.38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3530"/>
        <w:gridCol w:w="2756"/>
        <w:gridCol w:w="3289"/>
      </w:tblGrid>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7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1,307,177.78</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2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1,685,129.37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1,587,048.66</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1,544,449.30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5,408,383.44</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-8,590,833.54</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r>
      <w:tr>
        <w:trPr>
          <w:trHeight w:val="72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-8,341,577.65</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r>
      <w:tr>
        <w:trPr>
          <w:trHeight w:val="7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止确认收益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-250,891.31</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6"/>
              <w:jc w:val="righ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-6,664,246.93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6"/>
              <w:jc w:val="righ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-1,095,471.55</w:t>
            </w:r>
            <w:r>
              <w:rPr>
                <w:rFonts w:ascii="Times New Roman"/>
                <w:sz w:val="18"/>
              </w:rPr>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
              <w:jc w:val="righ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-26,333.00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78,260.19</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14,740,008.04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31,059,611.76</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200.00</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445.86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70,338.00</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14,739,562.18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30,989,473.76</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8,191,232.90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9,446,575.31</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6,548,329.28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21,542,898.45</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7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6,548,329.28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21,542,898.45</w:t>
            </w:r>
          </w:p>
        </w:tc>
      </w:tr>
      <w:tr>
        <w:trPr>
          <w:trHeight w:val="7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7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10,349,912.85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21,062,083.21</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-3,801,583.57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480,815.24</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2,314,712.42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3,371,293.98</w:t>
            </w:r>
          </w:p>
        </w:tc>
      </w:tr>
      <w:tr>
        <w:trPr>
          <w:trHeight w:val="7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 净额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2,314,712.42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3,371,293.98</w:t>
            </w:r>
          </w:p>
        </w:tc>
      </w:tr>
      <w:tr>
        <w:trPr>
          <w:trHeight w:val="7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1,575,000.00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3530"/>
        <w:gridCol w:w="2756"/>
        <w:gridCol w:w="3289"/>
      </w:tblGrid>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7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1,575,000.00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84"/>
              <w:jc w:val="righ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739,712.42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3,371,293.98</w:t>
            </w:r>
          </w:p>
        </w:tc>
      </w:tr>
      <w:tr>
        <w:trPr>
          <w:trHeight w:val="721"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动损益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收益的金额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 出售金融资产损益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739,712.42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3,371,293.98</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8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 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8,863,041.70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24,914,192.43</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12,664,625.27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24,433,377.19</w:t>
            </w:r>
          </w:p>
        </w:tc>
      </w:tr>
      <w:tr>
        <w:trPr>
          <w:trHeight w:val="391"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-3,801,583.57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480,815.24</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0.13</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5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0.13</w:t>
            </w:r>
          </w:p>
        </w:tc>
      </w:tr>
    </w:tbl>
    <w:p>
      <w:pPr>
        <w:spacing w:line="240" w:lineRule="auto" w:before="3"/>
        <w:rPr>
          <w:rFonts w:ascii="Times New Roman" w:hAnsi="Times New Roman" w:cs="Times New Roman" w:eastAsia="Times New Roman" w:hint="default"/>
          <w:sz w:val="22"/>
          <w:szCs w:val="22"/>
        </w:rPr>
      </w:pPr>
    </w:p>
    <w:p>
      <w:pPr>
        <w:pStyle w:val="BodyText"/>
        <w:tabs>
          <w:tab w:pos="3655" w:val="left" w:leader="none"/>
          <w:tab w:pos="7890" w:val="left" w:leader="none"/>
        </w:tabs>
        <w:spacing w:line="240" w:lineRule="auto" w:before="44"/>
        <w:ind w:right="0"/>
        <w:jc w:val="left"/>
      </w:pPr>
      <w:r>
        <w:rPr/>
        <w:t>法定代表人：邬涛</w:t>
        <w:tab/>
        <w:t>主管会计工作负责人：宾卫</w:t>
        <w:tab/>
        <w:t>会计机构负责人：张靖</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277,173,781.70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308,198,944.72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159,607,878.58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194,692,442.54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1,413,655.28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1,947,043.37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54,973,527.51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64,493,586.30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26,800,187.78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20,368,155.10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-747,537.31</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562,494.88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1,307,177.78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762,182.82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826,637.53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1,376,387.84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5,328,633.11</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5,525,894.44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8,276,278.02</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-6,821,675.75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r>
      <w:tr>
        <w:trPr>
          <w:trHeight w:val="10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29"/>
              <w:ind w:left="7" w:right="52"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-4,854,642.10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-1,085,721.55</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-12,849.62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78,260.19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37,160,860.42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38,732,672.30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4,000.00</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65"/>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37,160,810.42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38,728,672.30</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50"/>
          <w:pgMar w:footer="981" w:header="866"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7,979,777.81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7,700,405.37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29,181,032.61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31,028,266.93</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29,181,032.61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31,028,266.93</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1,575,000.00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1,575,000.00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1,575,000.00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30,756,032.61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31,028,266.93</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50"/>
          <w:pgMar w:footer="981" w:header="866" w:top="1120" w:bottom="1180" w:left="1000" w:right="0"/>
          <w:pgNumType w:start="101"/>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62"/>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62"/>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384,512,507.85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532,625,105.63</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22,079,133.75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58,554,854.53</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406,591,641.60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591,179,960.16</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199,746,783.56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272,356,818.54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87,242,326.34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89,416,106.37</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17,793,283.22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31,418,013.32</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62,011,241.44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83,700,661.58</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366,793,634.56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476,891,599.81</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39,798,007.04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114,288,360.35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25,702,920.00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106,759.70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25,809,879.70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2,155,320.00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1,804.00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76,398,838.52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61,591,985.22</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51,424,534.80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15,752,000.00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10,256,000.00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145,730,693.32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71,849,789.22</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-119,920,813.62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-71,769,789.22</w:t>
            </w:r>
            <w:r>
              <w:rPr>
                <w:rFonts w:ascii="Times New Roman"/>
                <w:sz w:val="18"/>
              </w:rPr>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2,685,000.00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6,860,000.00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2,685,000.00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6,860,000.00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50,000,000.00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10,185,000.00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56,860,000.00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50,000,000.00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1,809,106.51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60,016,175.61</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1,809,106.51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4,708,997.83</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8,978,678.87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39,999,113.66</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10,787,785.38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150,015,289.27</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-602,785.38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-93,155,289.27</w:t>
            </w:r>
            <w:r>
              <w:rPr>
                <w:rFonts w:ascii="Times New Roman"/>
                <w:sz w:val="18"/>
              </w:rPr>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660,642.53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2,545,119.65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-80,064,949.43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-48,091,598.49</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210,948,882.39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259,040,480.88</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130,883,932.96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210,948,882.39</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278,783,897.94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453,704,657.39</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4"/>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52,851,789.18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20,370,844.39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331,635,687.12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474,075,501.78</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135,788,349.53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244,159,728.24</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56,436,202.28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68,109,334.44</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14,833,253.70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24,814,525.01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31,199,536.97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45,008,724.23</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238,257,342.48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382,092,311.92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93,378,344.64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91,983,189.86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16,809,679.70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14,584,866.11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27,668,065.31</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80,000.00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31,394,745.81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27,748,065.31</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1,804.00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96,047,726.00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104,943,544.00</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15,752,000.00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10,256,000.00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111,799,726.00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115,201,348.00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-80,404,980.19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-87,453,282.69</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12,092,054.79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12,092,054.79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50,000,000.00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50,000,000.00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55,307,177.78</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20,876,105.82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39,999,113.66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20,876,105.82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145,306,291.44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-8,784,051.03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-95,306,291.44</w:t>
            </w:r>
            <w:r>
              <w:rPr>
                <w:rFonts w:ascii="Times New Roman"/>
                <w:sz w:val="18"/>
              </w:rPr>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4,189,313.42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-90,776,384.27</w:t>
            </w:r>
            <w:r>
              <w:rPr>
                <w:rFonts w:ascii="Times New Roman"/>
                <w:sz w:val="18"/>
              </w:rPr>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4"/>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39,553,439.07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130,329,823.34</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43,742,752.49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39,553,439.07</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9"/>
        <w:rPr>
          <w:rFonts w:ascii="Times New Roman" w:hAnsi="Times New Roman" w:cs="Times New Roman" w:eastAsia="Times New Roman" w:hint="default"/>
          <w:sz w:val="4"/>
          <w:szCs w:val="4"/>
        </w:rPr>
      </w:pPr>
    </w:p>
    <w:p>
      <w:pPr>
        <w:spacing w:line="20" w:lineRule="exact"/>
        <w:ind w:left="122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Times New Roman" w:hAnsi="Times New Roman" w:cs="Times New Roman" w:eastAsia="Times New Roman" w:hint="default"/>
          <w:sz w:val="2"/>
          <w:szCs w:val="2"/>
        </w:rPr>
      </w:r>
    </w:p>
    <w:p>
      <w:pPr>
        <w:pStyle w:val="Heading5"/>
        <w:spacing w:line="240" w:lineRule="auto" w:before="4"/>
        <w:ind w:left="1261"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1261" w:right="0"/>
        <w:jc w:val="left"/>
      </w:pPr>
      <w:r>
        <w:rPr/>
        <w:t>本期金额</w:t>
      </w:r>
    </w:p>
    <w:p>
      <w:pPr>
        <w:pStyle w:val="BodyText"/>
        <w:spacing w:line="240" w:lineRule="auto" w:before="125"/>
        <w:ind w:left="0" w:right="1266"/>
        <w:jc w:val="right"/>
      </w:pPr>
      <w:r>
        <w:rPr/>
        <w:t>单位：元</w:t>
      </w:r>
    </w:p>
    <w:p>
      <w:pPr>
        <w:spacing w:line="240" w:lineRule="auto" w:before="5"/>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209"/>
        <w:gridCol w:w="1276"/>
        <w:gridCol w:w="720"/>
        <w:gridCol w:w="706"/>
        <w:gridCol w:w="706"/>
        <w:gridCol w:w="1276"/>
        <w:gridCol w:w="1141"/>
        <w:gridCol w:w="1126"/>
        <w:gridCol w:w="720"/>
        <w:gridCol w:w="1126"/>
        <w:gridCol w:w="706"/>
        <w:gridCol w:w="1141"/>
        <w:gridCol w:w="570"/>
        <w:gridCol w:w="1277"/>
        <w:gridCol w:w="1276"/>
        <w:gridCol w:w="1276"/>
      </w:tblGrid>
      <w:tr>
        <w:trPr>
          <w:trHeight w:val="405" w:hRule="exact"/>
        </w:trPr>
        <w:tc>
          <w:tcPr>
            <w:tcW w:w="1209" w:type="dxa"/>
            <w:vMerge w:val="restart"/>
            <w:tcBorders>
              <w:top w:val="single" w:sz="6" w:space="0" w:color="000000"/>
              <w:left w:val="single" w:sz="6" w:space="0" w:color="000000"/>
              <w:right w:val="single" w:sz="6" w:space="0" w:color="000000"/>
            </w:tcBorders>
            <w:shd w:val="clear" w:color="auto" w:fill="D2D2D2"/>
          </w:tcPr>
          <w:p>
            <w:pPr/>
          </w:p>
        </w:tc>
        <w:tc>
          <w:tcPr>
            <w:tcW w:w="1504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26" w:hRule="exact"/>
        </w:trPr>
        <w:tc>
          <w:tcPr>
            <w:tcW w:w="1209" w:type="dxa"/>
            <w:vMerge/>
            <w:tcBorders>
              <w:left w:val="single" w:sz="6" w:space="0" w:color="000000"/>
              <w:bottom w:val="nil" w:sz="6" w:space="0" w:color="auto"/>
              <w:right w:val="single" w:sz="6" w:space="0" w:color="000000"/>
            </w:tcBorders>
            <w:shd w:val="clear" w:color="auto" w:fill="D2D2D2"/>
          </w:tcPr>
          <w:p>
            <w:pPr/>
          </w:p>
        </w:tc>
        <w:tc>
          <w:tcPr>
            <w:tcW w:w="12491"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0" w:hRule="exact"/>
        </w:trPr>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1"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2491" w:type="dxa"/>
            <w:gridSpan w:val="13"/>
            <w:vMerge/>
            <w:tcBorders>
              <w:left w:val="single" w:sz="6" w:space="0" w:color="000000"/>
              <w:bottom w:val="single" w:sz="6" w:space="0" w:color="FFFFFF"/>
              <w:right w:val="single" w:sz="6" w:space="0" w:color="000000"/>
            </w:tcBorders>
            <w:shd w:val="clear" w:color="auto" w:fill="D2D2D2"/>
          </w:tcPr>
          <w:p>
            <w:pPr/>
          </w:p>
        </w:tc>
        <w:tc>
          <w:tcPr>
            <w:tcW w:w="1276" w:type="dxa"/>
            <w:vMerge/>
            <w:tcBorders>
              <w:left w:val="single" w:sz="6" w:space="0" w:color="000000"/>
              <w:bottom w:val="single" w:sz="6" w:space="0" w:color="FFFFFF"/>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540" w:right="89" w:hanging="451"/>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9" w:hRule="exact"/>
        </w:trPr>
        <w:tc>
          <w:tcPr>
            <w:tcW w:w="1209" w:type="dxa"/>
            <w:vMerge/>
            <w:tcBorders>
              <w:left w:val="single" w:sz="6" w:space="0" w:color="000000"/>
              <w:bottom w:val="single" w:sz="6" w:space="0" w:color="FFFFFF"/>
              <w:right w:val="single" w:sz="6" w:space="0" w:color="000000"/>
            </w:tcBorders>
            <w:shd w:val="clear" w:color="auto" w:fill="D2D2D2"/>
          </w:tcPr>
          <w:p>
            <w:pPr/>
          </w:p>
        </w:tc>
        <w:tc>
          <w:tcPr>
            <w:tcW w:w="1276" w:type="dxa"/>
            <w:tcBorders>
              <w:top w:val="single" w:sz="6" w:space="0" w:color="FFFFFF"/>
              <w:left w:val="single" w:sz="6" w:space="0" w:color="000000"/>
              <w:bottom w:val="single" w:sz="6" w:space="0" w:color="FFFFFF"/>
              <w:right w:val="single" w:sz="6" w:space="0" w:color="000000"/>
            </w:tcBorders>
            <w:shd w:val="clear" w:color="auto" w:fill="D2D2D2"/>
          </w:tcPr>
          <w:p>
            <w:pPr/>
          </w:p>
        </w:tc>
        <w:tc>
          <w:tcPr>
            <w:tcW w:w="2132" w:type="dxa"/>
            <w:gridSpan w:val="3"/>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6" w:space="0" w:color="FFFFFF"/>
              <w:left w:val="single" w:sz="6" w:space="0" w:color="000000"/>
              <w:bottom w:val="nil" w:sz="6" w:space="0" w:color="auto"/>
              <w:right w:val="single" w:sz="6" w:space="0" w:color="000000"/>
            </w:tcBorders>
            <w:shd w:val="clear" w:color="auto" w:fill="D2D2D2"/>
          </w:tcPr>
          <w:p>
            <w:pPr/>
          </w:p>
        </w:tc>
        <w:tc>
          <w:tcPr>
            <w:tcW w:w="1141" w:type="dxa"/>
            <w:tcBorders>
              <w:top w:val="single" w:sz="6" w:space="0" w:color="FFFFFF"/>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FFFFFF"/>
              <w:left w:val="single" w:sz="6" w:space="0" w:color="000000"/>
              <w:right w:val="single" w:sz="6" w:space="0" w:color="000000"/>
            </w:tcBorders>
            <w:shd w:val="clear" w:color="auto" w:fill="D2D2D2"/>
          </w:tcPr>
          <w:p>
            <w:pPr>
              <w:pStyle w:val="TableParagraph"/>
              <w:spacing w:line="307" w:lineRule="auto" w:before="90"/>
              <w:ind w:left="480" w:right="90"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20" w:type="dxa"/>
            <w:vMerge w:val="restart"/>
            <w:tcBorders>
              <w:top w:val="single" w:sz="6" w:space="0" w:color="FFFFFF"/>
              <w:left w:val="single" w:sz="6" w:space="0" w:color="000000"/>
              <w:right w:val="single" w:sz="6" w:space="0" w:color="000000"/>
            </w:tcBorders>
            <w:shd w:val="clear" w:color="auto" w:fill="D2D2D2"/>
          </w:tcPr>
          <w:p>
            <w:pPr>
              <w:pStyle w:val="TableParagraph"/>
              <w:spacing w:line="307" w:lineRule="auto" w:before="90"/>
              <w:ind w:left="270" w:right="7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26" w:type="dxa"/>
            <w:tcBorders>
              <w:top w:val="single" w:sz="6" w:space="0" w:color="FFFFFF"/>
              <w:left w:val="single" w:sz="6" w:space="0" w:color="000000"/>
              <w:bottom w:val="nil" w:sz="6" w:space="0" w:color="auto"/>
              <w:right w:val="single" w:sz="6" w:space="0" w:color="000000"/>
            </w:tcBorders>
            <w:shd w:val="clear" w:color="auto" w:fill="D2D2D2"/>
          </w:tcPr>
          <w:p>
            <w:pPr/>
          </w:p>
        </w:tc>
        <w:tc>
          <w:tcPr>
            <w:tcW w:w="706" w:type="dxa"/>
            <w:vMerge w:val="restart"/>
            <w:tcBorders>
              <w:top w:val="single" w:sz="6" w:space="0" w:color="FFFFFF"/>
              <w:left w:val="single" w:sz="6" w:space="0" w:color="000000"/>
              <w:right w:val="single" w:sz="6" w:space="0" w:color="000000"/>
            </w:tcBorders>
            <w:shd w:val="clear" w:color="auto" w:fill="D2D2D2"/>
          </w:tcPr>
          <w:p>
            <w:pPr>
              <w:pStyle w:val="TableParagraph"/>
              <w:spacing w:line="307" w:lineRule="auto" w:before="90"/>
              <w:ind w:left="90"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41" w:type="dxa"/>
            <w:tcBorders>
              <w:top w:val="single" w:sz="6" w:space="0" w:color="FFFFFF"/>
              <w:left w:val="single" w:sz="6" w:space="0" w:color="000000"/>
              <w:bottom w:val="nil" w:sz="6" w:space="0" w:color="auto"/>
              <w:right w:val="single" w:sz="6" w:space="0" w:color="000000"/>
            </w:tcBorders>
            <w:shd w:val="clear" w:color="auto" w:fill="D2D2D2"/>
          </w:tcPr>
          <w:p>
            <w:pPr/>
          </w:p>
        </w:tc>
        <w:tc>
          <w:tcPr>
            <w:tcW w:w="570" w:type="dxa"/>
            <w:tcBorders>
              <w:top w:val="single" w:sz="6" w:space="0" w:color="FFFFFF"/>
              <w:left w:val="single" w:sz="6" w:space="0" w:color="000000"/>
              <w:bottom w:val="nil" w:sz="6" w:space="0" w:color="auto"/>
              <w:right w:val="single" w:sz="6" w:space="0" w:color="000000"/>
            </w:tcBorders>
            <w:shd w:val="clear" w:color="auto" w:fill="D2D2D2"/>
          </w:tcPr>
          <w:p>
            <w:pPr/>
          </w:p>
        </w:tc>
        <w:tc>
          <w:tcPr>
            <w:tcW w:w="1277" w:type="dxa"/>
            <w:tcBorders>
              <w:top w:val="single" w:sz="6" w:space="0" w:color="FFFFFF"/>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6" w:type="dxa"/>
            <w:vMerge/>
            <w:tcBorders>
              <w:left w:val="single" w:sz="6" w:space="0" w:color="000000"/>
              <w:right w:val="single" w:sz="6" w:space="0" w:color="000000"/>
            </w:tcBorders>
            <w:shd w:val="clear" w:color="auto" w:fill="D2D2D2"/>
          </w:tcPr>
          <w:p>
            <w:pPr/>
          </w:p>
        </w:tc>
      </w:tr>
      <w:tr>
        <w:trPr>
          <w:trHeight w:val="200" w:hRule="exact"/>
        </w:trPr>
        <w:tc>
          <w:tcPr>
            <w:tcW w:w="1209" w:type="dxa"/>
            <w:vMerge w:val="restart"/>
            <w:tcBorders>
              <w:top w:val="single" w:sz="6" w:space="0" w:color="FFFFFF"/>
              <w:left w:val="single" w:sz="6" w:space="0" w:color="000000"/>
              <w:right w:val="single" w:sz="6" w:space="0" w:color="000000"/>
            </w:tcBorders>
            <w:shd w:val="clear" w:color="auto" w:fill="D2D2D2"/>
          </w:tcPr>
          <w:p>
            <w:pPr/>
          </w:p>
        </w:tc>
        <w:tc>
          <w:tcPr>
            <w:tcW w:w="1276"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132"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6"/>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6"/>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6" w:type="dxa"/>
            <w:vMerge/>
            <w:tcBorders>
              <w:left w:val="single" w:sz="6" w:space="0" w:color="000000"/>
              <w:right w:val="single" w:sz="6" w:space="0" w:color="000000"/>
            </w:tcBorders>
            <w:shd w:val="clear" w:color="auto" w:fill="D2D2D2"/>
          </w:tcPr>
          <w:p>
            <w:pPr/>
          </w:p>
        </w:tc>
        <w:tc>
          <w:tcPr>
            <w:tcW w:w="720"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6" w:type="dxa"/>
            <w:vMerge/>
            <w:tcBorders>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r>
      <w:tr>
        <w:trPr>
          <w:trHeight w:val="169" w:hRule="exact"/>
        </w:trPr>
        <w:tc>
          <w:tcPr>
            <w:tcW w:w="1209"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72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4"/>
              <w:ind w:left="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4"/>
              <w:ind w:left="7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4"/>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right w:val="single" w:sz="6" w:space="0" w:color="000000"/>
            </w:tcBorders>
            <w:shd w:val="clear" w:color="auto" w:fill="D2D2D2"/>
          </w:tcPr>
          <w:p>
            <w:pPr/>
          </w:p>
        </w:tc>
        <w:tc>
          <w:tcPr>
            <w:tcW w:w="720"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r>
      <w:tr>
        <w:trPr>
          <w:trHeight w:val="220" w:hRule="exact"/>
        </w:trPr>
        <w:tc>
          <w:tcPr>
            <w:tcW w:w="1209"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720"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720"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162,000,000.00</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200,205,305.28</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39,999,113.66</w:t>
            </w:r>
          </w:p>
        </w:tc>
        <w:tc>
          <w:tcPr>
            <w:tcW w:w="1126" w:type="dxa"/>
            <w:vMerge w:val="restart"/>
            <w:tcBorders>
              <w:top w:val="single" w:sz="24" w:space="0" w:color="D2D2D2"/>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65" w:right="0"/>
              <w:jc w:val="left"/>
              <w:rPr>
                <w:rFonts w:ascii="Times New Roman" w:hAnsi="Times New Roman" w:cs="Times New Roman" w:eastAsia="Times New Roman" w:hint="default"/>
                <w:sz w:val="18"/>
                <w:szCs w:val="18"/>
              </w:rPr>
            </w:pPr>
            <w:r>
              <w:rPr>
                <w:rFonts w:ascii="Times New Roman"/>
                <w:sz w:val="18"/>
              </w:rPr>
              <w:t>3,456,934.40</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25,760,503.00</w:t>
            </w:r>
          </w:p>
        </w:tc>
        <w:tc>
          <w:tcPr>
            <w:tcW w:w="706" w:type="dxa"/>
            <w:vMerge w:val="restart"/>
            <w:tcBorders>
              <w:top w:val="single" w:sz="24" w:space="0" w:color="D2D2D2"/>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75" w:right="0"/>
              <w:jc w:val="lef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57,911,271.76</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409,334,900.78</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9,787,118.85</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419,122,019.63</w:t>
            </w:r>
          </w:p>
        </w:tc>
      </w:tr>
      <w:tr>
        <w:trPr>
          <w:trHeight w:val="690" w:hRule="exact"/>
        </w:trPr>
        <w:tc>
          <w:tcPr>
            <w:tcW w:w="120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4"/>
              <w:ind w:left="7" w:right="105"/>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1276" w:type="dxa"/>
            <w:vMerge/>
            <w:tcBorders>
              <w:left w:val="single" w:sz="12" w:space="0" w:color="D2D2D2"/>
              <w:right w:val="single" w:sz="6" w:space="0" w:color="000000"/>
            </w:tcBorders>
          </w:tcPr>
          <w:p>
            <w:pPr/>
          </w:p>
        </w:tc>
        <w:tc>
          <w:tcPr>
            <w:tcW w:w="72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r>
      <w:tr>
        <w:trPr>
          <w:trHeight w:val="173" w:hRule="exact"/>
        </w:trPr>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12" w:space="0" w:color="D2D2D2"/>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r>
      <w:tr>
        <w:trPr>
          <w:trHeight w:val="721"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7" w:right="103"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157" w:hRule="exact"/>
        </w:trPr>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162,000,000.00</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200,205,305.28</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39,999,113.66</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3,456,934.40</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25,760,503.00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57,911,271.76</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409,334,900.78</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9,787,118.85</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419,122,019.63</w:t>
            </w:r>
          </w:p>
        </w:tc>
      </w:tr>
      <w:tr>
        <w:trPr>
          <w:trHeight w:val="706" w:hRule="exact"/>
        </w:trPr>
        <w:tc>
          <w:tcPr>
            <w:tcW w:w="120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5"/>
              <w:ind w:left="7" w:right="105"/>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1276" w:type="dxa"/>
            <w:vMerge/>
            <w:tcBorders>
              <w:left w:val="single" w:sz="12" w:space="0" w:color="D2D2D2"/>
              <w:right w:val="single" w:sz="6" w:space="0" w:color="000000"/>
            </w:tcBorders>
          </w:tcPr>
          <w:p>
            <w:pPr/>
          </w:p>
        </w:tc>
        <w:tc>
          <w:tcPr>
            <w:tcW w:w="72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r>
      <w:tr>
        <w:trPr>
          <w:trHeight w:val="158" w:hRule="exact"/>
        </w:trPr>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12" w:space="0" w:color="D2D2D2"/>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r>
      <w:tr>
        <w:trPr>
          <w:trHeight w:val="1337"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05"/>
              <w:jc w:val="left"/>
              <w:rPr>
                <w:rFonts w:ascii="宋体" w:hAnsi="宋体" w:cs="宋体" w:eastAsia="宋体" w:hint="default"/>
                <w:sz w:val="18"/>
                <w:szCs w:val="18"/>
              </w:rPr>
            </w:pPr>
            <w:r>
              <w:rPr>
                <w:rFonts w:ascii="宋体" w:hAnsi="宋体" w:cs="宋体" w:eastAsia="宋体" w:hint="default"/>
                <w:sz w:val="18"/>
                <w:szCs w:val="18"/>
              </w:rPr>
              <w:t>三、本期增减 变动金额（减</w:t>
            </w:r>
          </w:p>
          <w:p>
            <w:pPr>
              <w:pStyle w:val="TableParagraph"/>
              <w:spacing w:line="288" w:lineRule="auto" w:before="34"/>
              <w:ind w:left="7" w:right="118"/>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-173,243.03</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8,876,105.82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2,314,712.42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2,918,103.26</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7,431,809.59</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3,615,276.42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32,835,435.25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36,450,711.67</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6850" w:h="11910" w:orient="landscape"/>
          <w:pgMar w:header="857" w:footer="981" w:top="1040" w:bottom="1180" w:left="180" w:right="160"/>
          <w:pgNumType w:start="106"/>
        </w:sectPr>
      </w:pPr>
    </w:p>
    <w:p>
      <w:pPr>
        <w:spacing w:line="240" w:lineRule="auto" w:before="1"/>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209"/>
        <w:gridCol w:w="1276"/>
        <w:gridCol w:w="720"/>
        <w:gridCol w:w="706"/>
        <w:gridCol w:w="706"/>
        <w:gridCol w:w="1276"/>
        <w:gridCol w:w="1141"/>
        <w:gridCol w:w="1126"/>
        <w:gridCol w:w="720"/>
        <w:gridCol w:w="1126"/>
        <w:gridCol w:w="706"/>
        <w:gridCol w:w="1141"/>
        <w:gridCol w:w="570"/>
        <w:gridCol w:w="1277"/>
        <w:gridCol w:w="1276"/>
        <w:gridCol w:w="1276"/>
      </w:tblGrid>
      <w:tr>
        <w:trPr>
          <w:trHeight w:val="405" w:hRule="exact"/>
        </w:trPr>
        <w:tc>
          <w:tcPr>
            <w:tcW w:w="1209" w:type="dxa"/>
            <w:vMerge w:val="restart"/>
            <w:tcBorders>
              <w:top w:val="single" w:sz="6" w:space="0" w:color="000000"/>
              <w:left w:val="single" w:sz="6" w:space="0" w:color="000000"/>
              <w:right w:val="single" w:sz="6" w:space="0" w:color="000000"/>
            </w:tcBorders>
            <w:shd w:val="clear" w:color="auto" w:fill="D2D2D2"/>
          </w:tcPr>
          <w:p>
            <w:pPr/>
          </w:p>
        </w:tc>
        <w:tc>
          <w:tcPr>
            <w:tcW w:w="1504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25" w:hRule="exact"/>
        </w:trPr>
        <w:tc>
          <w:tcPr>
            <w:tcW w:w="1209" w:type="dxa"/>
            <w:vMerge/>
            <w:tcBorders>
              <w:left w:val="single" w:sz="6" w:space="0" w:color="000000"/>
              <w:bottom w:val="nil" w:sz="6" w:space="0" w:color="auto"/>
              <w:right w:val="single" w:sz="6" w:space="0" w:color="000000"/>
            </w:tcBorders>
            <w:shd w:val="clear" w:color="auto" w:fill="D2D2D2"/>
          </w:tcPr>
          <w:p>
            <w:pPr/>
          </w:p>
        </w:tc>
        <w:tc>
          <w:tcPr>
            <w:tcW w:w="12491"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0" w:hRule="exact"/>
        </w:trPr>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1"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2491" w:type="dxa"/>
            <w:gridSpan w:val="13"/>
            <w:vMerge/>
            <w:tcBorders>
              <w:left w:val="single" w:sz="6" w:space="0" w:color="000000"/>
              <w:bottom w:val="single" w:sz="6" w:space="0" w:color="FFFFFF"/>
              <w:right w:val="single" w:sz="6" w:space="0" w:color="000000"/>
            </w:tcBorders>
            <w:shd w:val="clear" w:color="auto" w:fill="D2D2D2"/>
          </w:tcPr>
          <w:p>
            <w:pPr/>
          </w:p>
        </w:tc>
        <w:tc>
          <w:tcPr>
            <w:tcW w:w="1276" w:type="dxa"/>
            <w:vMerge/>
            <w:tcBorders>
              <w:left w:val="single" w:sz="6" w:space="0" w:color="000000"/>
              <w:bottom w:val="single" w:sz="6" w:space="0" w:color="FFFFFF"/>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540" w:right="89" w:hanging="451"/>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3" w:hRule="exact"/>
        </w:trPr>
        <w:tc>
          <w:tcPr>
            <w:tcW w:w="1209" w:type="dxa"/>
            <w:vMerge/>
            <w:tcBorders>
              <w:left w:val="single" w:sz="6" w:space="0" w:color="000000"/>
              <w:bottom w:val="nil" w:sz="6" w:space="0" w:color="auto"/>
              <w:right w:val="single" w:sz="6" w:space="0" w:color="000000"/>
            </w:tcBorders>
            <w:shd w:val="clear" w:color="auto" w:fill="D2D2D2"/>
          </w:tcPr>
          <w:p>
            <w:pPr/>
          </w:p>
        </w:tc>
        <w:tc>
          <w:tcPr>
            <w:tcW w:w="1276" w:type="dxa"/>
            <w:tcBorders>
              <w:top w:val="single" w:sz="6" w:space="0" w:color="FFFFFF"/>
              <w:left w:val="single" w:sz="6" w:space="0" w:color="000000"/>
              <w:bottom w:val="nil" w:sz="6" w:space="0" w:color="auto"/>
              <w:right w:val="single" w:sz="6" w:space="0" w:color="000000"/>
            </w:tcBorders>
            <w:shd w:val="clear" w:color="auto" w:fill="D2D2D2"/>
          </w:tcPr>
          <w:p>
            <w:pPr/>
          </w:p>
        </w:tc>
        <w:tc>
          <w:tcPr>
            <w:tcW w:w="2132" w:type="dxa"/>
            <w:gridSpan w:val="3"/>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6" w:space="0" w:color="FFFFFF"/>
              <w:left w:val="single" w:sz="6" w:space="0" w:color="000000"/>
              <w:bottom w:val="nil" w:sz="6" w:space="0" w:color="auto"/>
              <w:right w:val="single" w:sz="6" w:space="0" w:color="000000"/>
            </w:tcBorders>
            <w:shd w:val="clear" w:color="auto" w:fill="D2D2D2"/>
          </w:tcPr>
          <w:p>
            <w:pPr/>
          </w:p>
        </w:tc>
        <w:tc>
          <w:tcPr>
            <w:tcW w:w="1141" w:type="dxa"/>
            <w:tcBorders>
              <w:top w:val="single" w:sz="6" w:space="0" w:color="FFFFFF"/>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480" w:right="90"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20"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270" w:right="7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26" w:type="dxa"/>
            <w:tcBorders>
              <w:top w:val="single" w:sz="6" w:space="0" w:color="FFFFFF"/>
              <w:left w:val="single" w:sz="6" w:space="0" w:color="000000"/>
              <w:bottom w:val="nil" w:sz="6" w:space="0" w:color="auto"/>
              <w:right w:val="single" w:sz="6" w:space="0" w:color="000000"/>
            </w:tcBorders>
            <w:shd w:val="clear" w:color="auto" w:fill="D2D2D2"/>
          </w:tcPr>
          <w:p>
            <w:pPr/>
          </w:p>
        </w:tc>
        <w:tc>
          <w:tcPr>
            <w:tcW w:w="706"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90"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41" w:type="dxa"/>
            <w:tcBorders>
              <w:top w:val="single" w:sz="6" w:space="0" w:color="FFFFFF"/>
              <w:left w:val="single" w:sz="6" w:space="0" w:color="000000"/>
              <w:bottom w:val="nil" w:sz="6" w:space="0" w:color="auto"/>
              <w:right w:val="single" w:sz="6" w:space="0" w:color="000000"/>
            </w:tcBorders>
            <w:shd w:val="clear" w:color="auto" w:fill="D2D2D2"/>
          </w:tcPr>
          <w:p>
            <w:pPr/>
          </w:p>
        </w:tc>
        <w:tc>
          <w:tcPr>
            <w:tcW w:w="570" w:type="dxa"/>
            <w:tcBorders>
              <w:top w:val="single" w:sz="6" w:space="0" w:color="FFFFFF"/>
              <w:left w:val="single" w:sz="6" w:space="0" w:color="000000"/>
              <w:bottom w:val="nil" w:sz="6" w:space="0" w:color="auto"/>
              <w:right w:val="single" w:sz="6" w:space="0" w:color="000000"/>
            </w:tcBorders>
            <w:shd w:val="clear" w:color="auto" w:fill="D2D2D2"/>
          </w:tcPr>
          <w:p>
            <w:pPr/>
          </w:p>
        </w:tc>
        <w:tc>
          <w:tcPr>
            <w:tcW w:w="1277" w:type="dxa"/>
            <w:tcBorders>
              <w:top w:val="single" w:sz="6" w:space="0" w:color="FFFFFF"/>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6" w:type="dxa"/>
            <w:vMerge/>
            <w:tcBorders>
              <w:left w:val="single" w:sz="6" w:space="0" w:color="000000"/>
              <w:right w:val="single" w:sz="6" w:space="0" w:color="000000"/>
            </w:tcBorders>
            <w:shd w:val="clear" w:color="auto" w:fill="D2D2D2"/>
          </w:tcPr>
          <w:p>
            <w:pPr/>
          </w:p>
        </w:tc>
      </w:tr>
      <w:tr>
        <w:trPr>
          <w:trHeight w:val="199" w:hRule="exact"/>
        </w:trPr>
        <w:tc>
          <w:tcPr>
            <w:tcW w:w="1209" w:type="dxa"/>
            <w:vMerge w:val="restart"/>
            <w:tcBorders>
              <w:top w:val="nil" w:sz="6" w:space="0" w:color="auto"/>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132"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6" w:type="dxa"/>
            <w:vMerge/>
            <w:tcBorders>
              <w:left w:val="single" w:sz="6" w:space="0" w:color="000000"/>
              <w:right w:val="single" w:sz="6" w:space="0" w:color="000000"/>
            </w:tcBorders>
            <w:shd w:val="clear" w:color="auto" w:fill="D2D2D2"/>
          </w:tcPr>
          <w:p>
            <w:pPr/>
          </w:p>
        </w:tc>
        <w:tc>
          <w:tcPr>
            <w:tcW w:w="720"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6" w:type="dxa"/>
            <w:vMerge/>
            <w:tcBorders>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r>
      <w:tr>
        <w:trPr>
          <w:trHeight w:val="169" w:hRule="exact"/>
        </w:trPr>
        <w:tc>
          <w:tcPr>
            <w:tcW w:w="1209"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72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right w:val="single" w:sz="6" w:space="0" w:color="000000"/>
            </w:tcBorders>
            <w:shd w:val="clear" w:color="auto" w:fill="D2D2D2"/>
          </w:tcPr>
          <w:p>
            <w:pPr/>
          </w:p>
        </w:tc>
        <w:tc>
          <w:tcPr>
            <w:tcW w:w="720"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r>
      <w:tr>
        <w:trPr>
          <w:trHeight w:val="221" w:hRule="exact"/>
        </w:trPr>
        <w:tc>
          <w:tcPr>
            <w:tcW w:w="1209"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720"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720"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vMerge w:val="restart"/>
            <w:tcBorders>
              <w:top w:val="single" w:sz="24" w:space="0" w:color="D2D2D2"/>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2,314,712.42</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24" w:space="0" w:color="D2D2D2"/>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10,349,912.85</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12,664,625.27</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-3,801,583.57</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8,863,041.70</w:t>
            </w:r>
          </w:p>
        </w:tc>
      </w:tr>
      <w:tr>
        <w:trPr>
          <w:trHeight w:val="706" w:hRule="exact"/>
        </w:trPr>
        <w:tc>
          <w:tcPr>
            <w:tcW w:w="120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5"/>
              <w:ind w:left="7" w:right="105"/>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1276" w:type="dxa"/>
            <w:vMerge/>
            <w:tcBorders>
              <w:left w:val="single" w:sz="12" w:space="0" w:color="D2D2D2"/>
              <w:right w:val="single" w:sz="6" w:space="0" w:color="000000"/>
            </w:tcBorders>
          </w:tcPr>
          <w:p>
            <w:pPr/>
          </w:p>
        </w:tc>
        <w:tc>
          <w:tcPr>
            <w:tcW w:w="72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r>
      <w:tr>
        <w:trPr>
          <w:trHeight w:val="158" w:hRule="exact"/>
        </w:trPr>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12" w:space="0" w:color="D2D2D2"/>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r>
      <w:tr>
        <w:trPr>
          <w:trHeight w:val="103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05"/>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-173,243.03</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8,876,105.82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-9,049,348.85</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39,000,929.75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29,951,580.90</w:t>
            </w:r>
          </w:p>
        </w:tc>
      </w:tr>
      <w:tr>
        <w:trPr>
          <w:trHeight w:val="721"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2,685,000.00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2,685,000.00</w:t>
            </w:r>
          </w:p>
        </w:tc>
      </w:tr>
      <w:tr>
        <w:trPr>
          <w:trHeight w:val="103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120,443.29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120,443.29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180,063.91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300,507.20</w:t>
            </w:r>
          </w:p>
        </w:tc>
      </w:tr>
      <w:tr>
        <w:trPr>
          <w:trHeight w:val="323" w:hRule="exact"/>
        </w:trPr>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-293,686.32</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8,876,105.82</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-9,169,792.14</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36,135,865.84</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26,966,073.70</w:t>
            </w:r>
          </w:p>
        </w:tc>
      </w:tr>
      <w:tr>
        <w:trPr>
          <w:trHeight w:val="391" w:hRule="exact"/>
        </w:trPr>
        <w:tc>
          <w:tcPr>
            <w:tcW w:w="120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vMerge/>
            <w:tcBorders>
              <w:left w:val="single" w:sz="12" w:space="0" w:color="D2D2D2"/>
              <w:right w:val="single" w:sz="6" w:space="0" w:color="000000"/>
            </w:tcBorders>
          </w:tcPr>
          <w:p>
            <w:pPr/>
          </w:p>
        </w:tc>
        <w:tc>
          <w:tcPr>
            <w:tcW w:w="72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r>
      <w:tr>
        <w:trPr>
          <w:trHeight w:val="323" w:hRule="exact"/>
        </w:trPr>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12" w:space="0" w:color="D2D2D2"/>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r>
      <w:tr>
        <w:trPr>
          <w:trHeight w:val="721"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5"/>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2,918,103.26</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-2,918,103.26</w:t>
            </w:r>
            <w:r>
              <w:rPr>
                <w:rFonts w:ascii="Times New Roman"/>
                <w:sz w:val="18"/>
              </w:rPr>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-2,363,910.93</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-2,363,910.93</w:t>
            </w:r>
            <w:r>
              <w:rPr>
                <w:rFonts w:ascii="Times New Roman"/>
                <w:sz w:val="18"/>
              </w:rPr>
            </w:r>
          </w:p>
        </w:tc>
      </w:tr>
      <w:tr>
        <w:trPr>
          <w:trHeight w:val="70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7"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12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2,918,103.26</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-2,918,103.26</w:t>
            </w:r>
            <w:r>
              <w:rPr>
                <w:rFonts w:ascii="Times New Roman"/>
                <w:sz w:val="18"/>
              </w:rPr>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180" w:right="160"/>
        </w:sectPr>
      </w:pPr>
    </w:p>
    <w:p>
      <w:pPr>
        <w:spacing w:line="240" w:lineRule="auto" w:before="1"/>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201"/>
        <w:gridCol w:w="1284"/>
        <w:gridCol w:w="720"/>
        <w:gridCol w:w="706"/>
        <w:gridCol w:w="706"/>
        <w:gridCol w:w="1276"/>
        <w:gridCol w:w="1141"/>
        <w:gridCol w:w="1126"/>
        <w:gridCol w:w="720"/>
        <w:gridCol w:w="1126"/>
        <w:gridCol w:w="706"/>
        <w:gridCol w:w="1141"/>
        <w:gridCol w:w="570"/>
        <w:gridCol w:w="1277"/>
        <w:gridCol w:w="1276"/>
        <w:gridCol w:w="1276"/>
      </w:tblGrid>
      <w:tr>
        <w:trPr>
          <w:trHeight w:val="405" w:hRule="exact"/>
        </w:trPr>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5051"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25" w:hRule="exact"/>
        </w:trPr>
        <w:tc>
          <w:tcPr>
            <w:tcW w:w="1201" w:type="dxa"/>
            <w:vMerge/>
            <w:tcBorders>
              <w:left w:val="single" w:sz="6" w:space="0" w:color="000000"/>
              <w:bottom w:val="nil" w:sz="6" w:space="0" w:color="auto"/>
              <w:right w:val="single" w:sz="6" w:space="0" w:color="000000"/>
            </w:tcBorders>
            <w:shd w:val="clear" w:color="auto" w:fill="D2D2D2"/>
          </w:tcPr>
          <w:p>
            <w:pPr/>
          </w:p>
        </w:tc>
        <w:tc>
          <w:tcPr>
            <w:tcW w:w="12499"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0" w:hRule="exact"/>
        </w:trPr>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99" w:type="dxa"/>
            <w:gridSpan w:val="13"/>
            <w:vMerge/>
            <w:tcBorders>
              <w:left w:val="single" w:sz="6" w:space="0" w:color="000000"/>
              <w:bottom w:val="single" w:sz="6" w:space="0" w:color="FFFFFF"/>
              <w:right w:val="single" w:sz="6" w:space="0" w:color="000000"/>
            </w:tcBorders>
            <w:shd w:val="clear" w:color="auto" w:fill="D2D2D2"/>
          </w:tcPr>
          <w:p>
            <w:pPr/>
          </w:p>
        </w:tc>
        <w:tc>
          <w:tcPr>
            <w:tcW w:w="1276" w:type="dxa"/>
            <w:vMerge/>
            <w:tcBorders>
              <w:left w:val="single" w:sz="6" w:space="0" w:color="000000"/>
              <w:bottom w:val="single" w:sz="6" w:space="0" w:color="FFFFFF"/>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540" w:right="89" w:hanging="451"/>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3" w:hRule="exact"/>
        </w:trPr>
        <w:tc>
          <w:tcPr>
            <w:tcW w:w="1201" w:type="dxa"/>
            <w:vMerge/>
            <w:tcBorders>
              <w:left w:val="single" w:sz="6" w:space="0" w:color="000000"/>
              <w:bottom w:val="nil" w:sz="6" w:space="0" w:color="auto"/>
              <w:right w:val="single" w:sz="6" w:space="0" w:color="000000"/>
            </w:tcBorders>
            <w:shd w:val="clear" w:color="auto" w:fill="D2D2D2"/>
          </w:tcPr>
          <w:p>
            <w:pPr/>
          </w:p>
        </w:tc>
        <w:tc>
          <w:tcPr>
            <w:tcW w:w="1284" w:type="dxa"/>
            <w:tcBorders>
              <w:top w:val="single" w:sz="6" w:space="0" w:color="FFFFFF"/>
              <w:left w:val="single" w:sz="6" w:space="0" w:color="000000"/>
              <w:bottom w:val="nil" w:sz="6" w:space="0" w:color="auto"/>
              <w:right w:val="single" w:sz="6" w:space="0" w:color="000000"/>
            </w:tcBorders>
            <w:shd w:val="clear" w:color="auto" w:fill="D2D2D2"/>
          </w:tcPr>
          <w:p>
            <w:pPr/>
          </w:p>
        </w:tc>
        <w:tc>
          <w:tcPr>
            <w:tcW w:w="2132" w:type="dxa"/>
            <w:gridSpan w:val="3"/>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6" w:space="0" w:color="FFFFFF"/>
              <w:left w:val="single" w:sz="6" w:space="0" w:color="000000"/>
              <w:bottom w:val="nil" w:sz="6" w:space="0" w:color="auto"/>
              <w:right w:val="single" w:sz="6" w:space="0" w:color="000000"/>
            </w:tcBorders>
            <w:shd w:val="clear" w:color="auto" w:fill="D2D2D2"/>
          </w:tcPr>
          <w:p>
            <w:pPr/>
          </w:p>
        </w:tc>
        <w:tc>
          <w:tcPr>
            <w:tcW w:w="1141" w:type="dxa"/>
            <w:tcBorders>
              <w:top w:val="single" w:sz="6" w:space="0" w:color="FFFFFF"/>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480" w:right="90"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20"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270" w:right="7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26" w:type="dxa"/>
            <w:tcBorders>
              <w:top w:val="single" w:sz="6" w:space="0" w:color="FFFFFF"/>
              <w:left w:val="single" w:sz="6" w:space="0" w:color="000000"/>
              <w:bottom w:val="nil" w:sz="6" w:space="0" w:color="auto"/>
              <w:right w:val="single" w:sz="6" w:space="0" w:color="000000"/>
            </w:tcBorders>
            <w:shd w:val="clear" w:color="auto" w:fill="D2D2D2"/>
          </w:tcPr>
          <w:p>
            <w:pPr/>
          </w:p>
        </w:tc>
        <w:tc>
          <w:tcPr>
            <w:tcW w:w="706"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90"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41" w:type="dxa"/>
            <w:tcBorders>
              <w:top w:val="single" w:sz="6" w:space="0" w:color="FFFFFF"/>
              <w:left w:val="single" w:sz="6" w:space="0" w:color="000000"/>
              <w:bottom w:val="nil" w:sz="6" w:space="0" w:color="auto"/>
              <w:right w:val="single" w:sz="6" w:space="0" w:color="000000"/>
            </w:tcBorders>
            <w:shd w:val="clear" w:color="auto" w:fill="D2D2D2"/>
          </w:tcPr>
          <w:p>
            <w:pPr/>
          </w:p>
        </w:tc>
        <w:tc>
          <w:tcPr>
            <w:tcW w:w="570" w:type="dxa"/>
            <w:tcBorders>
              <w:top w:val="single" w:sz="6" w:space="0" w:color="FFFFFF"/>
              <w:left w:val="single" w:sz="6" w:space="0" w:color="000000"/>
              <w:bottom w:val="nil" w:sz="6" w:space="0" w:color="auto"/>
              <w:right w:val="single" w:sz="6" w:space="0" w:color="000000"/>
            </w:tcBorders>
            <w:shd w:val="clear" w:color="auto" w:fill="D2D2D2"/>
          </w:tcPr>
          <w:p>
            <w:pPr/>
          </w:p>
        </w:tc>
        <w:tc>
          <w:tcPr>
            <w:tcW w:w="1277" w:type="dxa"/>
            <w:tcBorders>
              <w:top w:val="single" w:sz="6" w:space="0" w:color="FFFFFF"/>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6" w:type="dxa"/>
            <w:vMerge/>
            <w:tcBorders>
              <w:left w:val="single" w:sz="6" w:space="0" w:color="000000"/>
              <w:right w:val="single" w:sz="6" w:space="0" w:color="000000"/>
            </w:tcBorders>
            <w:shd w:val="clear" w:color="auto" w:fill="D2D2D2"/>
          </w:tcPr>
          <w:p>
            <w:pPr/>
          </w:p>
        </w:tc>
      </w:tr>
      <w:tr>
        <w:trPr>
          <w:trHeight w:val="199" w:hRule="exact"/>
        </w:trPr>
        <w:tc>
          <w:tcPr>
            <w:tcW w:w="1201" w:type="dxa"/>
            <w:vMerge w:val="restart"/>
            <w:tcBorders>
              <w:top w:val="nil" w:sz="6" w:space="0" w:color="auto"/>
              <w:left w:val="single" w:sz="6" w:space="0" w:color="000000"/>
              <w:right w:val="single" w:sz="6" w:space="0" w:color="000000"/>
            </w:tcBorders>
            <w:shd w:val="clear" w:color="auto" w:fill="D2D2D2"/>
          </w:tcPr>
          <w:p>
            <w:pPr/>
          </w:p>
        </w:tc>
        <w:tc>
          <w:tcPr>
            <w:tcW w:w="12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32"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6" w:type="dxa"/>
            <w:vMerge/>
            <w:tcBorders>
              <w:left w:val="single" w:sz="6" w:space="0" w:color="000000"/>
              <w:right w:val="single" w:sz="6" w:space="0" w:color="000000"/>
            </w:tcBorders>
            <w:shd w:val="clear" w:color="auto" w:fill="D2D2D2"/>
          </w:tcPr>
          <w:p>
            <w:pPr/>
          </w:p>
        </w:tc>
        <w:tc>
          <w:tcPr>
            <w:tcW w:w="720"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6" w:type="dxa"/>
            <w:vMerge/>
            <w:tcBorders>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r>
      <w:tr>
        <w:trPr>
          <w:trHeight w:val="169" w:hRule="exact"/>
        </w:trPr>
        <w:tc>
          <w:tcPr>
            <w:tcW w:w="1201"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bottom w:val="nil" w:sz="6" w:space="0" w:color="auto"/>
              <w:right w:val="single" w:sz="6" w:space="0" w:color="000000"/>
            </w:tcBorders>
            <w:shd w:val="clear" w:color="auto" w:fill="D2D2D2"/>
          </w:tcPr>
          <w:p>
            <w:pPr/>
          </w:p>
        </w:tc>
        <w:tc>
          <w:tcPr>
            <w:tcW w:w="72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right w:val="single" w:sz="6" w:space="0" w:color="000000"/>
            </w:tcBorders>
            <w:shd w:val="clear" w:color="auto" w:fill="D2D2D2"/>
          </w:tcPr>
          <w:p>
            <w:pPr/>
          </w:p>
        </w:tc>
        <w:tc>
          <w:tcPr>
            <w:tcW w:w="720"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r>
      <w:tr>
        <w:trPr>
          <w:trHeight w:val="221" w:hRule="exact"/>
        </w:trPr>
        <w:tc>
          <w:tcPr>
            <w:tcW w:w="1201" w:type="dxa"/>
            <w:vMerge/>
            <w:tcBorders>
              <w:left w:val="single" w:sz="6" w:space="0" w:color="000000"/>
              <w:bottom w:val="single" w:sz="6" w:space="0" w:color="000000"/>
              <w:right w:val="single" w:sz="6" w:space="0" w:color="000000"/>
            </w:tcBorders>
            <w:shd w:val="clear" w:color="auto" w:fill="D2D2D2"/>
          </w:tcPr>
          <w:p>
            <w:pPr/>
          </w:p>
        </w:tc>
        <w:tc>
          <w:tcPr>
            <w:tcW w:w="1284" w:type="dxa"/>
            <w:tcBorders>
              <w:top w:val="nil" w:sz="6" w:space="0" w:color="auto"/>
              <w:left w:val="single" w:sz="6" w:space="0" w:color="000000"/>
              <w:bottom w:val="single" w:sz="6" w:space="0" w:color="000000"/>
              <w:right w:val="single" w:sz="6" w:space="0" w:color="000000"/>
            </w:tcBorders>
            <w:shd w:val="clear" w:color="auto" w:fill="D2D2D2"/>
          </w:tcPr>
          <w:p>
            <w:pPr/>
          </w:p>
        </w:tc>
        <w:tc>
          <w:tcPr>
            <w:tcW w:w="720"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720"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706"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36"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07" w:lineRule="auto" w:before="51"/>
              <w:ind w:left="7"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-2,363,910.93</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-2,363,910.93</w:t>
            </w:r>
            <w:r>
              <w:rPr>
                <w:rFonts w:ascii="Times New Roman"/>
                <w:sz w:val="18"/>
              </w:rPr>
            </w:r>
          </w:p>
        </w:tc>
      </w:tr>
      <w:tr>
        <w:trPr>
          <w:trHeight w:val="405"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7"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1"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60"/>
              <w:ind w:left="7"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37"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1"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180" w:right="160"/>
        </w:sectPr>
      </w:pPr>
    </w:p>
    <w:p>
      <w:pPr>
        <w:spacing w:line="240" w:lineRule="auto" w:before="1"/>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201"/>
        <w:gridCol w:w="1284"/>
        <w:gridCol w:w="720"/>
        <w:gridCol w:w="706"/>
        <w:gridCol w:w="706"/>
        <w:gridCol w:w="1276"/>
        <w:gridCol w:w="1141"/>
        <w:gridCol w:w="1126"/>
        <w:gridCol w:w="720"/>
        <w:gridCol w:w="1126"/>
        <w:gridCol w:w="706"/>
        <w:gridCol w:w="1141"/>
        <w:gridCol w:w="570"/>
        <w:gridCol w:w="1277"/>
        <w:gridCol w:w="1276"/>
        <w:gridCol w:w="1276"/>
      </w:tblGrid>
      <w:tr>
        <w:trPr>
          <w:trHeight w:val="405" w:hRule="exact"/>
        </w:trPr>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5051"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25" w:hRule="exact"/>
        </w:trPr>
        <w:tc>
          <w:tcPr>
            <w:tcW w:w="1201" w:type="dxa"/>
            <w:vMerge/>
            <w:tcBorders>
              <w:left w:val="single" w:sz="6" w:space="0" w:color="000000"/>
              <w:bottom w:val="nil" w:sz="6" w:space="0" w:color="auto"/>
              <w:right w:val="single" w:sz="6" w:space="0" w:color="000000"/>
            </w:tcBorders>
            <w:shd w:val="clear" w:color="auto" w:fill="D2D2D2"/>
          </w:tcPr>
          <w:p>
            <w:pPr/>
          </w:p>
        </w:tc>
        <w:tc>
          <w:tcPr>
            <w:tcW w:w="12499"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0" w:hRule="exact"/>
        </w:trPr>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99" w:type="dxa"/>
            <w:gridSpan w:val="13"/>
            <w:vMerge/>
            <w:tcBorders>
              <w:left w:val="single" w:sz="6" w:space="0" w:color="000000"/>
              <w:bottom w:val="single" w:sz="6" w:space="0" w:color="FFFFFF"/>
              <w:right w:val="single" w:sz="6" w:space="0" w:color="000000"/>
            </w:tcBorders>
            <w:shd w:val="clear" w:color="auto" w:fill="D2D2D2"/>
          </w:tcPr>
          <w:p>
            <w:pPr/>
          </w:p>
        </w:tc>
        <w:tc>
          <w:tcPr>
            <w:tcW w:w="1276" w:type="dxa"/>
            <w:vMerge/>
            <w:tcBorders>
              <w:left w:val="single" w:sz="6" w:space="0" w:color="000000"/>
              <w:bottom w:val="single" w:sz="6" w:space="0" w:color="FFFFFF"/>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540" w:right="89" w:hanging="451"/>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3" w:hRule="exact"/>
        </w:trPr>
        <w:tc>
          <w:tcPr>
            <w:tcW w:w="1201" w:type="dxa"/>
            <w:vMerge/>
            <w:tcBorders>
              <w:left w:val="single" w:sz="6" w:space="0" w:color="000000"/>
              <w:bottom w:val="nil" w:sz="6" w:space="0" w:color="auto"/>
              <w:right w:val="single" w:sz="6" w:space="0" w:color="000000"/>
            </w:tcBorders>
            <w:shd w:val="clear" w:color="auto" w:fill="D2D2D2"/>
          </w:tcPr>
          <w:p>
            <w:pPr/>
          </w:p>
        </w:tc>
        <w:tc>
          <w:tcPr>
            <w:tcW w:w="1284" w:type="dxa"/>
            <w:tcBorders>
              <w:top w:val="single" w:sz="6" w:space="0" w:color="FFFFFF"/>
              <w:left w:val="single" w:sz="6" w:space="0" w:color="000000"/>
              <w:bottom w:val="nil" w:sz="6" w:space="0" w:color="auto"/>
              <w:right w:val="single" w:sz="6" w:space="0" w:color="000000"/>
            </w:tcBorders>
            <w:shd w:val="clear" w:color="auto" w:fill="D2D2D2"/>
          </w:tcPr>
          <w:p>
            <w:pPr/>
          </w:p>
        </w:tc>
        <w:tc>
          <w:tcPr>
            <w:tcW w:w="2132" w:type="dxa"/>
            <w:gridSpan w:val="3"/>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6" w:space="0" w:color="FFFFFF"/>
              <w:left w:val="single" w:sz="6" w:space="0" w:color="000000"/>
              <w:bottom w:val="nil" w:sz="6" w:space="0" w:color="auto"/>
              <w:right w:val="single" w:sz="6" w:space="0" w:color="000000"/>
            </w:tcBorders>
            <w:shd w:val="clear" w:color="auto" w:fill="D2D2D2"/>
          </w:tcPr>
          <w:p>
            <w:pPr/>
          </w:p>
        </w:tc>
        <w:tc>
          <w:tcPr>
            <w:tcW w:w="1141" w:type="dxa"/>
            <w:tcBorders>
              <w:top w:val="single" w:sz="6" w:space="0" w:color="FFFFFF"/>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480" w:right="90"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20"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270" w:right="7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26" w:type="dxa"/>
            <w:tcBorders>
              <w:top w:val="single" w:sz="6" w:space="0" w:color="FFFFFF"/>
              <w:left w:val="single" w:sz="6" w:space="0" w:color="000000"/>
              <w:bottom w:val="nil" w:sz="6" w:space="0" w:color="auto"/>
              <w:right w:val="single" w:sz="6" w:space="0" w:color="000000"/>
            </w:tcBorders>
            <w:shd w:val="clear" w:color="auto" w:fill="D2D2D2"/>
          </w:tcPr>
          <w:p>
            <w:pPr/>
          </w:p>
        </w:tc>
        <w:tc>
          <w:tcPr>
            <w:tcW w:w="706" w:type="dxa"/>
            <w:vMerge w:val="restart"/>
            <w:tcBorders>
              <w:top w:val="single" w:sz="6" w:space="0" w:color="FFFFFF"/>
              <w:left w:val="single" w:sz="6" w:space="0" w:color="000000"/>
              <w:right w:val="single" w:sz="6" w:space="0" w:color="000000"/>
            </w:tcBorders>
            <w:shd w:val="clear" w:color="auto" w:fill="D2D2D2"/>
          </w:tcPr>
          <w:p>
            <w:pPr>
              <w:pStyle w:val="TableParagraph"/>
              <w:spacing w:line="304" w:lineRule="auto" w:before="90"/>
              <w:ind w:left="90"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41" w:type="dxa"/>
            <w:tcBorders>
              <w:top w:val="single" w:sz="6" w:space="0" w:color="FFFFFF"/>
              <w:left w:val="single" w:sz="6" w:space="0" w:color="000000"/>
              <w:bottom w:val="nil" w:sz="6" w:space="0" w:color="auto"/>
              <w:right w:val="single" w:sz="6" w:space="0" w:color="000000"/>
            </w:tcBorders>
            <w:shd w:val="clear" w:color="auto" w:fill="D2D2D2"/>
          </w:tcPr>
          <w:p>
            <w:pPr/>
          </w:p>
        </w:tc>
        <w:tc>
          <w:tcPr>
            <w:tcW w:w="570" w:type="dxa"/>
            <w:tcBorders>
              <w:top w:val="single" w:sz="6" w:space="0" w:color="FFFFFF"/>
              <w:left w:val="single" w:sz="6" w:space="0" w:color="000000"/>
              <w:bottom w:val="nil" w:sz="6" w:space="0" w:color="auto"/>
              <w:right w:val="single" w:sz="6" w:space="0" w:color="000000"/>
            </w:tcBorders>
            <w:shd w:val="clear" w:color="auto" w:fill="D2D2D2"/>
          </w:tcPr>
          <w:p>
            <w:pPr/>
          </w:p>
        </w:tc>
        <w:tc>
          <w:tcPr>
            <w:tcW w:w="1277" w:type="dxa"/>
            <w:tcBorders>
              <w:top w:val="single" w:sz="6" w:space="0" w:color="FFFFFF"/>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6" w:type="dxa"/>
            <w:vMerge/>
            <w:tcBorders>
              <w:left w:val="single" w:sz="6" w:space="0" w:color="000000"/>
              <w:right w:val="single" w:sz="6" w:space="0" w:color="000000"/>
            </w:tcBorders>
            <w:shd w:val="clear" w:color="auto" w:fill="D2D2D2"/>
          </w:tcPr>
          <w:p>
            <w:pPr/>
          </w:p>
        </w:tc>
      </w:tr>
      <w:tr>
        <w:trPr>
          <w:trHeight w:val="199" w:hRule="exact"/>
        </w:trPr>
        <w:tc>
          <w:tcPr>
            <w:tcW w:w="1201" w:type="dxa"/>
            <w:vMerge w:val="restart"/>
            <w:tcBorders>
              <w:top w:val="nil" w:sz="6" w:space="0" w:color="auto"/>
              <w:left w:val="single" w:sz="6" w:space="0" w:color="000000"/>
              <w:right w:val="single" w:sz="6" w:space="0" w:color="000000"/>
            </w:tcBorders>
            <w:shd w:val="clear" w:color="auto" w:fill="D2D2D2"/>
          </w:tcPr>
          <w:p>
            <w:pPr/>
          </w:p>
        </w:tc>
        <w:tc>
          <w:tcPr>
            <w:tcW w:w="12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32"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6" w:type="dxa"/>
            <w:vMerge/>
            <w:tcBorders>
              <w:left w:val="single" w:sz="6" w:space="0" w:color="000000"/>
              <w:right w:val="single" w:sz="6" w:space="0" w:color="000000"/>
            </w:tcBorders>
            <w:shd w:val="clear" w:color="auto" w:fill="D2D2D2"/>
          </w:tcPr>
          <w:p>
            <w:pPr/>
          </w:p>
        </w:tc>
        <w:tc>
          <w:tcPr>
            <w:tcW w:w="720"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6" w:type="dxa"/>
            <w:vMerge/>
            <w:tcBorders>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r>
      <w:tr>
        <w:trPr>
          <w:trHeight w:val="169" w:hRule="exact"/>
        </w:trPr>
        <w:tc>
          <w:tcPr>
            <w:tcW w:w="1201"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bottom w:val="nil" w:sz="6" w:space="0" w:color="auto"/>
              <w:right w:val="single" w:sz="6" w:space="0" w:color="000000"/>
            </w:tcBorders>
            <w:shd w:val="clear" w:color="auto" w:fill="D2D2D2"/>
          </w:tcPr>
          <w:p>
            <w:pPr/>
          </w:p>
        </w:tc>
        <w:tc>
          <w:tcPr>
            <w:tcW w:w="72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right w:val="single" w:sz="6" w:space="0" w:color="000000"/>
            </w:tcBorders>
            <w:shd w:val="clear" w:color="auto" w:fill="D2D2D2"/>
          </w:tcPr>
          <w:p>
            <w:pPr/>
          </w:p>
        </w:tc>
        <w:tc>
          <w:tcPr>
            <w:tcW w:w="720"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r>
      <w:tr>
        <w:trPr>
          <w:trHeight w:val="221" w:hRule="exact"/>
        </w:trPr>
        <w:tc>
          <w:tcPr>
            <w:tcW w:w="1201" w:type="dxa"/>
            <w:vMerge/>
            <w:tcBorders>
              <w:left w:val="single" w:sz="6" w:space="0" w:color="000000"/>
              <w:bottom w:val="single" w:sz="6" w:space="0" w:color="000000"/>
              <w:right w:val="single" w:sz="6" w:space="0" w:color="000000"/>
            </w:tcBorders>
            <w:shd w:val="clear" w:color="auto" w:fill="D2D2D2"/>
          </w:tcPr>
          <w:p>
            <w:pPr/>
          </w:p>
        </w:tc>
        <w:tc>
          <w:tcPr>
            <w:tcW w:w="1284" w:type="dxa"/>
            <w:tcBorders>
              <w:top w:val="nil" w:sz="6" w:space="0" w:color="auto"/>
              <w:left w:val="single" w:sz="6" w:space="0" w:color="000000"/>
              <w:bottom w:val="single" w:sz="6" w:space="0" w:color="000000"/>
              <w:right w:val="single" w:sz="6" w:space="0" w:color="000000"/>
            </w:tcBorders>
            <w:shd w:val="clear" w:color="auto" w:fill="D2D2D2"/>
          </w:tcPr>
          <w:p>
            <w:pPr/>
          </w:p>
        </w:tc>
        <w:tc>
          <w:tcPr>
            <w:tcW w:w="720"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720"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6"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157" w:hRule="exact"/>
        </w:trPr>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84"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162,000,000.00</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200,032,062.25</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48,875,219.48</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5,771,646.82</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28,678,606.26</w:t>
            </w:r>
          </w:p>
        </w:tc>
        <w:tc>
          <w:tcPr>
            <w:tcW w:w="7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65,343,081.35</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412,950,177.20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42,622,554.10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455,572,731.30</w:t>
            </w:r>
          </w:p>
        </w:tc>
      </w:tr>
      <w:tr>
        <w:trPr>
          <w:trHeight w:val="691" w:hRule="exact"/>
        </w:trPr>
        <w:tc>
          <w:tcPr>
            <w:tcW w:w="12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7"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1284" w:type="dxa"/>
            <w:vMerge/>
            <w:tcBorders>
              <w:left w:val="single" w:sz="12" w:space="0" w:color="D2D2D2"/>
              <w:right w:val="single" w:sz="6" w:space="0" w:color="000000"/>
            </w:tcBorders>
          </w:tcPr>
          <w:p>
            <w:pPr/>
          </w:p>
        </w:tc>
        <w:tc>
          <w:tcPr>
            <w:tcW w:w="72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r>
      <w:tr>
        <w:trPr>
          <w:trHeight w:val="158" w:hRule="exact"/>
        </w:trPr>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84" w:type="dxa"/>
            <w:vMerge/>
            <w:tcBorders>
              <w:left w:val="single" w:sz="12" w:space="0" w:color="D2D2D2"/>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r>
    </w:tbl>
    <w:p>
      <w:pPr>
        <w:spacing w:after="0"/>
        <w:sectPr>
          <w:pgSz w:w="16850" w:h="11910" w:orient="landscape"/>
          <w:pgMar w:header="857" w:footer="981" w:top="1040" w:bottom="1180" w:left="180" w:right="160"/>
        </w:sectPr>
      </w:pPr>
    </w:p>
    <w:p>
      <w:pPr>
        <w:spacing w:line="240" w:lineRule="auto" w:before="9"/>
        <w:rPr>
          <w:rFonts w:ascii="Times New Roman" w:hAnsi="Times New Roman" w:cs="Times New Roman" w:eastAsia="Times New Roman" w:hint="default"/>
          <w:sz w:val="4"/>
          <w:szCs w:val="4"/>
        </w:rPr>
      </w:pPr>
    </w:p>
    <w:p>
      <w:pPr>
        <w:spacing w:line="20" w:lineRule="exact"/>
        <w:ind w:left="12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9"/>
        <w:ind w:left="1241" w:right="0"/>
        <w:jc w:val="left"/>
      </w:pPr>
      <w:r>
        <w:rPr/>
        <w:t>上期金额</w:t>
      </w:r>
    </w:p>
    <w:p>
      <w:pPr>
        <w:pStyle w:val="BodyText"/>
        <w:spacing w:line="240" w:lineRule="auto" w:before="110"/>
        <w:ind w:left="0" w:right="1186"/>
        <w:jc w:val="right"/>
      </w:pPr>
      <w:r>
        <w:rPr/>
        <w:t>单位：元</w:t>
      </w:r>
    </w:p>
    <w:p>
      <w:pPr>
        <w:spacing w:line="240" w:lineRule="auto" w:before="7"/>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991"/>
        <w:gridCol w:w="1277"/>
        <w:gridCol w:w="705"/>
        <w:gridCol w:w="571"/>
        <w:gridCol w:w="555"/>
        <w:gridCol w:w="1291"/>
        <w:gridCol w:w="1126"/>
        <w:gridCol w:w="1141"/>
        <w:gridCol w:w="571"/>
        <w:gridCol w:w="1126"/>
        <w:gridCol w:w="705"/>
        <w:gridCol w:w="1276"/>
        <w:gridCol w:w="721"/>
        <w:gridCol w:w="1276"/>
        <w:gridCol w:w="1276"/>
        <w:gridCol w:w="1562"/>
      </w:tblGrid>
      <w:tr>
        <w:trPr>
          <w:trHeight w:val="391" w:hRule="exact"/>
        </w:trPr>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179"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398" w:hRule="exact"/>
        </w:trPr>
        <w:tc>
          <w:tcPr>
            <w:tcW w:w="991" w:type="dxa"/>
            <w:vMerge/>
            <w:tcBorders>
              <w:left w:val="single" w:sz="6" w:space="0" w:color="000000"/>
              <w:right w:val="single" w:sz="6" w:space="0" w:color="000000"/>
            </w:tcBorders>
            <w:shd w:val="clear" w:color="auto" w:fill="D2D2D2"/>
          </w:tcPr>
          <w:p>
            <w:pPr/>
          </w:p>
        </w:tc>
        <w:tc>
          <w:tcPr>
            <w:tcW w:w="12341"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62" w:type="dxa"/>
            <w:vMerge w:val="restart"/>
            <w:tcBorders>
              <w:top w:val="single" w:sz="6" w:space="0" w:color="000000"/>
              <w:left w:val="single" w:sz="6" w:space="0" w:color="000000"/>
              <w:right w:val="single" w:sz="6" w:space="0" w:color="000000"/>
            </w:tcBorders>
            <w:shd w:val="clear" w:color="auto" w:fill="D2D2D2"/>
          </w:tcPr>
          <w:p>
            <w:pPr/>
          </w:p>
        </w:tc>
      </w:tr>
      <w:tr>
        <w:trPr>
          <w:trHeight w:val="199" w:hRule="exact"/>
        </w:trPr>
        <w:tc>
          <w:tcPr>
            <w:tcW w:w="991" w:type="dxa"/>
            <w:vMerge/>
            <w:tcBorders>
              <w:left w:val="single" w:sz="6" w:space="0" w:color="000000"/>
              <w:right w:val="single" w:sz="6" w:space="0" w:color="000000"/>
            </w:tcBorders>
            <w:shd w:val="clear" w:color="auto" w:fill="D2D2D2"/>
          </w:tcPr>
          <w:p>
            <w:pP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股本</w:t>
            </w:r>
          </w:p>
        </w:tc>
        <w:tc>
          <w:tcPr>
            <w:tcW w:w="183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91" w:type="dxa"/>
            <w:vMerge w:val="restart"/>
            <w:tcBorders>
              <w:top w:val="single" w:sz="6" w:space="0" w:color="000000"/>
              <w:left w:val="single" w:sz="6" w:space="0" w:color="000000"/>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721"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bottom w:val="single" w:sz="18" w:space="0" w:color="FFFFFF"/>
              <w:right w:val="single" w:sz="6" w:space="0" w:color="000000"/>
            </w:tcBorders>
            <w:shd w:val="clear" w:color="auto" w:fill="D2D2D2"/>
          </w:tcPr>
          <w:p>
            <w:pPr/>
          </w:p>
        </w:tc>
        <w:tc>
          <w:tcPr>
            <w:tcW w:w="1562" w:type="dxa"/>
            <w:vMerge/>
            <w:tcBorders>
              <w:left w:val="single" w:sz="6" w:space="0" w:color="000000"/>
              <w:bottom w:val="single" w:sz="18" w:space="0" w:color="FFFFFF"/>
              <w:right w:val="single" w:sz="6" w:space="0" w:color="000000"/>
            </w:tcBorders>
            <w:shd w:val="clear" w:color="auto" w:fill="D2D2D2"/>
          </w:tcPr>
          <w:p>
            <w:pPr/>
          </w:p>
        </w:tc>
      </w:tr>
      <w:tr>
        <w:trPr>
          <w:trHeight w:val="179" w:hRule="exact"/>
        </w:trPr>
        <w:tc>
          <w:tcPr>
            <w:tcW w:w="991"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831" w:type="dxa"/>
            <w:gridSpan w:val="3"/>
            <w:vMerge/>
            <w:tcBorders>
              <w:left w:val="single" w:sz="6" w:space="0" w:color="000000"/>
              <w:bottom w:val="single" w:sz="6" w:space="0" w:color="000000"/>
              <w:right w:val="single" w:sz="6" w:space="0" w:color="000000"/>
            </w:tcBorders>
            <w:shd w:val="clear" w:color="auto" w:fill="D2D2D2"/>
          </w:tcPr>
          <w:p>
            <w:pPr/>
          </w:p>
        </w:tc>
        <w:tc>
          <w:tcPr>
            <w:tcW w:w="129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480" w:right="105"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105" w:right="8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26" w:type="dxa"/>
            <w:vMerge/>
            <w:tcBorders>
              <w:left w:val="single" w:sz="6" w:space="0" w:color="000000"/>
              <w:bottom w:val="nil" w:sz="6" w:space="0" w:color="auto"/>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89"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8" w:space="0" w:color="FFFFFF"/>
              <w:left w:val="single" w:sz="6" w:space="0" w:color="000000"/>
              <w:right w:val="single" w:sz="6" w:space="0" w:color="000000"/>
            </w:tcBorders>
            <w:shd w:val="clear" w:color="auto" w:fill="D2D2D2"/>
          </w:tcPr>
          <w:p>
            <w:pPr>
              <w:pStyle w:val="TableParagraph"/>
              <w:spacing w:line="225" w:lineRule="exact"/>
              <w:ind w:left="3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2" w:type="dxa"/>
            <w:vMerge w:val="restart"/>
            <w:tcBorders>
              <w:top w:val="single" w:sz="18" w:space="0" w:color="FFFFFF"/>
              <w:left w:val="single" w:sz="6" w:space="0" w:color="000000"/>
              <w:right w:val="single" w:sz="6" w:space="0" w:color="000000"/>
            </w:tcBorders>
            <w:shd w:val="clear" w:color="auto" w:fill="D2D2D2"/>
          </w:tcPr>
          <w:p>
            <w:pPr>
              <w:pStyle w:val="TableParagraph"/>
              <w:spacing w:line="225" w:lineRule="exact"/>
              <w:ind w:left="15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6" w:hRule="exact"/>
        </w:trPr>
        <w:tc>
          <w:tcPr>
            <w:tcW w:w="991"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74"/>
              <w:ind w:left="195" w:right="8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5"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single" w:sz="12" w:space="0" w:color="FFFFFF"/>
              <w:right w:val="single" w:sz="6" w:space="0" w:color="000000"/>
            </w:tcBorders>
            <w:shd w:val="clear" w:color="auto" w:fill="D2D2D2"/>
          </w:tcPr>
          <w:p>
            <w:pPr/>
          </w:p>
        </w:tc>
        <w:tc>
          <w:tcPr>
            <w:tcW w:w="1562" w:type="dxa"/>
            <w:vMerge/>
            <w:tcBorders>
              <w:left w:val="single" w:sz="6" w:space="0" w:color="000000"/>
              <w:bottom w:val="single" w:sz="12" w:space="0" w:color="FFFFFF"/>
              <w:right w:val="single" w:sz="6" w:space="0" w:color="000000"/>
            </w:tcBorders>
            <w:shd w:val="clear" w:color="auto" w:fill="D2D2D2"/>
          </w:tcPr>
          <w:p>
            <w:pPr/>
          </w:p>
        </w:tc>
      </w:tr>
      <w:tr>
        <w:trPr>
          <w:trHeight w:val="203" w:hRule="exact"/>
        </w:trPr>
        <w:tc>
          <w:tcPr>
            <w:tcW w:w="991"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3"/>
              <w:ind w:left="7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71" w:type="dxa"/>
            <w:vMerge/>
            <w:tcBorders>
              <w:left w:val="single" w:sz="6" w:space="0" w:color="000000"/>
              <w:right w:val="single" w:sz="6" w:space="0" w:color="000000"/>
            </w:tcBorders>
            <w:shd w:val="clear" w:color="auto" w:fill="D2D2D2"/>
          </w:tcPr>
          <w:p>
            <w:pPr/>
          </w:p>
        </w:tc>
        <w:tc>
          <w:tcPr>
            <w:tcW w:w="55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1"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0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2" w:space="0" w:color="FFFFFF"/>
              <w:left w:val="single" w:sz="6" w:space="0" w:color="000000"/>
              <w:right w:val="single" w:sz="6" w:space="0" w:color="000000"/>
            </w:tcBorders>
            <w:shd w:val="clear" w:color="auto" w:fill="D2D2D2"/>
          </w:tcPr>
          <w:p>
            <w:pPr/>
          </w:p>
        </w:tc>
        <w:tc>
          <w:tcPr>
            <w:tcW w:w="1562" w:type="dxa"/>
            <w:vMerge w:val="restart"/>
            <w:tcBorders>
              <w:top w:val="single" w:sz="12" w:space="0" w:color="FFFFFF"/>
              <w:left w:val="single" w:sz="6" w:space="0" w:color="000000"/>
              <w:right w:val="single" w:sz="6" w:space="0" w:color="000000"/>
            </w:tcBorders>
            <w:shd w:val="clear" w:color="auto" w:fill="D2D2D2"/>
          </w:tcPr>
          <w:p>
            <w:pPr/>
          </w:p>
        </w:tc>
      </w:tr>
      <w:tr>
        <w:trPr>
          <w:trHeight w:val="195" w:hRule="exact"/>
        </w:trPr>
        <w:tc>
          <w:tcPr>
            <w:tcW w:w="991"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55" w:type="dxa"/>
            <w:vMerge/>
            <w:tcBorders>
              <w:left w:val="single" w:sz="6" w:space="0" w:color="000000"/>
              <w:bottom w:val="nil" w:sz="6" w:space="0" w:color="auto"/>
              <w:right w:val="single" w:sz="6" w:space="0" w:color="000000"/>
            </w:tcBorders>
            <w:shd w:val="clear" w:color="auto" w:fill="D2D2D2"/>
          </w:tcPr>
          <w:p>
            <w:pPr/>
          </w:p>
        </w:tc>
        <w:tc>
          <w:tcPr>
            <w:tcW w:w="1291"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562" w:type="dxa"/>
            <w:vMerge/>
            <w:tcBorders>
              <w:left w:val="single" w:sz="6" w:space="0" w:color="000000"/>
              <w:right w:val="single" w:sz="6" w:space="0" w:color="000000"/>
            </w:tcBorders>
            <w:shd w:val="clear" w:color="auto" w:fill="D2D2D2"/>
          </w:tcPr>
          <w:p>
            <w:pPr/>
          </w:p>
        </w:tc>
      </w:tr>
      <w:tr>
        <w:trPr>
          <w:trHeight w:val="206" w:hRule="exact"/>
        </w:trPr>
        <w:tc>
          <w:tcPr>
            <w:tcW w:w="991"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91"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562" w:type="dxa"/>
            <w:vMerge/>
            <w:tcBorders>
              <w:left w:val="single" w:sz="6" w:space="0" w:color="000000"/>
              <w:bottom w:val="single" w:sz="6" w:space="0" w:color="000000"/>
              <w:right w:val="single" w:sz="6" w:space="0" w:color="000000"/>
            </w:tcBorders>
            <w:shd w:val="clear" w:color="auto" w:fill="D2D2D2"/>
          </w:tcPr>
          <w:p>
            <w:pPr/>
          </w:p>
        </w:tc>
      </w:tr>
      <w:tr>
        <w:trPr>
          <w:trHeight w:val="961"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150"/>
              <w:ind w:left="15" w:right="58"/>
              <w:jc w:val="left"/>
              <w:rPr>
                <w:rFonts w:ascii="宋体" w:hAnsi="宋体" w:cs="宋体" w:eastAsia="宋体" w:hint="default"/>
                <w:sz w:val="18"/>
                <w:szCs w:val="18"/>
              </w:rPr>
            </w:pPr>
            <w:r>
              <w:rPr>
                <w:rFonts w:ascii="宋体" w:hAnsi="宋体" w:cs="宋体" w:eastAsia="宋体" w:hint="default"/>
                <w:sz w:val="18"/>
                <w:szCs w:val="18"/>
              </w:rPr>
              <w:t>一、上年期 末余额</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9"/>
              <w:jc w:val="right"/>
              <w:rPr>
                <w:rFonts w:ascii="Times New Roman" w:hAnsi="Times New Roman" w:cs="Times New Roman" w:eastAsia="Times New Roman" w:hint="default"/>
                <w:sz w:val="18"/>
                <w:szCs w:val="18"/>
              </w:rPr>
            </w:pPr>
            <w:r>
              <w:rPr>
                <w:rFonts w:ascii="Times New Roman"/>
                <w:sz w:val="18"/>
              </w:rPr>
              <w:t>108,000,000.00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0"/>
              <w:jc w:val="right"/>
              <w:rPr>
                <w:rFonts w:ascii="Times New Roman" w:hAnsi="Times New Roman" w:cs="Times New Roman" w:eastAsia="Times New Roman" w:hint="default"/>
                <w:sz w:val="18"/>
                <w:szCs w:val="18"/>
              </w:rPr>
            </w:pPr>
            <w:r>
              <w:rPr>
                <w:rFonts w:ascii="Times New Roman"/>
                <w:sz w:val="18"/>
              </w:rPr>
              <w:t>254,205,305.28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85,640.42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5"/>
              <w:jc w:val="right"/>
              <w:rPr>
                <w:rFonts w:ascii="Times New Roman" w:hAnsi="Times New Roman" w:cs="Times New Roman" w:eastAsia="Times New Roman" w:hint="default"/>
                <w:sz w:val="18"/>
                <w:szCs w:val="18"/>
              </w:rPr>
            </w:pPr>
            <w:r>
              <w:rPr>
                <w:rFonts w:ascii="Times New Roman"/>
                <w:sz w:val="18"/>
              </w:rPr>
              <w:t>22,657,676.31</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93,952,015.24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5"/>
              <w:jc w:val="right"/>
              <w:rPr>
                <w:rFonts w:ascii="Times New Roman" w:hAnsi="Times New Roman" w:cs="Times New Roman" w:eastAsia="Times New Roman" w:hint="default"/>
                <w:sz w:val="18"/>
                <w:szCs w:val="18"/>
              </w:rPr>
            </w:pPr>
            <w:r>
              <w:rPr>
                <w:rFonts w:ascii="Times New Roman"/>
                <w:sz w:val="18"/>
              </w:rPr>
              <w:t>478,900,637.25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5"/>
              <w:jc w:val="right"/>
              <w:rPr>
                <w:rFonts w:ascii="Times New Roman" w:hAnsi="Times New Roman" w:cs="Times New Roman" w:eastAsia="Times New Roman" w:hint="default"/>
                <w:sz w:val="18"/>
                <w:szCs w:val="18"/>
              </w:rPr>
            </w:pPr>
            <w:r>
              <w:rPr>
                <w:rFonts w:ascii="Times New Roman"/>
                <w:sz w:val="18"/>
              </w:rPr>
              <w:t>13,864,407.95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4"/>
              <w:jc w:val="right"/>
              <w:rPr>
                <w:rFonts w:ascii="Times New Roman" w:hAnsi="Times New Roman" w:cs="Times New Roman" w:eastAsia="Times New Roman" w:hint="default"/>
                <w:sz w:val="18"/>
                <w:szCs w:val="18"/>
              </w:rPr>
            </w:pPr>
            <w:r>
              <w:rPr>
                <w:rFonts w:ascii="Times New Roman"/>
                <w:sz w:val="18"/>
              </w:rPr>
              <w:t>492,765,045.20</w:t>
            </w:r>
          </w:p>
        </w:tc>
      </w:tr>
      <w:tr>
        <w:trPr>
          <w:trHeight w:val="706"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58" w:firstLine="360"/>
              <w:jc w:val="left"/>
              <w:rPr>
                <w:rFonts w:ascii="宋体" w:hAnsi="宋体" w:cs="宋体" w:eastAsia="宋体" w:hint="default"/>
                <w:sz w:val="18"/>
                <w:szCs w:val="18"/>
              </w:rPr>
            </w:pPr>
            <w:r>
              <w:rPr>
                <w:rFonts w:ascii="宋体" w:hAnsi="宋体" w:cs="宋体" w:eastAsia="宋体" w:hint="default"/>
                <w:sz w:val="18"/>
                <w:szCs w:val="18"/>
              </w:rPr>
              <w:t>加：会 计政策变更</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59"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59"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9"/>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961"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04" w:lineRule="auto"/>
              <w:ind w:left="15" w:right="58"/>
              <w:jc w:val="left"/>
              <w:rPr>
                <w:rFonts w:ascii="宋体" w:hAnsi="宋体" w:cs="宋体" w:eastAsia="宋体" w:hint="default"/>
                <w:sz w:val="18"/>
                <w:szCs w:val="18"/>
              </w:rPr>
            </w:pPr>
            <w:r>
              <w:rPr>
                <w:rFonts w:ascii="宋体" w:hAnsi="宋体" w:cs="宋体" w:eastAsia="宋体" w:hint="default"/>
                <w:sz w:val="18"/>
                <w:szCs w:val="18"/>
              </w:rPr>
              <w:t>二、本年期 初余额</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9"/>
              <w:jc w:val="right"/>
              <w:rPr>
                <w:rFonts w:ascii="Times New Roman" w:hAnsi="Times New Roman" w:cs="Times New Roman" w:eastAsia="Times New Roman" w:hint="default"/>
                <w:sz w:val="18"/>
                <w:szCs w:val="18"/>
              </w:rPr>
            </w:pPr>
            <w:r>
              <w:rPr>
                <w:rFonts w:ascii="Times New Roman"/>
                <w:sz w:val="18"/>
              </w:rPr>
              <w:t>108,000,000.00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0"/>
              <w:jc w:val="right"/>
              <w:rPr>
                <w:rFonts w:ascii="Times New Roman" w:hAnsi="Times New Roman" w:cs="Times New Roman" w:eastAsia="Times New Roman" w:hint="default"/>
                <w:sz w:val="18"/>
                <w:szCs w:val="18"/>
              </w:rPr>
            </w:pPr>
            <w:r>
              <w:rPr>
                <w:rFonts w:ascii="Times New Roman"/>
                <w:sz w:val="18"/>
              </w:rPr>
              <w:t>254,205,305.28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85,640.42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5"/>
              <w:jc w:val="right"/>
              <w:rPr>
                <w:rFonts w:ascii="Times New Roman" w:hAnsi="Times New Roman" w:cs="Times New Roman" w:eastAsia="Times New Roman" w:hint="default"/>
                <w:sz w:val="18"/>
                <w:szCs w:val="18"/>
              </w:rPr>
            </w:pPr>
            <w:r>
              <w:rPr>
                <w:rFonts w:ascii="Times New Roman"/>
                <w:sz w:val="18"/>
              </w:rPr>
              <w:t>22,657,676.31</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93,952,015.24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4"/>
              <w:jc w:val="right"/>
              <w:rPr>
                <w:rFonts w:ascii="Times New Roman" w:hAnsi="Times New Roman" w:cs="Times New Roman" w:eastAsia="Times New Roman" w:hint="default"/>
                <w:sz w:val="18"/>
                <w:szCs w:val="18"/>
              </w:rPr>
            </w:pPr>
            <w:r>
              <w:rPr>
                <w:rFonts w:ascii="Times New Roman"/>
                <w:sz w:val="18"/>
              </w:rPr>
              <w:t>478,900,637.25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5"/>
              <w:jc w:val="right"/>
              <w:rPr>
                <w:rFonts w:ascii="Times New Roman" w:hAnsi="Times New Roman" w:cs="Times New Roman" w:eastAsia="Times New Roman" w:hint="default"/>
                <w:sz w:val="18"/>
                <w:szCs w:val="18"/>
              </w:rPr>
            </w:pPr>
            <w:r>
              <w:rPr>
                <w:rFonts w:ascii="Times New Roman"/>
                <w:sz w:val="18"/>
              </w:rPr>
              <w:t>13,864,407.95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4"/>
              <w:jc w:val="right"/>
              <w:rPr>
                <w:rFonts w:ascii="Times New Roman" w:hAnsi="Times New Roman" w:cs="Times New Roman" w:eastAsia="Times New Roman" w:hint="default"/>
                <w:sz w:val="18"/>
                <w:szCs w:val="18"/>
              </w:rPr>
            </w:pPr>
            <w:r>
              <w:rPr>
                <w:rFonts w:ascii="Times New Roman"/>
                <w:sz w:val="18"/>
              </w:rPr>
              <w:t>492,765,045.20</w:t>
            </w:r>
          </w:p>
        </w:tc>
      </w:tr>
      <w:tr>
        <w:trPr>
          <w:trHeight w:val="1652"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15" w:right="58"/>
              <w:jc w:val="left"/>
              <w:rPr>
                <w:rFonts w:ascii="宋体" w:hAnsi="宋体" w:cs="宋体" w:eastAsia="宋体" w:hint="default"/>
                <w:sz w:val="18"/>
                <w:szCs w:val="18"/>
              </w:rPr>
            </w:pPr>
            <w:r>
              <w:rPr>
                <w:rFonts w:ascii="宋体" w:hAnsi="宋体" w:cs="宋体" w:eastAsia="宋体" w:hint="default"/>
                <w:sz w:val="18"/>
                <w:szCs w:val="18"/>
              </w:rPr>
              <w:t>三、本期增 减变动金额</w:t>
            </w:r>
          </w:p>
          <w:p>
            <w:pPr>
              <w:pStyle w:val="TableParagraph"/>
              <w:spacing w:line="312" w:lineRule="auto" w:before="29"/>
              <w:ind w:left="15" w:right="238"/>
              <w:jc w:val="both"/>
              <w:rPr>
                <w:rFonts w:ascii="宋体" w:hAnsi="宋体" w:cs="宋体" w:eastAsia="宋体" w:hint="default"/>
                <w:sz w:val="18"/>
                <w:szCs w:val="18"/>
              </w:rPr>
            </w:pPr>
            <w:r>
              <w:rPr>
                <w:rFonts w:ascii="宋体" w:hAnsi="宋体" w:cs="宋体" w:eastAsia="宋体" w:hint="default"/>
                <w:sz w:val="18"/>
                <w:szCs w:val="18"/>
              </w:rPr>
              <w:t>（减少以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54,000,000.00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-54,000,000.00</w:t>
            </w:r>
            <w:r>
              <w:rPr>
                <w:rFonts w:ascii="Times New Roman"/>
                <w:sz w:val="18"/>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39,999,113.66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3,371,293.98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3,102,826.69</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-36,040,743.48</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-69,565,736.47</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-4,077,289.10</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-73,643,025.57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200" w:right="240"/>
        </w:sectPr>
      </w:pPr>
    </w:p>
    <w:p>
      <w:pPr>
        <w:spacing w:line="240" w:lineRule="auto" w:before="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983"/>
        <w:gridCol w:w="1284"/>
        <w:gridCol w:w="705"/>
        <w:gridCol w:w="571"/>
        <w:gridCol w:w="555"/>
        <w:gridCol w:w="1291"/>
        <w:gridCol w:w="1126"/>
        <w:gridCol w:w="1141"/>
        <w:gridCol w:w="571"/>
        <w:gridCol w:w="1126"/>
        <w:gridCol w:w="705"/>
        <w:gridCol w:w="1276"/>
        <w:gridCol w:w="721"/>
        <w:gridCol w:w="1276"/>
        <w:gridCol w:w="1276"/>
        <w:gridCol w:w="1562"/>
      </w:tblGrid>
      <w:tr>
        <w:trPr>
          <w:trHeight w:val="405" w:hRule="exact"/>
        </w:trPr>
        <w:tc>
          <w:tcPr>
            <w:tcW w:w="9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186"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398" w:hRule="exact"/>
        </w:trPr>
        <w:tc>
          <w:tcPr>
            <w:tcW w:w="983" w:type="dxa"/>
            <w:vMerge/>
            <w:tcBorders>
              <w:left w:val="single" w:sz="6" w:space="0" w:color="000000"/>
              <w:right w:val="single" w:sz="6" w:space="0" w:color="000000"/>
            </w:tcBorders>
            <w:shd w:val="clear" w:color="auto" w:fill="D2D2D2"/>
          </w:tcPr>
          <w:p>
            <w:pPr/>
          </w:p>
        </w:tc>
        <w:tc>
          <w:tcPr>
            <w:tcW w:w="12349"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62" w:type="dxa"/>
            <w:vMerge w:val="restart"/>
            <w:tcBorders>
              <w:top w:val="single" w:sz="6" w:space="0" w:color="000000"/>
              <w:left w:val="single" w:sz="6" w:space="0" w:color="000000"/>
              <w:right w:val="single" w:sz="6" w:space="0" w:color="000000"/>
            </w:tcBorders>
            <w:shd w:val="clear" w:color="auto" w:fill="D2D2D2"/>
          </w:tcPr>
          <w:p>
            <w:pPr/>
          </w:p>
        </w:tc>
      </w:tr>
      <w:tr>
        <w:trPr>
          <w:trHeight w:val="199" w:hRule="exact"/>
        </w:trPr>
        <w:tc>
          <w:tcPr>
            <w:tcW w:w="983" w:type="dxa"/>
            <w:vMerge/>
            <w:tcBorders>
              <w:left w:val="single" w:sz="6" w:space="0" w:color="000000"/>
              <w:right w:val="single" w:sz="6" w:space="0" w:color="000000"/>
            </w:tcBorders>
            <w:shd w:val="clear" w:color="auto" w:fill="D2D2D2"/>
          </w:tcPr>
          <w:p>
            <w:pPr/>
          </w:p>
        </w:tc>
        <w:tc>
          <w:tcPr>
            <w:tcW w:w="12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股本</w:t>
            </w:r>
          </w:p>
        </w:tc>
        <w:tc>
          <w:tcPr>
            <w:tcW w:w="183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91" w:type="dxa"/>
            <w:vMerge w:val="restart"/>
            <w:tcBorders>
              <w:top w:val="single" w:sz="6" w:space="0" w:color="000000"/>
              <w:left w:val="single" w:sz="6" w:space="0" w:color="000000"/>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721"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bottom w:val="single" w:sz="18" w:space="0" w:color="FFFFFF"/>
              <w:right w:val="single" w:sz="6" w:space="0" w:color="000000"/>
            </w:tcBorders>
            <w:shd w:val="clear" w:color="auto" w:fill="D2D2D2"/>
          </w:tcPr>
          <w:p>
            <w:pPr/>
          </w:p>
        </w:tc>
        <w:tc>
          <w:tcPr>
            <w:tcW w:w="1562" w:type="dxa"/>
            <w:vMerge/>
            <w:tcBorders>
              <w:left w:val="single" w:sz="6" w:space="0" w:color="000000"/>
              <w:bottom w:val="single" w:sz="18" w:space="0" w:color="FFFFFF"/>
              <w:right w:val="single" w:sz="6" w:space="0" w:color="000000"/>
            </w:tcBorders>
            <w:shd w:val="clear" w:color="auto" w:fill="D2D2D2"/>
          </w:tcPr>
          <w:p>
            <w:pPr/>
          </w:p>
        </w:tc>
      </w:tr>
      <w:tr>
        <w:trPr>
          <w:trHeight w:val="179"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1831" w:type="dxa"/>
            <w:gridSpan w:val="3"/>
            <w:vMerge/>
            <w:tcBorders>
              <w:left w:val="single" w:sz="6" w:space="0" w:color="000000"/>
              <w:bottom w:val="single" w:sz="6" w:space="0" w:color="000000"/>
              <w:right w:val="single" w:sz="6" w:space="0" w:color="000000"/>
            </w:tcBorders>
            <w:shd w:val="clear" w:color="auto" w:fill="D2D2D2"/>
          </w:tcPr>
          <w:p>
            <w:pPr/>
          </w:p>
        </w:tc>
        <w:tc>
          <w:tcPr>
            <w:tcW w:w="129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480" w:right="105"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105" w:right="8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26" w:type="dxa"/>
            <w:vMerge/>
            <w:tcBorders>
              <w:left w:val="single" w:sz="6" w:space="0" w:color="000000"/>
              <w:bottom w:val="nil" w:sz="6" w:space="0" w:color="auto"/>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89"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8" w:space="0" w:color="FFFFFF"/>
              <w:left w:val="single" w:sz="6" w:space="0" w:color="000000"/>
              <w:right w:val="single" w:sz="6" w:space="0" w:color="000000"/>
            </w:tcBorders>
            <w:shd w:val="clear" w:color="auto" w:fill="D2D2D2"/>
          </w:tcPr>
          <w:p>
            <w:pPr>
              <w:pStyle w:val="TableParagraph"/>
              <w:spacing w:line="225" w:lineRule="exact"/>
              <w:ind w:left="3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2" w:type="dxa"/>
            <w:vMerge w:val="restart"/>
            <w:tcBorders>
              <w:top w:val="single" w:sz="18" w:space="0" w:color="FFFFFF"/>
              <w:left w:val="single" w:sz="6" w:space="0" w:color="000000"/>
              <w:right w:val="single" w:sz="6" w:space="0" w:color="000000"/>
            </w:tcBorders>
            <w:shd w:val="clear" w:color="auto" w:fill="D2D2D2"/>
          </w:tcPr>
          <w:p>
            <w:pPr>
              <w:pStyle w:val="TableParagraph"/>
              <w:spacing w:line="225" w:lineRule="exact"/>
              <w:ind w:left="15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6"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95" w:right="8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5"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single" w:sz="12" w:space="0" w:color="FFFFFF"/>
              <w:right w:val="single" w:sz="6" w:space="0" w:color="000000"/>
            </w:tcBorders>
            <w:shd w:val="clear" w:color="auto" w:fill="D2D2D2"/>
          </w:tcPr>
          <w:p>
            <w:pPr/>
          </w:p>
        </w:tc>
        <w:tc>
          <w:tcPr>
            <w:tcW w:w="1562" w:type="dxa"/>
            <w:vMerge/>
            <w:tcBorders>
              <w:left w:val="single" w:sz="6" w:space="0" w:color="000000"/>
              <w:bottom w:val="single" w:sz="12" w:space="0" w:color="FFFFFF"/>
              <w:right w:val="single" w:sz="6" w:space="0" w:color="000000"/>
            </w:tcBorders>
            <w:shd w:val="clear" w:color="auto" w:fill="D2D2D2"/>
          </w:tcPr>
          <w:p>
            <w:pPr/>
          </w:p>
        </w:tc>
      </w:tr>
      <w:tr>
        <w:trPr>
          <w:trHeight w:val="203"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71" w:type="dxa"/>
            <w:vMerge/>
            <w:tcBorders>
              <w:left w:val="single" w:sz="6" w:space="0" w:color="000000"/>
              <w:right w:val="single" w:sz="6" w:space="0" w:color="000000"/>
            </w:tcBorders>
            <w:shd w:val="clear" w:color="auto" w:fill="D2D2D2"/>
          </w:tcPr>
          <w:p>
            <w:pPr/>
          </w:p>
        </w:tc>
        <w:tc>
          <w:tcPr>
            <w:tcW w:w="55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1"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0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2" w:space="0" w:color="FFFFFF"/>
              <w:left w:val="single" w:sz="6" w:space="0" w:color="000000"/>
              <w:right w:val="single" w:sz="6" w:space="0" w:color="000000"/>
            </w:tcBorders>
            <w:shd w:val="clear" w:color="auto" w:fill="D2D2D2"/>
          </w:tcPr>
          <w:p>
            <w:pPr/>
          </w:p>
        </w:tc>
        <w:tc>
          <w:tcPr>
            <w:tcW w:w="1562" w:type="dxa"/>
            <w:vMerge w:val="restart"/>
            <w:tcBorders>
              <w:top w:val="single" w:sz="12" w:space="0" w:color="FFFFFF"/>
              <w:left w:val="single" w:sz="6" w:space="0" w:color="000000"/>
              <w:right w:val="single" w:sz="6" w:space="0" w:color="000000"/>
            </w:tcBorders>
            <w:shd w:val="clear" w:color="auto" w:fill="D2D2D2"/>
          </w:tcPr>
          <w:p>
            <w:pPr/>
          </w:p>
        </w:tc>
      </w:tr>
      <w:tr>
        <w:trPr>
          <w:trHeight w:val="195"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55" w:type="dxa"/>
            <w:vMerge/>
            <w:tcBorders>
              <w:left w:val="single" w:sz="6" w:space="0" w:color="000000"/>
              <w:bottom w:val="nil" w:sz="6" w:space="0" w:color="auto"/>
              <w:right w:val="single" w:sz="6" w:space="0" w:color="000000"/>
            </w:tcBorders>
            <w:shd w:val="clear" w:color="auto" w:fill="D2D2D2"/>
          </w:tcPr>
          <w:p>
            <w:pPr/>
          </w:p>
        </w:tc>
        <w:tc>
          <w:tcPr>
            <w:tcW w:w="1291"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562" w:type="dxa"/>
            <w:vMerge/>
            <w:tcBorders>
              <w:left w:val="single" w:sz="6" w:space="0" w:color="000000"/>
              <w:right w:val="single" w:sz="6" w:space="0" w:color="000000"/>
            </w:tcBorders>
            <w:shd w:val="clear" w:color="auto" w:fill="D2D2D2"/>
          </w:tcPr>
          <w:p>
            <w:pPr/>
          </w:p>
        </w:tc>
      </w:tr>
      <w:tr>
        <w:trPr>
          <w:trHeight w:val="207" w:hRule="exact"/>
        </w:trPr>
        <w:tc>
          <w:tcPr>
            <w:tcW w:w="983" w:type="dxa"/>
            <w:vMerge/>
            <w:tcBorders>
              <w:left w:val="single" w:sz="6" w:space="0" w:color="000000"/>
              <w:bottom w:val="single" w:sz="6" w:space="0" w:color="000000"/>
              <w:right w:val="single" w:sz="6" w:space="0" w:color="000000"/>
            </w:tcBorders>
            <w:shd w:val="clear" w:color="auto" w:fill="D2D2D2"/>
          </w:tcPr>
          <w:p>
            <w:pPr/>
          </w:p>
        </w:tc>
        <w:tc>
          <w:tcPr>
            <w:tcW w:w="1284"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91"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562" w:type="dxa"/>
            <w:vMerge/>
            <w:tcBorders>
              <w:left w:val="single" w:sz="6" w:space="0" w:color="000000"/>
              <w:bottom w:val="single" w:sz="6" w:space="0" w:color="000000"/>
              <w:right w:val="single" w:sz="6" w:space="0" w:color="000000"/>
            </w:tcBorders>
            <w:shd w:val="clear" w:color="auto" w:fill="D2D2D2"/>
          </w:tcPr>
          <w:p>
            <w:pPr/>
          </w:p>
        </w:tc>
      </w:tr>
      <w:tr>
        <w:trPr>
          <w:trHeight w:val="961"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4" w:lineRule="auto"/>
              <w:ind w:left="15" w:right="52"/>
              <w:jc w:val="left"/>
              <w:rPr>
                <w:rFonts w:ascii="宋体" w:hAnsi="宋体" w:cs="宋体" w:eastAsia="宋体" w:hint="default"/>
                <w:sz w:val="18"/>
                <w:szCs w:val="18"/>
              </w:rPr>
            </w:pPr>
            <w:r>
              <w:rPr>
                <w:rFonts w:ascii="宋体" w:hAnsi="宋体" w:cs="宋体" w:eastAsia="宋体" w:hint="default"/>
                <w:sz w:val="18"/>
                <w:szCs w:val="18"/>
              </w:rPr>
              <w:t>（一）综合 收益总额</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3,371,293.98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21,062,083.21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24,433,377.19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480,815.24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24,914,192.43</w:t>
            </w:r>
          </w:p>
        </w:tc>
      </w:tr>
      <w:tr>
        <w:trPr>
          <w:trHeight w:val="1022"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52"/>
              <w:jc w:val="both"/>
              <w:rPr>
                <w:rFonts w:ascii="宋体" w:hAnsi="宋体" w:cs="宋体" w:eastAsia="宋体" w:hint="default"/>
                <w:sz w:val="18"/>
                <w:szCs w:val="18"/>
              </w:rPr>
            </w:pPr>
            <w:r>
              <w:rPr>
                <w:rFonts w:ascii="宋体" w:hAnsi="宋体" w:cs="宋体" w:eastAsia="宋体" w:hint="default"/>
                <w:sz w:val="18"/>
                <w:szCs w:val="18"/>
              </w:rPr>
              <w:t>（二）所有 者投入和减 少资本</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39,999,113.66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-39,999,113.66</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1,960,000.00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-38,039,113.66</w:t>
            </w:r>
          </w:p>
        </w:tc>
      </w:tr>
      <w:tr>
        <w:trPr>
          <w:trHeight w:val="720"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．所有者投</w:t>
            </w:r>
            <w:r>
              <w:rPr>
                <w:rFonts w:ascii="宋体" w:hAnsi="宋体" w:cs="宋体" w:eastAsia="宋体" w:hint="default"/>
                <w:sz w:val="18"/>
                <w:szCs w:val="18"/>
              </w:rPr>
              <w:t> 入的普通股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1,960,000.00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1,960,000.00</w:t>
            </w:r>
          </w:p>
        </w:tc>
      </w:tr>
      <w:tr>
        <w:trPr>
          <w:trHeight w:val="1022"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0"/>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．其他权益</w:t>
            </w:r>
            <w:r>
              <w:rPr>
                <w:rFonts w:ascii="宋体" w:hAnsi="宋体" w:cs="宋体" w:eastAsia="宋体" w:hint="default"/>
                <w:sz w:val="18"/>
                <w:szCs w:val="18"/>
              </w:rPr>
              <w:t> 工具持有者 投入资本</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3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0"/>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．股份支付</w:t>
            </w:r>
            <w:r>
              <w:rPr>
                <w:rFonts w:ascii="宋体" w:hAnsi="宋体" w:cs="宋体" w:eastAsia="宋体" w:hint="default"/>
                <w:sz w:val="18"/>
                <w:szCs w:val="18"/>
              </w:rPr>
              <w:t> 计入所有者 权益的金额</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961"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39,999,113.66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-39,999,113.66</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-39,999,113.66</w:t>
            </w:r>
            <w:r>
              <w:rPr>
                <w:rFonts w:ascii="Times New Roman"/>
                <w:sz w:val="18"/>
              </w:rPr>
            </w:r>
          </w:p>
        </w:tc>
      </w:tr>
      <w:tr>
        <w:trPr>
          <w:trHeight w:val="97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21" w:lineRule="auto"/>
              <w:ind w:left="15" w:right="52"/>
              <w:jc w:val="left"/>
              <w:rPr>
                <w:rFonts w:ascii="宋体" w:hAnsi="宋体" w:cs="宋体" w:eastAsia="宋体" w:hint="default"/>
                <w:sz w:val="18"/>
                <w:szCs w:val="18"/>
              </w:rPr>
            </w:pPr>
            <w:r>
              <w:rPr>
                <w:rFonts w:ascii="宋体" w:hAnsi="宋体" w:cs="宋体" w:eastAsia="宋体" w:hint="default"/>
                <w:sz w:val="18"/>
                <w:szCs w:val="18"/>
              </w:rPr>
              <w:t>（三）利润 分配</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3,102,826.69</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-57,102,826.69</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-54,000,000.00</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-6,518,104.34</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-60,518,104.34</w:t>
            </w:r>
            <w:r>
              <w:rPr>
                <w:rFonts w:ascii="Times New Roman"/>
                <w:sz w:val="18"/>
              </w:rPr>
            </w:r>
          </w:p>
        </w:tc>
      </w:tr>
      <w:tr>
        <w:trPr>
          <w:trHeight w:val="70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60"/>
              <w:ind w:left="15"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．提取盈余</w:t>
            </w:r>
            <w:r>
              <w:rPr>
                <w:rFonts w:ascii="宋体" w:hAnsi="宋体" w:cs="宋体" w:eastAsia="宋体" w:hint="default"/>
                <w:sz w:val="18"/>
                <w:szCs w:val="18"/>
              </w:rPr>
              <w:t> 公积</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3,102,826.69</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-3,102,826.69</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200" w:right="240"/>
        </w:sectPr>
      </w:pPr>
    </w:p>
    <w:p>
      <w:pPr>
        <w:spacing w:line="240" w:lineRule="auto" w:before="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983"/>
        <w:gridCol w:w="1284"/>
        <w:gridCol w:w="705"/>
        <w:gridCol w:w="571"/>
        <w:gridCol w:w="555"/>
        <w:gridCol w:w="1291"/>
        <w:gridCol w:w="1126"/>
        <w:gridCol w:w="1141"/>
        <w:gridCol w:w="571"/>
        <w:gridCol w:w="1126"/>
        <w:gridCol w:w="705"/>
        <w:gridCol w:w="1276"/>
        <w:gridCol w:w="721"/>
        <w:gridCol w:w="1276"/>
        <w:gridCol w:w="1276"/>
        <w:gridCol w:w="1562"/>
      </w:tblGrid>
      <w:tr>
        <w:trPr>
          <w:trHeight w:val="405" w:hRule="exact"/>
        </w:trPr>
        <w:tc>
          <w:tcPr>
            <w:tcW w:w="9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186"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398" w:hRule="exact"/>
        </w:trPr>
        <w:tc>
          <w:tcPr>
            <w:tcW w:w="983" w:type="dxa"/>
            <w:vMerge/>
            <w:tcBorders>
              <w:left w:val="single" w:sz="6" w:space="0" w:color="000000"/>
              <w:right w:val="single" w:sz="6" w:space="0" w:color="000000"/>
            </w:tcBorders>
            <w:shd w:val="clear" w:color="auto" w:fill="D2D2D2"/>
          </w:tcPr>
          <w:p>
            <w:pPr/>
          </w:p>
        </w:tc>
        <w:tc>
          <w:tcPr>
            <w:tcW w:w="12349"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62" w:type="dxa"/>
            <w:vMerge w:val="restart"/>
            <w:tcBorders>
              <w:top w:val="single" w:sz="6" w:space="0" w:color="000000"/>
              <w:left w:val="single" w:sz="6" w:space="0" w:color="000000"/>
              <w:right w:val="single" w:sz="6" w:space="0" w:color="000000"/>
            </w:tcBorders>
            <w:shd w:val="clear" w:color="auto" w:fill="D2D2D2"/>
          </w:tcPr>
          <w:p>
            <w:pPr/>
          </w:p>
        </w:tc>
      </w:tr>
      <w:tr>
        <w:trPr>
          <w:trHeight w:val="199" w:hRule="exact"/>
        </w:trPr>
        <w:tc>
          <w:tcPr>
            <w:tcW w:w="983" w:type="dxa"/>
            <w:vMerge/>
            <w:tcBorders>
              <w:left w:val="single" w:sz="6" w:space="0" w:color="000000"/>
              <w:right w:val="single" w:sz="6" w:space="0" w:color="000000"/>
            </w:tcBorders>
            <w:shd w:val="clear" w:color="auto" w:fill="D2D2D2"/>
          </w:tcPr>
          <w:p>
            <w:pPr/>
          </w:p>
        </w:tc>
        <w:tc>
          <w:tcPr>
            <w:tcW w:w="12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股本</w:t>
            </w:r>
          </w:p>
        </w:tc>
        <w:tc>
          <w:tcPr>
            <w:tcW w:w="183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91" w:type="dxa"/>
            <w:vMerge w:val="restart"/>
            <w:tcBorders>
              <w:top w:val="single" w:sz="6" w:space="0" w:color="000000"/>
              <w:left w:val="single" w:sz="6" w:space="0" w:color="000000"/>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721"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bottom w:val="single" w:sz="18" w:space="0" w:color="FFFFFF"/>
              <w:right w:val="single" w:sz="6" w:space="0" w:color="000000"/>
            </w:tcBorders>
            <w:shd w:val="clear" w:color="auto" w:fill="D2D2D2"/>
          </w:tcPr>
          <w:p>
            <w:pPr/>
          </w:p>
        </w:tc>
        <w:tc>
          <w:tcPr>
            <w:tcW w:w="1562" w:type="dxa"/>
            <w:vMerge/>
            <w:tcBorders>
              <w:left w:val="single" w:sz="6" w:space="0" w:color="000000"/>
              <w:bottom w:val="single" w:sz="18" w:space="0" w:color="FFFFFF"/>
              <w:right w:val="single" w:sz="6" w:space="0" w:color="000000"/>
            </w:tcBorders>
            <w:shd w:val="clear" w:color="auto" w:fill="D2D2D2"/>
          </w:tcPr>
          <w:p>
            <w:pPr/>
          </w:p>
        </w:tc>
      </w:tr>
      <w:tr>
        <w:trPr>
          <w:trHeight w:val="179"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1831" w:type="dxa"/>
            <w:gridSpan w:val="3"/>
            <w:vMerge/>
            <w:tcBorders>
              <w:left w:val="single" w:sz="6" w:space="0" w:color="000000"/>
              <w:bottom w:val="single" w:sz="6" w:space="0" w:color="000000"/>
              <w:right w:val="single" w:sz="6" w:space="0" w:color="000000"/>
            </w:tcBorders>
            <w:shd w:val="clear" w:color="auto" w:fill="D2D2D2"/>
          </w:tcPr>
          <w:p>
            <w:pPr/>
          </w:p>
        </w:tc>
        <w:tc>
          <w:tcPr>
            <w:tcW w:w="129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480" w:right="105"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105" w:right="8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26" w:type="dxa"/>
            <w:vMerge/>
            <w:tcBorders>
              <w:left w:val="single" w:sz="6" w:space="0" w:color="000000"/>
              <w:bottom w:val="nil" w:sz="6" w:space="0" w:color="auto"/>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89"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8" w:space="0" w:color="FFFFFF"/>
              <w:left w:val="single" w:sz="6" w:space="0" w:color="000000"/>
              <w:right w:val="single" w:sz="6" w:space="0" w:color="000000"/>
            </w:tcBorders>
            <w:shd w:val="clear" w:color="auto" w:fill="D2D2D2"/>
          </w:tcPr>
          <w:p>
            <w:pPr>
              <w:pStyle w:val="TableParagraph"/>
              <w:spacing w:line="225" w:lineRule="exact"/>
              <w:ind w:left="3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2" w:type="dxa"/>
            <w:vMerge w:val="restart"/>
            <w:tcBorders>
              <w:top w:val="single" w:sz="18" w:space="0" w:color="FFFFFF"/>
              <w:left w:val="single" w:sz="6" w:space="0" w:color="000000"/>
              <w:right w:val="single" w:sz="6" w:space="0" w:color="000000"/>
            </w:tcBorders>
            <w:shd w:val="clear" w:color="auto" w:fill="D2D2D2"/>
          </w:tcPr>
          <w:p>
            <w:pPr>
              <w:pStyle w:val="TableParagraph"/>
              <w:spacing w:line="225" w:lineRule="exact"/>
              <w:ind w:left="15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6"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95" w:right="8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5"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single" w:sz="12" w:space="0" w:color="FFFFFF"/>
              <w:right w:val="single" w:sz="6" w:space="0" w:color="000000"/>
            </w:tcBorders>
            <w:shd w:val="clear" w:color="auto" w:fill="D2D2D2"/>
          </w:tcPr>
          <w:p>
            <w:pPr/>
          </w:p>
        </w:tc>
        <w:tc>
          <w:tcPr>
            <w:tcW w:w="1562" w:type="dxa"/>
            <w:vMerge/>
            <w:tcBorders>
              <w:left w:val="single" w:sz="6" w:space="0" w:color="000000"/>
              <w:bottom w:val="single" w:sz="12" w:space="0" w:color="FFFFFF"/>
              <w:right w:val="single" w:sz="6" w:space="0" w:color="000000"/>
            </w:tcBorders>
            <w:shd w:val="clear" w:color="auto" w:fill="D2D2D2"/>
          </w:tcPr>
          <w:p>
            <w:pPr/>
          </w:p>
        </w:tc>
      </w:tr>
      <w:tr>
        <w:trPr>
          <w:trHeight w:val="203"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71" w:type="dxa"/>
            <w:vMerge/>
            <w:tcBorders>
              <w:left w:val="single" w:sz="6" w:space="0" w:color="000000"/>
              <w:right w:val="single" w:sz="6" w:space="0" w:color="000000"/>
            </w:tcBorders>
            <w:shd w:val="clear" w:color="auto" w:fill="D2D2D2"/>
          </w:tcPr>
          <w:p>
            <w:pPr/>
          </w:p>
        </w:tc>
        <w:tc>
          <w:tcPr>
            <w:tcW w:w="55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1"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0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2" w:space="0" w:color="FFFFFF"/>
              <w:left w:val="single" w:sz="6" w:space="0" w:color="000000"/>
              <w:right w:val="single" w:sz="6" w:space="0" w:color="000000"/>
            </w:tcBorders>
            <w:shd w:val="clear" w:color="auto" w:fill="D2D2D2"/>
          </w:tcPr>
          <w:p>
            <w:pPr/>
          </w:p>
        </w:tc>
        <w:tc>
          <w:tcPr>
            <w:tcW w:w="1562" w:type="dxa"/>
            <w:vMerge w:val="restart"/>
            <w:tcBorders>
              <w:top w:val="single" w:sz="12" w:space="0" w:color="FFFFFF"/>
              <w:left w:val="single" w:sz="6" w:space="0" w:color="000000"/>
              <w:right w:val="single" w:sz="6" w:space="0" w:color="000000"/>
            </w:tcBorders>
            <w:shd w:val="clear" w:color="auto" w:fill="D2D2D2"/>
          </w:tcPr>
          <w:p>
            <w:pPr/>
          </w:p>
        </w:tc>
      </w:tr>
      <w:tr>
        <w:trPr>
          <w:trHeight w:val="195"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55" w:type="dxa"/>
            <w:vMerge/>
            <w:tcBorders>
              <w:left w:val="single" w:sz="6" w:space="0" w:color="000000"/>
              <w:bottom w:val="nil" w:sz="6" w:space="0" w:color="auto"/>
              <w:right w:val="single" w:sz="6" w:space="0" w:color="000000"/>
            </w:tcBorders>
            <w:shd w:val="clear" w:color="auto" w:fill="D2D2D2"/>
          </w:tcPr>
          <w:p>
            <w:pPr/>
          </w:p>
        </w:tc>
        <w:tc>
          <w:tcPr>
            <w:tcW w:w="1291"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562" w:type="dxa"/>
            <w:vMerge/>
            <w:tcBorders>
              <w:left w:val="single" w:sz="6" w:space="0" w:color="000000"/>
              <w:right w:val="single" w:sz="6" w:space="0" w:color="000000"/>
            </w:tcBorders>
            <w:shd w:val="clear" w:color="auto" w:fill="D2D2D2"/>
          </w:tcPr>
          <w:p>
            <w:pPr/>
          </w:p>
        </w:tc>
      </w:tr>
      <w:tr>
        <w:trPr>
          <w:trHeight w:val="207" w:hRule="exact"/>
        </w:trPr>
        <w:tc>
          <w:tcPr>
            <w:tcW w:w="983" w:type="dxa"/>
            <w:vMerge/>
            <w:tcBorders>
              <w:left w:val="single" w:sz="6" w:space="0" w:color="000000"/>
              <w:bottom w:val="single" w:sz="6" w:space="0" w:color="000000"/>
              <w:right w:val="single" w:sz="6" w:space="0" w:color="000000"/>
            </w:tcBorders>
            <w:shd w:val="clear" w:color="auto" w:fill="D2D2D2"/>
          </w:tcPr>
          <w:p>
            <w:pPr/>
          </w:p>
        </w:tc>
        <w:tc>
          <w:tcPr>
            <w:tcW w:w="1284"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91"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56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．提取一般</w:t>
            </w:r>
            <w:r>
              <w:rPr>
                <w:rFonts w:ascii="宋体" w:hAnsi="宋体" w:cs="宋体" w:eastAsia="宋体" w:hint="default"/>
                <w:sz w:val="18"/>
                <w:szCs w:val="18"/>
              </w:rPr>
              <w:t> 风险准备</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3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．对所有者</w:t>
            </w:r>
          </w:p>
          <w:p>
            <w:pPr>
              <w:pStyle w:val="TableParagraph"/>
              <w:spacing w:line="321" w:lineRule="auto" w:before="36"/>
              <w:ind w:left="15" w:right="52"/>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-54,000,000.00</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-54,000,000.00</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-6,518,104.34</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-60,518,104.34</w:t>
            </w:r>
            <w:r>
              <w:rPr>
                <w:rFonts w:ascii="Times New Roman"/>
                <w:sz w:val="18"/>
              </w:rPr>
            </w:r>
          </w:p>
        </w:tc>
      </w:tr>
      <w:tr>
        <w:trPr>
          <w:trHeight w:val="391"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103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52"/>
              <w:jc w:val="both"/>
              <w:rPr>
                <w:rFonts w:ascii="宋体" w:hAnsi="宋体" w:cs="宋体" w:eastAsia="宋体" w:hint="default"/>
                <w:sz w:val="18"/>
                <w:szCs w:val="18"/>
              </w:rPr>
            </w:pPr>
            <w:r>
              <w:rPr>
                <w:rFonts w:ascii="宋体" w:hAnsi="宋体" w:cs="宋体" w:eastAsia="宋体" w:hint="default"/>
                <w:sz w:val="18"/>
                <w:szCs w:val="18"/>
              </w:rPr>
              <w:t>（四）所有 者权益内部 结转</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54,000,000.00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-54,000,000.00</w:t>
            </w:r>
            <w:r>
              <w:rPr>
                <w:rFonts w:ascii="Times New Roman"/>
                <w:sz w:val="18"/>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1"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w:t>
            </w:r>
            <w:r>
              <w:rPr>
                <w:rFonts w:ascii="宋体" w:hAnsi="宋体" w:cs="宋体" w:eastAsia="宋体" w:hint="default"/>
                <w:sz w:val="18"/>
                <w:szCs w:val="18"/>
              </w:rPr>
              <w:t> 转增资本</w:t>
            </w:r>
          </w:p>
          <w:p>
            <w:pPr>
              <w:pStyle w:val="TableParagraph"/>
              <w:spacing w:line="240" w:lineRule="auto" w:before="42"/>
              <w:ind w:left="1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54,000,000.00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-54,000,000.00</w:t>
            </w:r>
            <w:r>
              <w:rPr>
                <w:rFonts w:ascii="Times New Roman"/>
                <w:sz w:val="18"/>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3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60"/>
              <w:ind w:left="15"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w:t>
            </w:r>
            <w:r>
              <w:rPr>
                <w:rFonts w:ascii="宋体" w:hAnsi="宋体" w:cs="宋体" w:eastAsia="宋体" w:hint="default"/>
                <w:sz w:val="18"/>
                <w:szCs w:val="18"/>
              </w:rPr>
              <w:t> 转增资本</w:t>
            </w:r>
          </w:p>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．盈余公积</w:t>
            </w:r>
            <w:r>
              <w:rPr>
                <w:rFonts w:ascii="宋体" w:hAnsi="宋体" w:cs="宋体" w:eastAsia="宋体" w:hint="default"/>
                <w:sz w:val="18"/>
                <w:szCs w:val="18"/>
              </w:rPr>
              <w:t> 弥补亏损</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337"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0"/>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．设定受益</w:t>
            </w:r>
            <w:r>
              <w:rPr>
                <w:rFonts w:ascii="宋体" w:hAnsi="宋体" w:cs="宋体" w:eastAsia="宋体" w:hint="default"/>
                <w:sz w:val="18"/>
                <w:szCs w:val="18"/>
              </w:rPr>
              <w:t> 计划变动额 结转留存收</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益</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200" w:right="240"/>
        </w:sectPr>
      </w:pPr>
    </w:p>
    <w:p>
      <w:pPr>
        <w:spacing w:line="240" w:lineRule="auto" w:before="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983"/>
        <w:gridCol w:w="1284"/>
        <w:gridCol w:w="705"/>
        <w:gridCol w:w="571"/>
        <w:gridCol w:w="555"/>
        <w:gridCol w:w="1291"/>
        <w:gridCol w:w="1126"/>
        <w:gridCol w:w="1141"/>
        <w:gridCol w:w="571"/>
        <w:gridCol w:w="1126"/>
        <w:gridCol w:w="705"/>
        <w:gridCol w:w="1276"/>
        <w:gridCol w:w="721"/>
        <w:gridCol w:w="1276"/>
        <w:gridCol w:w="1276"/>
        <w:gridCol w:w="1562"/>
      </w:tblGrid>
      <w:tr>
        <w:trPr>
          <w:trHeight w:val="405" w:hRule="exact"/>
        </w:trPr>
        <w:tc>
          <w:tcPr>
            <w:tcW w:w="9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186"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398" w:hRule="exact"/>
        </w:trPr>
        <w:tc>
          <w:tcPr>
            <w:tcW w:w="983" w:type="dxa"/>
            <w:vMerge/>
            <w:tcBorders>
              <w:left w:val="single" w:sz="6" w:space="0" w:color="000000"/>
              <w:right w:val="single" w:sz="6" w:space="0" w:color="000000"/>
            </w:tcBorders>
            <w:shd w:val="clear" w:color="auto" w:fill="D2D2D2"/>
          </w:tcPr>
          <w:p>
            <w:pPr/>
          </w:p>
        </w:tc>
        <w:tc>
          <w:tcPr>
            <w:tcW w:w="12349"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62" w:type="dxa"/>
            <w:vMerge w:val="restart"/>
            <w:tcBorders>
              <w:top w:val="single" w:sz="6" w:space="0" w:color="000000"/>
              <w:left w:val="single" w:sz="6" w:space="0" w:color="000000"/>
              <w:right w:val="single" w:sz="6" w:space="0" w:color="000000"/>
            </w:tcBorders>
            <w:shd w:val="clear" w:color="auto" w:fill="D2D2D2"/>
          </w:tcPr>
          <w:p>
            <w:pPr/>
          </w:p>
        </w:tc>
      </w:tr>
      <w:tr>
        <w:trPr>
          <w:trHeight w:val="199" w:hRule="exact"/>
        </w:trPr>
        <w:tc>
          <w:tcPr>
            <w:tcW w:w="983" w:type="dxa"/>
            <w:vMerge/>
            <w:tcBorders>
              <w:left w:val="single" w:sz="6" w:space="0" w:color="000000"/>
              <w:right w:val="single" w:sz="6" w:space="0" w:color="000000"/>
            </w:tcBorders>
            <w:shd w:val="clear" w:color="auto" w:fill="D2D2D2"/>
          </w:tcPr>
          <w:p>
            <w:pPr/>
          </w:p>
        </w:tc>
        <w:tc>
          <w:tcPr>
            <w:tcW w:w="12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股本</w:t>
            </w:r>
          </w:p>
        </w:tc>
        <w:tc>
          <w:tcPr>
            <w:tcW w:w="183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91" w:type="dxa"/>
            <w:vMerge w:val="restart"/>
            <w:tcBorders>
              <w:top w:val="single" w:sz="6" w:space="0" w:color="000000"/>
              <w:left w:val="single" w:sz="6" w:space="0" w:color="000000"/>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721"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bottom w:val="single" w:sz="18" w:space="0" w:color="FFFFFF"/>
              <w:right w:val="single" w:sz="6" w:space="0" w:color="000000"/>
            </w:tcBorders>
            <w:shd w:val="clear" w:color="auto" w:fill="D2D2D2"/>
          </w:tcPr>
          <w:p>
            <w:pPr/>
          </w:p>
        </w:tc>
        <w:tc>
          <w:tcPr>
            <w:tcW w:w="1562" w:type="dxa"/>
            <w:vMerge/>
            <w:tcBorders>
              <w:left w:val="single" w:sz="6" w:space="0" w:color="000000"/>
              <w:bottom w:val="single" w:sz="18" w:space="0" w:color="FFFFFF"/>
              <w:right w:val="single" w:sz="6" w:space="0" w:color="000000"/>
            </w:tcBorders>
            <w:shd w:val="clear" w:color="auto" w:fill="D2D2D2"/>
          </w:tcPr>
          <w:p>
            <w:pPr/>
          </w:p>
        </w:tc>
      </w:tr>
      <w:tr>
        <w:trPr>
          <w:trHeight w:val="179"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1831" w:type="dxa"/>
            <w:gridSpan w:val="3"/>
            <w:vMerge/>
            <w:tcBorders>
              <w:left w:val="single" w:sz="6" w:space="0" w:color="000000"/>
              <w:bottom w:val="single" w:sz="6" w:space="0" w:color="000000"/>
              <w:right w:val="single" w:sz="6" w:space="0" w:color="000000"/>
            </w:tcBorders>
            <w:shd w:val="clear" w:color="auto" w:fill="D2D2D2"/>
          </w:tcPr>
          <w:p>
            <w:pPr/>
          </w:p>
        </w:tc>
        <w:tc>
          <w:tcPr>
            <w:tcW w:w="129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480" w:right="105"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105" w:right="8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26" w:type="dxa"/>
            <w:vMerge/>
            <w:tcBorders>
              <w:left w:val="single" w:sz="6" w:space="0" w:color="000000"/>
              <w:bottom w:val="nil" w:sz="6" w:space="0" w:color="auto"/>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1"/>
              <w:ind w:left="89"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8" w:space="0" w:color="FFFFFF"/>
              <w:left w:val="single" w:sz="6" w:space="0" w:color="000000"/>
              <w:right w:val="single" w:sz="6" w:space="0" w:color="000000"/>
            </w:tcBorders>
            <w:shd w:val="clear" w:color="auto" w:fill="D2D2D2"/>
          </w:tcPr>
          <w:p>
            <w:pPr>
              <w:pStyle w:val="TableParagraph"/>
              <w:spacing w:line="225" w:lineRule="exact"/>
              <w:ind w:left="3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2" w:type="dxa"/>
            <w:vMerge w:val="restart"/>
            <w:tcBorders>
              <w:top w:val="single" w:sz="18" w:space="0" w:color="FFFFFF"/>
              <w:left w:val="single" w:sz="6" w:space="0" w:color="000000"/>
              <w:right w:val="single" w:sz="6" w:space="0" w:color="000000"/>
            </w:tcBorders>
            <w:shd w:val="clear" w:color="auto" w:fill="D2D2D2"/>
          </w:tcPr>
          <w:p>
            <w:pPr>
              <w:pStyle w:val="TableParagraph"/>
              <w:spacing w:line="225" w:lineRule="exact"/>
              <w:ind w:left="15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6"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95" w:right="8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2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5"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single" w:sz="12" w:space="0" w:color="FFFFFF"/>
              <w:right w:val="single" w:sz="6" w:space="0" w:color="000000"/>
            </w:tcBorders>
            <w:shd w:val="clear" w:color="auto" w:fill="D2D2D2"/>
          </w:tcPr>
          <w:p>
            <w:pPr/>
          </w:p>
        </w:tc>
        <w:tc>
          <w:tcPr>
            <w:tcW w:w="1562" w:type="dxa"/>
            <w:vMerge/>
            <w:tcBorders>
              <w:left w:val="single" w:sz="6" w:space="0" w:color="000000"/>
              <w:bottom w:val="single" w:sz="12" w:space="0" w:color="FFFFFF"/>
              <w:right w:val="single" w:sz="6" w:space="0" w:color="000000"/>
            </w:tcBorders>
            <w:shd w:val="clear" w:color="auto" w:fill="D2D2D2"/>
          </w:tcPr>
          <w:p>
            <w:pPr/>
          </w:p>
        </w:tc>
      </w:tr>
      <w:tr>
        <w:trPr>
          <w:trHeight w:val="203"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71" w:type="dxa"/>
            <w:vMerge/>
            <w:tcBorders>
              <w:left w:val="single" w:sz="6" w:space="0" w:color="000000"/>
              <w:right w:val="single" w:sz="6" w:space="0" w:color="000000"/>
            </w:tcBorders>
            <w:shd w:val="clear" w:color="auto" w:fill="D2D2D2"/>
          </w:tcPr>
          <w:p>
            <w:pPr/>
          </w:p>
        </w:tc>
        <w:tc>
          <w:tcPr>
            <w:tcW w:w="55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1"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0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2" w:space="0" w:color="FFFFFF"/>
              <w:left w:val="single" w:sz="6" w:space="0" w:color="000000"/>
              <w:right w:val="single" w:sz="6" w:space="0" w:color="000000"/>
            </w:tcBorders>
            <w:shd w:val="clear" w:color="auto" w:fill="D2D2D2"/>
          </w:tcPr>
          <w:p>
            <w:pPr/>
          </w:p>
        </w:tc>
        <w:tc>
          <w:tcPr>
            <w:tcW w:w="1562" w:type="dxa"/>
            <w:vMerge w:val="restart"/>
            <w:tcBorders>
              <w:top w:val="single" w:sz="12" w:space="0" w:color="FFFFFF"/>
              <w:left w:val="single" w:sz="6" w:space="0" w:color="000000"/>
              <w:right w:val="single" w:sz="6" w:space="0" w:color="000000"/>
            </w:tcBorders>
            <w:shd w:val="clear" w:color="auto" w:fill="D2D2D2"/>
          </w:tcPr>
          <w:p>
            <w:pPr/>
          </w:p>
        </w:tc>
      </w:tr>
      <w:tr>
        <w:trPr>
          <w:trHeight w:val="195" w:hRule="exact"/>
        </w:trPr>
        <w:tc>
          <w:tcPr>
            <w:tcW w:w="983"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55" w:type="dxa"/>
            <w:vMerge/>
            <w:tcBorders>
              <w:left w:val="single" w:sz="6" w:space="0" w:color="000000"/>
              <w:bottom w:val="nil" w:sz="6" w:space="0" w:color="auto"/>
              <w:right w:val="single" w:sz="6" w:space="0" w:color="000000"/>
            </w:tcBorders>
            <w:shd w:val="clear" w:color="auto" w:fill="D2D2D2"/>
          </w:tcPr>
          <w:p>
            <w:pPr/>
          </w:p>
        </w:tc>
        <w:tc>
          <w:tcPr>
            <w:tcW w:w="1291"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562" w:type="dxa"/>
            <w:vMerge/>
            <w:tcBorders>
              <w:left w:val="single" w:sz="6" w:space="0" w:color="000000"/>
              <w:right w:val="single" w:sz="6" w:space="0" w:color="000000"/>
            </w:tcBorders>
            <w:shd w:val="clear" w:color="auto" w:fill="D2D2D2"/>
          </w:tcPr>
          <w:p>
            <w:pPr/>
          </w:p>
        </w:tc>
      </w:tr>
      <w:tr>
        <w:trPr>
          <w:trHeight w:val="207" w:hRule="exact"/>
        </w:trPr>
        <w:tc>
          <w:tcPr>
            <w:tcW w:w="983" w:type="dxa"/>
            <w:vMerge/>
            <w:tcBorders>
              <w:left w:val="single" w:sz="6" w:space="0" w:color="000000"/>
              <w:bottom w:val="single" w:sz="6" w:space="0" w:color="000000"/>
              <w:right w:val="single" w:sz="6" w:space="0" w:color="000000"/>
            </w:tcBorders>
            <w:shd w:val="clear" w:color="auto" w:fill="D2D2D2"/>
          </w:tcPr>
          <w:p>
            <w:pPr/>
          </w:p>
        </w:tc>
        <w:tc>
          <w:tcPr>
            <w:tcW w:w="1284"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91"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562"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0"/>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．其他综合</w:t>
            </w:r>
            <w:r>
              <w:rPr>
                <w:rFonts w:ascii="宋体" w:hAnsi="宋体" w:cs="宋体" w:eastAsia="宋体" w:hint="default"/>
                <w:sz w:val="18"/>
                <w:szCs w:val="18"/>
              </w:rPr>
              <w:t> 收益结转留 存收益</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52"/>
              <w:jc w:val="left"/>
              <w:rPr>
                <w:rFonts w:ascii="宋体" w:hAnsi="宋体" w:cs="宋体" w:eastAsia="宋体" w:hint="default"/>
                <w:sz w:val="18"/>
                <w:szCs w:val="18"/>
              </w:rPr>
            </w:pPr>
            <w:r>
              <w:rPr>
                <w:rFonts w:ascii="宋体" w:hAnsi="宋体" w:cs="宋体" w:eastAsia="宋体" w:hint="default"/>
                <w:sz w:val="18"/>
                <w:szCs w:val="18"/>
              </w:rPr>
              <w:t>（五）专项 储备</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．本期提取</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．本期使用</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961" w:hRule="exact"/>
        </w:trPr>
        <w:tc>
          <w:tcPr>
            <w:tcW w:w="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15" w:right="52"/>
              <w:jc w:val="left"/>
              <w:rPr>
                <w:rFonts w:ascii="宋体" w:hAnsi="宋体" w:cs="宋体" w:eastAsia="宋体" w:hint="default"/>
                <w:sz w:val="18"/>
                <w:szCs w:val="18"/>
              </w:rPr>
            </w:pPr>
            <w:r>
              <w:rPr>
                <w:rFonts w:ascii="宋体" w:hAnsi="宋体" w:cs="宋体" w:eastAsia="宋体" w:hint="default"/>
                <w:sz w:val="18"/>
                <w:szCs w:val="18"/>
              </w:rPr>
              <w:t>四、本期期 末余额</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162,000,000.00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200,205,305.28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39,999,113.66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3,456,934.40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25,760,503.00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57,911,271.76</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409,334,900.78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9,787,118.85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419,122,019.63</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200" w:right="240"/>
        </w:sectPr>
      </w:pPr>
    </w:p>
    <w:p>
      <w:pPr>
        <w:spacing w:line="240" w:lineRule="auto" w:before="9"/>
        <w:rPr>
          <w:rFonts w:ascii="Times New Roman" w:hAnsi="Times New Roman" w:cs="Times New Roman" w:eastAsia="Times New Roman" w:hint="default"/>
          <w:sz w:val="4"/>
          <w:szCs w:val="4"/>
        </w:rPr>
      </w:pPr>
    </w:p>
    <w:p>
      <w:pPr>
        <w:spacing w:line="20" w:lineRule="exact"/>
        <w:ind w:left="116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Times New Roman" w:hAnsi="Times New Roman" w:cs="Times New Roman" w:eastAsia="Times New Roman" w:hint="default"/>
          <w:sz w:val="2"/>
          <w:szCs w:val="2"/>
        </w:rPr>
      </w:r>
    </w:p>
    <w:p>
      <w:pPr>
        <w:pStyle w:val="Heading5"/>
        <w:spacing w:line="240" w:lineRule="auto" w:before="4"/>
        <w:ind w:left="1201"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1201" w:right="0"/>
        <w:jc w:val="left"/>
      </w:pPr>
      <w:r>
        <w:rPr/>
        <w:t>本期金额</w:t>
      </w:r>
    </w:p>
    <w:p>
      <w:pPr>
        <w:pStyle w:val="BodyText"/>
        <w:spacing w:line="240" w:lineRule="auto" w:before="125"/>
        <w:ind w:left="0" w:right="1206"/>
        <w:jc w:val="right"/>
      </w:pPr>
      <w:r>
        <w:rPr/>
        <w:t>单位：元</w:t>
      </w:r>
    </w:p>
    <w:p>
      <w:pPr>
        <w:spacing w:line="240" w:lineRule="auto" w:before="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554"/>
        <w:gridCol w:w="1276"/>
        <w:gridCol w:w="1126"/>
        <w:gridCol w:w="991"/>
        <w:gridCol w:w="1006"/>
        <w:gridCol w:w="1412"/>
        <w:gridCol w:w="1561"/>
        <w:gridCol w:w="1382"/>
        <w:gridCol w:w="750"/>
        <w:gridCol w:w="1126"/>
        <w:gridCol w:w="1427"/>
        <w:gridCol w:w="1141"/>
        <w:gridCol w:w="1381"/>
      </w:tblGrid>
      <w:tr>
        <w:trPr>
          <w:trHeight w:val="405" w:hRule="exact"/>
        </w:trPr>
        <w:tc>
          <w:tcPr>
            <w:tcW w:w="155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78"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3" w:hRule="exact"/>
        </w:trPr>
        <w:tc>
          <w:tcPr>
            <w:tcW w:w="1554" w:type="dxa"/>
            <w:vMerge/>
            <w:tcBorders>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股本</w:t>
            </w:r>
          </w:p>
        </w:tc>
        <w:tc>
          <w:tcPr>
            <w:tcW w:w="312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02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2" w:type="dxa"/>
            <w:tcBorders>
              <w:top w:val="single" w:sz="6" w:space="0" w:color="000000"/>
              <w:left w:val="single" w:sz="6" w:space="0" w:color="000000"/>
              <w:bottom w:val="nil" w:sz="6" w:space="0" w:color="auto"/>
              <w:right w:val="single" w:sz="6" w:space="0" w:color="000000"/>
            </w:tcBorders>
            <w:shd w:val="clear" w:color="auto" w:fill="D2D2D2"/>
          </w:tcPr>
          <w:p>
            <w:pPr/>
          </w:p>
        </w:tc>
        <w:tc>
          <w:tcPr>
            <w:tcW w:w="1561"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2" w:type="dxa"/>
            <w:tcBorders>
              <w:top w:val="single" w:sz="6" w:space="0" w:color="000000"/>
              <w:left w:val="single" w:sz="6" w:space="0" w:color="000000"/>
              <w:bottom w:val="nil" w:sz="6" w:space="0" w:color="auto"/>
              <w:right w:val="single" w:sz="6" w:space="0" w:color="000000"/>
            </w:tcBorders>
            <w:shd w:val="clear" w:color="auto" w:fill="D2D2D2"/>
          </w:tcPr>
          <w:p>
            <w:pPr/>
          </w:p>
        </w:tc>
        <w:tc>
          <w:tcPr>
            <w:tcW w:w="750"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105"/>
              <w:ind w:left="284"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27" w:type="dxa"/>
            <w:tcBorders>
              <w:top w:val="single" w:sz="6" w:space="0" w:color="000000"/>
              <w:left w:val="single" w:sz="6" w:space="0" w:color="000000"/>
              <w:bottom w:val="nil" w:sz="6" w:space="0" w:color="auto"/>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54"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3122" w:type="dxa"/>
            <w:gridSpan w:val="3"/>
            <w:vMerge/>
            <w:tcBorders>
              <w:left w:val="single" w:sz="6" w:space="0" w:color="000000"/>
              <w:bottom w:val="single" w:sz="6" w:space="0" w:color="000000"/>
              <w:right w:val="single" w:sz="6" w:space="0" w:color="000000"/>
            </w:tcBorders>
            <w:shd w:val="clear" w:color="auto" w:fill="D2D2D2"/>
          </w:tcPr>
          <w:p>
            <w:pPr/>
          </w:p>
        </w:tc>
        <w:tc>
          <w:tcPr>
            <w:tcW w:w="14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left="3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left="33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8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left="15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50"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left="2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left="2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left="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88" w:hRule="exact"/>
        </w:trPr>
        <w:tc>
          <w:tcPr>
            <w:tcW w:w="1554"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30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2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3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2" w:type="dxa"/>
            <w:vMerge/>
            <w:tcBorders>
              <w:left w:val="single" w:sz="6" w:space="0" w:color="000000"/>
              <w:bottom w:val="nil" w:sz="6" w:space="0" w:color="auto"/>
              <w:right w:val="single" w:sz="6" w:space="0" w:color="000000"/>
            </w:tcBorders>
            <w:shd w:val="clear" w:color="auto" w:fill="D2D2D2"/>
          </w:tcPr>
          <w:p>
            <w:pPr/>
          </w:p>
        </w:tc>
        <w:tc>
          <w:tcPr>
            <w:tcW w:w="1561" w:type="dxa"/>
            <w:vMerge/>
            <w:tcBorders>
              <w:left w:val="single" w:sz="6" w:space="0" w:color="000000"/>
              <w:bottom w:val="nil" w:sz="6" w:space="0" w:color="auto"/>
              <w:right w:val="single" w:sz="6" w:space="0" w:color="000000"/>
            </w:tcBorders>
            <w:shd w:val="clear" w:color="auto" w:fill="D2D2D2"/>
          </w:tcPr>
          <w:p>
            <w:pPr/>
          </w:p>
        </w:tc>
        <w:tc>
          <w:tcPr>
            <w:tcW w:w="1382" w:type="dxa"/>
            <w:vMerge/>
            <w:tcBorders>
              <w:left w:val="single" w:sz="6" w:space="0" w:color="000000"/>
              <w:bottom w:val="nil" w:sz="6" w:space="0" w:color="auto"/>
              <w:right w:val="single" w:sz="6" w:space="0" w:color="000000"/>
            </w:tcBorders>
            <w:shd w:val="clear" w:color="auto" w:fill="D2D2D2"/>
          </w:tcPr>
          <w:p>
            <w:pPr/>
          </w:p>
        </w:tc>
        <w:tc>
          <w:tcPr>
            <w:tcW w:w="750"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427"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1381"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54"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006" w:type="dxa"/>
            <w:vMerge/>
            <w:tcBorders>
              <w:left w:val="single" w:sz="6" w:space="0" w:color="000000"/>
              <w:bottom w:val="single" w:sz="6" w:space="0" w:color="000000"/>
              <w:right w:val="single" w:sz="6" w:space="0" w:color="000000"/>
            </w:tcBorders>
            <w:shd w:val="clear" w:color="auto" w:fill="D2D2D2"/>
          </w:tcPr>
          <w:p>
            <w:pPr/>
          </w:p>
        </w:tc>
        <w:tc>
          <w:tcPr>
            <w:tcW w:w="1412" w:type="dxa"/>
            <w:tcBorders>
              <w:top w:val="nil" w:sz="6" w:space="0" w:color="auto"/>
              <w:left w:val="single" w:sz="6" w:space="0" w:color="000000"/>
              <w:bottom w:val="single" w:sz="6" w:space="0" w:color="000000"/>
              <w:right w:val="single" w:sz="6" w:space="0" w:color="000000"/>
            </w:tcBorders>
            <w:shd w:val="clear" w:color="auto" w:fill="D2D2D2"/>
          </w:tcPr>
          <w:p>
            <w:pPr/>
          </w:p>
        </w:tc>
        <w:tc>
          <w:tcPr>
            <w:tcW w:w="1561"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tcBorders>
              <w:top w:val="nil" w:sz="6" w:space="0" w:color="auto"/>
              <w:left w:val="single" w:sz="6" w:space="0" w:color="000000"/>
              <w:bottom w:val="single" w:sz="6" w:space="0" w:color="000000"/>
              <w:right w:val="single" w:sz="6" w:space="0" w:color="000000"/>
            </w:tcBorders>
            <w:shd w:val="clear" w:color="auto" w:fill="D2D2D2"/>
          </w:tcPr>
          <w:p>
            <w:pPr/>
          </w:p>
        </w:tc>
        <w:tc>
          <w:tcPr>
            <w:tcW w:w="750"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138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1"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162,000,000.00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205,303,490.61</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39,999,113.66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24,485,949.64</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49,286,928.21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401,077,254.80</w:t>
            </w:r>
          </w:p>
        </w:tc>
      </w:tr>
      <w:tr>
        <w:trPr>
          <w:trHeight w:val="721"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59"/>
              <w:ind w:left="7" w:right="90"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0.00</w:t>
            </w:r>
          </w:p>
        </w:tc>
      </w:tr>
      <w:tr>
        <w:trPr>
          <w:trHeight w:val="1007"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162,000,000.00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205,303,490.61</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39,999,113.66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24,485,949.64</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49,286,928.21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401,077,254.80</w:t>
            </w:r>
          </w:p>
        </w:tc>
      </w:tr>
      <w:tr>
        <w:trPr>
          <w:trHeight w:val="1036"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59"/>
              <w:ind w:left="7" w:right="90"/>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号填列）</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8,876,105.82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1,575,000.00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2,918,103.26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26,262,929.35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21,879,926.79</w:t>
            </w:r>
          </w:p>
        </w:tc>
      </w:tr>
      <w:tr>
        <w:trPr>
          <w:trHeight w:val="706"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90"/>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1,575,000.00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29,181,032.61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30,756,032.61</w:t>
            </w:r>
          </w:p>
        </w:tc>
      </w:tr>
      <w:tr>
        <w:trPr>
          <w:trHeight w:val="721"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60"/>
              <w:ind w:left="7" w:right="90"/>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8,876,105.82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-8,876,105.82</w:t>
            </w:r>
            <w:r>
              <w:rPr>
                <w:rFonts w:ascii="Times New Roman"/>
                <w:sz w:val="18"/>
              </w:rPr>
            </w:r>
          </w:p>
        </w:tc>
      </w:tr>
      <w:tr>
        <w:trPr>
          <w:trHeight w:val="706"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2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．所有者投入的普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通股</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200" w:left="240" w:right="220"/>
        </w:sectPr>
      </w:pPr>
    </w:p>
    <w:p>
      <w:pPr>
        <w:spacing w:line="240" w:lineRule="auto" w:before="9"/>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554"/>
        <w:gridCol w:w="1276"/>
        <w:gridCol w:w="1126"/>
        <w:gridCol w:w="991"/>
        <w:gridCol w:w="1006"/>
        <w:gridCol w:w="1412"/>
        <w:gridCol w:w="1561"/>
        <w:gridCol w:w="1382"/>
        <w:gridCol w:w="750"/>
        <w:gridCol w:w="1126"/>
        <w:gridCol w:w="1427"/>
        <w:gridCol w:w="1141"/>
        <w:gridCol w:w="1381"/>
      </w:tblGrid>
      <w:tr>
        <w:trPr>
          <w:trHeight w:val="405" w:hRule="exact"/>
        </w:trPr>
        <w:tc>
          <w:tcPr>
            <w:tcW w:w="1554" w:type="dxa"/>
            <w:vMerge w:val="restart"/>
            <w:tcBorders>
              <w:top w:val="single" w:sz="18"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78"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2" w:hRule="exact"/>
        </w:trPr>
        <w:tc>
          <w:tcPr>
            <w:tcW w:w="1554" w:type="dxa"/>
            <w:vMerge/>
            <w:tcBorders>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股本</w:t>
            </w:r>
          </w:p>
        </w:tc>
        <w:tc>
          <w:tcPr>
            <w:tcW w:w="312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02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2" w:type="dxa"/>
            <w:tcBorders>
              <w:top w:val="single" w:sz="6" w:space="0" w:color="000000"/>
              <w:left w:val="single" w:sz="6" w:space="0" w:color="000000"/>
              <w:bottom w:val="nil" w:sz="6" w:space="0" w:color="auto"/>
              <w:right w:val="single" w:sz="6" w:space="0" w:color="000000"/>
            </w:tcBorders>
            <w:shd w:val="clear" w:color="auto" w:fill="D2D2D2"/>
          </w:tcPr>
          <w:p>
            <w:pPr/>
          </w:p>
        </w:tc>
        <w:tc>
          <w:tcPr>
            <w:tcW w:w="1561"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2" w:type="dxa"/>
            <w:tcBorders>
              <w:top w:val="single" w:sz="6" w:space="0" w:color="000000"/>
              <w:left w:val="single" w:sz="6" w:space="0" w:color="000000"/>
              <w:bottom w:val="nil" w:sz="6" w:space="0" w:color="auto"/>
              <w:right w:val="single" w:sz="6" w:space="0" w:color="000000"/>
            </w:tcBorders>
            <w:shd w:val="clear" w:color="auto" w:fill="D2D2D2"/>
          </w:tcPr>
          <w:p>
            <w:pPr/>
          </w:p>
        </w:tc>
        <w:tc>
          <w:tcPr>
            <w:tcW w:w="75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90"/>
              <w:ind w:left="284"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27" w:type="dxa"/>
            <w:tcBorders>
              <w:top w:val="single" w:sz="6" w:space="0" w:color="000000"/>
              <w:left w:val="single" w:sz="6" w:space="0" w:color="000000"/>
              <w:bottom w:val="nil" w:sz="6" w:space="0" w:color="auto"/>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54"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3122" w:type="dxa"/>
            <w:gridSpan w:val="3"/>
            <w:vMerge/>
            <w:tcBorders>
              <w:left w:val="single" w:sz="6" w:space="0" w:color="000000"/>
              <w:bottom w:val="single" w:sz="6" w:space="0" w:color="000000"/>
              <w:right w:val="single" w:sz="6" w:space="0" w:color="000000"/>
            </w:tcBorders>
            <w:shd w:val="clear" w:color="auto" w:fill="D2D2D2"/>
          </w:tcPr>
          <w:p>
            <w:pPr/>
          </w:p>
        </w:tc>
        <w:tc>
          <w:tcPr>
            <w:tcW w:w="14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8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50"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3" w:hRule="exact"/>
        </w:trPr>
        <w:tc>
          <w:tcPr>
            <w:tcW w:w="1554"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2" w:type="dxa"/>
            <w:vMerge/>
            <w:tcBorders>
              <w:left w:val="single" w:sz="6" w:space="0" w:color="000000"/>
              <w:bottom w:val="nil" w:sz="6" w:space="0" w:color="auto"/>
              <w:right w:val="single" w:sz="6" w:space="0" w:color="000000"/>
            </w:tcBorders>
            <w:shd w:val="clear" w:color="auto" w:fill="D2D2D2"/>
          </w:tcPr>
          <w:p>
            <w:pPr/>
          </w:p>
        </w:tc>
        <w:tc>
          <w:tcPr>
            <w:tcW w:w="1561" w:type="dxa"/>
            <w:vMerge/>
            <w:tcBorders>
              <w:left w:val="single" w:sz="6" w:space="0" w:color="000000"/>
              <w:bottom w:val="nil" w:sz="6" w:space="0" w:color="auto"/>
              <w:right w:val="single" w:sz="6" w:space="0" w:color="000000"/>
            </w:tcBorders>
            <w:shd w:val="clear" w:color="auto" w:fill="D2D2D2"/>
          </w:tcPr>
          <w:p>
            <w:pPr/>
          </w:p>
        </w:tc>
        <w:tc>
          <w:tcPr>
            <w:tcW w:w="1382" w:type="dxa"/>
            <w:vMerge/>
            <w:tcBorders>
              <w:left w:val="single" w:sz="6" w:space="0" w:color="000000"/>
              <w:bottom w:val="nil" w:sz="6" w:space="0" w:color="auto"/>
              <w:right w:val="single" w:sz="6" w:space="0" w:color="000000"/>
            </w:tcBorders>
            <w:shd w:val="clear" w:color="auto" w:fill="D2D2D2"/>
          </w:tcPr>
          <w:p>
            <w:pPr/>
          </w:p>
        </w:tc>
        <w:tc>
          <w:tcPr>
            <w:tcW w:w="750"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427"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1381"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554"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006" w:type="dxa"/>
            <w:vMerge/>
            <w:tcBorders>
              <w:left w:val="single" w:sz="6" w:space="0" w:color="000000"/>
              <w:bottom w:val="single" w:sz="6" w:space="0" w:color="000000"/>
              <w:right w:val="single" w:sz="6" w:space="0" w:color="000000"/>
            </w:tcBorders>
            <w:shd w:val="clear" w:color="auto" w:fill="D2D2D2"/>
          </w:tcPr>
          <w:p>
            <w:pPr/>
          </w:p>
        </w:tc>
        <w:tc>
          <w:tcPr>
            <w:tcW w:w="1412" w:type="dxa"/>
            <w:tcBorders>
              <w:top w:val="nil" w:sz="6" w:space="0" w:color="auto"/>
              <w:left w:val="single" w:sz="6" w:space="0" w:color="000000"/>
              <w:bottom w:val="single" w:sz="6" w:space="0" w:color="000000"/>
              <w:right w:val="single" w:sz="6" w:space="0" w:color="000000"/>
            </w:tcBorders>
            <w:shd w:val="clear" w:color="auto" w:fill="D2D2D2"/>
          </w:tcPr>
          <w:p>
            <w:pPr/>
          </w:p>
        </w:tc>
        <w:tc>
          <w:tcPr>
            <w:tcW w:w="1561"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tcBorders>
              <w:top w:val="nil" w:sz="6" w:space="0" w:color="auto"/>
              <w:left w:val="single" w:sz="6" w:space="0" w:color="000000"/>
              <w:bottom w:val="single" w:sz="6" w:space="0" w:color="000000"/>
              <w:right w:val="single" w:sz="6" w:space="0" w:color="000000"/>
            </w:tcBorders>
            <w:shd w:val="clear" w:color="auto" w:fill="D2D2D2"/>
          </w:tcPr>
          <w:p>
            <w:pPr/>
          </w:p>
        </w:tc>
        <w:tc>
          <w:tcPr>
            <w:tcW w:w="750"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138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06"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90" w:lineRule="auto"/>
              <w:ind w:left="7" w:right="2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有者投入资本</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07"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7" w:right="2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有者权益的金额</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8,876,105.82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-8,876,105.82</w:t>
            </w:r>
            <w:r>
              <w:rPr>
                <w:rFonts w:ascii="Times New Roman"/>
                <w:sz w:val="18"/>
              </w:rPr>
            </w:r>
          </w:p>
        </w:tc>
      </w:tr>
      <w:tr>
        <w:trPr>
          <w:trHeight w:val="705"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2,918,103.26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-2,918,103.26</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691"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2,918,103.26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-2,918,103.26</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60"/>
              <w:ind w:left="7" w:right="2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．对所有者（或股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东）的分配</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90"/>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36"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0" w:lineRule="auto"/>
              <w:ind w:left="7" w:right="2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本（或股本）</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991" w:hRule="exact"/>
        </w:trPr>
        <w:tc>
          <w:tcPr>
            <w:tcW w:w="15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90" w:lineRule="auto"/>
              <w:ind w:left="7" w:right="2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本（或股本）</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240" w:right="220"/>
        </w:sectPr>
      </w:pPr>
    </w:p>
    <w:p>
      <w:pPr>
        <w:spacing w:line="240" w:lineRule="auto" w:before="9"/>
        <w:rPr>
          <w:rFonts w:ascii="Times New Roman" w:hAnsi="Times New Roman" w:cs="Times New Roman" w:eastAsia="Times New Roman"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561"/>
        <w:gridCol w:w="1276"/>
        <w:gridCol w:w="1126"/>
        <w:gridCol w:w="991"/>
        <w:gridCol w:w="1006"/>
        <w:gridCol w:w="1412"/>
        <w:gridCol w:w="1561"/>
        <w:gridCol w:w="1382"/>
        <w:gridCol w:w="750"/>
        <w:gridCol w:w="1126"/>
        <w:gridCol w:w="1427"/>
        <w:gridCol w:w="1141"/>
        <w:gridCol w:w="1381"/>
      </w:tblGrid>
      <w:tr>
        <w:trPr>
          <w:trHeight w:val="405" w:hRule="exact"/>
        </w:trPr>
        <w:tc>
          <w:tcPr>
            <w:tcW w:w="1561" w:type="dxa"/>
            <w:vMerge w:val="restart"/>
            <w:tcBorders>
              <w:top w:val="single" w:sz="18"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4578"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2" w:hRule="exact"/>
        </w:trPr>
        <w:tc>
          <w:tcPr>
            <w:tcW w:w="1561" w:type="dxa"/>
            <w:vMerge/>
            <w:tcBorders>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股本</w:t>
            </w:r>
          </w:p>
        </w:tc>
        <w:tc>
          <w:tcPr>
            <w:tcW w:w="312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02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2" w:type="dxa"/>
            <w:tcBorders>
              <w:top w:val="single" w:sz="6" w:space="0" w:color="000000"/>
              <w:left w:val="single" w:sz="6" w:space="0" w:color="000000"/>
              <w:bottom w:val="nil" w:sz="6" w:space="0" w:color="auto"/>
              <w:right w:val="single" w:sz="6" w:space="0" w:color="000000"/>
            </w:tcBorders>
            <w:shd w:val="clear" w:color="auto" w:fill="D2D2D2"/>
          </w:tcPr>
          <w:p>
            <w:pPr/>
          </w:p>
        </w:tc>
        <w:tc>
          <w:tcPr>
            <w:tcW w:w="1561"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2" w:type="dxa"/>
            <w:tcBorders>
              <w:top w:val="single" w:sz="6" w:space="0" w:color="000000"/>
              <w:left w:val="single" w:sz="6" w:space="0" w:color="000000"/>
              <w:bottom w:val="nil" w:sz="6" w:space="0" w:color="auto"/>
              <w:right w:val="single" w:sz="6" w:space="0" w:color="000000"/>
            </w:tcBorders>
            <w:shd w:val="clear" w:color="auto" w:fill="D2D2D2"/>
          </w:tcPr>
          <w:p>
            <w:pPr/>
          </w:p>
        </w:tc>
        <w:tc>
          <w:tcPr>
            <w:tcW w:w="75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90"/>
              <w:ind w:left="284"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27" w:type="dxa"/>
            <w:tcBorders>
              <w:top w:val="single" w:sz="6" w:space="0" w:color="000000"/>
              <w:left w:val="single" w:sz="6" w:space="0" w:color="000000"/>
              <w:bottom w:val="nil" w:sz="6" w:space="0" w:color="auto"/>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6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3122" w:type="dxa"/>
            <w:gridSpan w:val="3"/>
            <w:vMerge/>
            <w:tcBorders>
              <w:left w:val="single" w:sz="6" w:space="0" w:color="000000"/>
              <w:bottom w:val="single" w:sz="6" w:space="0" w:color="000000"/>
              <w:right w:val="single" w:sz="6" w:space="0" w:color="000000"/>
            </w:tcBorders>
            <w:shd w:val="clear" w:color="auto" w:fill="D2D2D2"/>
          </w:tcPr>
          <w:p>
            <w:pPr/>
          </w:p>
        </w:tc>
        <w:tc>
          <w:tcPr>
            <w:tcW w:w="14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8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50"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3" w:hRule="exact"/>
        </w:trPr>
        <w:tc>
          <w:tcPr>
            <w:tcW w:w="156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2" w:type="dxa"/>
            <w:vMerge/>
            <w:tcBorders>
              <w:left w:val="single" w:sz="6" w:space="0" w:color="000000"/>
              <w:bottom w:val="nil" w:sz="6" w:space="0" w:color="auto"/>
              <w:right w:val="single" w:sz="6" w:space="0" w:color="000000"/>
            </w:tcBorders>
            <w:shd w:val="clear" w:color="auto" w:fill="D2D2D2"/>
          </w:tcPr>
          <w:p>
            <w:pPr/>
          </w:p>
        </w:tc>
        <w:tc>
          <w:tcPr>
            <w:tcW w:w="1561" w:type="dxa"/>
            <w:vMerge/>
            <w:tcBorders>
              <w:left w:val="single" w:sz="6" w:space="0" w:color="000000"/>
              <w:bottom w:val="nil" w:sz="6" w:space="0" w:color="auto"/>
              <w:right w:val="single" w:sz="6" w:space="0" w:color="000000"/>
            </w:tcBorders>
            <w:shd w:val="clear" w:color="auto" w:fill="D2D2D2"/>
          </w:tcPr>
          <w:p>
            <w:pPr/>
          </w:p>
        </w:tc>
        <w:tc>
          <w:tcPr>
            <w:tcW w:w="1382" w:type="dxa"/>
            <w:vMerge/>
            <w:tcBorders>
              <w:left w:val="single" w:sz="6" w:space="0" w:color="000000"/>
              <w:bottom w:val="nil" w:sz="6" w:space="0" w:color="auto"/>
              <w:right w:val="single" w:sz="6" w:space="0" w:color="000000"/>
            </w:tcBorders>
            <w:shd w:val="clear" w:color="auto" w:fill="D2D2D2"/>
          </w:tcPr>
          <w:p>
            <w:pPr/>
          </w:p>
        </w:tc>
        <w:tc>
          <w:tcPr>
            <w:tcW w:w="750"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427"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1381"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56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006" w:type="dxa"/>
            <w:vMerge/>
            <w:tcBorders>
              <w:left w:val="single" w:sz="6" w:space="0" w:color="000000"/>
              <w:bottom w:val="single" w:sz="6" w:space="0" w:color="000000"/>
              <w:right w:val="single" w:sz="6" w:space="0" w:color="000000"/>
            </w:tcBorders>
            <w:shd w:val="clear" w:color="auto" w:fill="D2D2D2"/>
          </w:tcPr>
          <w:p>
            <w:pPr/>
          </w:p>
        </w:tc>
        <w:tc>
          <w:tcPr>
            <w:tcW w:w="1412" w:type="dxa"/>
            <w:tcBorders>
              <w:top w:val="nil" w:sz="6" w:space="0" w:color="auto"/>
              <w:left w:val="single" w:sz="6" w:space="0" w:color="000000"/>
              <w:bottom w:val="single" w:sz="6" w:space="0" w:color="000000"/>
              <w:right w:val="single" w:sz="6" w:space="0" w:color="000000"/>
            </w:tcBorders>
            <w:shd w:val="clear" w:color="auto" w:fill="D2D2D2"/>
          </w:tcPr>
          <w:p>
            <w:pPr/>
          </w:p>
        </w:tc>
        <w:tc>
          <w:tcPr>
            <w:tcW w:w="1561"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tcBorders>
              <w:top w:val="nil" w:sz="6" w:space="0" w:color="auto"/>
              <w:left w:val="single" w:sz="6" w:space="0" w:color="000000"/>
              <w:bottom w:val="single" w:sz="6" w:space="0" w:color="000000"/>
              <w:right w:val="single" w:sz="6" w:space="0" w:color="000000"/>
            </w:tcBorders>
            <w:shd w:val="clear" w:color="auto" w:fill="D2D2D2"/>
          </w:tcPr>
          <w:p>
            <w:pPr/>
          </w:p>
        </w:tc>
        <w:tc>
          <w:tcPr>
            <w:tcW w:w="750"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138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721"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．盈余公积弥补亏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06"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8"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动额结转留存收益</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．其他综合收益结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转留存收益</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1006" w:hRule="exact"/>
        </w:trPr>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162,000,000.00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205,303,490.61</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48,875,219.48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1,575,000.00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27,404,052.90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75,549,857.56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422,957,181.59</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240" w:right="220"/>
        </w:sectPr>
      </w:pPr>
    </w:p>
    <w:p>
      <w:pPr>
        <w:spacing w:line="240" w:lineRule="auto" w:before="9"/>
        <w:rPr>
          <w:rFonts w:ascii="Times New Roman" w:hAnsi="Times New Roman" w:cs="Times New Roman" w:eastAsia="Times New Roman" w:hint="default"/>
          <w:sz w:val="4"/>
          <w:szCs w:val="4"/>
        </w:rPr>
      </w:pPr>
    </w:p>
    <w:p>
      <w:pPr>
        <w:spacing w:line="20" w:lineRule="exact"/>
        <w:ind w:left="7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9"/>
        <w:ind w:left="821" w:right="0"/>
        <w:jc w:val="left"/>
      </w:pPr>
      <w:r>
        <w:rPr/>
        <w:t>上期金额</w:t>
      </w:r>
    </w:p>
    <w:p>
      <w:pPr>
        <w:pStyle w:val="BodyText"/>
        <w:spacing w:line="240" w:lineRule="auto" w:before="110"/>
        <w:ind w:left="0" w:right="906"/>
        <w:jc w:val="right"/>
      </w:pPr>
      <w:r>
        <w:rPr/>
        <w:t>单位：元</w:t>
      </w:r>
    </w:p>
    <w:p>
      <w:pPr>
        <w:spacing w:line="240" w:lineRule="auto" w:before="7"/>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847"/>
        <w:gridCol w:w="1411"/>
        <w:gridCol w:w="856"/>
        <w:gridCol w:w="570"/>
        <w:gridCol w:w="705"/>
        <w:gridCol w:w="1276"/>
        <w:gridCol w:w="1141"/>
        <w:gridCol w:w="991"/>
        <w:gridCol w:w="1276"/>
        <w:gridCol w:w="1276"/>
        <w:gridCol w:w="1546"/>
        <w:gridCol w:w="1231"/>
        <w:gridCol w:w="1336"/>
      </w:tblGrid>
      <w:tr>
        <w:trPr>
          <w:trHeight w:val="391" w:hRule="exact"/>
        </w:trPr>
        <w:tc>
          <w:tcPr>
            <w:tcW w:w="1847" w:type="dxa"/>
            <w:vMerge w:val="restart"/>
            <w:tcBorders>
              <w:top w:val="single" w:sz="6" w:space="0" w:color="000000"/>
              <w:left w:val="single" w:sz="6" w:space="0" w:color="000000"/>
              <w:right w:val="single" w:sz="6" w:space="0" w:color="000000"/>
            </w:tcBorders>
            <w:shd w:val="clear" w:color="auto" w:fill="D2D2D2"/>
          </w:tcPr>
          <w:p>
            <w:pPr/>
          </w:p>
        </w:tc>
        <w:tc>
          <w:tcPr>
            <w:tcW w:w="13617"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157" w:hRule="exact"/>
        </w:trPr>
        <w:tc>
          <w:tcPr>
            <w:tcW w:w="1847" w:type="dxa"/>
            <w:vMerge/>
            <w:tcBorders>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6" w:space="0" w:color="000000"/>
              <w:right w:val="single" w:sz="6" w:space="0" w:color="000000"/>
            </w:tcBorders>
            <w:shd w:val="clear" w:color="auto" w:fill="D2D2D2"/>
          </w:tcPr>
          <w:p>
            <w:pPr/>
          </w:p>
        </w:tc>
        <w:tc>
          <w:tcPr>
            <w:tcW w:w="213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41" w:type="dxa"/>
            <w:vMerge w:val="restart"/>
            <w:tcBorders>
              <w:top w:val="single" w:sz="6" w:space="0" w:color="000000"/>
              <w:left w:val="single" w:sz="6" w:space="0" w:color="000000"/>
              <w:right w:val="single" w:sz="6" w:space="0" w:color="000000"/>
            </w:tcBorders>
            <w:shd w:val="clear" w:color="auto" w:fill="D2D2D2"/>
          </w:tcPr>
          <w:p>
            <w:pP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390" w:right="45"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46" w:type="dxa"/>
            <w:vMerge w:val="restart"/>
            <w:tcBorders>
              <w:top w:val="single" w:sz="6" w:space="0" w:color="000000"/>
              <w:left w:val="single" w:sz="6" w:space="0" w:color="000000"/>
              <w:right w:val="single" w:sz="6" w:space="0" w:color="000000"/>
            </w:tcBorders>
            <w:shd w:val="clear" w:color="auto" w:fill="D2D2D2"/>
          </w:tcPr>
          <w:p>
            <w:pPr/>
          </w:p>
        </w:tc>
        <w:tc>
          <w:tcPr>
            <w:tcW w:w="1231" w:type="dxa"/>
            <w:vMerge w:val="restart"/>
            <w:tcBorders>
              <w:top w:val="single" w:sz="6" w:space="0" w:color="000000"/>
              <w:left w:val="single" w:sz="6" w:space="0" w:color="000000"/>
              <w:right w:val="single" w:sz="6" w:space="0" w:color="000000"/>
            </w:tcBorders>
            <w:shd w:val="clear" w:color="auto" w:fill="D2D2D2"/>
          </w:tcPr>
          <w:p>
            <w:pPr/>
          </w:p>
        </w:tc>
        <w:tc>
          <w:tcPr>
            <w:tcW w:w="1336" w:type="dxa"/>
            <w:vMerge w:val="restart"/>
            <w:tcBorders>
              <w:top w:val="single" w:sz="6" w:space="0" w:color="000000"/>
              <w:left w:val="single" w:sz="6" w:space="0" w:color="000000"/>
              <w:right w:val="single" w:sz="6" w:space="0" w:color="000000"/>
            </w:tcBorders>
            <w:shd w:val="clear" w:color="auto" w:fill="D2D2D2"/>
          </w:tcPr>
          <w:p>
            <w:pPr/>
          </w:p>
        </w:tc>
      </w:tr>
      <w:tr>
        <w:trPr>
          <w:trHeight w:val="218" w:hRule="exact"/>
        </w:trPr>
        <w:tc>
          <w:tcPr>
            <w:tcW w:w="184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1" w:type="dxa"/>
            <w:vMerge/>
            <w:tcBorders>
              <w:left w:val="single" w:sz="6" w:space="0" w:color="000000"/>
              <w:bottom w:val="single" w:sz="12" w:space="0" w:color="FFFFFF"/>
              <w:right w:val="single" w:sz="6" w:space="0" w:color="000000"/>
            </w:tcBorders>
            <w:shd w:val="clear" w:color="auto" w:fill="D2D2D2"/>
          </w:tcPr>
          <w:p>
            <w:pPr/>
          </w:p>
        </w:tc>
        <w:tc>
          <w:tcPr>
            <w:tcW w:w="2132" w:type="dxa"/>
            <w:gridSpan w:val="3"/>
            <w:vMerge/>
            <w:tcBorders>
              <w:left w:val="single" w:sz="6" w:space="0" w:color="000000"/>
              <w:bottom w:val="single" w:sz="12" w:space="0" w:color="FFFFFF"/>
              <w:right w:val="single" w:sz="6" w:space="0" w:color="000000"/>
            </w:tcBorders>
            <w:shd w:val="clear" w:color="auto" w:fill="D2D2D2"/>
          </w:tcPr>
          <w:p>
            <w:pPr/>
          </w:p>
        </w:tc>
        <w:tc>
          <w:tcPr>
            <w:tcW w:w="1276" w:type="dxa"/>
            <w:vMerge/>
            <w:tcBorders>
              <w:left w:val="single" w:sz="6" w:space="0" w:color="000000"/>
              <w:bottom w:val="single" w:sz="12" w:space="0" w:color="FFFFFF"/>
              <w:right w:val="single" w:sz="6" w:space="0" w:color="000000"/>
            </w:tcBorders>
            <w:shd w:val="clear" w:color="auto" w:fill="D2D2D2"/>
          </w:tcPr>
          <w:p>
            <w:pPr/>
          </w:p>
        </w:tc>
        <w:tc>
          <w:tcPr>
            <w:tcW w:w="1141" w:type="dxa"/>
            <w:vMerge/>
            <w:tcBorders>
              <w:left w:val="single" w:sz="6" w:space="0" w:color="000000"/>
              <w:bottom w:val="single" w:sz="12" w:space="0" w:color="FFFFFF"/>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546" w:type="dxa"/>
            <w:vMerge/>
            <w:tcBorders>
              <w:left w:val="single" w:sz="6" w:space="0" w:color="000000"/>
              <w:bottom w:val="nil" w:sz="6" w:space="0" w:color="auto"/>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36" w:type="dxa"/>
            <w:vMerge/>
            <w:tcBorders>
              <w:left w:val="single" w:sz="6" w:space="0" w:color="000000"/>
              <w:bottom w:val="nil" w:sz="6" w:space="0" w:color="auto"/>
              <w:right w:val="single" w:sz="6" w:space="0" w:color="000000"/>
            </w:tcBorders>
            <w:shd w:val="clear" w:color="auto" w:fill="D2D2D2"/>
          </w:tcPr>
          <w:p>
            <w:pPr/>
          </w:p>
        </w:tc>
      </w:tr>
      <w:tr>
        <w:trPr>
          <w:trHeight w:val="188" w:hRule="exact"/>
        </w:trPr>
        <w:tc>
          <w:tcPr>
            <w:tcW w:w="1847" w:type="dxa"/>
            <w:vMerge/>
            <w:tcBorders>
              <w:left w:val="single" w:sz="6" w:space="0" w:color="000000"/>
              <w:bottom w:val="nil" w:sz="6" w:space="0" w:color="auto"/>
              <w:right w:val="single" w:sz="6" w:space="0" w:color="000000"/>
            </w:tcBorders>
            <w:shd w:val="clear" w:color="auto" w:fill="D2D2D2"/>
          </w:tcPr>
          <w:p>
            <w:pPr/>
          </w:p>
        </w:tc>
        <w:tc>
          <w:tcPr>
            <w:tcW w:w="1411"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right="15"/>
              <w:jc w:val="center"/>
              <w:rPr>
                <w:rFonts w:ascii="宋体" w:hAnsi="宋体" w:cs="宋体" w:eastAsia="宋体" w:hint="default"/>
                <w:sz w:val="18"/>
                <w:szCs w:val="18"/>
              </w:rPr>
            </w:pPr>
            <w:r>
              <w:rPr>
                <w:rFonts w:ascii="宋体" w:hAnsi="宋体" w:cs="宋体" w:eastAsia="宋体" w:hint="default"/>
                <w:sz w:val="18"/>
                <w:szCs w:val="18"/>
              </w:rPr>
              <w:t>股本</w:t>
            </w:r>
          </w:p>
        </w:tc>
        <w:tc>
          <w:tcPr>
            <w:tcW w:w="856" w:type="dxa"/>
            <w:tcBorders>
              <w:top w:val="single" w:sz="12" w:space="0" w:color="FFFFFF"/>
              <w:left w:val="single" w:sz="6" w:space="0" w:color="000000"/>
              <w:bottom w:val="nil" w:sz="6" w:space="0" w:color="auto"/>
              <w:right w:val="single" w:sz="6" w:space="0" w:color="000000"/>
            </w:tcBorders>
            <w:shd w:val="clear" w:color="auto" w:fill="D2D2D2"/>
          </w:tcPr>
          <w:p>
            <w:pPr/>
          </w:p>
        </w:tc>
        <w:tc>
          <w:tcPr>
            <w:tcW w:w="570" w:type="dxa"/>
            <w:vMerge w:val="restart"/>
            <w:tcBorders>
              <w:top w:val="single" w:sz="12" w:space="0" w:color="FFFFFF"/>
              <w:left w:val="single" w:sz="6" w:space="0" w:color="000000"/>
              <w:right w:val="single" w:sz="6" w:space="0" w:color="000000"/>
            </w:tcBorders>
            <w:shd w:val="clear" w:color="auto" w:fill="D2D2D2"/>
          </w:tcPr>
          <w:p>
            <w:pPr>
              <w:pStyle w:val="TableParagraph"/>
              <w:spacing w:line="307" w:lineRule="auto" w:before="67"/>
              <w:ind w:left="195" w:right="8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705" w:type="dxa"/>
            <w:tcBorders>
              <w:top w:val="single" w:sz="12" w:space="0" w:color="FFFFFF"/>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1"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6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3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right="12"/>
              <w:jc w:val="center"/>
              <w:rPr>
                <w:rFonts w:ascii="宋体" w:hAnsi="宋体" w:cs="宋体" w:eastAsia="宋体" w:hint="default"/>
                <w:sz w:val="18"/>
                <w:szCs w:val="18"/>
              </w:rPr>
            </w:pPr>
            <w:r>
              <w:rPr>
                <w:rFonts w:ascii="宋体" w:hAnsi="宋体" w:cs="宋体" w:eastAsia="宋体" w:hint="default"/>
                <w:sz w:val="18"/>
                <w:szCs w:val="18"/>
              </w:rPr>
              <w:t>其他</w:t>
            </w:r>
          </w:p>
        </w:tc>
        <w:tc>
          <w:tcPr>
            <w:tcW w:w="133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847" w:type="dxa"/>
            <w:vMerge w:val="restart"/>
            <w:tcBorders>
              <w:top w:val="nil" w:sz="6" w:space="0" w:color="auto"/>
              <w:left w:val="single" w:sz="6" w:space="0" w:color="000000"/>
              <w:right w:val="single" w:sz="6" w:space="0" w:color="000000"/>
            </w:tcBorders>
            <w:shd w:val="clear" w:color="auto" w:fill="D2D2D2"/>
          </w:tcPr>
          <w:p>
            <w:pPr/>
          </w:p>
        </w:tc>
        <w:tc>
          <w:tcPr>
            <w:tcW w:w="1411"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70" w:type="dxa"/>
            <w:vMerge/>
            <w:tcBorders>
              <w:left w:val="single" w:sz="6" w:space="0" w:color="000000"/>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546" w:type="dxa"/>
            <w:vMerge/>
            <w:tcBorders>
              <w:left w:val="single" w:sz="6" w:space="0" w:color="000000"/>
              <w:bottom w:val="nil" w:sz="6" w:space="0" w:color="auto"/>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36"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1847" w:type="dxa"/>
            <w:vMerge/>
            <w:tcBorders>
              <w:left w:val="single" w:sz="6" w:space="0" w:color="000000"/>
              <w:right w:val="single" w:sz="6" w:space="0" w:color="000000"/>
            </w:tcBorders>
            <w:shd w:val="clear" w:color="auto" w:fill="D2D2D2"/>
          </w:tcPr>
          <w:p>
            <w:pPr/>
          </w:p>
        </w:tc>
        <w:tc>
          <w:tcPr>
            <w:tcW w:w="1411"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546" w:type="dxa"/>
            <w:vMerge w:val="restart"/>
            <w:tcBorders>
              <w:top w:val="nil" w:sz="6" w:space="0" w:color="auto"/>
              <w:left w:val="single" w:sz="6" w:space="0" w:color="000000"/>
              <w:right w:val="single" w:sz="6" w:space="0" w:color="000000"/>
            </w:tcBorders>
            <w:shd w:val="clear" w:color="auto" w:fill="D2D2D2"/>
          </w:tcPr>
          <w:p>
            <w:pPr/>
          </w:p>
        </w:tc>
        <w:tc>
          <w:tcPr>
            <w:tcW w:w="1231" w:type="dxa"/>
            <w:vMerge w:val="restart"/>
            <w:tcBorders>
              <w:top w:val="nil" w:sz="6" w:space="0" w:color="auto"/>
              <w:left w:val="single" w:sz="6" w:space="0" w:color="000000"/>
              <w:right w:val="single" w:sz="6" w:space="0" w:color="000000"/>
            </w:tcBorders>
            <w:shd w:val="clear" w:color="auto" w:fill="D2D2D2"/>
          </w:tcPr>
          <w:p>
            <w:pPr/>
          </w:p>
        </w:tc>
        <w:tc>
          <w:tcPr>
            <w:tcW w:w="1336" w:type="dxa"/>
            <w:vMerge w:val="restart"/>
            <w:tcBorders>
              <w:top w:val="nil" w:sz="6" w:space="0" w:color="auto"/>
              <w:left w:val="single" w:sz="6" w:space="0" w:color="000000"/>
              <w:right w:val="single" w:sz="6" w:space="0" w:color="000000"/>
            </w:tcBorders>
            <w:shd w:val="clear" w:color="auto" w:fill="D2D2D2"/>
          </w:tcPr>
          <w:p>
            <w:pPr/>
          </w:p>
        </w:tc>
      </w:tr>
      <w:tr>
        <w:trPr>
          <w:trHeight w:val="173" w:hRule="exact"/>
        </w:trPr>
        <w:tc>
          <w:tcPr>
            <w:tcW w:w="1847" w:type="dxa"/>
            <w:vMerge/>
            <w:tcBorders>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546" w:type="dxa"/>
            <w:vMerge/>
            <w:tcBorders>
              <w:left w:val="single" w:sz="6" w:space="0" w:color="000000"/>
              <w:bottom w:val="single" w:sz="6" w:space="0" w:color="000000"/>
              <w:right w:val="single" w:sz="6" w:space="0" w:color="000000"/>
            </w:tcBorders>
            <w:shd w:val="clear" w:color="auto" w:fill="D2D2D2"/>
          </w:tcPr>
          <w:p>
            <w:pPr/>
          </w:p>
        </w:tc>
        <w:tc>
          <w:tcPr>
            <w:tcW w:w="1231" w:type="dxa"/>
            <w:vMerge/>
            <w:tcBorders>
              <w:left w:val="single" w:sz="6" w:space="0" w:color="000000"/>
              <w:bottom w:val="single" w:sz="6" w:space="0" w:color="000000"/>
              <w:right w:val="single" w:sz="6" w:space="0" w:color="000000"/>
            </w:tcBorders>
            <w:shd w:val="clear" w:color="auto" w:fill="D2D2D2"/>
          </w:tcPr>
          <w:p>
            <w:pPr/>
          </w:p>
        </w:tc>
        <w:tc>
          <w:tcPr>
            <w:tcW w:w="1336" w:type="dxa"/>
            <w:vMerge/>
            <w:tcBorders>
              <w:left w:val="single" w:sz="6" w:space="0" w:color="000000"/>
              <w:bottom w:val="single" w:sz="6" w:space="0" w:color="000000"/>
              <w:right w:val="single" w:sz="6" w:space="0" w:color="000000"/>
            </w:tcBorders>
            <w:shd w:val="clear" w:color="auto" w:fill="D2D2D2"/>
          </w:tcPr>
          <w:p>
            <w:pPr/>
          </w:p>
        </w:tc>
      </w:tr>
      <w:tr>
        <w:trPr>
          <w:trHeight w:val="308" w:hRule="exact"/>
        </w:trPr>
        <w:tc>
          <w:tcPr>
            <w:tcW w:w="1847"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108,000,000.00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259,303,490.61</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21,383,122.95</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75,361,487.97</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464,048,101.53</w:t>
            </w:r>
          </w:p>
        </w:tc>
      </w:tr>
      <w:tr>
        <w:trPr>
          <w:trHeight w:val="390" w:hRule="exact"/>
        </w:trPr>
        <w:tc>
          <w:tcPr>
            <w:tcW w:w="18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1"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308" w:hRule="exact"/>
        </w:trPr>
        <w:tc>
          <w:tcPr>
            <w:tcW w:w="1847"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57" w:hRule="exact"/>
        </w:trPr>
        <w:tc>
          <w:tcPr>
            <w:tcW w:w="1847"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8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1" w:type="dxa"/>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43" w:hRule="exact"/>
        </w:trPr>
        <w:tc>
          <w:tcPr>
            <w:tcW w:w="1847"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720"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293" w:hRule="exact"/>
        </w:trPr>
        <w:tc>
          <w:tcPr>
            <w:tcW w:w="1847"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55" w:right="0"/>
              <w:jc w:val="left"/>
              <w:rPr>
                <w:rFonts w:ascii="Times New Roman" w:hAnsi="Times New Roman" w:cs="Times New Roman" w:eastAsia="Times New Roman" w:hint="default"/>
                <w:sz w:val="18"/>
                <w:szCs w:val="18"/>
              </w:rPr>
            </w:pPr>
            <w:r>
              <w:rPr>
                <w:rFonts w:ascii="Times New Roman"/>
                <w:sz w:val="18"/>
              </w:rPr>
              <w:t>108,000,000.00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20" w:right="0"/>
              <w:jc w:val="left"/>
              <w:rPr>
                <w:rFonts w:ascii="Times New Roman" w:hAnsi="Times New Roman" w:cs="Times New Roman" w:eastAsia="Times New Roman" w:hint="default"/>
                <w:sz w:val="18"/>
                <w:szCs w:val="18"/>
              </w:rPr>
            </w:pPr>
            <w:r>
              <w:rPr>
                <w:rFonts w:ascii="Times New Roman"/>
                <w:sz w:val="18"/>
              </w:rPr>
              <w:t>259,303,490.61</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09" w:right="0"/>
              <w:jc w:val="left"/>
              <w:rPr>
                <w:rFonts w:ascii="Times New Roman" w:hAnsi="Times New Roman" w:cs="Times New Roman" w:eastAsia="Times New Roman" w:hint="default"/>
                <w:sz w:val="18"/>
                <w:szCs w:val="18"/>
              </w:rPr>
            </w:pPr>
            <w:r>
              <w:rPr>
                <w:rFonts w:ascii="Times New Roman"/>
                <w:sz w:val="18"/>
              </w:rPr>
              <w:t>21,383,122.95</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480" w:right="0"/>
              <w:jc w:val="left"/>
              <w:rPr>
                <w:rFonts w:ascii="Times New Roman" w:hAnsi="Times New Roman" w:cs="Times New Roman" w:eastAsia="Times New Roman" w:hint="default"/>
                <w:sz w:val="18"/>
                <w:szCs w:val="18"/>
              </w:rPr>
            </w:pPr>
            <w:r>
              <w:rPr>
                <w:rFonts w:ascii="Times New Roman"/>
                <w:sz w:val="18"/>
              </w:rPr>
              <w:t>75,361,487.97</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80" w:right="0"/>
              <w:jc w:val="left"/>
              <w:rPr>
                <w:rFonts w:ascii="Times New Roman" w:hAnsi="Times New Roman" w:cs="Times New Roman" w:eastAsia="Times New Roman" w:hint="default"/>
                <w:sz w:val="18"/>
                <w:szCs w:val="18"/>
              </w:rPr>
            </w:pPr>
            <w:r>
              <w:rPr>
                <w:rFonts w:ascii="Times New Roman"/>
                <w:sz w:val="18"/>
              </w:rPr>
              <w:t>464,048,101.53</w:t>
            </w:r>
          </w:p>
        </w:tc>
      </w:tr>
      <w:tr>
        <w:trPr>
          <w:trHeight w:val="405" w:hRule="exact"/>
        </w:trPr>
        <w:tc>
          <w:tcPr>
            <w:tcW w:w="18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1"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308" w:hRule="exact"/>
        </w:trPr>
        <w:tc>
          <w:tcPr>
            <w:tcW w:w="1847"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43" w:hRule="exact"/>
        </w:trPr>
        <w:tc>
          <w:tcPr>
            <w:tcW w:w="1847"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37" w:right="0"/>
              <w:jc w:val="left"/>
              <w:rPr>
                <w:rFonts w:ascii="Times New Roman" w:hAnsi="Times New Roman" w:cs="Times New Roman" w:eastAsia="Times New Roman" w:hint="default"/>
                <w:sz w:val="18"/>
                <w:szCs w:val="18"/>
              </w:rPr>
            </w:pPr>
            <w:r>
              <w:rPr>
                <w:rFonts w:ascii="Times New Roman"/>
                <w:sz w:val="18"/>
              </w:rPr>
              <w:t>54,000,000.00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50" w:right="0"/>
              <w:jc w:val="left"/>
              <w:rPr>
                <w:rFonts w:ascii="Times New Roman" w:hAnsi="Times New Roman" w:cs="Times New Roman" w:eastAsia="Times New Roman" w:hint="default"/>
                <w:sz w:val="18"/>
                <w:szCs w:val="18"/>
              </w:rPr>
            </w:pPr>
            <w:r>
              <w:rPr>
                <w:rFonts w:ascii="Times New Roman"/>
                <w:sz w:val="18"/>
              </w:rPr>
              <w:t>-54,000,000.00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75" w:right="0"/>
              <w:jc w:val="left"/>
              <w:rPr>
                <w:rFonts w:ascii="Times New Roman" w:hAnsi="Times New Roman" w:cs="Times New Roman" w:eastAsia="Times New Roman" w:hint="default"/>
                <w:sz w:val="18"/>
                <w:szCs w:val="18"/>
              </w:rPr>
            </w:pPr>
            <w:r>
              <w:rPr>
                <w:rFonts w:ascii="Times New Roman"/>
                <w:sz w:val="18"/>
              </w:rPr>
              <w:t>39,999,113.66</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00" w:right="0"/>
              <w:jc w:val="left"/>
              <w:rPr>
                <w:rFonts w:ascii="Times New Roman" w:hAnsi="Times New Roman" w:cs="Times New Roman" w:eastAsia="Times New Roman" w:hint="default"/>
                <w:sz w:val="18"/>
                <w:szCs w:val="18"/>
              </w:rPr>
            </w:pPr>
            <w:r>
              <w:rPr>
                <w:rFonts w:ascii="Times New Roman"/>
                <w:sz w:val="18"/>
              </w:rPr>
              <w:t>3,102,826.69</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420" w:right="0"/>
              <w:jc w:val="left"/>
              <w:rPr>
                <w:rFonts w:ascii="Times New Roman" w:hAnsi="Times New Roman" w:cs="Times New Roman" w:eastAsia="Times New Roman" w:hint="default"/>
                <w:sz w:val="18"/>
                <w:szCs w:val="18"/>
              </w:rPr>
            </w:pPr>
            <w:r>
              <w:rPr>
                <w:rFonts w:ascii="Times New Roman"/>
                <w:sz w:val="18"/>
              </w:rPr>
              <w:t>-26,074,559.76</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10" w:right="0"/>
              <w:jc w:val="left"/>
              <w:rPr>
                <w:rFonts w:ascii="Times New Roman" w:hAnsi="Times New Roman" w:cs="Times New Roman" w:eastAsia="Times New Roman" w:hint="default"/>
                <w:sz w:val="18"/>
                <w:szCs w:val="18"/>
              </w:rPr>
            </w:pPr>
            <w:r>
              <w:rPr>
                <w:rFonts w:ascii="Times New Roman"/>
                <w:sz w:val="18"/>
              </w:rPr>
              <w:t>-62,970,846.73</w:t>
            </w:r>
          </w:p>
        </w:tc>
      </w:tr>
      <w:tr>
        <w:trPr>
          <w:trHeight w:val="706" w:hRule="exact"/>
        </w:trPr>
        <w:tc>
          <w:tcPr>
            <w:tcW w:w="18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1" w:type="dxa"/>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43" w:hRule="exact"/>
        </w:trPr>
        <w:tc>
          <w:tcPr>
            <w:tcW w:w="1847"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58" w:hRule="exact"/>
        </w:trPr>
        <w:tc>
          <w:tcPr>
            <w:tcW w:w="1847"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31,028,266.93</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31,028,266.93</w:t>
            </w:r>
          </w:p>
        </w:tc>
      </w:tr>
      <w:tr>
        <w:trPr>
          <w:trHeight w:val="391" w:hRule="exact"/>
        </w:trPr>
        <w:tc>
          <w:tcPr>
            <w:tcW w:w="18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1" w:type="dxa"/>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47"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721"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30" w:right="15"/>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少资本</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39,999,113.66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-39,999,113.66</w:t>
            </w:r>
            <w:r>
              <w:rPr>
                <w:rFonts w:ascii="Times New Roman"/>
                <w:sz w:val="18"/>
              </w:rPr>
            </w:r>
          </w:p>
        </w:tc>
      </w:tr>
      <w:tr>
        <w:trPr>
          <w:trHeight w:val="706"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30"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 股</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57" w:footer="981" w:top="1040" w:bottom="1180" w:left="620" w:right="520"/>
        </w:sectPr>
      </w:pPr>
    </w:p>
    <w:p>
      <w:pPr>
        <w:spacing w:line="240" w:lineRule="auto" w:before="9"/>
        <w:rPr>
          <w:rFonts w:ascii="Times New Roman" w:hAnsi="Times New Roman" w:cs="Times New Roman" w:eastAsia="Times New Roman" w:hint="default"/>
          <w:sz w:val="4"/>
          <w:szCs w:val="4"/>
        </w:rPr>
      </w:pPr>
      <w:r>
        <w:rPr/>
        <w:pict>
          <v:shape style="position:absolute;margin-left:96.824997pt;margin-top:345.215637pt;width:101.4pt;height:21.25pt;mso-position-horizontal-relative:page;mso-position-vertical-relative:page;z-index:-1196632" type="#_x0000_t202" filled="false" stroked="false">
            <v:textbox inset="0,0,0,0">
              <w:txbxContent>
                <w:p>
                  <w:pPr>
                    <w:pStyle w:val="BodyText"/>
                    <w:spacing w:line="180" w:lineRule="exact"/>
                    <w:ind w:left="0" w:right="0"/>
                    <w:jc w:val="left"/>
                  </w:pPr>
                  <w:r>
                    <w:rPr/>
                    <w:t>或股东）</w:t>
                  </w:r>
                </w:p>
              </w:txbxContent>
            </v:textbox>
            <w10:wrap type="none"/>
          </v:shape>
        </w:pict>
      </w:r>
      <w:r>
        <w:rPr/>
        <w:pict>
          <v:group style="position:absolute;margin-left:129.130005pt;margin-top:339.429993pt;width:70.55pt;height:27.05pt;mso-position-horizontal-relative:page;mso-position-vertical-relative:page;z-index:-1196608" coordorigin="2583,6789" coordsize="1411,541">
            <v:group style="position:absolute;left:2583;top:6789;width:1411;height:150" coordorigin="2583,6789" coordsize="1411,150">
              <v:shape style="position:absolute;left:2583;top:6789;width:1411;height:150" coordorigin="2583,6789" coordsize="1411,150" path="m2583,6939l3994,6939,3994,6789,2583,6789,2583,6939xe" filled="true" fillcolor="#ffffff" stroked="false">
                <v:path arrowok="t"/>
                <v:fill type="solid"/>
              </v:shape>
            </v:group>
            <v:group style="position:absolute;left:2598;top:6938;width:1366;height:391" coordorigin="2598,6938" coordsize="1366,391">
              <v:shape style="position:absolute;left:2598;top:6938;width:1366;height:391" coordorigin="2598,6938" coordsize="1366,391" path="m2598,7329l3964,7329,3964,6938,2598,6938,2598,7329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32"/>
        <w:gridCol w:w="577"/>
        <w:gridCol w:w="834"/>
        <w:gridCol w:w="856"/>
        <w:gridCol w:w="570"/>
        <w:gridCol w:w="705"/>
        <w:gridCol w:w="1276"/>
        <w:gridCol w:w="1141"/>
        <w:gridCol w:w="991"/>
        <w:gridCol w:w="1276"/>
        <w:gridCol w:w="1276"/>
        <w:gridCol w:w="1546"/>
        <w:gridCol w:w="1231"/>
        <w:gridCol w:w="1336"/>
      </w:tblGrid>
      <w:tr>
        <w:trPr>
          <w:trHeight w:val="405" w:hRule="exact"/>
        </w:trPr>
        <w:tc>
          <w:tcPr>
            <w:tcW w:w="1832" w:type="dxa"/>
            <w:vMerge w:val="restart"/>
            <w:tcBorders>
              <w:top w:val="single" w:sz="18" w:space="0" w:color="000000"/>
              <w:left w:val="single" w:sz="6" w:space="0" w:color="000000"/>
              <w:right w:val="single" w:sz="6" w:space="0" w:color="000000"/>
            </w:tcBorders>
            <w:shd w:val="clear" w:color="auto" w:fill="D2D2D2"/>
          </w:tcPr>
          <w:p>
            <w:pPr/>
          </w:p>
        </w:tc>
        <w:tc>
          <w:tcPr>
            <w:tcW w:w="13617"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157" w:hRule="exact"/>
        </w:trPr>
        <w:tc>
          <w:tcPr>
            <w:tcW w:w="1832" w:type="dxa"/>
            <w:vMerge/>
            <w:tcBorders>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6" w:space="0" w:color="000000"/>
              <w:left w:val="single" w:sz="6" w:space="0" w:color="000000"/>
              <w:right w:val="single" w:sz="6" w:space="0" w:color="000000"/>
            </w:tcBorders>
            <w:shd w:val="clear" w:color="auto" w:fill="D2D2D2"/>
          </w:tcPr>
          <w:p>
            <w:pPr/>
          </w:p>
        </w:tc>
        <w:tc>
          <w:tcPr>
            <w:tcW w:w="213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41" w:type="dxa"/>
            <w:vMerge w:val="restart"/>
            <w:tcBorders>
              <w:top w:val="single" w:sz="6" w:space="0" w:color="000000"/>
              <w:left w:val="single" w:sz="6" w:space="0" w:color="000000"/>
              <w:right w:val="single" w:sz="6" w:space="0" w:color="000000"/>
            </w:tcBorders>
            <w:shd w:val="clear" w:color="auto" w:fill="D2D2D2"/>
          </w:tcPr>
          <w:p>
            <w:pP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21" w:lineRule="auto"/>
              <w:ind w:left="390" w:right="45"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46" w:type="dxa"/>
            <w:vMerge w:val="restart"/>
            <w:tcBorders>
              <w:top w:val="single" w:sz="6" w:space="0" w:color="000000"/>
              <w:left w:val="single" w:sz="6" w:space="0" w:color="000000"/>
              <w:right w:val="single" w:sz="6" w:space="0" w:color="000000"/>
            </w:tcBorders>
            <w:shd w:val="clear" w:color="auto" w:fill="D2D2D2"/>
          </w:tcPr>
          <w:p>
            <w:pPr/>
          </w:p>
        </w:tc>
        <w:tc>
          <w:tcPr>
            <w:tcW w:w="1231" w:type="dxa"/>
            <w:vMerge w:val="restart"/>
            <w:tcBorders>
              <w:top w:val="single" w:sz="6" w:space="0" w:color="000000"/>
              <w:left w:val="single" w:sz="6" w:space="0" w:color="000000"/>
              <w:right w:val="single" w:sz="6" w:space="0" w:color="000000"/>
            </w:tcBorders>
            <w:shd w:val="clear" w:color="auto" w:fill="D2D2D2"/>
          </w:tcPr>
          <w:p>
            <w:pPr/>
          </w:p>
        </w:tc>
        <w:tc>
          <w:tcPr>
            <w:tcW w:w="1336" w:type="dxa"/>
            <w:vMerge w:val="restart"/>
            <w:tcBorders>
              <w:top w:val="single" w:sz="6" w:space="0" w:color="000000"/>
              <w:left w:val="single" w:sz="6" w:space="0" w:color="000000"/>
              <w:right w:val="single" w:sz="6" w:space="0" w:color="000000"/>
            </w:tcBorders>
            <w:shd w:val="clear" w:color="auto" w:fill="D2D2D2"/>
          </w:tcPr>
          <w:p>
            <w:pPr/>
          </w:p>
        </w:tc>
      </w:tr>
      <w:tr>
        <w:trPr>
          <w:trHeight w:val="218" w:hRule="exact"/>
        </w:trPr>
        <w:tc>
          <w:tcPr>
            <w:tcW w:w="18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411" w:type="dxa"/>
            <w:gridSpan w:val="2"/>
            <w:vMerge/>
            <w:tcBorders>
              <w:left w:val="single" w:sz="6" w:space="0" w:color="000000"/>
              <w:bottom w:val="single" w:sz="12" w:space="0" w:color="FFFFFF"/>
              <w:right w:val="single" w:sz="6" w:space="0" w:color="000000"/>
            </w:tcBorders>
            <w:shd w:val="clear" w:color="auto" w:fill="D2D2D2"/>
          </w:tcPr>
          <w:p>
            <w:pPr/>
          </w:p>
        </w:tc>
        <w:tc>
          <w:tcPr>
            <w:tcW w:w="2132" w:type="dxa"/>
            <w:gridSpan w:val="3"/>
            <w:vMerge/>
            <w:tcBorders>
              <w:left w:val="single" w:sz="6" w:space="0" w:color="000000"/>
              <w:bottom w:val="single" w:sz="12" w:space="0" w:color="FFFFFF"/>
              <w:right w:val="single" w:sz="6" w:space="0" w:color="000000"/>
            </w:tcBorders>
            <w:shd w:val="clear" w:color="auto" w:fill="D2D2D2"/>
          </w:tcPr>
          <w:p>
            <w:pPr/>
          </w:p>
        </w:tc>
        <w:tc>
          <w:tcPr>
            <w:tcW w:w="1276" w:type="dxa"/>
            <w:vMerge/>
            <w:tcBorders>
              <w:left w:val="single" w:sz="6" w:space="0" w:color="000000"/>
              <w:bottom w:val="single" w:sz="12" w:space="0" w:color="FFFFFF"/>
              <w:right w:val="single" w:sz="6" w:space="0" w:color="000000"/>
            </w:tcBorders>
            <w:shd w:val="clear" w:color="auto" w:fill="D2D2D2"/>
          </w:tcPr>
          <w:p>
            <w:pPr/>
          </w:p>
        </w:tc>
        <w:tc>
          <w:tcPr>
            <w:tcW w:w="1141" w:type="dxa"/>
            <w:vMerge/>
            <w:tcBorders>
              <w:left w:val="single" w:sz="6" w:space="0" w:color="000000"/>
              <w:bottom w:val="single" w:sz="12" w:space="0" w:color="FFFFFF"/>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546" w:type="dxa"/>
            <w:vMerge/>
            <w:tcBorders>
              <w:left w:val="single" w:sz="6" w:space="0" w:color="000000"/>
              <w:bottom w:val="nil" w:sz="6" w:space="0" w:color="auto"/>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36" w:type="dxa"/>
            <w:vMerge/>
            <w:tcBorders>
              <w:left w:val="single" w:sz="6" w:space="0" w:color="000000"/>
              <w:bottom w:val="nil" w:sz="6" w:space="0" w:color="auto"/>
              <w:right w:val="single" w:sz="6" w:space="0" w:color="000000"/>
            </w:tcBorders>
            <w:shd w:val="clear" w:color="auto" w:fill="D2D2D2"/>
          </w:tcPr>
          <w:p>
            <w:pPr/>
          </w:p>
        </w:tc>
      </w:tr>
      <w:tr>
        <w:trPr>
          <w:trHeight w:val="188" w:hRule="exact"/>
        </w:trPr>
        <w:tc>
          <w:tcPr>
            <w:tcW w:w="1832" w:type="dxa"/>
            <w:vMerge/>
            <w:tcBorders>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股本</w:t>
            </w:r>
          </w:p>
        </w:tc>
        <w:tc>
          <w:tcPr>
            <w:tcW w:w="856" w:type="dxa"/>
            <w:tcBorders>
              <w:top w:val="single" w:sz="12" w:space="0" w:color="FFFFFF"/>
              <w:left w:val="single" w:sz="6" w:space="0" w:color="000000"/>
              <w:bottom w:val="nil" w:sz="6" w:space="0" w:color="auto"/>
              <w:right w:val="single" w:sz="6" w:space="0" w:color="000000"/>
            </w:tcBorders>
            <w:shd w:val="clear" w:color="auto" w:fill="D2D2D2"/>
          </w:tcPr>
          <w:p>
            <w:pPr/>
          </w:p>
        </w:tc>
        <w:tc>
          <w:tcPr>
            <w:tcW w:w="570" w:type="dxa"/>
            <w:vMerge w:val="restart"/>
            <w:tcBorders>
              <w:top w:val="single" w:sz="12" w:space="0" w:color="FFFFFF"/>
              <w:left w:val="single" w:sz="6" w:space="0" w:color="000000"/>
              <w:right w:val="single" w:sz="6" w:space="0" w:color="000000"/>
            </w:tcBorders>
            <w:shd w:val="clear" w:color="auto" w:fill="D2D2D2"/>
          </w:tcPr>
          <w:p>
            <w:pPr>
              <w:pStyle w:val="TableParagraph"/>
              <w:spacing w:line="304" w:lineRule="auto" w:before="68"/>
              <w:ind w:left="195" w:right="8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705" w:type="dxa"/>
            <w:tcBorders>
              <w:top w:val="single" w:sz="12" w:space="0" w:color="FFFFFF"/>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1"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6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3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right="12"/>
              <w:jc w:val="center"/>
              <w:rPr>
                <w:rFonts w:ascii="宋体" w:hAnsi="宋体" w:cs="宋体" w:eastAsia="宋体" w:hint="default"/>
                <w:sz w:val="18"/>
                <w:szCs w:val="18"/>
              </w:rPr>
            </w:pPr>
            <w:r>
              <w:rPr>
                <w:rFonts w:ascii="宋体" w:hAnsi="宋体" w:cs="宋体" w:eastAsia="宋体" w:hint="default"/>
                <w:sz w:val="18"/>
                <w:szCs w:val="18"/>
              </w:rPr>
              <w:t>其他</w:t>
            </w:r>
          </w:p>
        </w:tc>
        <w:tc>
          <w:tcPr>
            <w:tcW w:w="133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5" w:hRule="exact"/>
        </w:trPr>
        <w:tc>
          <w:tcPr>
            <w:tcW w:w="1832" w:type="dxa"/>
            <w:vMerge w:val="restart"/>
            <w:tcBorders>
              <w:top w:val="nil" w:sz="6" w:space="0" w:color="auto"/>
              <w:left w:val="single" w:sz="6" w:space="0" w:color="000000"/>
              <w:right w:val="single" w:sz="6" w:space="0" w:color="000000"/>
            </w:tcBorders>
            <w:shd w:val="clear" w:color="auto" w:fill="D2D2D2"/>
          </w:tcPr>
          <w:p>
            <w:pPr/>
          </w:p>
        </w:tc>
        <w:tc>
          <w:tcPr>
            <w:tcW w:w="1411" w:type="dxa"/>
            <w:gridSpan w:val="2"/>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70" w:type="dxa"/>
            <w:vMerge/>
            <w:tcBorders>
              <w:left w:val="single" w:sz="6" w:space="0" w:color="000000"/>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546" w:type="dxa"/>
            <w:vMerge/>
            <w:tcBorders>
              <w:left w:val="single" w:sz="6" w:space="0" w:color="000000"/>
              <w:bottom w:val="nil" w:sz="6" w:space="0" w:color="auto"/>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36"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1832" w:type="dxa"/>
            <w:vMerge/>
            <w:tcBorders>
              <w:left w:val="single" w:sz="6" w:space="0" w:color="000000"/>
              <w:right w:val="single" w:sz="6" w:space="0" w:color="000000"/>
            </w:tcBorders>
            <w:shd w:val="clear" w:color="auto" w:fill="D2D2D2"/>
          </w:tcPr>
          <w:p>
            <w:pPr/>
          </w:p>
        </w:tc>
        <w:tc>
          <w:tcPr>
            <w:tcW w:w="1411" w:type="dxa"/>
            <w:gridSpan w:val="2"/>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546" w:type="dxa"/>
            <w:vMerge w:val="restart"/>
            <w:tcBorders>
              <w:top w:val="nil" w:sz="6" w:space="0" w:color="auto"/>
              <w:left w:val="single" w:sz="6" w:space="0" w:color="000000"/>
              <w:right w:val="single" w:sz="6" w:space="0" w:color="000000"/>
            </w:tcBorders>
            <w:shd w:val="clear" w:color="auto" w:fill="D2D2D2"/>
          </w:tcPr>
          <w:p>
            <w:pPr/>
          </w:p>
        </w:tc>
        <w:tc>
          <w:tcPr>
            <w:tcW w:w="1231" w:type="dxa"/>
            <w:vMerge w:val="restart"/>
            <w:tcBorders>
              <w:top w:val="nil" w:sz="6" w:space="0" w:color="auto"/>
              <w:left w:val="single" w:sz="6" w:space="0" w:color="000000"/>
              <w:right w:val="single" w:sz="6" w:space="0" w:color="000000"/>
            </w:tcBorders>
            <w:shd w:val="clear" w:color="auto" w:fill="D2D2D2"/>
          </w:tcPr>
          <w:p>
            <w:pPr/>
          </w:p>
        </w:tc>
        <w:tc>
          <w:tcPr>
            <w:tcW w:w="1336" w:type="dxa"/>
            <w:vMerge w:val="restart"/>
            <w:tcBorders>
              <w:top w:val="nil" w:sz="6" w:space="0" w:color="auto"/>
              <w:left w:val="single" w:sz="6" w:space="0" w:color="000000"/>
              <w:right w:val="single" w:sz="6" w:space="0" w:color="000000"/>
            </w:tcBorders>
            <w:shd w:val="clear" w:color="auto" w:fill="D2D2D2"/>
          </w:tcPr>
          <w:p>
            <w:pPr/>
          </w:p>
        </w:tc>
      </w:tr>
      <w:tr>
        <w:trPr>
          <w:trHeight w:val="173" w:hRule="exact"/>
        </w:trPr>
        <w:tc>
          <w:tcPr>
            <w:tcW w:w="1832" w:type="dxa"/>
            <w:vMerge/>
            <w:tcBorders>
              <w:left w:val="single" w:sz="6" w:space="0" w:color="000000"/>
              <w:bottom w:val="single" w:sz="6" w:space="0" w:color="000000"/>
              <w:right w:val="single" w:sz="6" w:space="0" w:color="000000"/>
            </w:tcBorders>
            <w:shd w:val="clear" w:color="auto" w:fill="D2D2D2"/>
          </w:tcPr>
          <w:p>
            <w:pPr/>
          </w:p>
        </w:tc>
        <w:tc>
          <w:tcPr>
            <w:tcW w:w="1411" w:type="dxa"/>
            <w:gridSpan w:val="2"/>
            <w:vMerge/>
            <w:tcBorders>
              <w:left w:val="single" w:sz="6" w:space="0" w:color="000000"/>
              <w:bottom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546" w:type="dxa"/>
            <w:vMerge/>
            <w:tcBorders>
              <w:left w:val="single" w:sz="6" w:space="0" w:color="000000"/>
              <w:bottom w:val="single" w:sz="6" w:space="0" w:color="000000"/>
              <w:right w:val="single" w:sz="6" w:space="0" w:color="000000"/>
            </w:tcBorders>
            <w:shd w:val="clear" w:color="auto" w:fill="D2D2D2"/>
          </w:tcPr>
          <w:p>
            <w:pPr/>
          </w:p>
        </w:tc>
        <w:tc>
          <w:tcPr>
            <w:tcW w:w="1231" w:type="dxa"/>
            <w:vMerge/>
            <w:tcBorders>
              <w:left w:val="single" w:sz="6" w:space="0" w:color="000000"/>
              <w:bottom w:val="single" w:sz="6" w:space="0" w:color="000000"/>
              <w:right w:val="single" w:sz="6" w:space="0" w:color="000000"/>
            </w:tcBorders>
            <w:shd w:val="clear" w:color="auto" w:fill="D2D2D2"/>
          </w:tcPr>
          <w:p>
            <w:pPr/>
          </w:p>
        </w:tc>
        <w:tc>
          <w:tcPr>
            <w:tcW w:w="1336" w:type="dxa"/>
            <w:vMerge/>
            <w:tcBorders>
              <w:left w:val="single" w:sz="6" w:space="0" w:color="000000"/>
              <w:bottom w:val="single" w:sz="6" w:space="0" w:color="000000"/>
              <w:right w:val="single" w:sz="6" w:space="0" w:color="000000"/>
            </w:tcBorders>
            <w:shd w:val="clear" w:color="auto" w:fill="D2D2D2"/>
          </w:tcPr>
          <w:p>
            <w:pPr/>
          </w:p>
        </w:tc>
      </w:tr>
      <w:tr>
        <w:trPr>
          <w:trHeight w:val="143"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73" w:lineRule="auto" w:before="60"/>
              <w:ind w:left="15"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1411" w:type="dxa"/>
            <w:gridSpan w:val="2"/>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gridSpan w:val="2"/>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43"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90" w:lineRule="auto" w:before="59"/>
              <w:ind w:left="15"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1411" w:type="dxa"/>
            <w:gridSpan w:val="2"/>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gridSpan w:val="2"/>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58"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6" w:space="0" w:color="000000"/>
              <w:left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39,999,113.66</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-39,999,113.66</w:t>
            </w:r>
          </w:p>
        </w:tc>
      </w:tr>
      <w:tr>
        <w:trPr>
          <w:trHeight w:val="391"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1" w:type="dxa"/>
            <w:gridSpan w:val="2"/>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43"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gridSpan w:val="2"/>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58"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6" w:space="0" w:color="000000"/>
              <w:left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3,102,826.69</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-57,102,826.69</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-54,000,000.00</w:t>
            </w:r>
          </w:p>
        </w:tc>
      </w:tr>
      <w:tr>
        <w:trPr>
          <w:trHeight w:val="390"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1" w:type="dxa"/>
            <w:gridSpan w:val="2"/>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gridSpan w:val="2"/>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58"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6" w:space="0" w:color="000000"/>
              <w:left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3,102,826.69</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-3,102,826.69</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1" w:type="dxa"/>
            <w:gridSpan w:val="2"/>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gridSpan w:val="2"/>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721" w:hRule="exact"/>
        </w:trPr>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6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 的分配</w:t>
            </w:r>
          </w:p>
        </w:tc>
        <w:tc>
          <w:tcPr>
            <w:tcW w:w="577" w:type="dxa"/>
            <w:tcBorders>
              <w:top w:val="single" w:sz="6" w:space="0" w:color="000000"/>
              <w:left w:val="single" w:sz="12" w:space="0" w:color="000000"/>
              <w:bottom w:val="single" w:sz="6" w:space="0" w:color="000000"/>
              <w:right w:val="nil" w:sz="6" w:space="0" w:color="auto"/>
            </w:tcBorders>
          </w:tcPr>
          <w:p>
            <w:pPr/>
          </w:p>
        </w:tc>
        <w:tc>
          <w:tcPr>
            <w:tcW w:w="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-54,000,000.00</w:t>
            </w:r>
            <w:r>
              <w:rPr>
                <w:rFonts w:ascii="Times New Roman"/>
                <w:sz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-54,000,000.00</w:t>
            </w:r>
            <w:r>
              <w:rPr>
                <w:rFonts w:ascii="Times New Roman"/>
                <w:sz w:val="18"/>
              </w:rPr>
            </w:r>
          </w:p>
        </w:tc>
      </w:tr>
      <w:tr>
        <w:trPr>
          <w:trHeight w:val="405" w:hRule="exact"/>
        </w:trPr>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142"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54,000,000.00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-54,000,000.00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5"/>
              <w:ind w:left="15" w:right="14"/>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结转</w:t>
            </w:r>
          </w:p>
        </w:tc>
        <w:tc>
          <w:tcPr>
            <w:tcW w:w="1411" w:type="dxa"/>
            <w:gridSpan w:val="2"/>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43"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gridSpan w:val="2"/>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58"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54,000,000.00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-54,000,000.00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1" w:type="dxa"/>
            <w:gridSpan w:val="2"/>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gridSpan w:val="2"/>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bl>
    <w:p>
      <w:pPr>
        <w:spacing w:after="0"/>
        <w:sectPr>
          <w:pgSz w:w="16850" w:h="11910" w:orient="landscape"/>
          <w:pgMar w:header="857" w:footer="981" w:top="1040" w:bottom="1180" w:left="620" w:right="520"/>
        </w:sectPr>
      </w:pPr>
    </w:p>
    <w:p>
      <w:pPr>
        <w:spacing w:line="240" w:lineRule="auto" w:before="9"/>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832"/>
        <w:gridCol w:w="1411"/>
        <w:gridCol w:w="856"/>
        <w:gridCol w:w="570"/>
        <w:gridCol w:w="705"/>
        <w:gridCol w:w="1276"/>
        <w:gridCol w:w="1141"/>
        <w:gridCol w:w="991"/>
        <w:gridCol w:w="1276"/>
        <w:gridCol w:w="1276"/>
        <w:gridCol w:w="1546"/>
        <w:gridCol w:w="1231"/>
        <w:gridCol w:w="1336"/>
      </w:tblGrid>
      <w:tr>
        <w:trPr>
          <w:trHeight w:val="405" w:hRule="exact"/>
        </w:trPr>
        <w:tc>
          <w:tcPr>
            <w:tcW w:w="1832" w:type="dxa"/>
            <w:vMerge w:val="restart"/>
            <w:tcBorders>
              <w:top w:val="single" w:sz="18" w:space="0" w:color="000000"/>
              <w:left w:val="single" w:sz="6" w:space="0" w:color="000000"/>
              <w:right w:val="single" w:sz="6" w:space="0" w:color="000000"/>
            </w:tcBorders>
            <w:shd w:val="clear" w:color="auto" w:fill="D2D2D2"/>
          </w:tcPr>
          <w:p>
            <w:pPr/>
          </w:p>
        </w:tc>
        <w:tc>
          <w:tcPr>
            <w:tcW w:w="13617"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157" w:hRule="exact"/>
        </w:trPr>
        <w:tc>
          <w:tcPr>
            <w:tcW w:w="1832" w:type="dxa"/>
            <w:vMerge/>
            <w:tcBorders>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6" w:space="0" w:color="000000"/>
              <w:right w:val="single" w:sz="6" w:space="0" w:color="000000"/>
            </w:tcBorders>
            <w:shd w:val="clear" w:color="auto" w:fill="D2D2D2"/>
          </w:tcPr>
          <w:p>
            <w:pPr/>
          </w:p>
        </w:tc>
        <w:tc>
          <w:tcPr>
            <w:tcW w:w="213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41" w:type="dxa"/>
            <w:vMerge w:val="restart"/>
            <w:tcBorders>
              <w:top w:val="single" w:sz="6" w:space="0" w:color="000000"/>
              <w:left w:val="single" w:sz="6" w:space="0" w:color="000000"/>
              <w:right w:val="single" w:sz="6" w:space="0" w:color="000000"/>
            </w:tcBorders>
            <w:shd w:val="clear" w:color="auto" w:fill="D2D2D2"/>
          </w:tcPr>
          <w:p>
            <w:pP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21" w:lineRule="auto"/>
              <w:ind w:left="390" w:right="45"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546" w:type="dxa"/>
            <w:vMerge w:val="restart"/>
            <w:tcBorders>
              <w:top w:val="single" w:sz="6" w:space="0" w:color="000000"/>
              <w:left w:val="single" w:sz="6" w:space="0" w:color="000000"/>
              <w:right w:val="single" w:sz="6" w:space="0" w:color="000000"/>
            </w:tcBorders>
            <w:shd w:val="clear" w:color="auto" w:fill="D2D2D2"/>
          </w:tcPr>
          <w:p>
            <w:pPr/>
          </w:p>
        </w:tc>
        <w:tc>
          <w:tcPr>
            <w:tcW w:w="1231" w:type="dxa"/>
            <w:vMerge w:val="restart"/>
            <w:tcBorders>
              <w:top w:val="single" w:sz="6" w:space="0" w:color="000000"/>
              <w:left w:val="single" w:sz="6" w:space="0" w:color="000000"/>
              <w:right w:val="single" w:sz="6" w:space="0" w:color="000000"/>
            </w:tcBorders>
            <w:shd w:val="clear" w:color="auto" w:fill="D2D2D2"/>
          </w:tcPr>
          <w:p>
            <w:pPr/>
          </w:p>
        </w:tc>
        <w:tc>
          <w:tcPr>
            <w:tcW w:w="1336" w:type="dxa"/>
            <w:vMerge w:val="restart"/>
            <w:tcBorders>
              <w:top w:val="single" w:sz="6" w:space="0" w:color="000000"/>
              <w:left w:val="single" w:sz="6" w:space="0" w:color="000000"/>
              <w:right w:val="single" w:sz="6" w:space="0" w:color="000000"/>
            </w:tcBorders>
            <w:shd w:val="clear" w:color="auto" w:fill="D2D2D2"/>
          </w:tcPr>
          <w:p>
            <w:pPr/>
          </w:p>
        </w:tc>
      </w:tr>
      <w:tr>
        <w:trPr>
          <w:trHeight w:val="218" w:hRule="exact"/>
        </w:trPr>
        <w:tc>
          <w:tcPr>
            <w:tcW w:w="18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411" w:type="dxa"/>
            <w:vMerge/>
            <w:tcBorders>
              <w:left w:val="single" w:sz="6" w:space="0" w:color="000000"/>
              <w:bottom w:val="single" w:sz="12" w:space="0" w:color="FFFFFF"/>
              <w:right w:val="single" w:sz="6" w:space="0" w:color="000000"/>
            </w:tcBorders>
            <w:shd w:val="clear" w:color="auto" w:fill="D2D2D2"/>
          </w:tcPr>
          <w:p>
            <w:pPr/>
          </w:p>
        </w:tc>
        <w:tc>
          <w:tcPr>
            <w:tcW w:w="2132" w:type="dxa"/>
            <w:gridSpan w:val="3"/>
            <w:vMerge/>
            <w:tcBorders>
              <w:left w:val="single" w:sz="6" w:space="0" w:color="000000"/>
              <w:bottom w:val="single" w:sz="12" w:space="0" w:color="FFFFFF"/>
              <w:right w:val="single" w:sz="6" w:space="0" w:color="000000"/>
            </w:tcBorders>
            <w:shd w:val="clear" w:color="auto" w:fill="D2D2D2"/>
          </w:tcPr>
          <w:p>
            <w:pPr/>
          </w:p>
        </w:tc>
        <w:tc>
          <w:tcPr>
            <w:tcW w:w="1276" w:type="dxa"/>
            <w:vMerge/>
            <w:tcBorders>
              <w:left w:val="single" w:sz="6" w:space="0" w:color="000000"/>
              <w:bottom w:val="single" w:sz="12" w:space="0" w:color="FFFFFF"/>
              <w:right w:val="single" w:sz="6" w:space="0" w:color="000000"/>
            </w:tcBorders>
            <w:shd w:val="clear" w:color="auto" w:fill="D2D2D2"/>
          </w:tcPr>
          <w:p>
            <w:pPr/>
          </w:p>
        </w:tc>
        <w:tc>
          <w:tcPr>
            <w:tcW w:w="1141" w:type="dxa"/>
            <w:vMerge/>
            <w:tcBorders>
              <w:left w:val="single" w:sz="6" w:space="0" w:color="000000"/>
              <w:bottom w:val="single" w:sz="12" w:space="0" w:color="FFFFFF"/>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546" w:type="dxa"/>
            <w:vMerge/>
            <w:tcBorders>
              <w:left w:val="single" w:sz="6" w:space="0" w:color="000000"/>
              <w:bottom w:val="nil" w:sz="6" w:space="0" w:color="auto"/>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36" w:type="dxa"/>
            <w:vMerge/>
            <w:tcBorders>
              <w:left w:val="single" w:sz="6" w:space="0" w:color="000000"/>
              <w:bottom w:val="nil" w:sz="6" w:space="0" w:color="auto"/>
              <w:right w:val="single" w:sz="6" w:space="0" w:color="000000"/>
            </w:tcBorders>
            <w:shd w:val="clear" w:color="auto" w:fill="D2D2D2"/>
          </w:tcPr>
          <w:p>
            <w:pPr/>
          </w:p>
        </w:tc>
      </w:tr>
      <w:tr>
        <w:trPr>
          <w:trHeight w:val="188" w:hRule="exact"/>
        </w:trPr>
        <w:tc>
          <w:tcPr>
            <w:tcW w:w="1832" w:type="dxa"/>
            <w:vMerge/>
            <w:tcBorders>
              <w:left w:val="single" w:sz="6" w:space="0" w:color="000000"/>
              <w:bottom w:val="nil" w:sz="6" w:space="0" w:color="auto"/>
              <w:right w:val="single" w:sz="6" w:space="0" w:color="000000"/>
            </w:tcBorders>
            <w:shd w:val="clear" w:color="auto" w:fill="D2D2D2"/>
          </w:tcPr>
          <w:p>
            <w:pPr/>
          </w:p>
        </w:tc>
        <w:tc>
          <w:tcPr>
            <w:tcW w:w="1411"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股本</w:t>
            </w:r>
          </w:p>
        </w:tc>
        <w:tc>
          <w:tcPr>
            <w:tcW w:w="856" w:type="dxa"/>
            <w:tcBorders>
              <w:top w:val="single" w:sz="12" w:space="0" w:color="FFFFFF"/>
              <w:left w:val="single" w:sz="6" w:space="0" w:color="000000"/>
              <w:bottom w:val="nil" w:sz="6" w:space="0" w:color="auto"/>
              <w:right w:val="single" w:sz="6" w:space="0" w:color="000000"/>
            </w:tcBorders>
            <w:shd w:val="clear" w:color="auto" w:fill="D2D2D2"/>
          </w:tcPr>
          <w:p>
            <w:pPr/>
          </w:p>
        </w:tc>
        <w:tc>
          <w:tcPr>
            <w:tcW w:w="570" w:type="dxa"/>
            <w:vMerge w:val="restart"/>
            <w:tcBorders>
              <w:top w:val="single" w:sz="12" w:space="0" w:color="FFFFFF"/>
              <w:left w:val="single" w:sz="6" w:space="0" w:color="000000"/>
              <w:right w:val="single" w:sz="6" w:space="0" w:color="000000"/>
            </w:tcBorders>
            <w:shd w:val="clear" w:color="auto" w:fill="D2D2D2"/>
          </w:tcPr>
          <w:p>
            <w:pPr>
              <w:pStyle w:val="TableParagraph"/>
              <w:spacing w:line="304" w:lineRule="auto" w:before="68"/>
              <w:ind w:left="195" w:right="8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705" w:type="dxa"/>
            <w:tcBorders>
              <w:top w:val="single" w:sz="12" w:space="0" w:color="FFFFFF"/>
              <w:left w:val="single" w:sz="6" w:space="0" w:color="000000"/>
              <w:bottom w:val="nil" w:sz="6" w:space="0" w:color="auto"/>
              <w:right w:val="single" w:sz="6" w:space="0" w:color="000000"/>
            </w:tcBorders>
            <w:shd w:val="clear" w:color="auto" w:fill="D2D2D2"/>
          </w:tcPr>
          <w:p>
            <w:pPr/>
          </w:p>
        </w:tc>
        <w:tc>
          <w:tcPr>
            <w:tcW w:w="1276"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left="2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1" w:type="dxa"/>
            <w:vMerge w:val="restart"/>
            <w:tcBorders>
              <w:top w:val="single" w:sz="12" w:space="0" w:color="FFFFFF"/>
              <w:left w:val="single" w:sz="6" w:space="0" w:color="000000"/>
              <w:right w:val="single" w:sz="6" w:space="0" w:color="000000"/>
            </w:tcBorders>
            <w:shd w:val="clear" w:color="auto" w:fill="D2D2D2"/>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6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3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right="12"/>
              <w:jc w:val="center"/>
              <w:rPr>
                <w:rFonts w:ascii="宋体" w:hAnsi="宋体" w:cs="宋体" w:eastAsia="宋体" w:hint="default"/>
                <w:sz w:val="18"/>
                <w:szCs w:val="18"/>
              </w:rPr>
            </w:pPr>
            <w:r>
              <w:rPr>
                <w:rFonts w:ascii="宋体" w:hAnsi="宋体" w:cs="宋体" w:eastAsia="宋体" w:hint="default"/>
                <w:sz w:val="18"/>
                <w:szCs w:val="18"/>
              </w:rPr>
              <w:t>其他</w:t>
            </w:r>
          </w:p>
        </w:tc>
        <w:tc>
          <w:tcPr>
            <w:tcW w:w="133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5" w:hRule="exact"/>
        </w:trPr>
        <w:tc>
          <w:tcPr>
            <w:tcW w:w="1832" w:type="dxa"/>
            <w:vMerge w:val="restart"/>
            <w:tcBorders>
              <w:top w:val="nil" w:sz="6" w:space="0" w:color="auto"/>
              <w:left w:val="single" w:sz="6" w:space="0" w:color="000000"/>
              <w:right w:val="single" w:sz="6" w:space="0" w:color="000000"/>
            </w:tcBorders>
            <w:shd w:val="clear" w:color="auto" w:fill="D2D2D2"/>
          </w:tcPr>
          <w:p>
            <w:pPr/>
          </w:p>
        </w:tc>
        <w:tc>
          <w:tcPr>
            <w:tcW w:w="1411"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70" w:type="dxa"/>
            <w:vMerge/>
            <w:tcBorders>
              <w:left w:val="single" w:sz="6" w:space="0" w:color="000000"/>
              <w:right w:val="single" w:sz="6" w:space="0" w:color="000000"/>
            </w:tcBorders>
            <w:shd w:val="clear" w:color="auto" w:fill="D2D2D2"/>
          </w:tcPr>
          <w:p>
            <w:pPr/>
          </w:p>
        </w:tc>
        <w:tc>
          <w:tcPr>
            <w:tcW w:w="7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546" w:type="dxa"/>
            <w:vMerge/>
            <w:tcBorders>
              <w:left w:val="single" w:sz="6" w:space="0" w:color="000000"/>
              <w:bottom w:val="nil" w:sz="6" w:space="0" w:color="auto"/>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36"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1832" w:type="dxa"/>
            <w:vMerge/>
            <w:tcBorders>
              <w:left w:val="single" w:sz="6" w:space="0" w:color="000000"/>
              <w:right w:val="single" w:sz="6" w:space="0" w:color="000000"/>
            </w:tcBorders>
            <w:shd w:val="clear" w:color="auto" w:fill="D2D2D2"/>
          </w:tcPr>
          <w:p>
            <w:pPr/>
          </w:p>
        </w:tc>
        <w:tc>
          <w:tcPr>
            <w:tcW w:w="1411"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705"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546" w:type="dxa"/>
            <w:vMerge w:val="restart"/>
            <w:tcBorders>
              <w:top w:val="nil" w:sz="6" w:space="0" w:color="auto"/>
              <w:left w:val="single" w:sz="6" w:space="0" w:color="000000"/>
              <w:right w:val="single" w:sz="6" w:space="0" w:color="000000"/>
            </w:tcBorders>
            <w:shd w:val="clear" w:color="auto" w:fill="D2D2D2"/>
          </w:tcPr>
          <w:p>
            <w:pPr/>
          </w:p>
        </w:tc>
        <w:tc>
          <w:tcPr>
            <w:tcW w:w="1231" w:type="dxa"/>
            <w:vMerge w:val="restart"/>
            <w:tcBorders>
              <w:top w:val="nil" w:sz="6" w:space="0" w:color="auto"/>
              <w:left w:val="single" w:sz="6" w:space="0" w:color="000000"/>
              <w:right w:val="single" w:sz="6" w:space="0" w:color="000000"/>
            </w:tcBorders>
            <w:shd w:val="clear" w:color="auto" w:fill="D2D2D2"/>
          </w:tcPr>
          <w:p>
            <w:pPr/>
          </w:p>
        </w:tc>
        <w:tc>
          <w:tcPr>
            <w:tcW w:w="1336" w:type="dxa"/>
            <w:vMerge w:val="restart"/>
            <w:tcBorders>
              <w:top w:val="nil" w:sz="6" w:space="0" w:color="auto"/>
              <w:left w:val="single" w:sz="6" w:space="0" w:color="000000"/>
              <w:right w:val="single" w:sz="6" w:space="0" w:color="000000"/>
            </w:tcBorders>
            <w:shd w:val="clear" w:color="auto" w:fill="D2D2D2"/>
          </w:tcPr>
          <w:p>
            <w:pPr/>
          </w:p>
        </w:tc>
      </w:tr>
      <w:tr>
        <w:trPr>
          <w:trHeight w:val="173" w:hRule="exact"/>
        </w:trPr>
        <w:tc>
          <w:tcPr>
            <w:tcW w:w="1832" w:type="dxa"/>
            <w:vMerge/>
            <w:tcBorders>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546" w:type="dxa"/>
            <w:vMerge/>
            <w:tcBorders>
              <w:left w:val="single" w:sz="6" w:space="0" w:color="000000"/>
              <w:bottom w:val="single" w:sz="6" w:space="0" w:color="000000"/>
              <w:right w:val="single" w:sz="6" w:space="0" w:color="000000"/>
            </w:tcBorders>
            <w:shd w:val="clear" w:color="auto" w:fill="D2D2D2"/>
          </w:tcPr>
          <w:p>
            <w:pPr/>
          </w:p>
        </w:tc>
        <w:tc>
          <w:tcPr>
            <w:tcW w:w="1231" w:type="dxa"/>
            <w:vMerge/>
            <w:tcBorders>
              <w:left w:val="single" w:sz="6" w:space="0" w:color="000000"/>
              <w:bottom w:val="single" w:sz="6" w:space="0" w:color="000000"/>
              <w:right w:val="single" w:sz="6" w:space="0" w:color="000000"/>
            </w:tcBorders>
            <w:shd w:val="clear" w:color="auto" w:fill="D2D2D2"/>
          </w:tcPr>
          <w:p>
            <w:pPr/>
          </w:p>
        </w:tc>
        <w:tc>
          <w:tcPr>
            <w:tcW w:w="1336" w:type="dxa"/>
            <w:vMerge/>
            <w:tcBorders>
              <w:left w:val="single" w:sz="6" w:space="0" w:color="000000"/>
              <w:bottom w:val="single" w:sz="6" w:space="0" w:color="000000"/>
              <w:right w:val="single" w:sz="6" w:space="0" w:color="000000"/>
            </w:tcBorders>
            <w:shd w:val="clear" w:color="auto" w:fill="D2D2D2"/>
          </w:tcPr>
          <w:p>
            <w:pPr/>
          </w:p>
        </w:tc>
      </w:tr>
      <w:tr>
        <w:trPr>
          <w:trHeight w:val="143"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1" w:type="dxa"/>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43"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1" w:type="dxa"/>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42"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76" w:lineRule="auto" w:before="60"/>
              <w:ind w:left="15"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 额结转留存收益</w:t>
            </w:r>
          </w:p>
        </w:tc>
        <w:tc>
          <w:tcPr>
            <w:tcW w:w="1411" w:type="dxa"/>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43"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158"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76" w:lineRule="auto" w:before="60"/>
              <w:ind w:left="15"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 留存收益</w:t>
            </w:r>
          </w:p>
        </w:tc>
        <w:tc>
          <w:tcPr>
            <w:tcW w:w="1411" w:type="dxa"/>
            <w:vMerge/>
            <w:tcBorders>
              <w:left w:val="single" w:sz="12"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158"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12"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r>
        <w:trPr>
          <w:trHeight w:val="406" w:hRule="exact"/>
        </w:trPr>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308" w:hRule="exact"/>
        </w:trPr>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162,000,000.00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7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205,303,490.61</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39,999,113.66</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24,485,949.64</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49,286,928.21</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3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401,077,254.80</w:t>
            </w:r>
          </w:p>
        </w:tc>
      </w:tr>
      <w:tr>
        <w:trPr>
          <w:trHeight w:val="391" w:hRule="exact"/>
        </w:trPr>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1"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570" w:type="dxa"/>
            <w:vMerge/>
            <w:tcBorders>
              <w:left w:val="single" w:sz="6" w:space="0" w:color="000000"/>
              <w:right w:val="single" w:sz="6" w:space="0" w:color="000000"/>
            </w:tcBorders>
          </w:tcPr>
          <w:p>
            <w:pPr/>
          </w:p>
        </w:tc>
        <w:tc>
          <w:tcPr>
            <w:tcW w:w="705"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1546" w:type="dxa"/>
            <w:vMerge/>
            <w:tcBorders>
              <w:left w:val="single" w:sz="6" w:space="0" w:color="000000"/>
              <w:right w:val="single" w:sz="6" w:space="0" w:color="000000"/>
            </w:tcBorders>
          </w:tcPr>
          <w:p>
            <w:pPr/>
          </w:p>
        </w:tc>
        <w:tc>
          <w:tcPr>
            <w:tcW w:w="1231" w:type="dxa"/>
            <w:vMerge/>
            <w:tcBorders>
              <w:left w:val="single" w:sz="6" w:space="0" w:color="000000"/>
              <w:right w:val="single" w:sz="6" w:space="0" w:color="000000"/>
            </w:tcBorders>
          </w:tcPr>
          <w:p>
            <w:pPr/>
          </w:p>
        </w:tc>
        <w:tc>
          <w:tcPr>
            <w:tcW w:w="1336" w:type="dxa"/>
            <w:vMerge/>
            <w:tcBorders>
              <w:left w:val="single" w:sz="6" w:space="0" w:color="000000"/>
              <w:right w:val="single" w:sz="6" w:space="0" w:color="000000"/>
            </w:tcBorders>
          </w:tcPr>
          <w:p>
            <w:pPr/>
          </w:p>
        </w:tc>
      </w:tr>
      <w:tr>
        <w:trPr>
          <w:trHeight w:val="293" w:hRule="exact"/>
        </w:trPr>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570" w:type="dxa"/>
            <w:vMerge/>
            <w:tcBorders>
              <w:left w:val="single" w:sz="6" w:space="0" w:color="000000"/>
              <w:bottom w:val="single" w:sz="6" w:space="0" w:color="000000"/>
              <w:right w:val="single" w:sz="6" w:space="0" w:color="000000"/>
            </w:tcBorders>
          </w:tcPr>
          <w:p>
            <w:pPr/>
          </w:p>
        </w:tc>
        <w:tc>
          <w:tcPr>
            <w:tcW w:w="70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36" w:type="dxa"/>
            <w:vMerge/>
            <w:tcBorders>
              <w:left w:val="single" w:sz="6" w:space="0" w:color="000000"/>
              <w:bottom w:val="single" w:sz="6" w:space="0" w:color="000000"/>
              <w:right w:val="single" w:sz="6" w:space="0" w:color="000000"/>
            </w:tcBorders>
          </w:tcPr>
          <w:p>
            <w:pPr/>
          </w:p>
        </w:tc>
      </w:tr>
    </w:tbl>
    <w:p>
      <w:pPr>
        <w:spacing w:after="0"/>
        <w:sectPr>
          <w:pgSz w:w="16850" w:h="11910" w:orient="landscape"/>
          <w:pgMar w:header="857" w:footer="981" w:top="1040" w:bottom="1180" w:left="620" w:right="520"/>
        </w:sectPr>
      </w:pPr>
    </w:p>
    <w:p>
      <w:pPr>
        <w:spacing w:line="240" w:lineRule="auto" w:before="8"/>
        <w:rPr>
          <w:rFonts w:ascii="Times New Roman" w:hAnsi="Times New Roman" w:cs="Times New Roman" w:eastAsia="Times New Roman" w:hint="default"/>
          <w:sz w:val="21"/>
          <w:szCs w:val="21"/>
        </w:rPr>
      </w:pPr>
    </w:p>
    <w:p>
      <w:pPr>
        <w:pStyle w:val="Heading3"/>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5"/>
        <w:rPr>
          <w:rFonts w:ascii="宋体" w:hAnsi="宋体" w:cs="宋体" w:eastAsia="宋体" w:hint="default"/>
          <w:b/>
          <w:bCs/>
          <w:sz w:val="26"/>
          <w:szCs w:val="26"/>
        </w:rPr>
      </w:pPr>
    </w:p>
    <w:p>
      <w:pPr>
        <w:pStyle w:val="Heading8"/>
        <w:spacing w:line="304" w:lineRule="auto"/>
        <w:ind w:right="0" w:firstLine="405"/>
        <w:jc w:val="left"/>
      </w:pPr>
      <w:bookmarkStart w:name="宣亚国际营销科技（北京）股份有限公司（以下简称“公司”或“本公司”），其前身为北" w:id="165"/>
      <w:bookmarkEnd w:id="165"/>
      <w:r>
        <w:rPr/>
      </w:r>
      <w:r>
        <w:rPr>
          <w:spacing w:val="5"/>
        </w:rPr>
        <w:t>宣亚国际营销科技（北京）股份有限公司（以下简称“公司”或“本公司”），其前身为北京宣亚智慧市</w:t>
      </w:r>
      <w:r>
        <w:rPr>
          <w:w w:val="102"/>
        </w:rPr>
        <w:t> </w:t>
      </w:r>
      <w:r>
        <w:rPr>
          <w:spacing w:val="4"/>
          <w:w w:val="105"/>
        </w:rPr>
        <w:t>场行销顾问有限公司，成立于</w:t>
      </w:r>
      <w:r>
        <w:rPr>
          <w:spacing w:val="-78"/>
          <w:w w:val="105"/>
        </w:rPr>
        <w:t> </w:t>
      </w:r>
      <w:r>
        <w:rPr>
          <w:rFonts w:ascii="宋体" w:hAnsi="宋体" w:cs="宋体" w:eastAsia="宋体" w:hint="default"/>
          <w:spacing w:val="4"/>
          <w:w w:val="105"/>
        </w:rPr>
        <w:t>2007</w:t>
      </w:r>
      <w:r>
        <w:rPr>
          <w:rFonts w:ascii="宋体" w:hAnsi="宋体" w:cs="宋体" w:eastAsia="宋体" w:hint="default"/>
          <w:spacing w:val="-75"/>
          <w:w w:val="105"/>
        </w:rPr>
        <w:t> </w:t>
      </w:r>
      <w:r>
        <w:rPr>
          <w:w w:val="105"/>
        </w:rPr>
        <w:t>年</w:t>
      </w:r>
      <w:r>
        <w:rPr>
          <w:spacing w:val="-79"/>
          <w:w w:val="105"/>
        </w:rPr>
        <w:t> </w:t>
      </w:r>
      <w:r>
        <w:rPr>
          <w:rFonts w:ascii="宋体" w:hAnsi="宋体" w:cs="宋体" w:eastAsia="宋体" w:hint="default"/>
          <w:w w:val="105"/>
        </w:rPr>
        <w:t>1</w:t>
      </w:r>
      <w:r>
        <w:rPr>
          <w:rFonts w:ascii="宋体" w:hAnsi="宋体" w:cs="宋体" w:eastAsia="宋体" w:hint="default"/>
          <w:spacing w:val="-75"/>
          <w:w w:val="105"/>
        </w:rPr>
        <w:t> </w:t>
      </w:r>
      <w:r>
        <w:rPr>
          <w:w w:val="105"/>
        </w:rPr>
        <w:t>月</w:t>
      </w:r>
      <w:r>
        <w:rPr>
          <w:spacing w:val="-79"/>
          <w:w w:val="105"/>
        </w:rPr>
        <w:t> </w:t>
      </w:r>
      <w:r>
        <w:rPr>
          <w:rFonts w:ascii="宋体" w:hAnsi="宋体" w:cs="宋体" w:eastAsia="宋体" w:hint="default"/>
          <w:spacing w:val="3"/>
          <w:w w:val="105"/>
        </w:rPr>
        <w:t>19</w:t>
      </w:r>
      <w:r>
        <w:rPr>
          <w:rFonts w:ascii="宋体" w:hAnsi="宋体" w:cs="宋体" w:eastAsia="宋体" w:hint="default"/>
          <w:spacing w:val="-75"/>
          <w:w w:val="105"/>
        </w:rPr>
        <w:t> </w:t>
      </w:r>
      <w:r>
        <w:rPr>
          <w:spacing w:val="4"/>
          <w:w w:val="105"/>
        </w:rPr>
        <w:t>日，系在北京市工商行政管理局登记注册的有限责任公司。</w:t>
      </w:r>
      <w:r>
        <w:rPr>
          <w:spacing w:val="4"/>
        </w:rPr>
      </w:r>
    </w:p>
    <w:p>
      <w:pPr>
        <w:pStyle w:val="Heading8"/>
        <w:spacing w:line="304" w:lineRule="auto" w:before="120"/>
        <w:ind w:right="0" w:firstLine="405"/>
        <w:jc w:val="left"/>
      </w:pPr>
      <w:bookmarkStart w:name="2007年12月12日经北京市人民政府批准，领取了中华人民共和国台港澳侨投资企业" w:id="166"/>
      <w:bookmarkEnd w:id="166"/>
      <w:r>
        <w:rPr/>
      </w:r>
      <w:r>
        <w:rPr>
          <w:rFonts w:ascii="宋体" w:hAnsi="宋体" w:cs="宋体" w:eastAsia="宋体" w:hint="default"/>
          <w:spacing w:val="4"/>
        </w:rPr>
        <w:t>2007 </w:t>
      </w:r>
      <w:r>
        <w:rPr/>
        <w:t>年 </w:t>
      </w:r>
      <w:r>
        <w:rPr>
          <w:rFonts w:ascii="宋体" w:hAnsi="宋体" w:cs="宋体" w:eastAsia="宋体" w:hint="default"/>
          <w:spacing w:val="3"/>
        </w:rPr>
        <w:t>12 </w:t>
      </w:r>
      <w:r>
        <w:rPr/>
        <w:t>月 </w:t>
      </w:r>
      <w:r>
        <w:rPr>
          <w:rFonts w:ascii="宋体" w:hAnsi="宋体" w:cs="宋体" w:eastAsia="宋体" w:hint="default"/>
          <w:spacing w:val="3"/>
        </w:rPr>
        <w:t>12</w:t>
      </w:r>
      <w:r>
        <w:rPr>
          <w:rFonts w:ascii="宋体" w:hAnsi="宋体" w:cs="宋体" w:eastAsia="宋体" w:hint="default"/>
          <w:spacing w:val="-3"/>
        </w:rPr>
        <w:t> </w:t>
      </w:r>
      <w:r>
        <w:rPr>
          <w:spacing w:val="4"/>
        </w:rPr>
        <w:t>日经北京市人民政府批准，领取了中华人民共和国台港澳侨投资企业批准证，“商外资京</w:t>
      </w:r>
      <w:r>
        <w:rPr>
          <w:w w:val="102"/>
        </w:rPr>
        <w:t> </w:t>
      </w:r>
      <w:r>
        <w:rPr>
          <w:spacing w:val="3"/>
          <w:w w:val="105"/>
        </w:rPr>
        <w:t>资</w:t>
      </w:r>
      <w:r>
        <w:rPr>
          <w:rFonts w:ascii="宋体" w:hAnsi="宋体" w:cs="宋体" w:eastAsia="宋体" w:hint="default"/>
          <w:spacing w:val="3"/>
          <w:w w:val="105"/>
        </w:rPr>
        <w:t>[2007]05544</w:t>
      </w:r>
      <w:r>
        <w:rPr>
          <w:spacing w:val="3"/>
          <w:w w:val="105"/>
        </w:rPr>
        <w:t>”号中华人民共和国台港澳侨投资企业批准证书。</w:t>
      </w:r>
      <w:r>
        <w:rPr>
          <w:spacing w:val="3"/>
        </w:rPr>
      </w:r>
    </w:p>
    <w:p>
      <w:pPr>
        <w:pStyle w:val="Heading8"/>
        <w:spacing w:line="240" w:lineRule="auto" w:before="135"/>
        <w:ind w:left="546" w:right="0"/>
        <w:jc w:val="left"/>
      </w:pPr>
      <w:bookmarkStart w:name="根据2011年6月1日董事会关于公司整体变更为股份公司的决议以及整体变更后公司章" w:id="167"/>
      <w:bookmarkEnd w:id="167"/>
      <w:r>
        <w:rPr/>
      </w:r>
      <w:r>
        <w:rPr>
          <w:w w:val="105"/>
        </w:rPr>
        <w:t>根据</w:t>
      </w:r>
      <w:r>
        <w:rPr>
          <w:spacing w:val="-78"/>
          <w:w w:val="105"/>
        </w:rPr>
        <w:t> </w:t>
      </w:r>
      <w:r>
        <w:rPr>
          <w:rFonts w:ascii="宋体" w:hAnsi="宋体" w:cs="宋体" w:eastAsia="宋体" w:hint="default"/>
          <w:spacing w:val="4"/>
          <w:w w:val="105"/>
        </w:rPr>
        <w:t>2011</w:t>
      </w:r>
      <w:r>
        <w:rPr>
          <w:rFonts w:ascii="宋体" w:hAnsi="宋体" w:cs="宋体" w:eastAsia="宋体" w:hint="default"/>
          <w:spacing w:val="-74"/>
          <w:w w:val="105"/>
        </w:rPr>
        <w:t> </w:t>
      </w:r>
      <w:r>
        <w:rPr>
          <w:w w:val="105"/>
        </w:rPr>
        <w:t>年</w:t>
      </w:r>
      <w:r>
        <w:rPr>
          <w:spacing w:val="-78"/>
          <w:w w:val="105"/>
        </w:rPr>
        <w:t> </w:t>
      </w:r>
      <w:r>
        <w:rPr>
          <w:rFonts w:ascii="宋体" w:hAnsi="宋体" w:cs="宋体" w:eastAsia="宋体" w:hint="default"/>
          <w:w w:val="105"/>
        </w:rPr>
        <w:t>6</w:t>
      </w:r>
      <w:r>
        <w:rPr>
          <w:rFonts w:ascii="宋体" w:hAnsi="宋体" w:cs="宋体" w:eastAsia="宋体" w:hint="default"/>
          <w:spacing w:val="-74"/>
          <w:w w:val="105"/>
        </w:rPr>
        <w:t> </w:t>
      </w:r>
      <w:r>
        <w:rPr>
          <w:w w:val="105"/>
        </w:rPr>
        <w:t>月</w:t>
      </w:r>
      <w:r>
        <w:rPr>
          <w:spacing w:val="-78"/>
          <w:w w:val="105"/>
        </w:rPr>
        <w:t> </w:t>
      </w:r>
      <w:r>
        <w:rPr>
          <w:rFonts w:ascii="宋体" w:hAnsi="宋体" w:cs="宋体" w:eastAsia="宋体" w:hint="default"/>
          <w:w w:val="105"/>
        </w:rPr>
        <w:t>1</w:t>
      </w:r>
      <w:r>
        <w:rPr>
          <w:rFonts w:ascii="宋体" w:hAnsi="宋体" w:cs="宋体" w:eastAsia="宋体" w:hint="default"/>
          <w:spacing w:val="-67"/>
          <w:w w:val="105"/>
        </w:rPr>
        <w:t> </w:t>
      </w:r>
      <w:r>
        <w:rPr>
          <w:spacing w:val="2"/>
          <w:w w:val="105"/>
        </w:rPr>
        <w:t>日董事会关于公司整体变更为股份公司的决议以及整体变更后公司章程的规定，公司以</w:t>
      </w:r>
      <w:r>
        <w:rPr>
          <w:spacing w:val="2"/>
        </w:rPr>
      </w:r>
    </w:p>
    <w:p>
      <w:pPr>
        <w:pStyle w:val="Heading8"/>
        <w:spacing w:line="240" w:lineRule="auto" w:before="66"/>
        <w:ind w:right="0"/>
        <w:jc w:val="left"/>
      </w:pPr>
      <w:r>
        <w:rPr>
          <w:rFonts w:ascii="宋体" w:hAnsi="宋体" w:cs="宋体" w:eastAsia="宋体" w:hint="default"/>
          <w:w w:val="105"/>
        </w:rPr>
        <w:t>2010</w:t>
      </w:r>
      <w:r>
        <w:rPr>
          <w:rFonts w:ascii="宋体" w:hAnsi="宋体" w:cs="宋体" w:eastAsia="宋体" w:hint="default"/>
          <w:spacing w:val="16"/>
          <w:w w:val="105"/>
        </w:rPr>
        <w:t> </w:t>
      </w:r>
      <w:r>
        <w:rPr>
          <w:w w:val="105"/>
        </w:rPr>
        <w:t>年</w:t>
      </w:r>
      <w:r>
        <w:rPr>
          <w:spacing w:val="8"/>
          <w:w w:val="105"/>
        </w:rPr>
        <w:t> </w:t>
      </w:r>
      <w:r>
        <w:rPr>
          <w:rFonts w:ascii="宋体" w:hAnsi="宋体" w:cs="宋体" w:eastAsia="宋体" w:hint="default"/>
          <w:spacing w:val="-4"/>
          <w:w w:val="105"/>
        </w:rPr>
        <w:t>12</w:t>
      </w:r>
      <w:r>
        <w:rPr>
          <w:rFonts w:ascii="宋体" w:hAnsi="宋体" w:cs="宋体" w:eastAsia="宋体" w:hint="default"/>
          <w:spacing w:val="16"/>
          <w:w w:val="105"/>
        </w:rPr>
        <w:t> </w:t>
      </w:r>
      <w:r>
        <w:rPr>
          <w:w w:val="105"/>
        </w:rPr>
        <w:t>月</w:t>
      </w:r>
      <w:r>
        <w:rPr>
          <w:spacing w:val="8"/>
          <w:w w:val="105"/>
        </w:rPr>
        <w:t> </w:t>
      </w:r>
      <w:r>
        <w:rPr>
          <w:rFonts w:ascii="宋体" w:hAnsi="宋体" w:cs="宋体" w:eastAsia="宋体" w:hint="default"/>
          <w:spacing w:val="-4"/>
          <w:w w:val="105"/>
        </w:rPr>
        <w:t>31</w:t>
      </w:r>
      <w:r>
        <w:rPr>
          <w:rFonts w:ascii="宋体" w:hAnsi="宋体" w:cs="宋体" w:eastAsia="宋体" w:hint="default"/>
          <w:spacing w:val="15"/>
          <w:w w:val="105"/>
        </w:rPr>
        <w:t> </w:t>
      </w:r>
      <w:r>
        <w:rPr>
          <w:spacing w:val="11"/>
          <w:w w:val="105"/>
        </w:rPr>
        <w:t>日的净资产</w:t>
      </w:r>
      <w:r>
        <w:rPr>
          <w:spacing w:val="7"/>
          <w:w w:val="105"/>
        </w:rPr>
        <w:t> </w:t>
      </w:r>
      <w:r>
        <w:rPr>
          <w:rFonts w:ascii="宋体" w:hAnsi="宋体" w:cs="宋体" w:eastAsia="宋体" w:hint="default"/>
          <w:spacing w:val="2"/>
          <w:w w:val="105"/>
        </w:rPr>
        <w:t>49,694,695.12</w:t>
      </w:r>
      <w:r>
        <w:rPr>
          <w:rFonts w:ascii="宋体" w:hAnsi="宋体" w:cs="宋体" w:eastAsia="宋体" w:hint="default"/>
          <w:spacing w:val="18"/>
          <w:w w:val="105"/>
        </w:rPr>
        <w:t> </w:t>
      </w:r>
      <w:r>
        <w:rPr>
          <w:spacing w:val="10"/>
          <w:w w:val="105"/>
        </w:rPr>
        <w:t>元，按照</w:t>
      </w:r>
      <w:r>
        <w:rPr>
          <w:spacing w:val="7"/>
          <w:w w:val="105"/>
        </w:rPr>
        <w:t> </w:t>
      </w:r>
      <w:r>
        <w:rPr>
          <w:rFonts w:ascii="宋体" w:hAnsi="宋体" w:cs="宋体" w:eastAsia="宋体" w:hint="default"/>
          <w:w w:val="105"/>
        </w:rPr>
        <w:t>1:0.90552925</w:t>
      </w:r>
      <w:r>
        <w:rPr>
          <w:rFonts w:ascii="宋体" w:hAnsi="宋体" w:cs="宋体" w:eastAsia="宋体" w:hint="default"/>
          <w:spacing w:val="18"/>
          <w:w w:val="105"/>
        </w:rPr>
        <w:t> </w:t>
      </w:r>
      <w:r>
        <w:rPr>
          <w:spacing w:val="12"/>
          <w:w w:val="105"/>
        </w:rPr>
        <w:t>的比例折合成股</w:t>
      </w:r>
      <w:r>
        <w:rPr>
          <w:spacing w:val="-73"/>
          <w:w w:val="105"/>
        </w:rPr>
        <w:t> </w:t>
      </w:r>
      <w:r>
        <w:rPr>
          <w:spacing w:val="9"/>
          <w:w w:val="105"/>
        </w:rPr>
        <w:t>份公司</w:t>
      </w:r>
      <w:r>
        <w:rPr>
          <w:spacing w:val="-73"/>
          <w:w w:val="105"/>
        </w:rPr>
        <w:t> </w:t>
      </w:r>
      <w:r>
        <w:rPr>
          <w:spacing w:val="7"/>
          <w:w w:val="105"/>
        </w:rPr>
        <w:t>股本</w:t>
      </w:r>
      <w:r>
        <w:rPr>
          <w:spacing w:val="-73"/>
          <w:w w:val="105"/>
        </w:rPr>
        <w:t> </w:t>
      </w:r>
      <w:r>
        <w:rPr>
          <w:spacing w:val="7"/>
          <w:w w:val="105"/>
        </w:rPr>
        <w:t>总额</w:t>
      </w:r>
      <w:r>
        <w:rPr>
          <w:spacing w:val="7"/>
        </w:rPr>
      </w:r>
    </w:p>
    <w:p>
      <w:pPr>
        <w:pStyle w:val="Heading8"/>
        <w:spacing w:line="297" w:lineRule="auto" w:before="67"/>
        <w:ind w:right="0"/>
        <w:jc w:val="left"/>
      </w:pPr>
      <w:r>
        <w:rPr>
          <w:rFonts w:ascii="宋体" w:hAnsi="宋体" w:cs="宋体" w:eastAsia="宋体" w:hint="default"/>
          <w:spacing w:val="2"/>
          <w:w w:val="105"/>
        </w:rPr>
        <w:t>45,000,000.00</w:t>
      </w:r>
      <w:r>
        <w:rPr>
          <w:rFonts w:ascii="宋体" w:hAnsi="宋体" w:cs="宋体" w:eastAsia="宋体" w:hint="default"/>
          <w:spacing w:val="-77"/>
          <w:w w:val="105"/>
        </w:rPr>
        <w:t> </w:t>
      </w:r>
      <w:r>
        <w:rPr>
          <w:w w:val="105"/>
        </w:rPr>
        <w:t>元，差额</w:t>
      </w:r>
      <w:r>
        <w:rPr>
          <w:spacing w:val="-81"/>
          <w:w w:val="105"/>
        </w:rPr>
        <w:t> </w:t>
      </w:r>
      <w:r>
        <w:rPr>
          <w:rFonts w:ascii="宋体" w:hAnsi="宋体" w:cs="宋体" w:eastAsia="宋体" w:hint="default"/>
          <w:spacing w:val="3"/>
          <w:w w:val="105"/>
        </w:rPr>
        <w:t>4,694,695.12</w:t>
      </w:r>
      <w:r>
        <w:rPr>
          <w:rFonts w:ascii="宋体" w:hAnsi="宋体" w:cs="宋体" w:eastAsia="宋体" w:hint="default"/>
          <w:spacing w:val="-77"/>
          <w:w w:val="105"/>
        </w:rPr>
        <w:t> </w:t>
      </w:r>
      <w:r>
        <w:rPr>
          <w:spacing w:val="3"/>
          <w:w w:val="105"/>
        </w:rPr>
        <w:t>元计入股份公司的资本公积。变更前后公司股东持股比例不变，同时名</w:t>
      </w:r>
      <w:r>
        <w:rPr>
          <w:w w:val="102"/>
        </w:rPr>
        <w:t> </w:t>
      </w:r>
      <w:r>
        <w:rPr>
          <w:spacing w:val="3"/>
        </w:rPr>
        <w:t>称变更为“宣亚国际品牌管理（北京）股份有限公司”，并换发了中华人民共和国台港澳侨投资企业批准证书，</w:t>
      </w:r>
      <w:r>
        <w:rPr>
          <w:spacing w:val="87"/>
        </w:rPr>
        <w:t> </w:t>
      </w:r>
      <w:r>
        <w:rPr>
          <w:spacing w:val="87"/>
        </w:rPr>
      </w:r>
      <w:r>
        <w:rPr>
          <w:spacing w:val="3"/>
          <w:w w:val="105"/>
        </w:rPr>
        <w:t>“商外资京资</w:t>
      </w:r>
      <w:r>
        <w:rPr>
          <w:rFonts w:ascii="宋体" w:hAnsi="宋体" w:cs="宋体" w:eastAsia="宋体" w:hint="default"/>
          <w:spacing w:val="3"/>
          <w:w w:val="105"/>
        </w:rPr>
        <w:t>[2007]20892</w:t>
      </w:r>
      <w:r>
        <w:rPr>
          <w:spacing w:val="3"/>
          <w:w w:val="105"/>
        </w:rPr>
        <w:t>”号中华人民共和国台港澳侨投资企业批准证书。</w:t>
      </w:r>
      <w:r>
        <w:rPr>
          <w:spacing w:val="3"/>
        </w:rPr>
      </w:r>
    </w:p>
    <w:p>
      <w:pPr>
        <w:pStyle w:val="Heading8"/>
        <w:spacing w:line="300" w:lineRule="auto" w:before="141"/>
        <w:ind w:right="1015" w:firstLine="405"/>
        <w:jc w:val="left"/>
      </w:pPr>
      <w:bookmarkStart w:name="根据2013年8月，宣亚投资、BBDO 亚太和橙色动力签订《宣亚国际品牌管理（北" w:id="168"/>
      <w:bookmarkEnd w:id="168"/>
      <w:r>
        <w:rPr/>
      </w:r>
      <w:r>
        <w:rPr>
          <w:w w:val="105"/>
        </w:rPr>
        <w:t>根据</w:t>
      </w:r>
      <w:r>
        <w:rPr>
          <w:spacing w:val="-59"/>
          <w:w w:val="105"/>
        </w:rPr>
        <w:t> </w:t>
      </w:r>
      <w:r>
        <w:rPr>
          <w:rFonts w:ascii="宋体" w:hAnsi="宋体" w:cs="宋体" w:eastAsia="宋体" w:hint="default"/>
          <w:spacing w:val="4"/>
          <w:w w:val="105"/>
        </w:rPr>
        <w:t>2013</w:t>
      </w:r>
      <w:r>
        <w:rPr>
          <w:rFonts w:ascii="宋体" w:hAnsi="宋体" w:cs="宋体" w:eastAsia="宋体" w:hint="default"/>
          <w:spacing w:val="-53"/>
          <w:w w:val="105"/>
        </w:rPr>
        <w:t> </w:t>
      </w:r>
      <w:r>
        <w:rPr>
          <w:w w:val="105"/>
        </w:rPr>
        <w:t>年</w:t>
      </w:r>
      <w:r>
        <w:rPr>
          <w:spacing w:val="-59"/>
          <w:w w:val="105"/>
        </w:rPr>
        <w:t> </w:t>
      </w:r>
      <w:r>
        <w:rPr>
          <w:rFonts w:ascii="宋体" w:hAnsi="宋体" w:cs="宋体" w:eastAsia="宋体" w:hint="default"/>
          <w:w w:val="105"/>
        </w:rPr>
        <w:t>8</w:t>
      </w:r>
      <w:r>
        <w:rPr>
          <w:rFonts w:ascii="宋体" w:hAnsi="宋体" w:cs="宋体" w:eastAsia="宋体" w:hint="default"/>
          <w:spacing w:val="-54"/>
          <w:w w:val="105"/>
        </w:rPr>
        <w:t> </w:t>
      </w:r>
      <w:r>
        <w:rPr>
          <w:spacing w:val="2"/>
          <w:w w:val="105"/>
        </w:rPr>
        <w:t>月，宣亚投资、</w:t>
      </w:r>
      <w:r>
        <w:rPr>
          <w:rFonts w:ascii="宋体" w:hAnsi="宋体" w:cs="宋体" w:eastAsia="宋体" w:hint="default"/>
          <w:spacing w:val="2"/>
          <w:w w:val="105"/>
        </w:rPr>
        <w:t>BBDO</w:t>
      </w:r>
      <w:r>
        <w:rPr>
          <w:rFonts w:ascii="宋体" w:hAnsi="宋体" w:cs="宋体" w:eastAsia="宋体" w:hint="default"/>
          <w:spacing w:val="-22"/>
          <w:w w:val="105"/>
        </w:rPr>
        <w:t> </w:t>
      </w:r>
      <w:r>
        <w:rPr>
          <w:spacing w:val="3"/>
          <w:w w:val="105"/>
        </w:rPr>
        <w:t>亚太和橙色动力签订《宣亚国际品牌管理（北京）股份有限公司之增</w:t>
      </w:r>
      <w:r>
        <w:rPr>
          <w:w w:val="102"/>
        </w:rPr>
        <w:t> </w:t>
      </w:r>
      <w:r>
        <w:rPr>
          <w:spacing w:val="9"/>
          <w:w w:val="105"/>
        </w:rPr>
        <w:t>资协议</w:t>
      </w:r>
      <w:r>
        <w:rPr>
          <w:spacing w:val="-76"/>
          <w:w w:val="105"/>
        </w:rPr>
        <w:t> </w:t>
      </w:r>
      <w:r>
        <w:rPr>
          <w:spacing w:val="7"/>
          <w:w w:val="105"/>
        </w:rPr>
        <w:t>》，</w:t>
      </w:r>
      <w:r>
        <w:rPr>
          <w:spacing w:val="-76"/>
          <w:w w:val="105"/>
        </w:rPr>
        <w:t> </w:t>
      </w:r>
      <w:r>
        <w:rPr>
          <w:spacing w:val="9"/>
          <w:w w:val="105"/>
        </w:rPr>
        <w:t>约定由</w:t>
      </w:r>
      <w:r>
        <w:rPr>
          <w:spacing w:val="-76"/>
          <w:w w:val="105"/>
        </w:rPr>
        <w:t> </w:t>
      </w:r>
      <w:r>
        <w:rPr>
          <w:spacing w:val="7"/>
          <w:w w:val="105"/>
        </w:rPr>
        <w:t>橙色</w:t>
      </w:r>
      <w:r>
        <w:rPr>
          <w:spacing w:val="-76"/>
          <w:w w:val="105"/>
        </w:rPr>
        <w:t> </w:t>
      </w:r>
      <w:r>
        <w:rPr>
          <w:spacing w:val="7"/>
          <w:w w:val="105"/>
        </w:rPr>
        <w:t>动力</w:t>
      </w:r>
      <w:r>
        <w:rPr>
          <w:spacing w:val="-76"/>
          <w:w w:val="105"/>
        </w:rPr>
        <w:t> </w:t>
      </w:r>
      <w:r>
        <w:rPr>
          <w:spacing w:val="9"/>
          <w:w w:val="105"/>
        </w:rPr>
        <w:t>对宣亚</w:t>
      </w:r>
      <w:r>
        <w:rPr>
          <w:spacing w:val="-76"/>
          <w:w w:val="105"/>
        </w:rPr>
        <w:t> </w:t>
      </w:r>
      <w:r>
        <w:rPr>
          <w:spacing w:val="7"/>
          <w:w w:val="105"/>
        </w:rPr>
        <w:t>国际</w:t>
      </w:r>
      <w:r>
        <w:rPr>
          <w:spacing w:val="-76"/>
          <w:w w:val="105"/>
        </w:rPr>
        <w:t> </w:t>
      </w:r>
      <w:r>
        <w:rPr>
          <w:spacing w:val="7"/>
          <w:w w:val="105"/>
        </w:rPr>
        <w:t>进行</w:t>
      </w:r>
      <w:r>
        <w:rPr>
          <w:spacing w:val="-76"/>
          <w:w w:val="105"/>
        </w:rPr>
        <w:t> </w:t>
      </w:r>
      <w:r>
        <w:rPr>
          <w:spacing w:val="9"/>
          <w:w w:val="105"/>
        </w:rPr>
        <w:t>增资，</w:t>
      </w:r>
      <w:r>
        <w:rPr>
          <w:spacing w:val="-76"/>
          <w:w w:val="105"/>
        </w:rPr>
        <w:t> </w:t>
      </w:r>
      <w:r>
        <w:rPr>
          <w:spacing w:val="7"/>
          <w:w w:val="105"/>
        </w:rPr>
        <w:t>其中</w:t>
      </w:r>
      <w:r>
        <w:rPr>
          <w:spacing w:val="-76"/>
          <w:w w:val="105"/>
        </w:rPr>
        <w:t> </w:t>
      </w:r>
      <w:r>
        <w:rPr>
          <w:spacing w:val="7"/>
          <w:w w:val="105"/>
        </w:rPr>
        <w:t>增加</w:t>
      </w:r>
      <w:r>
        <w:rPr>
          <w:spacing w:val="-76"/>
          <w:w w:val="105"/>
        </w:rPr>
        <w:t> </w:t>
      </w:r>
      <w:r>
        <w:rPr>
          <w:spacing w:val="9"/>
          <w:w w:val="105"/>
        </w:rPr>
        <w:t>注册资</w:t>
      </w:r>
      <w:r>
        <w:rPr>
          <w:spacing w:val="-76"/>
          <w:w w:val="105"/>
        </w:rPr>
        <w:t> </w:t>
      </w:r>
      <w:r>
        <w:rPr>
          <w:w w:val="105"/>
        </w:rPr>
        <w:t>本</w:t>
      </w:r>
      <w:r>
        <w:rPr>
          <w:spacing w:val="9"/>
          <w:w w:val="105"/>
        </w:rPr>
        <w:t> </w:t>
      </w:r>
      <w:r>
        <w:rPr>
          <w:rFonts w:ascii="宋体" w:hAnsi="宋体" w:cs="宋体" w:eastAsia="宋体" w:hint="default"/>
          <w:spacing w:val="2"/>
          <w:w w:val="105"/>
        </w:rPr>
        <w:t>3,080,000.00</w:t>
      </w:r>
      <w:r>
        <w:rPr>
          <w:rFonts w:ascii="宋体" w:hAnsi="宋体" w:cs="宋体" w:eastAsia="宋体" w:hint="default"/>
          <w:spacing w:val="5"/>
          <w:w w:val="105"/>
        </w:rPr>
        <w:t> </w:t>
      </w:r>
      <w:r>
        <w:rPr>
          <w:spacing w:val="10"/>
          <w:w w:val="105"/>
        </w:rPr>
        <w:t>元，增加</w:t>
      </w:r>
      <w:r>
        <w:rPr>
          <w:spacing w:val="-76"/>
          <w:w w:val="105"/>
        </w:rPr>
        <w:t> </w:t>
      </w:r>
      <w:r>
        <w:rPr>
          <w:spacing w:val="7"/>
          <w:w w:val="105"/>
        </w:rPr>
        <w:t>资本</w:t>
      </w:r>
      <w:r>
        <w:rPr>
          <w:spacing w:val="-76"/>
          <w:w w:val="105"/>
        </w:rPr>
        <w:t> </w:t>
      </w:r>
      <w:r>
        <w:rPr>
          <w:spacing w:val="7"/>
          <w:w w:val="105"/>
        </w:rPr>
        <w:t>公积</w:t>
      </w:r>
      <w:r>
        <w:rPr>
          <w:w w:val="102"/>
        </w:rPr>
        <w:t> </w:t>
      </w:r>
      <w:r>
        <w:rPr>
          <w:rFonts w:ascii="宋体" w:hAnsi="宋体" w:cs="宋体" w:eastAsia="宋体" w:hint="default"/>
          <w:spacing w:val="2"/>
          <w:w w:val="102"/>
        </w:rPr>
        <w:t>2,186,800.00</w:t>
      </w:r>
      <w:r>
        <w:rPr>
          <w:rFonts w:ascii="宋体" w:hAnsi="宋体" w:cs="宋体" w:eastAsia="宋体" w:hint="default"/>
          <w:spacing w:val="-39"/>
          <w:w w:val="102"/>
        </w:rPr>
        <w:t> </w:t>
      </w:r>
      <w:r>
        <w:rPr>
          <w:spacing w:val="-9"/>
          <w:w w:val="102"/>
        </w:rPr>
        <w:t>元。对该次增资事项，</w:t>
      </w:r>
      <w:r>
        <w:rPr>
          <w:rFonts w:ascii="宋体" w:hAnsi="宋体" w:cs="宋体" w:eastAsia="宋体" w:hint="default"/>
          <w:spacing w:val="-9"/>
          <w:w w:val="102"/>
        </w:rPr>
        <w:t>2014</w:t>
      </w:r>
      <w:r>
        <w:rPr>
          <w:rFonts w:ascii="宋体" w:hAnsi="宋体" w:cs="宋体" w:eastAsia="宋体" w:hint="default"/>
          <w:spacing w:val="-40"/>
          <w:w w:val="102"/>
        </w:rPr>
        <w:t> </w:t>
      </w:r>
      <w:r>
        <w:rPr>
          <w:w w:val="102"/>
        </w:rPr>
        <w:t>年</w:t>
      </w:r>
      <w:r>
        <w:rPr>
          <w:spacing w:val="-49"/>
          <w:w w:val="102"/>
        </w:rPr>
        <w:t> </w:t>
      </w:r>
      <w:r>
        <w:rPr>
          <w:rFonts w:ascii="宋体" w:hAnsi="宋体" w:cs="宋体" w:eastAsia="宋体" w:hint="default"/>
          <w:w w:val="102"/>
        </w:rPr>
        <w:t>1</w:t>
      </w:r>
      <w:r>
        <w:rPr>
          <w:rFonts w:ascii="宋体" w:hAnsi="宋体" w:cs="宋体" w:eastAsia="宋体" w:hint="default"/>
          <w:spacing w:val="-40"/>
          <w:w w:val="102"/>
        </w:rPr>
        <w:t> </w:t>
      </w:r>
      <w:r>
        <w:rPr>
          <w:w w:val="102"/>
        </w:rPr>
        <w:t>月</w:t>
      </w:r>
      <w:r>
        <w:rPr>
          <w:spacing w:val="-49"/>
          <w:w w:val="102"/>
        </w:rPr>
        <w:t> </w:t>
      </w:r>
      <w:r>
        <w:rPr>
          <w:rFonts w:ascii="宋体" w:hAnsi="宋体" w:cs="宋体" w:eastAsia="宋体" w:hint="default"/>
          <w:spacing w:val="3"/>
          <w:w w:val="102"/>
        </w:rPr>
        <w:t>25</w:t>
      </w:r>
      <w:r>
        <w:rPr>
          <w:rFonts w:ascii="宋体" w:hAnsi="宋体" w:cs="宋体" w:eastAsia="宋体" w:hint="default"/>
          <w:spacing w:val="-25"/>
          <w:w w:val="102"/>
        </w:rPr>
        <w:t> </w:t>
      </w:r>
      <w:r>
        <w:rPr>
          <w:spacing w:val="1"/>
          <w:w w:val="102"/>
        </w:rPr>
        <w:t>日，北京中天华茂会计师事务所出具中天华茂验字</w:t>
      </w:r>
      <w:r>
        <w:rPr>
          <w:rFonts w:ascii="宋体" w:hAnsi="宋体" w:cs="宋体" w:eastAsia="宋体" w:hint="default"/>
          <w:spacing w:val="1"/>
          <w:w w:val="102"/>
        </w:rPr>
        <w:t>[2014]010</w:t>
      </w:r>
      <w:r>
        <w:rPr>
          <w:rFonts w:ascii="宋体" w:hAnsi="宋体" w:cs="宋体" w:eastAsia="宋体" w:hint="default"/>
          <w:spacing w:val="-89"/>
          <w:w w:val="102"/>
        </w:rPr>
        <w:t> </w:t>
      </w:r>
      <w:r>
        <w:rPr>
          <w:rFonts w:ascii="宋体" w:hAnsi="宋体" w:cs="宋体" w:eastAsia="宋体" w:hint="default"/>
          <w:spacing w:val="-89"/>
          <w:w w:val="102"/>
        </w:rPr>
      </w:r>
      <w:r>
        <w:rPr>
          <w:spacing w:val="-8"/>
        </w:rPr>
        <w:t>号《验资报告》。</w:t>
      </w:r>
      <w:r>
        <w:rPr>
          <w:rFonts w:ascii="宋体" w:hAnsi="宋体" w:cs="宋体" w:eastAsia="宋体" w:hint="default"/>
          <w:spacing w:val="-8"/>
        </w:rPr>
        <w:t>2014 </w:t>
      </w:r>
      <w:r>
        <w:rPr/>
        <w:t>年 </w:t>
      </w:r>
      <w:r>
        <w:rPr>
          <w:rFonts w:ascii="宋体" w:hAnsi="宋体" w:cs="宋体" w:eastAsia="宋体" w:hint="default"/>
        </w:rPr>
        <w:t>7 </w:t>
      </w:r>
      <w:r>
        <w:rPr/>
        <w:t>月，橙色动力再次签订《宣亚国际品牌管理（北京）股份有限公司之增资扩股协议》，</w:t>
      </w:r>
      <w:r>
        <w:rPr>
          <w:spacing w:val="-40"/>
        </w:rPr>
        <w:t> </w:t>
      </w:r>
      <w:r>
        <w:rPr>
          <w:spacing w:val="-40"/>
        </w:rPr>
      </w:r>
      <w:r>
        <w:rPr>
          <w:spacing w:val="3"/>
        </w:rPr>
        <w:t>对宣亚国际进行增资，其中新增注册资本 </w:t>
      </w:r>
      <w:r>
        <w:rPr>
          <w:rFonts w:ascii="宋体" w:hAnsi="宋体" w:cs="宋体" w:eastAsia="宋体" w:hint="default"/>
          <w:spacing w:val="3"/>
        </w:rPr>
        <w:t>5,920,000.00 </w:t>
      </w:r>
      <w:r>
        <w:rPr/>
        <w:t>元，新增资本公积 </w:t>
      </w:r>
      <w:r>
        <w:rPr>
          <w:rFonts w:ascii="宋体" w:hAnsi="宋体" w:cs="宋体" w:eastAsia="宋体" w:hint="default"/>
          <w:spacing w:val="3"/>
        </w:rPr>
        <w:t>5,860,800.00 </w:t>
      </w:r>
      <w:r>
        <w:rPr>
          <w:rFonts w:ascii="宋体" w:hAnsi="宋体" w:cs="宋体" w:eastAsia="宋体" w:hint="default"/>
          <w:spacing w:val="4"/>
        </w:rPr>
        <w:t> </w:t>
      </w:r>
      <w:r>
        <w:rPr/>
        <w:t>元。对该次增资事项，</w:t>
      </w:r>
    </w:p>
    <w:p>
      <w:pPr>
        <w:pStyle w:val="Heading8"/>
        <w:spacing w:line="240" w:lineRule="auto" w:before="19"/>
        <w:ind w:right="0"/>
        <w:jc w:val="left"/>
      </w:pPr>
      <w:r>
        <w:rPr>
          <w:rFonts w:ascii="宋体" w:hAnsi="宋体" w:cs="宋体" w:eastAsia="宋体" w:hint="default"/>
          <w:spacing w:val="4"/>
          <w:w w:val="105"/>
        </w:rPr>
        <w:t>2015</w:t>
      </w:r>
      <w:r>
        <w:rPr>
          <w:rFonts w:ascii="宋体" w:hAnsi="宋体" w:cs="宋体" w:eastAsia="宋体" w:hint="default"/>
          <w:spacing w:val="-18"/>
          <w:w w:val="105"/>
        </w:rPr>
        <w:t> </w:t>
      </w:r>
      <w:r>
        <w:rPr>
          <w:w w:val="105"/>
        </w:rPr>
        <w:t>年</w:t>
      </w:r>
      <w:r>
        <w:rPr>
          <w:spacing w:val="-12"/>
          <w:w w:val="105"/>
        </w:rPr>
        <w:t> </w:t>
      </w:r>
      <w:r>
        <w:rPr>
          <w:rFonts w:ascii="宋体" w:hAnsi="宋体" w:cs="宋体" w:eastAsia="宋体" w:hint="default"/>
          <w:w w:val="105"/>
        </w:rPr>
        <w:t>4</w:t>
      </w:r>
      <w:r>
        <w:rPr>
          <w:rFonts w:ascii="宋体" w:hAnsi="宋体" w:cs="宋体" w:eastAsia="宋体" w:hint="default"/>
          <w:spacing w:val="-6"/>
          <w:w w:val="105"/>
        </w:rPr>
        <w:t> </w:t>
      </w:r>
      <w:r>
        <w:rPr>
          <w:w w:val="105"/>
        </w:rPr>
        <w:t>月</w:t>
      </w:r>
      <w:r>
        <w:rPr>
          <w:spacing w:val="-25"/>
          <w:w w:val="105"/>
        </w:rPr>
        <w:t> </w:t>
      </w:r>
      <w:r>
        <w:rPr>
          <w:rFonts w:ascii="宋体" w:hAnsi="宋体" w:cs="宋体" w:eastAsia="宋体" w:hint="default"/>
          <w:spacing w:val="3"/>
          <w:w w:val="105"/>
        </w:rPr>
        <w:t>16</w:t>
      </w:r>
      <w:r>
        <w:rPr>
          <w:rFonts w:ascii="宋体" w:hAnsi="宋体" w:cs="宋体" w:eastAsia="宋体" w:hint="default"/>
          <w:spacing w:val="-5"/>
          <w:w w:val="105"/>
        </w:rPr>
        <w:t> </w:t>
      </w:r>
      <w:r>
        <w:rPr>
          <w:spacing w:val="3"/>
          <w:w w:val="105"/>
        </w:rPr>
        <w:t>日，立信所出具信会师报字</w:t>
      </w:r>
      <w:r>
        <w:rPr>
          <w:rFonts w:ascii="宋体" w:hAnsi="宋体" w:cs="宋体" w:eastAsia="宋体" w:hint="default"/>
          <w:spacing w:val="3"/>
          <w:w w:val="105"/>
        </w:rPr>
        <w:t>[2015]</w:t>
      </w:r>
      <w:r>
        <w:rPr>
          <w:spacing w:val="3"/>
          <w:w w:val="105"/>
        </w:rPr>
        <w:t>第</w:t>
      </w:r>
      <w:r>
        <w:rPr>
          <w:spacing w:val="-25"/>
          <w:w w:val="105"/>
        </w:rPr>
        <w:t> </w:t>
      </w:r>
      <w:r>
        <w:rPr>
          <w:rFonts w:ascii="宋体" w:hAnsi="宋体" w:cs="宋体" w:eastAsia="宋体" w:hint="default"/>
          <w:spacing w:val="2"/>
          <w:w w:val="105"/>
        </w:rPr>
        <w:t>711223</w:t>
      </w:r>
      <w:r>
        <w:rPr>
          <w:rFonts w:ascii="宋体" w:hAnsi="宋体" w:cs="宋体" w:eastAsia="宋体" w:hint="default"/>
          <w:spacing w:val="-4"/>
          <w:w w:val="105"/>
        </w:rPr>
        <w:t> </w:t>
      </w:r>
      <w:r>
        <w:rPr>
          <w:w w:val="105"/>
        </w:rPr>
        <w:t>号《验资报告》。</w:t>
      </w:r>
      <w:r>
        <w:rPr/>
      </w:r>
    </w:p>
    <w:p>
      <w:pPr>
        <w:spacing w:line="240" w:lineRule="auto" w:before="4"/>
        <w:rPr>
          <w:rFonts w:ascii="宋体" w:hAnsi="宋体" w:cs="宋体" w:eastAsia="宋体" w:hint="default"/>
          <w:sz w:val="14"/>
          <w:szCs w:val="14"/>
        </w:rPr>
      </w:pPr>
    </w:p>
    <w:p>
      <w:pPr>
        <w:pStyle w:val="Heading8"/>
        <w:spacing w:line="300" w:lineRule="auto"/>
        <w:ind w:right="1022" w:firstLine="405"/>
        <w:jc w:val="both"/>
      </w:pPr>
      <w:bookmarkStart w:name="根据本公司2016年2月29日召开的2016年第二届董事会第七次会议决议和201" w:id="169"/>
      <w:bookmarkEnd w:id="169"/>
      <w:r>
        <w:rPr/>
      </w:r>
      <w:r>
        <w:rPr>
          <w:spacing w:val="2"/>
          <w:w w:val="105"/>
        </w:rPr>
        <w:t>根据本公司</w:t>
      </w:r>
      <w:r>
        <w:rPr>
          <w:spacing w:val="-64"/>
          <w:w w:val="105"/>
        </w:rPr>
        <w:t> </w:t>
      </w:r>
      <w:r>
        <w:rPr>
          <w:rFonts w:ascii="宋体" w:hAnsi="宋体" w:cs="宋体" w:eastAsia="宋体" w:hint="default"/>
          <w:spacing w:val="4"/>
          <w:w w:val="105"/>
        </w:rPr>
        <w:t>2016</w:t>
      </w:r>
      <w:r>
        <w:rPr>
          <w:rFonts w:ascii="宋体" w:hAnsi="宋体" w:cs="宋体" w:eastAsia="宋体" w:hint="default"/>
          <w:spacing w:val="-57"/>
          <w:w w:val="105"/>
        </w:rPr>
        <w:t> </w:t>
      </w:r>
      <w:r>
        <w:rPr>
          <w:w w:val="105"/>
        </w:rPr>
        <w:t>年</w:t>
      </w:r>
      <w:r>
        <w:rPr>
          <w:spacing w:val="-64"/>
          <w:w w:val="105"/>
        </w:rPr>
        <w:t> </w:t>
      </w:r>
      <w:r>
        <w:rPr>
          <w:rFonts w:ascii="宋体" w:hAnsi="宋体" w:cs="宋体" w:eastAsia="宋体" w:hint="default"/>
          <w:w w:val="105"/>
        </w:rPr>
        <w:t>2</w:t>
      </w:r>
      <w:r>
        <w:rPr>
          <w:rFonts w:ascii="宋体" w:hAnsi="宋体" w:cs="宋体" w:eastAsia="宋体" w:hint="default"/>
          <w:spacing w:val="-57"/>
          <w:w w:val="105"/>
        </w:rPr>
        <w:t> </w:t>
      </w:r>
      <w:r>
        <w:rPr>
          <w:w w:val="105"/>
        </w:rPr>
        <w:t>月</w:t>
      </w:r>
      <w:r>
        <w:rPr>
          <w:spacing w:val="-64"/>
          <w:w w:val="105"/>
        </w:rPr>
        <w:t> </w:t>
      </w:r>
      <w:r>
        <w:rPr>
          <w:rFonts w:ascii="宋体" w:hAnsi="宋体" w:cs="宋体" w:eastAsia="宋体" w:hint="default"/>
          <w:spacing w:val="-4"/>
          <w:w w:val="105"/>
        </w:rPr>
        <w:t>29</w:t>
      </w:r>
      <w:r>
        <w:rPr>
          <w:rFonts w:ascii="宋体" w:hAnsi="宋体" w:cs="宋体" w:eastAsia="宋体" w:hint="default"/>
          <w:spacing w:val="-58"/>
          <w:w w:val="105"/>
        </w:rPr>
        <w:t> </w:t>
      </w:r>
      <w:r>
        <w:rPr>
          <w:w w:val="105"/>
        </w:rPr>
        <w:t>日召开的</w:t>
      </w:r>
      <w:r>
        <w:rPr>
          <w:spacing w:val="-63"/>
          <w:w w:val="105"/>
        </w:rPr>
        <w:t> </w:t>
      </w:r>
      <w:r>
        <w:rPr>
          <w:rFonts w:ascii="宋体" w:hAnsi="宋体" w:cs="宋体" w:eastAsia="宋体" w:hint="default"/>
          <w:spacing w:val="4"/>
          <w:w w:val="105"/>
        </w:rPr>
        <w:t>2016</w:t>
      </w:r>
      <w:r>
        <w:rPr>
          <w:rFonts w:ascii="宋体" w:hAnsi="宋体" w:cs="宋体" w:eastAsia="宋体" w:hint="default"/>
          <w:spacing w:val="-57"/>
          <w:w w:val="105"/>
        </w:rPr>
        <w:t> </w:t>
      </w:r>
      <w:r>
        <w:rPr>
          <w:spacing w:val="2"/>
          <w:w w:val="105"/>
        </w:rPr>
        <w:t>年第二届董事会第七次会议决议和</w:t>
      </w:r>
      <w:r>
        <w:rPr>
          <w:spacing w:val="-64"/>
          <w:w w:val="105"/>
        </w:rPr>
        <w:t> </w:t>
      </w:r>
      <w:r>
        <w:rPr>
          <w:rFonts w:ascii="宋体" w:hAnsi="宋体" w:cs="宋体" w:eastAsia="宋体" w:hint="default"/>
          <w:spacing w:val="4"/>
          <w:w w:val="105"/>
        </w:rPr>
        <w:t>2016</w:t>
      </w:r>
      <w:r>
        <w:rPr>
          <w:rFonts w:ascii="宋体" w:hAnsi="宋体" w:cs="宋体" w:eastAsia="宋体" w:hint="default"/>
          <w:spacing w:val="-57"/>
          <w:w w:val="105"/>
        </w:rPr>
        <w:t> </w:t>
      </w:r>
      <w:r>
        <w:rPr>
          <w:w w:val="105"/>
        </w:rPr>
        <w:t>年</w:t>
      </w:r>
      <w:r>
        <w:rPr>
          <w:spacing w:val="-64"/>
          <w:w w:val="105"/>
        </w:rPr>
        <w:t> </w:t>
      </w:r>
      <w:r>
        <w:rPr>
          <w:rFonts w:ascii="宋体" w:hAnsi="宋体" w:cs="宋体" w:eastAsia="宋体" w:hint="default"/>
          <w:w w:val="105"/>
        </w:rPr>
        <w:t>3</w:t>
      </w:r>
      <w:r>
        <w:rPr>
          <w:rFonts w:ascii="宋体" w:hAnsi="宋体" w:cs="宋体" w:eastAsia="宋体" w:hint="default"/>
          <w:spacing w:val="-57"/>
          <w:w w:val="105"/>
        </w:rPr>
        <w:t> </w:t>
      </w:r>
      <w:r>
        <w:rPr>
          <w:w w:val="105"/>
        </w:rPr>
        <w:t>月</w:t>
      </w:r>
      <w:r>
        <w:rPr>
          <w:spacing w:val="-64"/>
          <w:w w:val="105"/>
        </w:rPr>
        <w:t> </w:t>
      </w:r>
      <w:r>
        <w:rPr>
          <w:rFonts w:ascii="宋体" w:hAnsi="宋体" w:cs="宋体" w:eastAsia="宋体" w:hint="default"/>
          <w:spacing w:val="-4"/>
          <w:w w:val="105"/>
        </w:rPr>
        <w:t>15</w:t>
      </w:r>
      <w:r>
        <w:rPr>
          <w:rFonts w:ascii="宋体" w:hAnsi="宋体" w:cs="宋体" w:eastAsia="宋体" w:hint="default"/>
          <w:spacing w:val="-58"/>
          <w:w w:val="105"/>
        </w:rPr>
        <w:t> </w:t>
      </w:r>
      <w:r>
        <w:rPr>
          <w:w w:val="105"/>
        </w:rPr>
        <w:t>日召开的</w:t>
      </w:r>
      <w:r>
        <w:rPr>
          <w:spacing w:val="-63"/>
          <w:w w:val="105"/>
        </w:rPr>
        <w:t> </w:t>
      </w:r>
      <w:r>
        <w:rPr>
          <w:rFonts w:ascii="宋体" w:hAnsi="宋体" w:cs="宋体" w:eastAsia="宋体" w:hint="default"/>
          <w:spacing w:val="6"/>
          <w:w w:val="105"/>
        </w:rPr>
        <w:t>2016</w:t>
      </w:r>
      <w:r>
        <w:rPr>
          <w:rFonts w:ascii="宋体" w:hAnsi="宋体" w:cs="宋体" w:eastAsia="宋体" w:hint="default"/>
          <w:spacing w:val="7"/>
          <w:w w:val="102"/>
        </w:rPr>
        <w:t> </w:t>
      </w:r>
      <w:r>
        <w:rPr>
          <w:spacing w:val="5"/>
        </w:rPr>
        <w:t>年度第一次临时股东大会决议，并经中国证券监督管理委员会《关于核准宣亚国际品牌管理（北京）股份有限</w:t>
      </w:r>
      <w:r>
        <w:rPr>
          <w:spacing w:val="74"/>
        </w:rPr>
        <w:t> </w:t>
      </w:r>
      <w:r>
        <w:rPr>
          <w:spacing w:val="74"/>
        </w:rPr>
      </w:r>
      <w:r>
        <w:rPr>
          <w:spacing w:val="4"/>
          <w:w w:val="105"/>
        </w:rPr>
        <w:t>公司首次公开发行股票的批复》（证监许可</w:t>
      </w:r>
      <w:r>
        <w:rPr>
          <w:rFonts w:ascii="宋体" w:hAnsi="宋体" w:cs="宋体" w:eastAsia="宋体" w:hint="default"/>
          <w:spacing w:val="4"/>
          <w:w w:val="105"/>
        </w:rPr>
        <w:t>[2017]124</w:t>
      </w:r>
      <w:r>
        <w:rPr>
          <w:rFonts w:ascii="宋体" w:hAnsi="宋体" w:cs="宋体" w:eastAsia="宋体" w:hint="default"/>
          <w:spacing w:val="-56"/>
          <w:w w:val="105"/>
        </w:rPr>
        <w:t> </w:t>
      </w:r>
      <w:r>
        <w:rPr>
          <w:spacing w:val="3"/>
          <w:w w:val="105"/>
        </w:rPr>
        <w:t>号文件）核准，本公司首次公开发行</w:t>
      </w:r>
      <w:r>
        <w:rPr>
          <w:spacing w:val="-59"/>
          <w:w w:val="105"/>
        </w:rPr>
        <w:t> </w:t>
      </w:r>
      <w:r>
        <w:rPr>
          <w:rFonts w:ascii="宋体" w:hAnsi="宋体" w:cs="宋体" w:eastAsia="宋体" w:hint="default"/>
          <w:spacing w:val="4"/>
          <w:w w:val="105"/>
        </w:rPr>
        <w:t>1,800</w:t>
      </w:r>
      <w:r>
        <w:rPr>
          <w:rFonts w:ascii="宋体" w:hAnsi="宋体" w:cs="宋体" w:eastAsia="宋体" w:hint="default"/>
          <w:spacing w:val="-56"/>
          <w:w w:val="105"/>
        </w:rPr>
        <w:t> </w:t>
      </w:r>
      <w:r>
        <w:rPr>
          <w:w w:val="105"/>
        </w:rPr>
        <w:t>万股新股。</w:t>
      </w:r>
      <w:r>
        <w:rPr>
          <w:w w:val="102"/>
        </w:rPr>
        <w:t> 公司于 </w:t>
      </w:r>
      <w:r>
        <w:rPr>
          <w:rFonts w:ascii="宋体" w:hAnsi="宋体" w:cs="宋体" w:eastAsia="宋体" w:hint="default"/>
          <w:spacing w:val="5"/>
          <w:w w:val="102"/>
        </w:rPr>
        <w:t>2017</w:t>
      </w:r>
      <w:r>
        <w:rPr>
          <w:rFonts w:ascii="宋体" w:hAnsi="宋体" w:cs="宋体" w:eastAsia="宋体" w:hint="default"/>
          <w:w w:val="102"/>
        </w:rPr>
        <w:t> </w:t>
      </w:r>
      <w:r>
        <w:rPr>
          <w:w w:val="102"/>
        </w:rPr>
        <w:t>年 </w:t>
      </w:r>
      <w:r>
        <w:rPr>
          <w:rFonts w:ascii="宋体" w:hAnsi="宋体" w:cs="宋体" w:eastAsia="宋体" w:hint="default"/>
          <w:w w:val="102"/>
        </w:rPr>
        <w:t>5 </w:t>
      </w:r>
      <w:r>
        <w:rPr>
          <w:w w:val="102"/>
        </w:rPr>
        <w:t>月 </w:t>
      </w:r>
      <w:r>
        <w:rPr>
          <w:rFonts w:ascii="宋体" w:hAnsi="宋体" w:cs="宋体" w:eastAsia="宋体" w:hint="default"/>
          <w:spacing w:val="3"/>
          <w:w w:val="102"/>
        </w:rPr>
        <w:t>11</w:t>
      </w:r>
      <w:r>
        <w:rPr>
          <w:rFonts w:ascii="宋体" w:hAnsi="宋体" w:cs="宋体" w:eastAsia="宋体" w:hint="default"/>
          <w:w w:val="102"/>
        </w:rPr>
        <w:t> </w:t>
      </w:r>
      <w:r>
        <w:rPr>
          <w:w w:val="102"/>
        </w:rPr>
        <w:t>日召开了 </w:t>
      </w:r>
      <w:r>
        <w:rPr>
          <w:rFonts w:ascii="宋体" w:hAnsi="宋体" w:cs="宋体" w:eastAsia="宋体" w:hint="default"/>
          <w:spacing w:val="1"/>
          <w:w w:val="102"/>
        </w:rPr>
        <w:t>2016</w:t>
      </w:r>
      <w:r>
        <w:rPr>
          <w:rFonts w:ascii="宋体" w:hAnsi="宋体" w:cs="宋体" w:eastAsia="宋体" w:hint="default"/>
          <w:w w:val="102"/>
        </w:rPr>
        <w:t> </w:t>
      </w:r>
      <w:r>
        <w:rPr>
          <w:spacing w:val="-8"/>
          <w:w w:val="102"/>
        </w:rPr>
        <w:t>年年度股东会议，通过了《关于公司</w:t>
      </w:r>
      <w:r>
        <w:rPr>
          <w:w w:val="102"/>
        </w:rPr>
        <w:t> </w:t>
      </w:r>
      <w:r>
        <w:rPr>
          <w:rFonts w:ascii="宋体" w:hAnsi="宋体" w:cs="宋体" w:eastAsia="宋体" w:hint="default"/>
          <w:spacing w:val="5"/>
          <w:w w:val="102"/>
        </w:rPr>
        <w:t>2016</w:t>
      </w:r>
      <w:r>
        <w:rPr>
          <w:rFonts w:ascii="宋体" w:hAnsi="宋体" w:cs="宋体" w:eastAsia="宋体" w:hint="default"/>
          <w:spacing w:val="13"/>
          <w:w w:val="102"/>
        </w:rPr>
        <w:t> </w:t>
      </w:r>
      <w:r>
        <w:rPr>
          <w:spacing w:val="-4"/>
          <w:w w:val="102"/>
        </w:rPr>
        <w:t>年度利润分配预案的议案》，</w:t>
      </w:r>
      <w:r>
        <w:rPr>
          <w:spacing w:val="-4"/>
        </w:rPr>
      </w:r>
    </w:p>
    <w:p>
      <w:pPr>
        <w:pStyle w:val="Heading8"/>
        <w:spacing w:line="240" w:lineRule="auto" w:before="19"/>
        <w:ind w:right="0"/>
        <w:jc w:val="left"/>
      </w:pPr>
      <w:r>
        <w:rPr>
          <w:spacing w:val="2"/>
          <w:w w:val="105"/>
        </w:rPr>
        <w:t>公司总股本</w:t>
      </w:r>
      <w:r>
        <w:rPr>
          <w:spacing w:val="-73"/>
          <w:w w:val="105"/>
        </w:rPr>
        <w:t> </w:t>
      </w:r>
      <w:r>
        <w:rPr>
          <w:rFonts w:ascii="宋体" w:hAnsi="宋体" w:cs="宋体" w:eastAsia="宋体" w:hint="default"/>
          <w:spacing w:val="4"/>
          <w:w w:val="105"/>
        </w:rPr>
        <w:t>72,000,000</w:t>
      </w:r>
      <w:r>
        <w:rPr>
          <w:rFonts w:ascii="宋体" w:hAnsi="宋体" w:cs="宋体" w:eastAsia="宋体" w:hint="default"/>
          <w:spacing w:val="-66"/>
          <w:w w:val="105"/>
        </w:rPr>
        <w:t> </w:t>
      </w:r>
      <w:r>
        <w:rPr>
          <w:spacing w:val="2"/>
          <w:w w:val="105"/>
        </w:rPr>
        <w:t>股为基数进行分配。每</w:t>
      </w:r>
      <w:r>
        <w:rPr>
          <w:spacing w:val="-72"/>
          <w:w w:val="105"/>
        </w:rPr>
        <w:t> </w:t>
      </w:r>
      <w:r>
        <w:rPr>
          <w:rFonts w:ascii="宋体" w:hAnsi="宋体" w:cs="宋体" w:eastAsia="宋体" w:hint="default"/>
          <w:spacing w:val="3"/>
          <w:w w:val="105"/>
        </w:rPr>
        <w:t>10</w:t>
      </w:r>
      <w:r>
        <w:rPr>
          <w:rFonts w:ascii="宋体" w:hAnsi="宋体" w:cs="宋体" w:eastAsia="宋体" w:hint="default"/>
          <w:spacing w:val="-69"/>
          <w:w w:val="105"/>
        </w:rPr>
        <w:t> </w:t>
      </w:r>
      <w:r>
        <w:rPr>
          <w:spacing w:val="4"/>
          <w:w w:val="105"/>
        </w:rPr>
        <w:t>股派发现金红利</w:t>
      </w:r>
      <w:r>
        <w:rPr>
          <w:spacing w:val="-73"/>
          <w:w w:val="105"/>
        </w:rPr>
        <w:t> </w:t>
      </w:r>
      <w:r>
        <w:rPr>
          <w:rFonts w:ascii="宋体" w:hAnsi="宋体" w:cs="宋体" w:eastAsia="宋体" w:hint="default"/>
          <w:spacing w:val="4"/>
          <w:w w:val="105"/>
        </w:rPr>
        <w:t>5.00</w:t>
      </w:r>
      <w:r>
        <w:rPr>
          <w:rFonts w:ascii="宋体" w:hAnsi="宋体" w:cs="宋体" w:eastAsia="宋体" w:hint="default"/>
          <w:spacing w:val="-68"/>
          <w:w w:val="105"/>
        </w:rPr>
        <w:t> </w:t>
      </w:r>
      <w:r>
        <w:rPr>
          <w:spacing w:val="3"/>
          <w:w w:val="105"/>
        </w:rPr>
        <w:t>元（含税），共计</w:t>
      </w:r>
      <w:r>
        <w:rPr>
          <w:spacing w:val="-72"/>
          <w:w w:val="105"/>
        </w:rPr>
        <w:t> </w:t>
      </w:r>
      <w:r>
        <w:rPr>
          <w:rFonts w:ascii="宋体" w:hAnsi="宋体" w:cs="宋体" w:eastAsia="宋体" w:hint="default"/>
          <w:spacing w:val="3"/>
          <w:w w:val="105"/>
        </w:rPr>
        <w:t>36,000,000.00</w:t>
      </w:r>
      <w:r>
        <w:rPr>
          <w:rFonts w:ascii="宋体" w:hAnsi="宋体" w:cs="宋体" w:eastAsia="宋体" w:hint="default"/>
          <w:spacing w:val="-68"/>
          <w:w w:val="105"/>
        </w:rPr>
        <w:t> </w:t>
      </w:r>
      <w:r>
        <w:rPr>
          <w:w w:val="105"/>
        </w:rPr>
        <w:t>元，</w:t>
      </w:r>
      <w:r>
        <w:rPr/>
      </w:r>
    </w:p>
    <w:p>
      <w:pPr>
        <w:pStyle w:val="Heading8"/>
        <w:spacing w:line="240" w:lineRule="auto" w:before="67"/>
        <w:ind w:right="0"/>
        <w:jc w:val="left"/>
      </w:pPr>
      <w:r>
        <w:rPr>
          <w:w w:val="105"/>
        </w:rPr>
        <w:t>同时向全体股东每</w:t>
      </w:r>
      <w:r>
        <w:rPr>
          <w:spacing w:val="-53"/>
          <w:w w:val="105"/>
        </w:rPr>
        <w:t> </w:t>
      </w:r>
      <w:r>
        <w:rPr>
          <w:rFonts w:ascii="宋体" w:hAnsi="宋体" w:cs="宋体" w:eastAsia="宋体" w:hint="default"/>
          <w:spacing w:val="3"/>
          <w:w w:val="105"/>
        </w:rPr>
        <w:t>10</w:t>
      </w:r>
      <w:r>
        <w:rPr>
          <w:rFonts w:ascii="宋体" w:hAnsi="宋体" w:cs="宋体" w:eastAsia="宋体" w:hint="default"/>
          <w:spacing w:val="-49"/>
          <w:w w:val="105"/>
        </w:rPr>
        <w:t> </w:t>
      </w:r>
      <w:r>
        <w:rPr>
          <w:w w:val="105"/>
        </w:rPr>
        <w:t>股送红股</w:t>
      </w:r>
      <w:r>
        <w:rPr>
          <w:spacing w:val="-53"/>
          <w:w w:val="105"/>
        </w:rPr>
        <w:t> </w:t>
      </w:r>
      <w:r>
        <w:rPr>
          <w:rFonts w:ascii="宋体" w:hAnsi="宋体" w:cs="宋体" w:eastAsia="宋体" w:hint="default"/>
          <w:w w:val="105"/>
        </w:rPr>
        <w:t>5</w:t>
      </w:r>
      <w:r>
        <w:rPr>
          <w:rFonts w:ascii="宋体" w:hAnsi="宋体" w:cs="宋体" w:eastAsia="宋体" w:hint="default"/>
          <w:spacing w:val="-49"/>
          <w:w w:val="105"/>
        </w:rPr>
        <w:t> </w:t>
      </w:r>
      <w:r>
        <w:rPr>
          <w:spacing w:val="3"/>
          <w:w w:val="105"/>
        </w:rPr>
        <w:t>股。分配完成后公司股本总额增至</w:t>
      </w:r>
      <w:r>
        <w:rPr>
          <w:spacing w:val="-52"/>
          <w:w w:val="105"/>
        </w:rPr>
        <w:t> </w:t>
      </w:r>
      <w:r>
        <w:rPr>
          <w:rFonts w:ascii="宋体" w:hAnsi="宋体" w:cs="宋体" w:eastAsia="宋体" w:hint="default"/>
          <w:spacing w:val="2"/>
          <w:w w:val="105"/>
        </w:rPr>
        <w:t>108,000,000</w:t>
      </w:r>
      <w:r>
        <w:rPr>
          <w:rFonts w:ascii="宋体" w:hAnsi="宋体" w:cs="宋体" w:eastAsia="宋体" w:hint="default"/>
          <w:spacing w:val="-46"/>
          <w:w w:val="105"/>
        </w:rPr>
        <w:t> </w:t>
      </w:r>
      <w:r>
        <w:rPr>
          <w:w w:val="105"/>
        </w:rPr>
        <w:t>股。根据本公司</w:t>
      </w:r>
      <w:r>
        <w:rPr>
          <w:spacing w:val="-53"/>
          <w:w w:val="105"/>
        </w:rPr>
        <w:t> </w:t>
      </w:r>
      <w:r>
        <w:rPr>
          <w:rFonts w:ascii="宋体" w:hAnsi="宋体" w:cs="宋体" w:eastAsia="宋体" w:hint="default"/>
          <w:spacing w:val="4"/>
          <w:w w:val="105"/>
        </w:rPr>
        <w:t>2018</w:t>
      </w:r>
      <w:r>
        <w:rPr>
          <w:rFonts w:ascii="宋体" w:hAnsi="宋体" w:cs="宋体" w:eastAsia="宋体" w:hint="default"/>
          <w:spacing w:val="-48"/>
          <w:w w:val="105"/>
        </w:rPr>
        <w:t> </w:t>
      </w:r>
      <w:r>
        <w:rPr>
          <w:w w:val="105"/>
        </w:rPr>
        <w:t>年</w:t>
      </w:r>
      <w:r>
        <w:rPr>
          <w:spacing w:val="-54"/>
          <w:w w:val="105"/>
        </w:rPr>
        <w:t> </w:t>
      </w:r>
      <w:r>
        <w:rPr>
          <w:rFonts w:ascii="宋体" w:hAnsi="宋体" w:cs="宋体" w:eastAsia="宋体" w:hint="default"/>
          <w:w w:val="105"/>
        </w:rPr>
        <w:t>5</w:t>
      </w:r>
      <w:r>
        <w:rPr>
          <w:rFonts w:ascii="宋体" w:hAnsi="宋体" w:cs="宋体" w:eastAsia="宋体" w:hint="default"/>
          <w:spacing w:val="-49"/>
          <w:w w:val="105"/>
        </w:rPr>
        <w:t> </w:t>
      </w:r>
      <w:r>
        <w:rPr>
          <w:w w:val="105"/>
        </w:rPr>
        <w:t>月</w:t>
      </w:r>
      <w:r>
        <w:rPr/>
      </w:r>
    </w:p>
    <w:p>
      <w:pPr>
        <w:pStyle w:val="Heading8"/>
        <w:spacing w:line="240" w:lineRule="auto" w:before="66"/>
        <w:ind w:right="0"/>
        <w:jc w:val="left"/>
      </w:pPr>
      <w:r>
        <w:rPr>
          <w:rFonts w:ascii="宋体" w:hAnsi="宋体" w:cs="宋体" w:eastAsia="宋体" w:hint="default"/>
          <w:spacing w:val="3"/>
          <w:w w:val="105"/>
        </w:rPr>
        <w:t>15</w:t>
      </w:r>
      <w:r>
        <w:rPr>
          <w:rFonts w:ascii="宋体" w:hAnsi="宋体" w:cs="宋体" w:eastAsia="宋体" w:hint="default"/>
          <w:spacing w:val="-39"/>
          <w:w w:val="105"/>
        </w:rPr>
        <w:t> </w:t>
      </w:r>
      <w:r>
        <w:rPr>
          <w:w w:val="105"/>
        </w:rPr>
        <w:t>日召开的</w:t>
      </w:r>
      <w:r>
        <w:rPr>
          <w:spacing w:val="-44"/>
          <w:w w:val="105"/>
        </w:rPr>
        <w:t> </w:t>
      </w:r>
      <w:r>
        <w:rPr>
          <w:rFonts w:ascii="宋体" w:hAnsi="宋体" w:cs="宋体" w:eastAsia="宋体" w:hint="default"/>
          <w:spacing w:val="4"/>
          <w:w w:val="105"/>
        </w:rPr>
        <w:t>2017</w:t>
      </w:r>
      <w:r>
        <w:rPr>
          <w:rFonts w:ascii="宋体" w:hAnsi="宋体" w:cs="宋体" w:eastAsia="宋体" w:hint="default"/>
          <w:spacing w:val="-39"/>
          <w:w w:val="105"/>
        </w:rPr>
        <w:t> </w:t>
      </w:r>
      <w:r>
        <w:rPr>
          <w:spacing w:val="3"/>
          <w:w w:val="105"/>
        </w:rPr>
        <w:t>年年度股东大会审议通过，</w:t>
      </w:r>
      <w:r>
        <w:rPr>
          <w:rFonts w:ascii="宋体" w:hAnsi="宋体" w:cs="宋体" w:eastAsia="宋体" w:hint="default"/>
          <w:spacing w:val="3"/>
          <w:w w:val="105"/>
        </w:rPr>
        <w:t>2017</w:t>
      </w:r>
      <w:r>
        <w:rPr>
          <w:rFonts w:ascii="宋体" w:hAnsi="宋体" w:cs="宋体" w:eastAsia="宋体" w:hint="default"/>
          <w:spacing w:val="-17"/>
          <w:w w:val="105"/>
        </w:rPr>
        <w:t> </w:t>
      </w:r>
      <w:r>
        <w:rPr>
          <w:spacing w:val="3"/>
          <w:w w:val="105"/>
        </w:rPr>
        <w:t>年年度权益分派，以公司现有总股本</w:t>
      </w:r>
      <w:r>
        <w:rPr>
          <w:spacing w:val="-20"/>
          <w:w w:val="105"/>
        </w:rPr>
        <w:t> </w:t>
      </w:r>
      <w:r>
        <w:rPr>
          <w:rFonts w:ascii="宋体" w:hAnsi="宋体" w:cs="宋体" w:eastAsia="宋体" w:hint="default"/>
          <w:spacing w:val="2"/>
          <w:w w:val="105"/>
        </w:rPr>
        <w:t>108,000,000</w:t>
      </w:r>
      <w:r>
        <w:rPr>
          <w:rFonts w:ascii="宋体" w:hAnsi="宋体" w:cs="宋体" w:eastAsia="宋体" w:hint="default"/>
          <w:spacing w:val="-14"/>
          <w:w w:val="105"/>
        </w:rPr>
        <w:t> </w:t>
      </w:r>
      <w:r>
        <w:rPr>
          <w:w w:val="105"/>
        </w:rPr>
        <w:t>股为基</w:t>
      </w:r>
      <w:r>
        <w:rPr/>
      </w:r>
    </w:p>
    <w:p>
      <w:pPr>
        <w:pStyle w:val="Heading8"/>
        <w:spacing w:line="240" w:lineRule="auto" w:before="51"/>
        <w:ind w:right="0"/>
        <w:jc w:val="left"/>
      </w:pPr>
      <w:r>
        <w:rPr>
          <w:w w:val="105"/>
        </w:rPr>
        <w:t>数，向全体股东每</w:t>
      </w:r>
      <w:r>
        <w:rPr>
          <w:spacing w:val="-22"/>
          <w:w w:val="105"/>
        </w:rPr>
        <w:t> </w:t>
      </w:r>
      <w:r>
        <w:rPr>
          <w:rFonts w:ascii="宋体" w:hAnsi="宋体" w:cs="宋体" w:eastAsia="宋体" w:hint="default"/>
          <w:spacing w:val="3"/>
          <w:w w:val="105"/>
        </w:rPr>
        <w:t>10</w:t>
      </w:r>
      <w:r>
        <w:rPr>
          <w:rFonts w:ascii="宋体" w:hAnsi="宋体" w:cs="宋体" w:eastAsia="宋体" w:hint="default"/>
          <w:spacing w:val="-18"/>
          <w:w w:val="105"/>
        </w:rPr>
        <w:t> </w:t>
      </w:r>
      <w:r>
        <w:rPr>
          <w:w w:val="105"/>
        </w:rPr>
        <w:t>股派</w:t>
      </w:r>
      <w:r>
        <w:rPr>
          <w:spacing w:val="-23"/>
          <w:w w:val="105"/>
        </w:rPr>
        <w:t> </w:t>
      </w:r>
      <w:r>
        <w:rPr>
          <w:rFonts w:ascii="宋体" w:hAnsi="宋体" w:cs="宋体" w:eastAsia="宋体" w:hint="default"/>
          <w:w w:val="105"/>
        </w:rPr>
        <w:t>5.00</w:t>
      </w:r>
      <w:r>
        <w:rPr>
          <w:rFonts w:ascii="宋体" w:hAnsi="宋体" w:cs="宋体" w:eastAsia="宋体" w:hint="default"/>
          <w:spacing w:val="-17"/>
          <w:w w:val="105"/>
        </w:rPr>
        <w:t> </w:t>
      </w:r>
      <w:r>
        <w:rPr>
          <w:w w:val="105"/>
        </w:rPr>
        <w:t>元人民币现金（含税），同时，以资本公积金向全体股东每</w:t>
      </w:r>
      <w:r>
        <w:rPr>
          <w:spacing w:val="-19"/>
          <w:w w:val="105"/>
        </w:rPr>
        <w:t> </w:t>
      </w:r>
      <w:r>
        <w:rPr>
          <w:rFonts w:ascii="宋体" w:hAnsi="宋体" w:cs="宋体" w:eastAsia="宋体" w:hint="default"/>
          <w:spacing w:val="3"/>
          <w:w w:val="105"/>
        </w:rPr>
        <w:t>10</w:t>
      </w:r>
      <w:r>
        <w:rPr>
          <w:rFonts w:ascii="宋体" w:hAnsi="宋体" w:cs="宋体" w:eastAsia="宋体" w:hint="default"/>
          <w:spacing w:val="-18"/>
          <w:w w:val="105"/>
        </w:rPr>
        <w:t> </w:t>
      </w:r>
      <w:r>
        <w:rPr>
          <w:w w:val="105"/>
        </w:rPr>
        <w:t>股转增</w:t>
      </w:r>
      <w:r>
        <w:rPr>
          <w:spacing w:val="-22"/>
          <w:w w:val="105"/>
        </w:rPr>
        <w:t> </w:t>
      </w:r>
      <w:r>
        <w:rPr>
          <w:rFonts w:ascii="宋体" w:hAnsi="宋体" w:cs="宋体" w:eastAsia="宋体" w:hint="default"/>
          <w:w w:val="105"/>
        </w:rPr>
        <w:t>5</w:t>
      </w:r>
      <w:r>
        <w:rPr>
          <w:rFonts w:ascii="宋体" w:hAnsi="宋体" w:cs="宋体" w:eastAsia="宋体" w:hint="default"/>
          <w:spacing w:val="-18"/>
          <w:w w:val="105"/>
        </w:rPr>
        <w:t> </w:t>
      </w:r>
      <w:r>
        <w:rPr>
          <w:w w:val="105"/>
        </w:rPr>
        <w:t>股。</w:t>
      </w:r>
      <w:r>
        <w:rPr/>
      </w:r>
    </w:p>
    <w:p>
      <w:pPr>
        <w:pStyle w:val="Heading8"/>
        <w:spacing w:line="240" w:lineRule="auto" w:before="66"/>
        <w:ind w:right="0"/>
        <w:jc w:val="left"/>
      </w:pPr>
      <w:r>
        <w:rPr>
          <w:spacing w:val="3"/>
          <w:w w:val="105"/>
        </w:rPr>
        <w:t>分红后总股本增至</w:t>
      </w:r>
      <w:r>
        <w:rPr>
          <w:spacing w:val="-78"/>
          <w:w w:val="105"/>
        </w:rPr>
        <w:t> </w:t>
      </w:r>
      <w:r>
        <w:rPr>
          <w:rFonts w:ascii="宋体" w:hAnsi="宋体" w:cs="宋体" w:eastAsia="宋体" w:hint="default"/>
          <w:spacing w:val="4"/>
          <w:w w:val="105"/>
        </w:rPr>
        <w:t>162,000,000</w:t>
      </w:r>
      <w:r>
        <w:rPr>
          <w:rFonts w:ascii="宋体" w:hAnsi="宋体" w:cs="宋体" w:eastAsia="宋体" w:hint="default"/>
          <w:spacing w:val="-73"/>
          <w:w w:val="105"/>
        </w:rPr>
        <w:t> </w:t>
      </w:r>
      <w:r>
        <w:rPr>
          <w:w w:val="105"/>
        </w:rPr>
        <w:t>股。</w:t>
      </w:r>
      <w:r>
        <w:rPr/>
      </w:r>
    </w:p>
    <w:p>
      <w:pPr>
        <w:spacing w:line="240" w:lineRule="auto" w:before="4"/>
        <w:rPr>
          <w:rFonts w:ascii="宋体" w:hAnsi="宋体" w:cs="宋体" w:eastAsia="宋体" w:hint="default"/>
          <w:sz w:val="14"/>
          <w:szCs w:val="14"/>
        </w:rPr>
      </w:pPr>
    </w:p>
    <w:p>
      <w:pPr>
        <w:pStyle w:val="Heading8"/>
        <w:spacing w:line="304" w:lineRule="auto"/>
        <w:ind w:right="1120" w:firstLine="405"/>
        <w:jc w:val="left"/>
      </w:pPr>
      <w:bookmarkStart w:name="2019年4月10日，召开第三届董事会第十四次会议，公司名称变更为宣亚国际营销科" w:id="170"/>
      <w:bookmarkEnd w:id="170"/>
      <w:r>
        <w:rPr/>
      </w:r>
      <w:r>
        <w:rPr>
          <w:rFonts w:ascii="宋体" w:hAnsi="宋体" w:cs="宋体" w:eastAsia="宋体" w:hint="default"/>
          <w:w w:val="105"/>
        </w:rPr>
        <w:t>2019</w:t>
      </w:r>
      <w:r>
        <w:rPr>
          <w:rFonts w:ascii="宋体" w:hAnsi="宋体" w:cs="宋体" w:eastAsia="宋体" w:hint="default"/>
          <w:spacing w:val="-48"/>
          <w:w w:val="105"/>
        </w:rPr>
        <w:t> </w:t>
      </w:r>
      <w:r>
        <w:rPr>
          <w:w w:val="105"/>
        </w:rPr>
        <w:t>年</w:t>
      </w:r>
      <w:r>
        <w:rPr>
          <w:spacing w:val="-63"/>
          <w:w w:val="105"/>
        </w:rPr>
        <w:t> </w:t>
      </w:r>
      <w:r>
        <w:rPr>
          <w:rFonts w:ascii="宋体" w:hAnsi="宋体" w:cs="宋体" w:eastAsia="宋体" w:hint="default"/>
          <w:w w:val="105"/>
        </w:rPr>
        <w:t>4</w:t>
      </w:r>
      <w:r>
        <w:rPr>
          <w:rFonts w:ascii="宋体" w:hAnsi="宋体" w:cs="宋体" w:eastAsia="宋体" w:hint="default"/>
          <w:spacing w:val="-49"/>
          <w:w w:val="105"/>
        </w:rPr>
        <w:t> </w:t>
      </w:r>
      <w:r>
        <w:rPr>
          <w:w w:val="105"/>
        </w:rPr>
        <w:t>月</w:t>
      </w:r>
      <w:r>
        <w:rPr>
          <w:spacing w:val="-53"/>
          <w:w w:val="105"/>
        </w:rPr>
        <w:t> </w:t>
      </w:r>
      <w:r>
        <w:rPr>
          <w:rFonts w:ascii="宋体" w:hAnsi="宋体" w:cs="宋体" w:eastAsia="宋体" w:hint="default"/>
          <w:spacing w:val="-4"/>
          <w:w w:val="105"/>
        </w:rPr>
        <w:t>10</w:t>
      </w:r>
      <w:r>
        <w:rPr>
          <w:rFonts w:ascii="宋体" w:hAnsi="宋体" w:cs="宋体" w:eastAsia="宋体" w:hint="default"/>
          <w:spacing w:val="-49"/>
          <w:w w:val="105"/>
        </w:rPr>
        <w:t> </w:t>
      </w:r>
      <w:r>
        <w:rPr>
          <w:spacing w:val="3"/>
          <w:w w:val="105"/>
        </w:rPr>
        <w:t>日，召开第三届董事会第十四次会议，公司名称变更为宣亚国际营销科技（北京）股份有</w:t>
      </w:r>
      <w:r>
        <w:rPr>
          <w:w w:val="102"/>
        </w:rPr>
        <w:t> </w:t>
      </w:r>
      <w:r>
        <w:rPr>
          <w:w w:val="105"/>
        </w:rPr>
        <w:t>限公司。</w:t>
      </w:r>
      <w:r>
        <w:rPr/>
      </w:r>
    </w:p>
    <w:p>
      <w:pPr>
        <w:pStyle w:val="Heading8"/>
        <w:spacing w:line="290" w:lineRule="auto" w:before="135"/>
        <w:ind w:right="1121" w:firstLine="405"/>
        <w:jc w:val="left"/>
      </w:pPr>
      <w:bookmarkStart w:name="截至2019年12月31日止，本公司累计股本总数16,200万股，注册资本为16" w:id="171"/>
      <w:bookmarkEnd w:id="171"/>
      <w:r>
        <w:rPr/>
      </w:r>
      <w:r>
        <w:rPr>
          <w:w w:val="105"/>
        </w:rPr>
        <w:t>截至</w:t>
      </w:r>
      <w:r>
        <w:rPr>
          <w:spacing w:val="-70"/>
          <w:w w:val="105"/>
        </w:rPr>
        <w:t> </w:t>
      </w:r>
      <w:r>
        <w:rPr>
          <w:rFonts w:ascii="宋体" w:hAnsi="宋体" w:cs="宋体" w:eastAsia="宋体" w:hint="default"/>
          <w:spacing w:val="4"/>
          <w:w w:val="105"/>
        </w:rPr>
        <w:t>2019</w:t>
      </w:r>
      <w:r>
        <w:rPr>
          <w:rFonts w:ascii="宋体" w:hAnsi="宋体" w:cs="宋体" w:eastAsia="宋体" w:hint="default"/>
          <w:spacing w:val="-65"/>
          <w:w w:val="105"/>
        </w:rPr>
        <w:t> </w:t>
      </w:r>
      <w:r>
        <w:rPr>
          <w:w w:val="105"/>
        </w:rPr>
        <w:t>年</w:t>
      </w:r>
      <w:r>
        <w:rPr>
          <w:spacing w:val="-70"/>
          <w:w w:val="105"/>
        </w:rPr>
        <w:t> </w:t>
      </w:r>
      <w:r>
        <w:rPr>
          <w:rFonts w:ascii="宋体" w:hAnsi="宋体" w:cs="宋体" w:eastAsia="宋体" w:hint="default"/>
          <w:spacing w:val="3"/>
          <w:w w:val="105"/>
        </w:rPr>
        <w:t>12</w:t>
      </w:r>
      <w:r>
        <w:rPr>
          <w:rFonts w:ascii="宋体" w:hAnsi="宋体" w:cs="宋体" w:eastAsia="宋体" w:hint="default"/>
          <w:spacing w:val="-66"/>
          <w:w w:val="105"/>
        </w:rPr>
        <w:t> </w:t>
      </w:r>
      <w:r>
        <w:rPr>
          <w:w w:val="105"/>
        </w:rPr>
        <w:t>月</w:t>
      </w:r>
      <w:r>
        <w:rPr>
          <w:spacing w:val="-70"/>
          <w:w w:val="105"/>
        </w:rPr>
        <w:t> </w:t>
      </w:r>
      <w:r>
        <w:rPr>
          <w:rFonts w:ascii="宋体" w:hAnsi="宋体" w:cs="宋体" w:eastAsia="宋体" w:hint="default"/>
          <w:spacing w:val="3"/>
          <w:w w:val="105"/>
        </w:rPr>
        <w:t>31</w:t>
      </w:r>
      <w:r>
        <w:rPr>
          <w:rFonts w:ascii="宋体" w:hAnsi="宋体" w:cs="宋体" w:eastAsia="宋体" w:hint="default"/>
          <w:spacing w:val="-65"/>
          <w:w w:val="105"/>
        </w:rPr>
        <w:t> </w:t>
      </w:r>
      <w:r>
        <w:rPr>
          <w:spacing w:val="3"/>
          <w:w w:val="105"/>
        </w:rPr>
        <w:t>日止，本公司累计股本总数</w:t>
      </w:r>
      <w:r>
        <w:rPr>
          <w:spacing w:val="-70"/>
          <w:w w:val="105"/>
        </w:rPr>
        <w:t> </w:t>
      </w:r>
      <w:r>
        <w:rPr>
          <w:rFonts w:ascii="宋体" w:hAnsi="宋体" w:cs="宋体" w:eastAsia="宋体" w:hint="default"/>
          <w:spacing w:val="5"/>
          <w:w w:val="105"/>
        </w:rPr>
        <w:t>16,200</w:t>
      </w:r>
      <w:r>
        <w:rPr>
          <w:rFonts w:ascii="宋体" w:hAnsi="宋体" w:cs="宋体" w:eastAsia="宋体" w:hint="default"/>
          <w:spacing w:val="-66"/>
          <w:w w:val="105"/>
        </w:rPr>
        <w:t> </w:t>
      </w:r>
      <w:r>
        <w:rPr>
          <w:w w:val="105"/>
        </w:rPr>
        <w:t>万股，注册资本为</w:t>
      </w:r>
      <w:r>
        <w:rPr>
          <w:spacing w:val="-70"/>
          <w:w w:val="105"/>
        </w:rPr>
        <w:t> </w:t>
      </w:r>
      <w:r>
        <w:rPr>
          <w:rFonts w:ascii="宋体" w:hAnsi="宋体" w:cs="宋体" w:eastAsia="宋体" w:hint="default"/>
          <w:spacing w:val="5"/>
          <w:w w:val="105"/>
        </w:rPr>
        <w:t>16,200</w:t>
      </w:r>
      <w:r>
        <w:rPr>
          <w:rFonts w:ascii="宋体" w:hAnsi="宋体" w:cs="宋体" w:eastAsia="宋体" w:hint="default"/>
          <w:spacing w:val="-65"/>
          <w:w w:val="105"/>
        </w:rPr>
        <w:t> </w:t>
      </w:r>
      <w:r>
        <w:rPr>
          <w:w w:val="105"/>
        </w:rPr>
        <w:t>万元，统一社会信用代</w:t>
      </w:r>
      <w:r>
        <w:rPr>
          <w:w w:val="102"/>
        </w:rPr>
        <w:t> </w:t>
      </w:r>
      <w:r>
        <w:rPr>
          <w:spacing w:val="3"/>
        </w:rPr>
        <w:t>码：</w:t>
      </w:r>
      <w:r>
        <w:rPr>
          <w:rFonts w:ascii="宋体" w:hAnsi="宋体" w:cs="宋体" w:eastAsia="宋体" w:hint="default"/>
          <w:spacing w:val="3"/>
        </w:rPr>
        <w:t>911100007985463865</w:t>
      </w:r>
      <w:r>
        <w:rPr>
          <w:spacing w:val="3"/>
        </w:rPr>
        <w:t>，法定代表人：邬涛，注册地址：北京市朝阳区八里庄东里 </w:t>
      </w:r>
      <w:r>
        <w:rPr>
          <w:rFonts w:ascii="宋体" w:hAnsi="宋体" w:cs="宋体" w:eastAsia="宋体" w:hint="default"/>
        </w:rPr>
        <w:t>1  </w:t>
      </w:r>
      <w:r>
        <w:rPr/>
        <w:t>号</w:t>
      </w:r>
      <w:r>
        <w:rPr>
          <w:spacing w:val="37"/>
        </w:rPr>
        <w:t> </w:t>
      </w:r>
      <w:r>
        <w:rPr>
          <w:rFonts w:ascii="宋体" w:hAnsi="宋体" w:cs="宋体" w:eastAsia="宋体" w:hint="default"/>
          <w:spacing w:val="5"/>
        </w:rPr>
        <w:t>CN02-B</w:t>
      </w:r>
      <w:r>
        <w:rPr>
          <w:spacing w:val="5"/>
        </w:rPr>
        <w:t>。</w:t>
      </w:r>
    </w:p>
    <w:p>
      <w:pPr>
        <w:pStyle w:val="Heading8"/>
        <w:spacing w:line="304" w:lineRule="auto" w:before="147"/>
        <w:ind w:right="0" w:firstLine="405"/>
        <w:jc w:val="left"/>
      </w:pPr>
      <w:bookmarkStart w:name="本公司主要经营活动为：技术开发、技术推广、技术转让、技术咨询、技术服务；营销策划" w:id="172"/>
      <w:bookmarkEnd w:id="172"/>
      <w:r>
        <w:rPr/>
      </w:r>
      <w:r>
        <w:rPr>
          <w:spacing w:val="5"/>
        </w:rPr>
        <w:t>本公司主要经营活动为：技术开发、技术推广、技术转让、技术咨询、技术服务；营销策划、企业策划；</w:t>
      </w:r>
      <w:r>
        <w:rPr>
          <w:w w:val="102"/>
        </w:rPr>
        <w:t> </w:t>
      </w:r>
      <w:r>
        <w:rPr>
          <w:spacing w:val="3"/>
        </w:rPr>
        <w:t>计算机系统服务；企业管理咨询；经济贸易咨询；承办展览展示活动；市场信息调查咨询；设计、制作、代理、</w:t>
      </w:r>
      <w:r>
        <w:rPr>
          <w:spacing w:val="84"/>
        </w:rPr>
        <w:t> </w:t>
      </w:r>
      <w:r>
        <w:rPr>
          <w:spacing w:val="84"/>
        </w:rPr>
      </w:r>
      <w:r>
        <w:rPr>
          <w:spacing w:val="4"/>
          <w:w w:val="105"/>
        </w:rPr>
        <w:t>发布广告；出租办公用房、物业管理。</w:t>
      </w:r>
      <w:r>
        <w:rPr>
          <w:spacing w:val="4"/>
        </w:rPr>
      </w:r>
    </w:p>
    <w:p>
      <w:pPr>
        <w:spacing w:line="240" w:lineRule="auto" w:before="2"/>
        <w:rPr>
          <w:rFonts w:ascii="宋体" w:hAnsi="宋体" w:cs="宋体" w:eastAsia="宋体" w:hint="default"/>
          <w:sz w:val="24"/>
          <w:szCs w:val="24"/>
        </w:rPr>
      </w:pPr>
    </w:p>
    <w:p>
      <w:pPr>
        <w:pStyle w:val="Heading8"/>
        <w:spacing w:line="240" w:lineRule="auto"/>
        <w:ind w:left="546" w:right="0"/>
        <w:jc w:val="left"/>
      </w:pPr>
      <w:bookmarkStart w:name="本财务报表业经公司全体董事于2020年4月16日批准报出。" w:id="173"/>
      <w:bookmarkEnd w:id="173"/>
      <w:r>
        <w:rPr/>
      </w:r>
      <w:r>
        <w:rPr>
          <w:spacing w:val="4"/>
          <w:w w:val="105"/>
        </w:rPr>
        <w:t>本财务报表业经公司全体董事于</w:t>
      </w:r>
      <w:r>
        <w:rPr>
          <w:spacing w:val="-69"/>
          <w:w w:val="105"/>
        </w:rPr>
        <w:t> </w:t>
      </w:r>
      <w:r>
        <w:rPr>
          <w:rFonts w:ascii="宋体" w:hAnsi="宋体" w:cs="宋体" w:eastAsia="宋体" w:hint="default"/>
          <w:spacing w:val="4"/>
          <w:w w:val="105"/>
        </w:rPr>
        <w:t>2020</w:t>
      </w:r>
      <w:r>
        <w:rPr>
          <w:rFonts w:ascii="宋体" w:hAnsi="宋体" w:cs="宋体" w:eastAsia="宋体" w:hint="default"/>
          <w:spacing w:val="-65"/>
          <w:w w:val="105"/>
        </w:rPr>
        <w:t> </w:t>
      </w:r>
      <w:r>
        <w:rPr>
          <w:w w:val="105"/>
        </w:rPr>
        <w:t>年</w:t>
      </w:r>
      <w:r>
        <w:rPr>
          <w:spacing w:val="-70"/>
          <w:w w:val="105"/>
        </w:rPr>
        <w:t> </w:t>
      </w:r>
      <w:r>
        <w:rPr>
          <w:rFonts w:ascii="宋体" w:hAnsi="宋体" w:cs="宋体" w:eastAsia="宋体" w:hint="default"/>
          <w:w w:val="105"/>
        </w:rPr>
        <w:t>4</w:t>
      </w:r>
      <w:r>
        <w:rPr>
          <w:rFonts w:ascii="宋体" w:hAnsi="宋体" w:cs="宋体" w:eastAsia="宋体" w:hint="default"/>
          <w:spacing w:val="-66"/>
          <w:w w:val="105"/>
        </w:rPr>
        <w:t> </w:t>
      </w:r>
      <w:r>
        <w:rPr>
          <w:w w:val="105"/>
        </w:rPr>
        <w:t>月</w:t>
      </w:r>
      <w:r>
        <w:rPr>
          <w:spacing w:val="-70"/>
          <w:w w:val="105"/>
        </w:rPr>
        <w:t> </w:t>
      </w:r>
      <w:r>
        <w:rPr>
          <w:rFonts w:ascii="宋体" w:hAnsi="宋体" w:cs="宋体" w:eastAsia="宋体" w:hint="default"/>
          <w:spacing w:val="3"/>
          <w:w w:val="105"/>
        </w:rPr>
        <w:t>16</w:t>
      </w:r>
      <w:r>
        <w:rPr>
          <w:rFonts w:ascii="宋体" w:hAnsi="宋体" w:cs="宋体" w:eastAsia="宋体" w:hint="default"/>
          <w:spacing w:val="-66"/>
          <w:w w:val="105"/>
        </w:rPr>
        <w:t> </w:t>
      </w:r>
      <w:r>
        <w:rPr>
          <w:spacing w:val="4"/>
          <w:w w:val="105"/>
        </w:rPr>
        <w:t>日批准报出。</w:t>
      </w:r>
      <w:r>
        <w:rPr>
          <w:spacing w:val="4"/>
        </w:rPr>
      </w:r>
    </w:p>
    <w:p>
      <w:pPr>
        <w:spacing w:after="0" w:line="240" w:lineRule="auto"/>
        <w:jc w:val="left"/>
        <w:sectPr>
          <w:headerReference w:type="default" r:id="rId39"/>
          <w:footerReference w:type="default" r:id="rId40"/>
          <w:pgSz w:w="11910" w:h="16850"/>
          <w:pgMar w:header="866" w:footer="981" w:top="1120" w:bottom="1180" w:left="1000" w:right="0"/>
          <w:pgNumType w:start="12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6023"/>
      </w:tblGrid>
      <w:tr>
        <w:trPr>
          <w:trHeight w:val="345" w:hRule="exact"/>
        </w:trPr>
        <w:tc>
          <w:tcPr>
            <w:tcW w:w="60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30"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北京品推宝移动科技有限公司</w:t>
            </w:r>
          </w:p>
        </w:tc>
      </w:tr>
      <w:tr>
        <w:trPr>
          <w:trHeight w:val="345"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上海宣亚人工智能科技有限公司</w:t>
            </w:r>
          </w:p>
        </w:tc>
      </w:tr>
      <w:tr>
        <w:trPr>
          <w:trHeight w:val="345"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上海至深大数据科技有限公司</w:t>
            </w:r>
          </w:p>
        </w:tc>
      </w:tr>
      <w:tr>
        <w:trPr>
          <w:trHeight w:val="345"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秦皇岛宣亚公共关系顾问有限公司</w:t>
            </w:r>
          </w:p>
        </w:tc>
      </w:tr>
      <w:tr>
        <w:trPr>
          <w:trHeight w:val="345"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云目未来科技（北京）有限公司</w:t>
            </w:r>
          </w:p>
        </w:tc>
      </w:tr>
      <w:tr>
        <w:trPr>
          <w:trHeight w:val="330"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云目未来科技（湖南）有限公司</w:t>
            </w:r>
          </w:p>
        </w:tc>
      </w:tr>
      <w:tr>
        <w:trPr>
          <w:trHeight w:val="346"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北京宣亚国际品牌咨询有限公司</w:t>
            </w:r>
          </w:p>
        </w:tc>
      </w:tr>
      <w:tr>
        <w:trPr>
          <w:trHeight w:val="345"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广州宣亚品牌管理有限公司</w:t>
            </w:r>
          </w:p>
        </w:tc>
      </w:tr>
      <w:tr>
        <w:trPr>
          <w:trHeight w:val="345"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天津星言云汇网络科技有限公司</w:t>
            </w:r>
          </w:p>
        </w:tc>
      </w:tr>
      <w:tr>
        <w:trPr>
          <w:trHeight w:val="346"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北京星声场网络科技有限公司</w:t>
            </w:r>
          </w:p>
        </w:tc>
      </w:tr>
      <w:tr>
        <w:trPr>
          <w:trHeight w:val="330"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北京云柯网络科技有限公司</w:t>
            </w:r>
          </w:p>
        </w:tc>
      </w:tr>
      <w:tr>
        <w:trPr>
          <w:trHeight w:val="346"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北京星畅网络科技有限公司</w:t>
            </w:r>
          </w:p>
        </w:tc>
      </w:tr>
      <w:tr>
        <w:trPr>
          <w:trHeight w:val="345"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北京新兵连文化传媒有限公司</w:t>
            </w:r>
          </w:p>
        </w:tc>
      </w:tr>
      <w:tr>
        <w:trPr>
          <w:trHeight w:val="345"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SHUNYA INTERNATIONAL</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宣亚国际有限公司</w:t>
            </w:r>
            <w:r>
              <w:rPr>
                <w:rFonts w:ascii="Times New Roman" w:hAnsi="Times New Roman" w:cs="Times New Roman" w:eastAsia="Times New Roman" w:hint="default"/>
                <w:sz w:val="18"/>
                <w:szCs w:val="18"/>
              </w:rPr>
              <w:t>)</w:t>
            </w:r>
          </w:p>
        </w:tc>
      </w:tr>
      <w:tr>
        <w:trPr>
          <w:trHeight w:val="331" w:hRule="exact"/>
        </w:trPr>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北京金色区块网络科技有限公司</w:t>
            </w:r>
          </w:p>
        </w:tc>
      </w:tr>
    </w:tbl>
    <w:p>
      <w:pPr>
        <w:pStyle w:val="BodyText"/>
        <w:spacing w:line="235" w:lineRule="exact"/>
        <w:ind w:left="216" w:right="0"/>
        <w:jc w:val="left"/>
      </w:pPr>
      <w:r>
        <w:rPr/>
        <w:t>本期合并财务报表范围及其变化情况详见本附注“八、合并范围的变更” 和</w:t>
      </w:r>
      <w:r>
        <w:rPr>
          <w:spacing w:val="6"/>
        </w:rPr>
        <w:t> </w:t>
      </w:r>
      <w:r>
        <w:rPr/>
        <w:t>“九、在其他主体中的权益”。</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四、财务报表的编制基础" w:id="174"/>
      <w:bookmarkEnd w:id="174"/>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编制基础" w:id="175"/>
      <w:bookmarkEnd w:id="17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295" w:lineRule="auto"/>
        <w:ind w:right="1126" w:firstLine="390"/>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基本准则》和各项具体 </w:t>
      </w:r>
      <w:r>
        <w:rPr>
          <w:spacing w:val="-2"/>
        </w:rPr>
        <w:t>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w:t>
      </w:r>
      <w:r>
        <w:rPr>
          <w:spacing w:val="-42"/>
        </w:rPr>
        <w:t> </w:t>
      </w:r>
      <w:r>
        <w:rPr>
          <w:spacing w:val="-42"/>
        </w:rPr>
      </w:r>
      <w:r>
        <w:rPr/>
        <w:t>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5"/>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3"/>
        <w:rPr>
          <w:rFonts w:ascii="宋体" w:hAnsi="宋体" w:cs="宋体" w:eastAsia="宋体" w:hint="default"/>
          <w:sz w:val="22"/>
          <w:szCs w:val="22"/>
        </w:rPr>
      </w:pPr>
    </w:p>
    <w:p>
      <w:pPr>
        <w:pStyle w:val="Heading5"/>
        <w:spacing w:line="240" w:lineRule="auto"/>
        <w:ind w:right="0"/>
        <w:jc w:val="left"/>
        <w:rPr>
          <w:b w:val="0"/>
          <w:bCs w:val="0"/>
        </w:rPr>
      </w:pPr>
      <w:bookmarkStart w:name="2、持续经营" w:id="176"/>
      <w:bookmarkEnd w:id="17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41" w:right="0"/>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五、重要会计政策及会计估计" w:id="177"/>
      <w:bookmarkEnd w:id="177"/>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350" w:lineRule="auto"/>
        <w:ind w:left="546" w:right="0" w:hanging="406"/>
        <w:jc w:val="left"/>
      </w:pPr>
      <w:r>
        <w:rPr/>
        <w:t>具体会计政策和会计估计提示： 以下披露内容已涵盖了本公司根据实际生产经营特点制定的具体会计政策和会计估计。详见本附注“五、（三十九）</w:t>
      </w:r>
    </w:p>
    <w:p>
      <w:pPr>
        <w:pStyle w:val="BodyText"/>
        <w:spacing w:line="233" w:lineRule="exact"/>
        <w:ind w:right="0"/>
        <w:jc w:val="left"/>
      </w:pPr>
      <w:r>
        <w:rPr/>
        <w:t>收入”。</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遵循企业会计准则的声明" w:id="178"/>
      <w:bookmarkEnd w:id="17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1127" w:firstLine="390"/>
        <w:jc w:val="both"/>
      </w:pPr>
      <w:r>
        <w:rPr/>
        <w:t>本财务报表符合财政部颁布的企业会计准则的要求，真实、完整地反映了本公司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 状况以及</w:t>
      </w:r>
      <w:r>
        <w:rPr>
          <w:rFonts w:ascii="Times New Roman" w:hAnsi="Times New Roman" w:cs="Times New Roman" w:eastAsia="Times New Roman" w:hint="default"/>
        </w:rPr>
        <w:t>2019</w:t>
      </w:r>
      <w:r>
        <w:rPr/>
        <w:t>年度的合并及母公司经营成果和现金流量。</w:t>
      </w:r>
    </w:p>
    <w:p>
      <w:pPr>
        <w:spacing w:after="0" w:line="304" w:lineRule="auto"/>
        <w:jc w:val="both"/>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会计期间" w:id="179"/>
      <w:bookmarkEnd w:id="17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41"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营业周期" w:id="180"/>
      <w:bookmarkEnd w:id="18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41" w:right="0"/>
        <w:jc w:val="left"/>
      </w:pPr>
      <w:r>
        <w:rPr/>
        <w:t>本公司营业周期为</w:t>
      </w:r>
      <w:r>
        <w:rPr>
          <w:rFonts w:ascii="Times New Roman" w:hAnsi="Times New Roman" w:cs="Times New Roman" w:eastAsia="Times New Roman" w:hint="default"/>
        </w:rPr>
        <w:t>12</w:t>
      </w:r>
      <w:r>
        <w:rPr/>
        <w:t>个月。</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bookmarkStart w:name="4、记账本位币" w:id="181"/>
      <w:bookmarkEnd w:id="18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本公司采用人民币为记账本位币。</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同一控制下和非同一控制下企业合并的会计处理方法" w:id="182"/>
      <w:bookmarkEnd w:id="18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110" w:firstLine="390"/>
        <w:jc w:val="both"/>
      </w:pPr>
      <w:r>
        <w:rPr/>
        <w:t>同一控制下企业合并：合并方在企业合并中取得的资产和负债，按照合并日被合并方资产、负债（包括最终控制方收 </w:t>
      </w:r>
      <w:r>
        <w:rPr>
          <w:spacing w:val="-2"/>
        </w:rPr>
        <w:t>购被合并方而形成的商誉）在最终控制方合并财务报表中的账面价值计量。在合并中取得的净资产账面价值与支付的合并对</w:t>
      </w:r>
      <w:r>
        <w:rPr>
          <w:spacing w:val="-72"/>
        </w:rPr>
        <w:t> </w:t>
      </w:r>
      <w:r>
        <w:rPr>
          <w:spacing w:val="-72"/>
        </w:rPr>
      </w:r>
      <w:r>
        <w:rPr>
          <w:spacing w:val="-2"/>
        </w:rPr>
        <w:t>价账面价值（或发行股份面值总额）的差额，调整资本公积中的股本溢价，资本公积中的股本溢价不足冲减的，调整留存收</w:t>
      </w:r>
      <w:r>
        <w:rPr>
          <w:spacing w:val="-47"/>
        </w:rPr>
        <w:t> </w:t>
      </w:r>
      <w:r>
        <w:rPr>
          <w:spacing w:val="-47"/>
        </w:rPr>
      </w:r>
      <w:r>
        <w:rPr/>
        <w:t>益。</w:t>
      </w:r>
    </w:p>
    <w:p>
      <w:pPr>
        <w:pStyle w:val="BodyText"/>
        <w:spacing w:line="321" w:lineRule="auto" w:before="22"/>
        <w:ind w:right="1136" w:firstLine="390"/>
        <w:jc w:val="both"/>
      </w:pPr>
      <w:r>
        <w:rPr/>
        <w:t>非同一控制下企业合并：购买方在购买日对作为企业合并对价付出的资产、发生或承担的负债按照公允价值计量，公 </w:t>
      </w:r>
      <w:r>
        <w:rPr>
          <w:spacing w:val="-2"/>
        </w:rPr>
        <w:t>允价值与其账面价值的差额，计入当期损益。合并成本大于合并中取得的被购买方可辨认净资产公允价值份额的差额，确认</w:t>
      </w:r>
      <w:r>
        <w:rPr>
          <w:spacing w:val="-75"/>
        </w:rPr>
        <w:t> </w:t>
      </w:r>
      <w:r>
        <w:rPr>
          <w:spacing w:val="-75"/>
        </w:rPr>
      </w:r>
      <w:r>
        <w:rPr/>
        <w:t>为商誉；合并成本小于合并中取得的被购买方可辨认净资产公允价值份额的差额，计入当期损益。</w:t>
      </w:r>
    </w:p>
    <w:p>
      <w:pPr>
        <w:pStyle w:val="BodyText"/>
        <w:spacing w:line="307" w:lineRule="auto" w:before="18"/>
        <w:ind w:right="1197" w:firstLine="390"/>
        <w:jc w:val="both"/>
      </w:pPr>
      <w:r>
        <w:rPr/>
        <w:t>为企业合并发生的直接相关费用于发生时计入当期损益；为企业合并而发行权益性证券或债务性证券的交易费用，计 入权益性证券或债务性证券的初始确认金额。</w:t>
      </w:r>
    </w:p>
    <w:p>
      <w:pPr>
        <w:spacing w:line="240" w:lineRule="auto" w:before="11"/>
        <w:rPr>
          <w:rFonts w:ascii="宋体" w:hAnsi="宋体" w:cs="宋体" w:eastAsia="宋体" w:hint="default"/>
          <w:sz w:val="24"/>
          <w:szCs w:val="24"/>
        </w:rPr>
      </w:pPr>
    </w:p>
    <w:p>
      <w:pPr>
        <w:pStyle w:val="Heading5"/>
        <w:spacing w:line="240" w:lineRule="auto"/>
        <w:ind w:right="0"/>
        <w:jc w:val="left"/>
        <w:rPr>
          <w:b w:val="0"/>
          <w:bCs w:val="0"/>
        </w:rPr>
      </w:pPr>
      <w:bookmarkStart w:name="6、合并财务报表的编制方法" w:id="183"/>
      <w:bookmarkEnd w:id="18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290" w:lineRule="auto"/>
        <w:ind w:left="441" w:right="3969"/>
        <w:jc w:val="left"/>
      </w:pPr>
      <w:r>
        <w:rPr>
          <w:rFonts w:ascii="Times New Roman" w:hAnsi="Times New Roman" w:cs="Times New Roman" w:eastAsia="Times New Roman" w:hint="default"/>
        </w:rPr>
        <w:t>1</w:t>
      </w:r>
      <w:r>
        <w:rPr/>
        <w:t>、合并范围 合并财务报表的合并范围以控制为基础确定，合并范围包括本公司及全部子公司。</w:t>
      </w:r>
    </w:p>
    <w:p>
      <w:pPr>
        <w:spacing w:line="240" w:lineRule="auto" w:before="0"/>
        <w:rPr>
          <w:rFonts w:ascii="宋体" w:hAnsi="宋体" w:cs="宋体" w:eastAsia="宋体" w:hint="default"/>
          <w:sz w:val="18"/>
          <w:szCs w:val="18"/>
        </w:rPr>
      </w:pPr>
    </w:p>
    <w:p>
      <w:pPr>
        <w:pStyle w:val="BodyText"/>
        <w:spacing w:line="288" w:lineRule="auto" w:before="121"/>
        <w:ind w:left="441" w:right="1089"/>
        <w:jc w:val="left"/>
      </w:pPr>
      <w:r>
        <w:rPr>
          <w:rFonts w:ascii="Times New Roman" w:hAnsi="Times New Roman" w:cs="Times New Roman" w:eastAsia="Times New Roman" w:hint="default"/>
        </w:rPr>
        <w:t>2</w:t>
      </w:r>
      <w:r>
        <w:rPr/>
        <w:t>、合并程序 本公司以自身和各子公司的财务报表为基础，根据其他有关资料，编制合并财务报表。本公司编制合并财务报表，将整</w:t>
      </w:r>
    </w:p>
    <w:p>
      <w:pPr>
        <w:pStyle w:val="BodyText"/>
        <w:spacing w:line="321" w:lineRule="auto" w:before="44"/>
        <w:ind w:right="0"/>
        <w:jc w:val="left"/>
      </w:pPr>
      <w:r>
        <w:rPr>
          <w:spacing w:val="-2"/>
        </w:rPr>
        <w:t>个企业集团视为一个会计主体，依据相关企业会计准则的确认、计量和列报要求，按照统一的会计政策，反映本企业集团整</w:t>
      </w:r>
      <w:r>
        <w:rPr>
          <w:spacing w:val="-42"/>
        </w:rPr>
        <w:t> </w:t>
      </w:r>
      <w:r>
        <w:rPr>
          <w:spacing w:val="-42"/>
        </w:rPr>
      </w:r>
      <w:r>
        <w:rPr/>
        <w:t>体财务状况、经营成果和现金流量。</w:t>
      </w:r>
    </w:p>
    <w:p>
      <w:pPr>
        <w:pStyle w:val="BodyText"/>
        <w:spacing w:line="316" w:lineRule="auto" w:before="19"/>
        <w:ind w:right="1029" w:firstLine="300"/>
        <w:jc w:val="left"/>
      </w:pPr>
      <w:r>
        <w:rPr/>
        <w:t>所有纳入合并财务报表合并范围的子公司所采用的会计政策、会计期间与本公司一致，如子公司采用的会计政策、会计 </w:t>
      </w:r>
      <w:r>
        <w:rPr>
          <w:spacing w:val="-2"/>
        </w:rPr>
        <w:t>期间与本公司不一致的，在编制合并财务报表时，按本公司的会计政策、会计期间进行必要的调整。对于非同一控制下企业</w:t>
      </w:r>
      <w:r>
        <w:rPr>
          <w:spacing w:val="-39"/>
        </w:rPr>
        <w:t> </w:t>
      </w:r>
      <w:r>
        <w:rPr>
          <w:spacing w:val="-39"/>
        </w:rPr>
      </w:r>
      <w:r>
        <w:rPr>
          <w:spacing w:val="-4"/>
        </w:rPr>
        <w:t>合并取得的子公司，以购买日可辨认净资产公允价值为基础对其财务报表进行调整。对于同一控制下企业合并取得的子公司，</w:t>
      </w:r>
      <w:r>
        <w:rPr>
          <w:spacing w:val="-50"/>
        </w:rPr>
        <w:t> </w:t>
      </w:r>
      <w:r>
        <w:rPr>
          <w:spacing w:val="-50"/>
        </w:rPr>
      </w:r>
      <w:r>
        <w:rPr>
          <w:spacing w:val="-2"/>
        </w:rPr>
        <w:t>以其资产、负债（包括最终控制方收购该子公司而形成的商誉）在最终控制方财务报表中的账面价值为基础对其财务报表进</w:t>
      </w:r>
      <w:r>
        <w:rPr>
          <w:spacing w:val="-75"/>
        </w:rPr>
        <w:t> </w:t>
      </w:r>
      <w:r>
        <w:rPr>
          <w:spacing w:val="-75"/>
        </w:rPr>
      </w:r>
      <w:r>
        <w:rPr/>
        <w:t>行调整。</w:t>
      </w:r>
    </w:p>
    <w:p>
      <w:pPr>
        <w:pStyle w:val="BodyText"/>
        <w:spacing w:line="314" w:lineRule="auto" w:before="22"/>
        <w:ind w:right="1107" w:firstLine="300"/>
        <w:jc w:val="both"/>
      </w:pPr>
      <w:r>
        <w:rPr/>
        <w:t>子公司所有者权益、当期净损益和当期综合收益中属于少数股东的份额分别在合并资产负债表中所有者权益项目下、合 </w:t>
      </w:r>
      <w:r>
        <w:rPr>
          <w:spacing w:val="-2"/>
        </w:rPr>
        <w:t>并利润表中净利润项目下和综合收益总额项目下单独列示。子公司少数股东分担的当期亏损超过了少数股东在该子公司期初</w:t>
      </w:r>
      <w:r>
        <w:rPr>
          <w:spacing w:val="-50"/>
        </w:rPr>
        <w:t> </w:t>
      </w:r>
      <w:r>
        <w:rPr>
          <w:spacing w:val="-50"/>
        </w:rPr>
      </w:r>
      <w:r>
        <w:rPr/>
        <w:t>所有者权益中所享有份额而形成的余额，冲减少数股东权益。</w:t>
      </w:r>
    </w:p>
    <w:p>
      <w:pPr>
        <w:pStyle w:val="BodyText"/>
        <w:spacing w:line="290" w:lineRule="auto" w:before="39"/>
        <w:ind w:left="441" w:right="1089" w:firstLine="75"/>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在报告期内，若因同一控制下企业合并增加子公司或业务的，则调整合并资产负债表的期初数；将子公司或业务合并当</w:t>
      </w:r>
    </w:p>
    <w:p>
      <w:pPr>
        <w:pStyle w:val="BodyText"/>
        <w:spacing w:line="307" w:lineRule="auto" w:before="41"/>
        <w:ind w:right="0"/>
        <w:jc w:val="left"/>
      </w:pPr>
      <w:r>
        <w:rPr>
          <w:spacing w:val="-2"/>
        </w:rPr>
        <w:t>期期初至报告期末的收入、费用、利润纳入合并利润表；将子公司或业务合并当期期初至报告期末的现金流量纳入合并现金</w:t>
      </w:r>
      <w:r>
        <w:rPr>
          <w:spacing w:val="-75"/>
        </w:rPr>
        <w:t> </w:t>
      </w:r>
      <w:r>
        <w:rPr>
          <w:spacing w:val="-75"/>
        </w:rPr>
      </w:r>
      <w:r>
        <w:rPr/>
        <w:t>流量表，同时对比较报表的相关项目进行调整，视同合并后的报告主体自最终控制方开始控制时点起一直存在。</w:t>
      </w:r>
    </w:p>
    <w:p>
      <w:pPr>
        <w:spacing w:after="0" w:line="307"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16" w:lineRule="auto" w:before="44"/>
        <w:ind w:right="1112" w:firstLine="300"/>
        <w:jc w:val="both"/>
      </w:pPr>
      <w:r>
        <w:rPr>
          <w:spacing w:val="-1"/>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72"/>
        </w:rPr>
        <w:t> </w:t>
      </w:r>
      <w:r>
        <w:rPr>
          <w:spacing w:val="-72"/>
        </w:rPr>
      </w:r>
      <w:r>
        <w:rPr>
          <w:spacing w:val="-2"/>
        </w:rPr>
        <w:t>日孰晚日起至合并日之间已确认有关损益、其他综合收益以及其他净资产变动，分别冲减比较报表期间的期初留存收益或当</w:t>
      </w:r>
      <w:r>
        <w:rPr>
          <w:spacing w:val="-72"/>
        </w:rPr>
        <w:t> </w:t>
      </w:r>
      <w:r>
        <w:rPr>
          <w:spacing w:val="-72"/>
        </w:rPr>
      </w:r>
      <w:r>
        <w:rPr/>
        <w:t>期损益。</w:t>
      </w:r>
    </w:p>
    <w:p>
      <w:pPr>
        <w:pStyle w:val="BodyText"/>
        <w:spacing w:line="321" w:lineRule="auto" w:before="22"/>
        <w:ind w:right="1107" w:firstLine="300"/>
        <w:jc w:val="both"/>
      </w:pPr>
      <w:r>
        <w:rPr/>
        <w:t>在报告期内，若因非同一控制下企业合并增加子公司或业务的，则不调整合并资产负债表期初数；将该子公司或业务自 </w:t>
      </w:r>
      <w:r>
        <w:rPr>
          <w:spacing w:val="-2"/>
        </w:rPr>
        <w:t>购买日至报告期末的收入、费用、利润纳入合并利润表；该子公司或业务自购买日至报告期末的现金流量纳入合并现金流量</w:t>
      </w:r>
      <w:r>
        <w:rPr>
          <w:spacing w:val="-75"/>
        </w:rPr>
        <w:t> </w:t>
      </w:r>
      <w:r>
        <w:rPr>
          <w:spacing w:val="-75"/>
        </w:rPr>
      </w:r>
      <w:r>
        <w:rPr/>
        <w:t>表。</w:t>
      </w:r>
    </w:p>
    <w:p>
      <w:pPr>
        <w:pStyle w:val="BodyText"/>
        <w:spacing w:line="316" w:lineRule="auto" w:before="18"/>
        <w:ind w:right="1103" w:firstLine="300"/>
        <w:jc w:val="both"/>
      </w:pPr>
      <w:r>
        <w:rPr/>
        <w:t>因追加投资等原因能够对非同一控制下的被投资方实施控制的，对于购买日之前持有的被购买方的股权，本公司按照该 </w:t>
      </w:r>
      <w:r>
        <w:rPr>
          <w:spacing w:val="-2"/>
        </w:rPr>
        <w:t>股权在购买日的公允价值进行重新计量，公允价值与其账面价值的差额计入当期投资收益。购买日之前持有的被购买方的股</w:t>
      </w:r>
      <w:r>
        <w:rPr>
          <w:spacing w:val="-72"/>
        </w:rPr>
        <w:t> </w:t>
      </w:r>
      <w:r>
        <w:rPr>
          <w:spacing w:val="-72"/>
        </w:rPr>
      </w:r>
      <w:r>
        <w:rPr>
          <w:spacing w:val="-2"/>
        </w:rPr>
        <w:t>权涉及权益法核算下的其他综合收益以及除净损益、其他综合收益和利润分配之外的其他所有者权益变动的，与其相关的其</w:t>
      </w:r>
      <w:r>
        <w:rPr>
          <w:spacing w:val="-72"/>
        </w:rPr>
        <w:t> </w:t>
      </w:r>
      <w:r>
        <w:rPr>
          <w:spacing w:val="-72"/>
        </w:rPr>
      </w:r>
      <w:r>
        <w:rPr>
          <w:spacing w:val="-2"/>
        </w:rPr>
        <w:t>他综合收益、其他所有者权益变动转为购买日所属当期投资收益，由于被投资方重新计量设定受益计划净负债或净资产变动</w:t>
      </w:r>
      <w:r>
        <w:rPr>
          <w:spacing w:val="-72"/>
        </w:rPr>
        <w:t> </w:t>
      </w:r>
      <w:r>
        <w:rPr>
          <w:spacing w:val="-72"/>
        </w:rPr>
      </w:r>
      <w:r>
        <w:rPr/>
        <w:t>而产生的其他综合收益除外。</w:t>
      </w:r>
    </w:p>
    <w:p>
      <w:pPr>
        <w:pStyle w:val="BodyText"/>
        <w:spacing w:line="240" w:lineRule="auto" w:before="37"/>
        <w:ind w:left="516" w:right="0"/>
        <w:jc w:val="left"/>
      </w:pPr>
      <w:r>
        <w:rPr/>
        <w:t>（</w:t>
      </w:r>
      <w:r>
        <w:rPr>
          <w:rFonts w:ascii="Times New Roman" w:hAnsi="Times New Roman" w:cs="Times New Roman" w:eastAsia="Times New Roman" w:hint="default"/>
        </w:rPr>
        <w:t>2</w:t>
      </w:r>
      <w:r>
        <w:rPr/>
        <w:t>）处置子公司或业务</w:t>
      </w:r>
    </w:p>
    <w:p>
      <w:pPr>
        <w:pStyle w:val="BodyText"/>
        <w:spacing w:line="321" w:lineRule="auto" w:before="36"/>
        <w:ind w:left="441" w:right="1089" w:firstLine="150"/>
        <w:jc w:val="left"/>
      </w:pPr>
      <w:r>
        <w:rPr/>
        <w:t>①一般处理方法 在报告期内，本公司处置子公司或业务，则该子公司或业务期初至处置日的收入、费用、利润纳入合并利润表；该子公</w:t>
      </w:r>
    </w:p>
    <w:p>
      <w:pPr>
        <w:pStyle w:val="BodyText"/>
        <w:spacing w:line="321" w:lineRule="auto" w:before="18"/>
        <w:ind w:left="441" w:right="1089" w:hanging="301"/>
        <w:jc w:val="left"/>
      </w:pPr>
      <w:r>
        <w:rPr/>
        <w:t>司或业务期初至处置日的现金流量纳入合并现金流量表。 因处置部分股权投资或其他原因丧失了对被投资方控制权时，对于处置后的剩余股权投资，本公司按照其在丧失控制权</w:t>
      </w:r>
    </w:p>
    <w:p>
      <w:pPr>
        <w:pStyle w:val="BodyText"/>
        <w:spacing w:line="316" w:lineRule="auto" w:before="18"/>
        <w:ind w:right="1029"/>
        <w:jc w:val="left"/>
      </w:pPr>
      <w:r>
        <w:rPr>
          <w:spacing w:val="-2"/>
        </w:rPr>
        <w:t>日的公允价值进行重新计量。处置股权取得的对价与剩余股权公允价值之和，减去按原持股比例计算应享有原有子公司自购</w:t>
      </w:r>
      <w:r>
        <w:rPr>
          <w:spacing w:val="-72"/>
        </w:rPr>
        <w:t> </w:t>
      </w:r>
      <w:r>
        <w:rPr>
          <w:spacing w:val="-72"/>
        </w:rPr>
      </w:r>
      <w:r>
        <w:rPr>
          <w:spacing w:val="-2"/>
        </w:rPr>
        <w:t>买日或合并日开始持续计算的净资产的份额与商誉之和的差额，计入丧失控制权当期的投资收益。与原有子公司股权投资相</w:t>
      </w:r>
      <w:r>
        <w:rPr>
          <w:spacing w:val="-72"/>
        </w:rPr>
        <w:t> </w:t>
      </w:r>
      <w:r>
        <w:rPr>
          <w:spacing w:val="-72"/>
        </w:rPr>
      </w:r>
      <w:r>
        <w:rPr/>
        <w:t>关的其他综合收益或除净损益、其他综合收益及利润分配之外的其他所有者权益变动，在丧失控制权时转为当期投资收益，</w:t>
      </w:r>
      <w:r>
        <w:rPr>
          <w:spacing w:val="-84"/>
        </w:rPr>
        <w:t> </w:t>
      </w:r>
      <w:r>
        <w:rPr>
          <w:spacing w:val="-84"/>
        </w:rPr>
      </w:r>
      <w:r>
        <w:rPr/>
        <w:t>由于被投资方重新计量设定受益计划净负债或净资产变动而产生的其他综合收益除外。</w:t>
      </w:r>
    </w:p>
    <w:p>
      <w:pPr>
        <w:pStyle w:val="BodyText"/>
        <w:spacing w:line="240" w:lineRule="auto" w:before="22"/>
        <w:ind w:left="441" w:right="0"/>
        <w:jc w:val="left"/>
      </w:pPr>
      <w:r>
        <w:rPr/>
        <w:t>因其他投资方对子公司增资而导致本公司持股比例下降从而丧失控制权的，按照上述原则进行会计处理。</w:t>
      </w:r>
    </w:p>
    <w:p>
      <w:pPr>
        <w:pStyle w:val="BodyText"/>
        <w:spacing w:line="307" w:lineRule="auto" w:before="80"/>
        <w:ind w:left="441" w:right="1089" w:firstLine="75"/>
        <w:jc w:val="left"/>
      </w:pPr>
      <w:r>
        <w:rPr/>
        <w:t>②分步处置子公司 通过多次交易分步处置对子公司股权投资直至丧失控制权的，处置对子公司股权投资的各项交易的条款、条件以及经济</w:t>
      </w:r>
    </w:p>
    <w:p>
      <w:pPr>
        <w:pStyle w:val="BodyText"/>
        <w:spacing w:line="316" w:lineRule="auto" w:before="29"/>
        <w:ind w:left="516" w:right="3550" w:hanging="376"/>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21" w:lineRule="auto" w:before="22"/>
        <w:ind w:right="1120" w:firstLine="300"/>
        <w:jc w:val="both"/>
      </w:pPr>
      <w:r>
        <w:rPr>
          <w:spacing w:val="-1"/>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75"/>
        </w:rPr>
        <w:t> </w:t>
      </w:r>
      <w:r>
        <w:rPr>
          <w:spacing w:val="-75"/>
        </w:rPr>
      </w:r>
      <w:r>
        <w:rPr/>
        <w:t>合并财务报表中确认为其他综合收益，在丧失控制权时一并转入丧失控制权当期的损益。</w:t>
      </w:r>
    </w:p>
    <w:p>
      <w:pPr>
        <w:pStyle w:val="BodyText"/>
        <w:spacing w:line="304" w:lineRule="auto" w:before="19"/>
        <w:ind w:right="1101" w:firstLine="300"/>
        <w:jc w:val="both"/>
      </w:pPr>
      <w:r>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BodyText"/>
        <w:spacing w:line="288" w:lineRule="auto" w:before="46"/>
        <w:ind w:left="441" w:right="1089" w:hanging="76"/>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本公司因购买少数股权新取得的长期股权投资与按照新增持股比例计算应享有子公司自购买日（或合并日）开始持续计</w:t>
      </w:r>
    </w:p>
    <w:p>
      <w:pPr>
        <w:pStyle w:val="BodyText"/>
        <w:spacing w:line="321" w:lineRule="auto" w:before="44"/>
        <w:ind w:right="1118"/>
        <w:jc w:val="left"/>
      </w:pPr>
      <w:r>
        <w:rPr>
          <w:spacing w:val="-2"/>
        </w:rPr>
        <w:t>算的净资产份额之间的差额，调整合并资产负债表中的资本公积中的股本溢价，资本公积中的股本溢价不足冲减的，调整留</w:t>
      </w:r>
      <w:r>
        <w:rPr>
          <w:spacing w:val="-75"/>
        </w:rPr>
        <w:t> </w:t>
      </w:r>
      <w:r>
        <w:rPr>
          <w:spacing w:val="-75"/>
        </w:rPr>
      </w:r>
      <w:r>
        <w:rPr/>
        <w:t>存收益。</w:t>
      </w:r>
    </w:p>
    <w:p>
      <w:pPr>
        <w:pStyle w:val="BodyText"/>
        <w:spacing w:line="288" w:lineRule="auto" w:before="18"/>
        <w:ind w:left="441" w:right="0" w:hanging="76"/>
        <w:jc w:val="left"/>
      </w:pPr>
      <w:r>
        <w:rPr/>
        <w:t>（</w:t>
      </w:r>
      <w:r>
        <w:rPr>
          <w:rFonts w:ascii="Times New Roman" w:hAnsi="Times New Roman" w:cs="Times New Roman" w:eastAsia="Times New Roman" w:hint="default"/>
        </w:rPr>
        <w:t>4</w:t>
      </w:r>
      <w:r>
        <w:rPr/>
        <w:t>）不丧失控制权的情况下部分处置对子公司的股权投资 </w:t>
      </w:r>
      <w:r>
        <w:rPr>
          <w:spacing w:val="2"/>
        </w:rPr>
        <w:t>在不丧失控制权的情况下因部分处置对子公司的长期股权投资而取得的处置价款与处置长期股权投资相对应享有子公</w:t>
      </w:r>
    </w:p>
    <w:p>
      <w:pPr>
        <w:pStyle w:val="BodyText"/>
        <w:spacing w:line="321" w:lineRule="auto" w:before="44"/>
        <w:ind w:right="0"/>
        <w:jc w:val="left"/>
      </w:pPr>
      <w:r>
        <w:rPr>
          <w:spacing w:val="-2"/>
        </w:rPr>
        <w:t>司自购买日或合并日开始持续计算的净资产份额之间的差额，调整合并资产负债表中的资本公积中的股本溢价，资本公积中</w:t>
      </w:r>
      <w:r>
        <w:rPr>
          <w:spacing w:val="-72"/>
        </w:rPr>
        <w:t> </w:t>
      </w:r>
      <w:r>
        <w:rPr>
          <w:spacing w:val="-72"/>
        </w:rPr>
      </w:r>
      <w:r>
        <w:rPr/>
        <w:t>的股本溢价不足冲减的，调整留存收益。</w:t>
      </w:r>
    </w:p>
    <w:p>
      <w:pPr>
        <w:spacing w:after="0" w:line="321"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7、合营安排分类及共同经营会计处理方法" w:id="184"/>
      <w:bookmarkEnd w:id="18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left="426" w:right="2544" w:firstLine="30"/>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39"/>
        <w:ind w:left="411"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6"/>
        <w:ind w:left="411"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6"/>
        <w:ind w:left="411"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6"/>
        <w:ind w:left="411"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2" w:lineRule="auto" w:before="51"/>
        <w:ind w:left="531" w:right="4259" w:hanging="120"/>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五、（二十二）长期股权投资</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8、现金及现金等价物的确定标准" w:id="185"/>
      <w:bookmarkEnd w:id="18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28" w:firstLine="390"/>
        <w:jc w:val="both"/>
      </w:pPr>
      <w:r>
        <w:rPr/>
        <w:t>在编制现金流量表时，将本公司库存现金以及可以随时用于支付的存款确认为现金。将同时具备期限短（从购买日起 三个月内到期）、流动性强、易于转换为已知现金、价值变动风险很小四个条件的投资，确定为现金等价物。</w:t>
      </w:r>
    </w:p>
    <w:p>
      <w:pPr>
        <w:spacing w:line="240" w:lineRule="auto" w:before="13"/>
        <w:rPr>
          <w:rFonts w:ascii="宋体" w:hAnsi="宋体" w:cs="宋体" w:eastAsia="宋体" w:hint="default"/>
          <w:sz w:val="23"/>
          <w:szCs w:val="23"/>
        </w:rPr>
      </w:pPr>
    </w:p>
    <w:p>
      <w:pPr>
        <w:pStyle w:val="Heading5"/>
        <w:spacing w:line="240" w:lineRule="auto"/>
        <w:ind w:right="0"/>
        <w:jc w:val="left"/>
        <w:rPr>
          <w:b w:val="0"/>
          <w:bCs w:val="0"/>
        </w:rPr>
      </w:pPr>
      <w:bookmarkStart w:name="9、外币业务和外币报表折算" w:id="186"/>
      <w:bookmarkEnd w:id="18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5"/>
          <w:szCs w:val="25"/>
        </w:rPr>
      </w:pPr>
    </w:p>
    <w:p>
      <w:pPr>
        <w:pStyle w:val="BodyText"/>
        <w:spacing w:line="290" w:lineRule="auto"/>
        <w:ind w:left="516" w:right="3894" w:hanging="75"/>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21" w:lineRule="auto" w:before="41"/>
        <w:ind w:right="1107" w:firstLine="300"/>
        <w:jc w:val="both"/>
      </w:pPr>
      <w:r>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spacing w:line="240" w:lineRule="auto" w:before="7"/>
        <w:rPr>
          <w:rFonts w:ascii="宋体" w:hAnsi="宋体" w:cs="宋体" w:eastAsia="宋体" w:hint="default"/>
          <w:sz w:val="25"/>
          <w:szCs w:val="25"/>
        </w:rPr>
      </w:pPr>
    </w:p>
    <w:p>
      <w:pPr>
        <w:pStyle w:val="BodyText"/>
        <w:spacing w:line="240" w:lineRule="auto"/>
        <w:ind w:left="441" w:right="0"/>
        <w:jc w:val="left"/>
      </w:pPr>
      <w:r>
        <w:rPr>
          <w:rFonts w:ascii="Times New Roman" w:hAnsi="Times New Roman" w:cs="Times New Roman" w:eastAsia="Times New Roman" w:hint="default"/>
        </w:rPr>
        <w:t>2</w:t>
      </w:r>
      <w:r>
        <w:rPr/>
        <w:t>、外币财务报表的折算</w:t>
      </w:r>
    </w:p>
    <w:p>
      <w:pPr>
        <w:pStyle w:val="BodyText"/>
        <w:spacing w:line="288" w:lineRule="auto" w:before="66"/>
        <w:ind w:right="1112" w:firstLine="30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 目采用发生时的即期汇率折算。利润表中的收入和费用项目，采用交易发生日的即期汇率折算。</w:t>
      </w:r>
    </w:p>
    <w:p>
      <w:pPr>
        <w:pStyle w:val="BodyText"/>
        <w:spacing w:line="240" w:lineRule="auto" w:before="44"/>
        <w:ind w:left="441" w:right="0"/>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0、金融工具" w:id="187"/>
      <w:bookmarkEnd w:id="18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5"/>
          <w:szCs w:val="25"/>
        </w:rPr>
      </w:pPr>
    </w:p>
    <w:p>
      <w:pPr>
        <w:pStyle w:val="BodyText"/>
        <w:spacing w:line="312" w:lineRule="auto"/>
        <w:ind w:left="531" w:right="6579"/>
        <w:jc w:val="left"/>
      </w:pPr>
      <w:r>
        <w:rPr/>
        <w:t>金融工具包括金融资产、金融负债和权益工具。 </w:t>
      </w:r>
      <w:r>
        <w:rPr>
          <w:rFonts w:ascii="Times New Roman" w:hAnsi="Times New Roman" w:cs="Times New Roman" w:eastAsia="Times New Roman" w:hint="default"/>
        </w:rPr>
        <w:t>1</w:t>
      </w:r>
      <w:r>
        <w:rPr/>
        <w:t>、金融工具的分类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21" w:lineRule="auto"/>
        <w:ind w:right="1127" w:firstLine="390"/>
        <w:jc w:val="both"/>
      </w:pPr>
      <w:r>
        <w:rPr/>
        <w:t>根据本公司管理金融资产的业务模式和金融资产的合同现金流量特征，金融资产于初始确认时分类为：以摊余成本计 </w:t>
      </w:r>
      <w:r>
        <w:rPr>
          <w:spacing w:val="-2"/>
        </w:rPr>
        <w:t>量的金融资产、以公允价值计量且其变动计入其他综合收益的金融资产（债务工具）和以公允价值计量且其变动计入当期损</w:t>
      </w:r>
      <w:r>
        <w:rPr>
          <w:spacing w:val="-75"/>
        </w:rPr>
        <w:t> </w:t>
      </w:r>
      <w:r>
        <w:rPr>
          <w:spacing w:val="-75"/>
        </w:rPr>
      </w:r>
      <w:r>
        <w:rPr/>
        <w:t>益的金融资产。</w:t>
      </w:r>
    </w:p>
    <w:p>
      <w:pPr>
        <w:pStyle w:val="BodyText"/>
        <w:spacing w:line="321" w:lineRule="auto" w:before="3"/>
        <w:ind w:right="1106" w:firstLine="390"/>
        <w:jc w:val="both"/>
      </w:pPr>
      <w:r>
        <w:rPr/>
        <w:t>业务模式是以收取合同现金流量为目标且合同现金流量仅为对本金和以未偿付本金金额为基础的利息的支付的，分类 </w:t>
      </w:r>
      <w:r>
        <w:rPr>
          <w:spacing w:val="-2"/>
        </w:rPr>
        <w:t>为以摊余成本计量的金融资产；业务模式既以收取合同现金流量又以出售该金融资产为目标且合同现金流量仅为对本金和以</w:t>
      </w:r>
      <w:r>
        <w:rPr>
          <w:spacing w:val="-58"/>
        </w:rPr>
        <w:t> </w:t>
      </w:r>
      <w:r>
        <w:rPr>
          <w:spacing w:val="-58"/>
        </w:rPr>
      </w:r>
      <w:r>
        <w:rPr>
          <w:spacing w:val="-2"/>
        </w:rPr>
        <w:t>未偿付本金金额为基础的利息的支付的，分类为以公允价值计量且其变动计入其他综合收益的金融资产（债务工具）；除此</w:t>
      </w:r>
      <w:r>
        <w:rPr>
          <w:spacing w:val="-42"/>
        </w:rPr>
        <w:t> </w:t>
      </w:r>
      <w:r>
        <w:rPr>
          <w:spacing w:val="-42"/>
        </w:rPr>
      </w:r>
      <w:r>
        <w:rPr/>
        <w:t>之外的其他金融资产，分类为以公允价值计量且其变动计入当期损益的金融资产。</w:t>
      </w:r>
    </w:p>
    <w:p>
      <w:pPr>
        <w:pStyle w:val="BodyText"/>
        <w:spacing w:line="307" w:lineRule="auto" w:before="18"/>
        <w:ind w:right="1136" w:firstLine="390"/>
        <w:jc w:val="both"/>
      </w:pPr>
      <w:r>
        <w:rPr/>
        <w:t>对于非交易性权益工具投资，本公司在初始确认时确定是否将其指定为以公允价值计量且其变动计入其他综合收益的 金融资产（权益工具）。</w:t>
      </w:r>
    </w:p>
    <w:p>
      <w:pPr>
        <w:pStyle w:val="BodyText"/>
        <w:spacing w:line="321" w:lineRule="auto" w:before="29"/>
        <w:ind w:left="531" w:right="1359"/>
        <w:jc w:val="left"/>
      </w:pPr>
      <w:r>
        <w:rPr/>
        <w:t>金融负债于初始确认时分类为：以公允价值计量且其变动计入当期损益的金融负债和以摊余成本计量的金融负债。 符合以下条件之一的金融负债可在初始计量时指定为以公允价值计量且其变动计入当期损益的金融负债：</w:t>
      </w:r>
    </w:p>
    <w:p>
      <w:pPr>
        <w:spacing w:after="0" w:line="321"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240" w:lineRule="auto" w:before="44"/>
        <w:ind w:left="531" w:right="0"/>
        <w:jc w:val="left"/>
      </w:pPr>
      <w:r>
        <w:rPr>
          <w:rFonts w:ascii="Times New Roman" w:hAnsi="Times New Roman" w:cs="Times New Roman" w:eastAsia="Times New Roman" w:hint="default"/>
        </w:rPr>
        <w:t>1</w:t>
      </w:r>
      <w:r>
        <w:rPr/>
        <w:t>）该项指定能够消除或显著减少会计错配。</w:t>
      </w:r>
    </w:p>
    <w:p>
      <w:pPr>
        <w:pStyle w:val="BodyText"/>
        <w:spacing w:line="290" w:lineRule="auto" w:before="66"/>
        <w:ind w:right="1089" w:firstLine="390"/>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 进行管理和业绩评价，并在企业内部以此为基础向关键管理人员报告。</w:t>
      </w:r>
    </w:p>
    <w:p>
      <w:pPr>
        <w:pStyle w:val="BodyText"/>
        <w:spacing w:line="240" w:lineRule="auto" w:before="42"/>
        <w:ind w:left="531" w:right="0"/>
        <w:jc w:val="left"/>
      </w:pPr>
      <w:r>
        <w:rPr>
          <w:rFonts w:ascii="Times New Roman" w:hAnsi="Times New Roman" w:cs="Times New Roman" w:eastAsia="Times New Roman" w:hint="default"/>
        </w:rPr>
        <w:t>3</w:t>
      </w:r>
      <w:r>
        <w:rPr/>
        <w:t>）该金融负债包含需单独分拆的嵌入衍生工具。</w:t>
      </w:r>
    </w:p>
    <w:p>
      <w:pPr>
        <w:pStyle w:val="BodyText"/>
        <w:spacing w:line="290" w:lineRule="auto" w:before="66"/>
        <w:ind w:left="531"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 金融资产和金融负债于初始确认时分类为：以公允价值计量且其变动计入当期损益的金融资产或金融负债，包括交易</w:t>
      </w:r>
    </w:p>
    <w:p>
      <w:pPr>
        <w:pStyle w:val="BodyText"/>
        <w:spacing w:line="321" w:lineRule="auto" w:before="41"/>
        <w:ind w:right="0"/>
        <w:jc w:val="left"/>
      </w:pPr>
      <w:r>
        <w:rPr>
          <w:spacing w:val="-2"/>
        </w:rPr>
        <w:t>性金融资产或金融负债和直接指定为以公允价值计量且其变动计入当期损益的金融资产或金融负债；持有至到期投资；应收</w:t>
      </w:r>
      <w:r>
        <w:rPr>
          <w:spacing w:val="-72"/>
        </w:rPr>
        <w:t> </w:t>
      </w:r>
      <w:r>
        <w:rPr>
          <w:spacing w:val="-72"/>
        </w:rPr>
      </w:r>
      <w:r>
        <w:rPr/>
        <w:t>款项；可供出售金融资产；其他金融负债等。</w:t>
      </w:r>
    </w:p>
    <w:p>
      <w:pPr>
        <w:pStyle w:val="BodyText"/>
        <w:spacing w:line="304" w:lineRule="auto" w:before="18"/>
        <w:ind w:left="531" w:right="7569"/>
        <w:jc w:val="left"/>
      </w:pPr>
      <w:r>
        <w:rPr>
          <w:rFonts w:ascii="Times New Roman" w:hAnsi="Times New Roman" w:cs="Times New Roman" w:eastAsia="Times New Roman" w:hint="default"/>
        </w:rPr>
        <w:t>2</w:t>
      </w:r>
      <w:r>
        <w:rPr/>
        <w:t>、金融工具的确认依据和计量方法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290" w:lineRule="auto" w:before="12"/>
        <w:ind w:left="531" w:right="0" w:hanging="75"/>
        <w:jc w:val="left"/>
      </w:pPr>
      <w:r>
        <w:rPr/>
        <w:t>（</w:t>
      </w:r>
      <w:r>
        <w:rPr>
          <w:rFonts w:ascii="Times New Roman" w:hAnsi="Times New Roman" w:cs="Times New Roman" w:eastAsia="Times New Roman" w:hint="default"/>
        </w:rPr>
        <w:t>1</w:t>
      </w:r>
      <w:r>
        <w:rPr/>
        <w:t>）以摊余成本计量的金融资产 以摊余成本计量的金融资产包括应收票据、应收账款、其他应收款、长期应收款、债权投资等，按公允价值进行初始</w:t>
      </w:r>
    </w:p>
    <w:p>
      <w:pPr>
        <w:pStyle w:val="BodyText"/>
        <w:spacing w:line="304" w:lineRule="auto" w:before="42"/>
        <w:ind w:right="0"/>
        <w:jc w:val="left"/>
      </w:pPr>
      <w:r>
        <w:rPr>
          <w:spacing w:val="-2"/>
        </w:rPr>
        <w:t>计量，相关交易费用计入初始确认金额；不包含重大融资成分的应收账款以及本公司决定不考虑不超过一年的融资成分的应</w:t>
      </w:r>
      <w:r>
        <w:rPr>
          <w:spacing w:val="-72"/>
        </w:rPr>
        <w:t> </w:t>
      </w:r>
      <w:r>
        <w:rPr>
          <w:spacing w:val="-72"/>
        </w:rPr>
      </w:r>
      <w:r>
        <w:rPr/>
        <w:t>收账款，以合同交易价格进行初始计量。</w:t>
      </w:r>
    </w:p>
    <w:p>
      <w:pPr>
        <w:pStyle w:val="BodyText"/>
        <w:spacing w:line="321" w:lineRule="auto" w:before="31"/>
        <w:ind w:left="531" w:right="4059"/>
        <w:jc w:val="left"/>
      </w:pPr>
      <w:r>
        <w:rPr/>
        <w:t>持有期间采用实际利率法计算的利息计入当期损益。 收回或处置时，将取得的价款与该金融资产账面价值之间的差额计入当期损益。</w:t>
      </w:r>
    </w:p>
    <w:p>
      <w:pPr>
        <w:pStyle w:val="BodyText"/>
        <w:spacing w:line="288" w:lineRule="auto" w:before="33"/>
        <w:ind w:left="531" w:right="0" w:hanging="75"/>
        <w:jc w:val="left"/>
      </w:pPr>
      <w:r>
        <w:rPr/>
        <w:t>（</w:t>
      </w:r>
      <w:r>
        <w:rPr>
          <w:rFonts w:ascii="Times New Roman" w:hAnsi="Times New Roman" w:cs="Times New Roman" w:eastAsia="Times New Roman" w:hint="default"/>
        </w:rPr>
        <w:t>2</w:t>
      </w:r>
      <w:r>
        <w:rPr/>
        <w:t>）以公允价值计量且其变动计入其他综合收益的金融资产（债务工具）</w:t>
      </w:r>
      <w:r>
        <w:rPr>
          <w:spacing w:val="-87"/>
        </w:rPr>
        <w:t> </w:t>
      </w:r>
      <w:r>
        <w:rPr>
          <w:spacing w:val="-87"/>
        </w:rPr>
      </w:r>
      <w:r>
        <w:rPr/>
        <w:t>以公允价值计量且其变动计入其他综合收益的金融资产（债务工具）包括应收款项融资、其他债权投资等，按公允价</w:t>
      </w:r>
    </w:p>
    <w:p>
      <w:pPr>
        <w:pStyle w:val="BodyText"/>
        <w:spacing w:line="321" w:lineRule="auto" w:before="29"/>
        <w:ind w:right="0"/>
        <w:jc w:val="left"/>
      </w:pPr>
      <w:r>
        <w:rPr>
          <w:spacing w:val="-2"/>
        </w:rPr>
        <w:t>值进行初始计量，相关交易费用计入初始确认金额。该金融资产按公允价值进行后续计量，公允价值变动除采用实际利率法</w:t>
      </w:r>
      <w:r>
        <w:rPr>
          <w:spacing w:val="-75"/>
        </w:rPr>
        <w:t> </w:t>
      </w:r>
      <w:r>
        <w:rPr>
          <w:spacing w:val="-75"/>
        </w:rPr>
      </w:r>
      <w:r>
        <w:rPr/>
        <w:t>计算的利息、减值损失或利得和汇兑损益之外，均计入其他综合收益。</w:t>
      </w:r>
    </w:p>
    <w:p>
      <w:pPr>
        <w:pStyle w:val="BodyText"/>
        <w:spacing w:line="240" w:lineRule="auto" w:before="18"/>
        <w:ind w:left="531" w:right="0"/>
        <w:jc w:val="left"/>
      </w:pPr>
      <w:r>
        <w:rPr/>
        <w:t>终止确认时，之前计入其他综合收益的累计利得或损失从其他综合收益中转出，计入当期损益。</w:t>
      </w:r>
    </w:p>
    <w:p>
      <w:pPr>
        <w:pStyle w:val="BodyText"/>
        <w:spacing w:line="290" w:lineRule="auto" w:before="94"/>
        <w:ind w:left="531" w:right="0" w:hanging="75"/>
        <w:jc w:val="left"/>
      </w:pPr>
      <w:r>
        <w:rPr/>
        <w:t>（</w:t>
      </w:r>
      <w:r>
        <w:rPr>
          <w:rFonts w:ascii="Times New Roman" w:hAnsi="Times New Roman" w:cs="Times New Roman" w:eastAsia="Times New Roman" w:hint="default"/>
        </w:rPr>
        <w:t>3</w:t>
      </w:r>
      <w:r>
        <w:rPr/>
        <w:t>）以公允价值计量且其变动计入其他综合收益的金融资产（权益工具） 以公允价值计量且其变动计入其他综合收益的金融资产（权益工具）包括其他权益工具投资等，按公允价值进行初始</w:t>
      </w:r>
    </w:p>
    <w:p>
      <w:pPr>
        <w:pStyle w:val="BodyText"/>
        <w:spacing w:line="321" w:lineRule="auto" w:before="27"/>
        <w:ind w:right="0"/>
        <w:jc w:val="left"/>
      </w:pPr>
      <w:r>
        <w:rPr>
          <w:spacing w:val="-2"/>
        </w:rPr>
        <w:t>计量，相关交易费用计入初始确认金额。该金融资产按公允价值进行后续计量，公允价值变动计入其他综合收益。取得的股</w:t>
      </w:r>
      <w:r>
        <w:rPr>
          <w:spacing w:val="-42"/>
        </w:rPr>
        <w:t> </w:t>
      </w:r>
      <w:r>
        <w:rPr>
          <w:spacing w:val="-42"/>
        </w:rPr>
      </w:r>
      <w:r>
        <w:rPr/>
        <w:t>利计入当期损益。</w:t>
      </w:r>
    </w:p>
    <w:p>
      <w:pPr>
        <w:pStyle w:val="BodyText"/>
        <w:spacing w:line="240" w:lineRule="auto" w:before="18"/>
        <w:ind w:left="531" w:right="0"/>
        <w:jc w:val="left"/>
      </w:pPr>
      <w:r>
        <w:rPr/>
        <w:t>终止确认时，之前计入其他综合收益的累计利得或损失从其他综合收益中转出，计入留存收益。</w:t>
      </w:r>
    </w:p>
    <w:p>
      <w:pPr>
        <w:pStyle w:val="BodyText"/>
        <w:spacing w:line="290" w:lineRule="auto" w:before="94"/>
        <w:ind w:left="531" w:right="0" w:hanging="75"/>
        <w:jc w:val="left"/>
      </w:pPr>
      <w:r>
        <w:rPr/>
        <w:t>（</w:t>
      </w:r>
      <w:r>
        <w:rPr>
          <w:rFonts w:ascii="Times New Roman" w:hAnsi="Times New Roman" w:cs="Times New Roman" w:eastAsia="Times New Roman" w:hint="default"/>
        </w:rPr>
        <w:t>4</w:t>
      </w:r>
      <w:r>
        <w:rPr/>
        <w:t>）以公允价值计量且其变动计入当期损益的金融资产 以公允价值计量且其变动计入当期损益的金融资产包括交易性金融资产、衍生金融资产、其他非流动金融资产等，按</w:t>
      </w:r>
    </w:p>
    <w:p>
      <w:pPr>
        <w:pStyle w:val="BodyText"/>
        <w:spacing w:line="240" w:lineRule="auto" w:before="26"/>
        <w:ind w:right="0"/>
        <w:jc w:val="left"/>
      </w:pPr>
      <w:r>
        <w:rPr/>
        <w:t>公允价值进行初始计量，相关交易费用计入当期损益。该金融资产按公允价值进行后续计量，公允价值变动计入当期损益。</w:t>
      </w:r>
    </w:p>
    <w:p>
      <w:pPr>
        <w:pStyle w:val="BodyText"/>
        <w:spacing w:line="288" w:lineRule="auto" w:before="95"/>
        <w:ind w:left="531" w:right="999" w:hanging="75"/>
        <w:jc w:val="left"/>
      </w:pPr>
      <w:r>
        <w:rPr/>
        <w:t>（</w:t>
      </w:r>
      <w:r>
        <w:rPr>
          <w:rFonts w:ascii="Times New Roman" w:hAnsi="Times New Roman" w:cs="Times New Roman" w:eastAsia="Times New Roman" w:hint="default"/>
        </w:rPr>
        <w:t>5</w:t>
      </w:r>
      <w:r>
        <w:rPr/>
        <w:t>）以公允价值计量且其变动计入当期损益的金融负债 以公允价值计量且其变动计入当期损益的金融负债包括交易性金融负债、衍生金融负债等，按公允价值进行初始计量，</w:t>
      </w:r>
    </w:p>
    <w:p>
      <w:pPr>
        <w:pStyle w:val="BodyText"/>
        <w:spacing w:line="321" w:lineRule="auto" w:before="44"/>
        <w:ind w:left="531" w:right="2855" w:hanging="391"/>
        <w:jc w:val="left"/>
      </w:pPr>
      <w:r>
        <w:rPr/>
        <w:t>相关交易费用计入当期损益。该金融负债按公允价</w:t>
      </w:r>
      <w:r>
        <w:rPr>
          <w:spacing w:val="65"/>
        </w:rPr>
        <w:t> </w:t>
      </w:r>
      <w:r>
        <w:rPr/>
        <w:t>值进行后续计量，公允价值变动计入当期损益。</w:t>
      </w:r>
      <w:r>
        <w:rPr/>
        <w:t> 终止确认时，其账面价值与支付的对价之间的差额计入当期损益。</w:t>
      </w:r>
    </w:p>
    <w:p>
      <w:pPr>
        <w:pStyle w:val="BodyText"/>
        <w:spacing w:line="290" w:lineRule="auto" w:before="18"/>
        <w:ind w:left="531" w:right="0" w:hanging="75"/>
        <w:jc w:val="left"/>
      </w:pPr>
      <w:r>
        <w:rPr/>
        <w:t>（</w:t>
      </w:r>
      <w:r>
        <w:rPr>
          <w:rFonts w:ascii="Times New Roman" w:hAnsi="Times New Roman" w:cs="Times New Roman" w:eastAsia="Times New Roman" w:hint="default"/>
        </w:rPr>
        <w:t>6</w:t>
      </w:r>
      <w:r>
        <w:rPr/>
        <w:t>）以摊余成本计量的金融负债 以摊余成本计量的金融负债包括短期借款、应付票据、应付账款、其他应付款、长期借款、应付债券、长期应付款，</w:t>
      </w:r>
    </w:p>
    <w:p>
      <w:pPr>
        <w:pStyle w:val="BodyText"/>
        <w:spacing w:line="321" w:lineRule="auto" w:before="41"/>
        <w:ind w:left="531" w:right="4239" w:hanging="391"/>
        <w:jc w:val="left"/>
      </w:pPr>
      <w:r>
        <w:rPr/>
        <w:t>按公允价值进行初始计量，相关交易费用计入初始确认金额。 持有期间采用实际利率法计算的利息计入当期损益。 终止确认时，将支付的对价与该金融负债账面价值之间的差额计入当期损益。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p>
    <w:p>
      <w:pPr>
        <w:pStyle w:val="BodyText"/>
        <w:spacing w:line="290" w:lineRule="auto"/>
        <w:ind w:left="531" w:right="0" w:hanging="75"/>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取得时以公允价值（扣除已宣告但尚未发放的现金股利或已到付息期但尚未领取的债券利息）作为初始确认金额，相</w:t>
      </w:r>
    </w:p>
    <w:p>
      <w:pPr>
        <w:pStyle w:val="BodyText"/>
        <w:spacing w:line="314" w:lineRule="auto" w:before="42"/>
        <w:ind w:left="531" w:right="2799" w:hanging="391"/>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spacing w:after="0" w:line="314"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304" w:lineRule="auto" w:before="44"/>
        <w:ind w:left="531" w:right="1118" w:hanging="75"/>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持有期间按照摊余成本和实际利率计算确认利息收入，计入投资收益。实际利率在取得时确定，在该预期存续期间或</w:t>
      </w:r>
    </w:p>
    <w:p>
      <w:pPr>
        <w:pStyle w:val="BodyText"/>
        <w:spacing w:line="321" w:lineRule="auto" w:before="16"/>
        <w:ind w:left="531" w:right="4959" w:hanging="391"/>
        <w:jc w:val="left"/>
      </w:pPr>
      <w:r>
        <w:rPr/>
        <w:t>适用的更短期间内保持不变。 处置时，将所取得价款与该投资账面价值之间的差额计入投资收益。</w:t>
      </w:r>
    </w:p>
    <w:p>
      <w:pPr>
        <w:pStyle w:val="BodyText"/>
        <w:spacing w:line="288" w:lineRule="auto" w:before="34"/>
        <w:ind w:left="531" w:right="1118" w:hanging="75"/>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w:t>
      </w:r>
    </w:p>
    <w:p>
      <w:pPr>
        <w:pStyle w:val="BodyText"/>
        <w:spacing w:line="304" w:lineRule="auto" w:before="44"/>
        <w:ind w:right="1118"/>
        <w:jc w:val="left"/>
      </w:pPr>
      <w:r>
        <w:rPr>
          <w:spacing w:val="-2"/>
        </w:rPr>
        <w:t>债权，包括应收账款、其他应收款等，以向购货方应收的合同或协议价款作为初始确认金额；具有融资性质的，按其现值进</w:t>
      </w:r>
      <w:r>
        <w:rPr>
          <w:spacing w:val="-57"/>
        </w:rPr>
        <w:t> </w:t>
      </w:r>
      <w:r>
        <w:rPr>
          <w:spacing w:val="-57"/>
        </w:rPr>
      </w:r>
      <w:r>
        <w:rPr/>
        <w:t>行初始确认。</w:t>
      </w:r>
    </w:p>
    <w:p>
      <w:pPr>
        <w:pStyle w:val="BodyText"/>
        <w:spacing w:line="240" w:lineRule="auto" w:before="31"/>
        <w:ind w:left="531" w:right="0"/>
        <w:jc w:val="left"/>
      </w:pPr>
      <w:r>
        <w:rPr/>
        <w:t>收回或处置时，将取得的价款与该应收款项账面价值之间的差额计入当期损益。</w:t>
      </w:r>
    </w:p>
    <w:p>
      <w:pPr>
        <w:pStyle w:val="BodyText"/>
        <w:spacing w:line="290" w:lineRule="auto" w:before="94"/>
        <w:ind w:left="531" w:right="0" w:hanging="75"/>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取得时按公允价值（扣除已宣告但尚未发放的现金股利或已到付息期但尚未领取的债券利息）和相关交易费用之和作</w:t>
      </w:r>
    </w:p>
    <w:p>
      <w:pPr>
        <w:pStyle w:val="BodyText"/>
        <w:spacing w:line="304" w:lineRule="auto" w:before="42"/>
        <w:ind w:left="531" w:right="999" w:hanging="391"/>
        <w:jc w:val="left"/>
      </w:pPr>
      <w:r>
        <w:rPr/>
        <w:t>为初始确认金额。 持有期间将取得的利息或现金股利确认为投资收益。期末以公允价值计量且将公允价值变动计入其他综合收益。但是，</w:t>
      </w:r>
    </w:p>
    <w:p>
      <w:pPr>
        <w:pStyle w:val="BodyText"/>
        <w:spacing w:line="321" w:lineRule="auto" w:before="31"/>
        <w:ind w:right="0"/>
        <w:jc w:val="left"/>
      </w:pPr>
      <w:r>
        <w:rPr>
          <w:spacing w:val="-2"/>
        </w:rPr>
        <w:t>在活跃市场中没有报价且其公允价值不能可靠计量的权益工具投资，以及与该权益工具挂钩并须通过交付该权益工具结算的</w:t>
      </w:r>
      <w:r>
        <w:rPr>
          <w:spacing w:val="-58"/>
        </w:rPr>
        <w:t> </w:t>
      </w:r>
      <w:r>
        <w:rPr>
          <w:spacing w:val="-58"/>
        </w:rPr>
      </w:r>
      <w:r>
        <w:rPr/>
        <w:t>衍生金融资产，按照成本计量。</w:t>
      </w:r>
    </w:p>
    <w:p>
      <w:pPr>
        <w:pStyle w:val="BodyText"/>
        <w:spacing w:line="321" w:lineRule="auto" w:before="18"/>
        <w:ind w:right="0" w:firstLine="315"/>
        <w:jc w:val="left"/>
      </w:pPr>
      <w:r>
        <w:rPr>
          <w:spacing w:val="-1"/>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2" w:lineRule="auto" w:before="19"/>
        <w:ind w:left="531" w:right="3699"/>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r>
        <w:rPr>
          <w:spacing w:val="-84"/>
        </w:rPr>
        <w:t> </w:t>
      </w:r>
      <w:r>
        <w:rPr>
          <w:spacing w:val="-84"/>
        </w:rPr>
      </w:r>
      <w:r>
        <w:rPr>
          <w:rFonts w:ascii="Times New Roman" w:hAnsi="Times New Roman" w:cs="Times New Roman" w:eastAsia="Times New Roman" w:hint="default"/>
        </w:rPr>
        <w:t>3</w:t>
      </w:r>
      <w:r>
        <w:rPr/>
        <w:t>、金融资产转移的确认依据和计量方法</w:t>
      </w:r>
    </w:p>
    <w:p>
      <w:pPr>
        <w:pStyle w:val="BodyText"/>
        <w:spacing w:line="321" w:lineRule="auto"/>
        <w:ind w:right="0" w:firstLine="390"/>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21" w:lineRule="auto" w:before="4"/>
        <w:ind w:left="531" w:right="0"/>
        <w:jc w:val="left"/>
      </w:pPr>
      <w:r>
        <w:rPr/>
        <w:t>在判断金融资产转移是否满足上述金融资产终止确认条件时，采用实质重于形式的原则。 公司将金融资产转移区分为金融资产整体转移和部分转移。金融资产整体转移满足终止确认条件的，将下列两项金额</w:t>
      </w:r>
    </w:p>
    <w:p>
      <w:pPr>
        <w:pStyle w:val="BodyText"/>
        <w:spacing w:line="240" w:lineRule="auto" w:before="18"/>
        <w:ind w:right="0"/>
        <w:jc w:val="left"/>
      </w:pPr>
      <w:r>
        <w:rPr/>
        <w:t>的差额计入当期损益：</w:t>
      </w:r>
    </w:p>
    <w:p>
      <w:pPr>
        <w:pStyle w:val="BodyText"/>
        <w:spacing w:line="240" w:lineRule="auto" w:before="94"/>
        <w:ind w:left="456" w:right="0"/>
        <w:jc w:val="left"/>
      </w:pPr>
      <w:r>
        <w:rPr/>
        <w:t>（</w:t>
      </w:r>
      <w:r>
        <w:rPr>
          <w:rFonts w:ascii="Times New Roman" w:hAnsi="Times New Roman" w:cs="Times New Roman" w:eastAsia="Times New Roman" w:hint="default"/>
        </w:rPr>
        <w:t>1</w:t>
      </w:r>
      <w:r>
        <w:rPr/>
        <w:t>）所转移金融资产的账面价值；</w:t>
      </w:r>
    </w:p>
    <w:p>
      <w:pPr>
        <w:pStyle w:val="BodyText"/>
        <w:spacing w:line="273" w:lineRule="auto" w:before="66"/>
        <w:ind w:right="0" w:firstLine="315"/>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）因转移而收到的对价，与原直接计入所有者权益的公允价值变动累计额（涉及转移的金融资产为以公允价值计量 且其变动计入其他综合收益的金融资产（债务工具）、可供出售金融资产的情形）之和。</w:t>
      </w:r>
    </w:p>
    <w:p>
      <w:pPr>
        <w:pStyle w:val="BodyText"/>
        <w:spacing w:line="321" w:lineRule="auto" w:before="54"/>
        <w:ind w:right="999" w:firstLine="39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34"/>
        <w:ind w:left="456" w:right="0"/>
        <w:jc w:val="left"/>
      </w:pPr>
      <w:r>
        <w:rPr/>
        <w:t>（</w:t>
      </w:r>
      <w:r>
        <w:rPr>
          <w:rFonts w:ascii="Times New Roman" w:hAnsi="Times New Roman" w:cs="Times New Roman" w:eastAsia="Times New Roman" w:hint="default"/>
        </w:rPr>
        <w:t>1</w:t>
      </w:r>
      <w:r>
        <w:rPr/>
        <w:t>）终止确认部分的账面价值；</w:t>
      </w:r>
    </w:p>
    <w:p>
      <w:pPr>
        <w:pStyle w:val="BodyText"/>
        <w:spacing w:line="273" w:lineRule="auto" w:before="66"/>
        <w:ind w:right="0" w:firstLine="315"/>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金融资产为以公允价值计量且其变动计入其他综合收益的金融资产（债务工具）、可供出售金融资产的情形）之和。</w:t>
      </w:r>
    </w:p>
    <w:p>
      <w:pPr>
        <w:pStyle w:val="BodyText"/>
        <w:spacing w:line="312" w:lineRule="auto" w:before="54"/>
        <w:ind w:left="531" w:right="1118"/>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金融负债的现时义务全部或部分已经解除的，则终止确认该金融负债或其一部分；本公司若与债权人签定协议，以承</w:t>
      </w:r>
    </w:p>
    <w:p>
      <w:pPr>
        <w:pStyle w:val="BodyText"/>
        <w:spacing w:line="307" w:lineRule="auto" w:before="25"/>
        <w:ind w:right="0"/>
        <w:jc w:val="left"/>
      </w:pPr>
      <w:r>
        <w:rPr>
          <w:spacing w:val="-4"/>
        </w:rPr>
        <w:t>担新金融负债方式替换现存金融负债，且新金融负债</w:t>
      </w:r>
      <w:r>
        <w:rPr>
          <w:spacing w:val="6"/>
        </w:rPr>
        <w:t> </w:t>
      </w:r>
      <w:r>
        <w:rPr>
          <w:spacing w:val="-3"/>
        </w:rPr>
        <w:t>与现存金融负债的合同条款实质上不同的，则终止确认现存金融负债，</w:t>
      </w:r>
      <w:r>
        <w:rPr/>
        <w:t> 并同时确认新金融负债。</w:t>
      </w:r>
    </w:p>
    <w:p>
      <w:pPr>
        <w:pStyle w:val="BodyText"/>
        <w:spacing w:line="321" w:lineRule="auto" w:before="29"/>
        <w:ind w:right="0" w:firstLine="390"/>
        <w:jc w:val="left"/>
      </w:pPr>
      <w:r>
        <w:rPr/>
        <w:t>对现存金融负债全部或部分合同条款作出实质性修改的，则终止确认现存金融负债或其一部分，同时将修改条款后的 金融负债确认为一项新金融负债。</w:t>
      </w:r>
    </w:p>
    <w:p>
      <w:pPr>
        <w:pStyle w:val="BodyText"/>
        <w:spacing w:line="321" w:lineRule="auto" w:before="18"/>
        <w:ind w:right="0" w:firstLine="390"/>
        <w:jc w:val="left"/>
      </w:pPr>
      <w:r>
        <w:rPr/>
        <w:t>金融负债全部或部分终止确认时，终止确认的金融负债账面价值与支付对价（包括转出的非现金资产或承担的新金融 负债）之间的差额，计入当期损益。</w:t>
      </w:r>
    </w:p>
    <w:p>
      <w:pPr>
        <w:pStyle w:val="BodyText"/>
        <w:spacing w:line="240" w:lineRule="auto" w:before="3"/>
        <w:ind w:left="531" w:right="0"/>
        <w:jc w:val="left"/>
      </w:pPr>
      <w:r>
        <w:rPr/>
        <w:t>本公司若回购部分金融负债的，在回购日按照继续确认部分与终止确认部分的相对公允价值，将该金融负债整体的账</w:t>
      </w:r>
    </w:p>
    <w:p>
      <w:pPr>
        <w:spacing w:after="0" w:line="240"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21" w:lineRule="auto" w:before="44"/>
        <w:ind w:right="1036"/>
        <w:jc w:val="both"/>
      </w:pPr>
      <w:r>
        <w:rPr>
          <w:spacing w:val="-4"/>
        </w:rPr>
        <w:t>面价值进行分配。分配给终止确认部分的账面价值与支付的对价（包括转出的非现金资产或承担的新金融负债）之间的差额，</w:t>
      </w:r>
      <w:r>
        <w:rPr>
          <w:spacing w:val="-39"/>
        </w:rPr>
        <w:t> </w:t>
      </w:r>
      <w:r>
        <w:rPr>
          <w:spacing w:val="-39"/>
        </w:rPr>
      </w:r>
      <w:r>
        <w:rPr/>
        <w:t>计入当期损益。</w:t>
      </w:r>
    </w:p>
    <w:p>
      <w:pPr>
        <w:pStyle w:val="BodyText"/>
        <w:spacing w:line="276" w:lineRule="auto" w:before="33"/>
        <w:ind w:left="531" w:right="0"/>
        <w:jc w:val="left"/>
      </w:pPr>
      <w:r>
        <w:rPr>
          <w:rFonts w:ascii="Times New Roman" w:hAnsi="Times New Roman" w:cs="Times New Roman" w:eastAsia="Times New Roman" w:hint="default"/>
        </w:rPr>
        <w:t>5</w:t>
      </w:r>
      <w:r>
        <w:rPr/>
        <w:t>、金融资产和金融负债的公允价值的确定方法 存在活跃市场的金融工具，以活跃市场中的报价确定其公允价值。不存在活跃市场的金融工具，采用估值技术确定其</w:t>
      </w:r>
    </w:p>
    <w:p>
      <w:pPr>
        <w:pStyle w:val="BodyText"/>
        <w:spacing w:line="321" w:lineRule="auto" w:before="52"/>
        <w:ind w:right="1126"/>
        <w:jc w:val="both"/>
      </w:pPr>
      <w:r>
        <w:rPr>
          <w:spacing w:val="-2"/>
        </w:rPr>
        <w:t>公允价值。在估值时，本公司采用在当前情况下适用并且有足够可利用数据和其他信息支持的估值技术，选择与市场参与者</w:t>
      </w:r>
      <w:r>
        <w:rPr>
          <w:spacing w:val="-75"/>
        </w:rPr>
        <w:t> </w:t>
      </w:r>
      <w:r>
        <w:rPr>
          <w:spacing w:val="-75"/>
        </w:rPr>
      </w:r>
      <w:r>
        <w:rPr/>
        <w:t>在相关资产或负债的交易中所考虑的资产或负债特征相一致的输入值，并优先使用相关可观察输入值。</w:t>
      </w:r>
      <w:r>
        <w:rPr>
          <w:spacing w:val="8"/>
        </w:rPr>
        <w:t> </w:t>
      </w:r>
      <w:r>
        <w:rPr/>
        <w:t>只有在相关可观察</w:t>
      </w:r>
      <w:r>
        <w:rPr/>
        <w:t> 输入值无法取得或取得不切实可行的情况下，才使用不可观察输入值。</w:t>
      </w:r>
    </w:p>
    <w:p>
      <w:pPr>
        <w:pStyle w:val="BodyText"/>
        <w:spacing w:line="288" w:lineRule="auto" w:before="33"/>
        <w:ind w:left="531" w:right="6849"/>
        <w:jc w:val="left"/>
      </w:pPr>
      <w:r>
        <w:rPr>
          <w:rFonts w:ascii="Times New Roman" w:hAnsi="Times New Roman" w:cs="Times New Roman" w:eastAsia="Times New Roman" w:hint="default"/>
        </w:rPr>
        <w:t>6</w:t>
      </w:r>
      <w:r>
        <w:rPr/>
        <w:t>、金融资产减值的测试方法及会计处理方法</w:t>
      </w:r>
      <w:r>
        <w:rPr>
          <w:spacing w:val="-87"/>
        </w:rPr>
        <w:t> </w:t>
      </w:r>
      <w:r>
        <w:rPr>
          <w:spacing w:val="-87"/>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21" w:lineRule="auto" w:before="11"/>
        <w:ind w:right="1136" w:firstLine="390"/>
        <w:jc w:val="both"/>
      </w:pPr>
      <w:r>
        <w:rPr/>
        <w:t>本公司考虑所有合理且有依据的信息，包括前瞻性信息，以单项或组合的方式对以摊余成本计量的金融资产和以公允 </w:t>
      </w:r>
      <w:r>
        <w:rPr>
          <w:spacing w:val="-2"/>
        </w:rPr>
        <w:t>价值计量且其变动计入其他综合收益的金融资产（债务工具）的预期信用损失进行估计。预期信用损失的计量取决于金融资</w:t>
      </w:r>
      <w:r>
        <w:rPr>
          <w:spacing w:val="-75"/>
        </w:rPr>
        <w:t> </w:t>
      </w:r>
      <w:r>
        <w:rPr>
          <w:spacing w:val="-75"/>
        </w:rPr>
      </w:r>
      <w:r>
        <w:rPr/>
        <w:t>产自初始确认后是否发生信用风险显著增加。</w:t>
      </w:r>
    </w:p>
    <w:p>
      <w:pPr>
        <w:pStyle w:val="BodyText"/>
        <w:spacing w:line="304" w:lineRule="auto" w:before="19"/>
        <w:ind w:right="1125" w:firstLine="390"/>
        <w:jc w:val="both"/>
      </w:pPr>
      <w:r>
        <w:rPr/>
        <w:t>如果该金融工具的信用风险自初始确认后已显著增加，本公司按照相当于该金融工具整个存续期内预期信用损失的金 </w:t>
      </w:r>
      <w:r>
        <w:rPr>
          <w:spacing w:val="-2"/>
        </w:rPr>
        <w:t>额计量其损失准备；如果该金融工具的信用风险自初始确认后并未显著增加，本公司按照相当于该金融工具未来</w:t>
      </w:r>
      <w:r>
        <w:rPr>
          <w:rFonts w:ascii="Times New Roman" w:hAnsi="Times New Roman" w:cs="Times New Roman" w:eastAsia="Times New Roman" w:hint="default"/>
          <w:spacing w:val="-2"/>
        </w:rPr>
        <w:t>12</w:t>
      </w:r>
      <w:r>
        <w:rPr>
          <w:spacing w:val="-2"/>
        </w:rPr>
        <w:t>个月内预</w:t>
      </w:r>
      <w:r>
        <w:rPr>
          <w:spacing w:val="-60"/>
        </w:rPr>
        <w:t> </w:t>
      </w:r>
      <w:r>
        <w:rPr/>
        <w:t>期信用损失的金额计量其损失准备。由此形成的损失准备的增加或转回金额，作为减值损失或利得计入当期损益。</w:t>
      </w:r>
    </w:p>
    <w:p>
      <w:pPr>
        <w:pStyle w:val="BodyText"/>
        <w:spacing w:line="290" w:lineRule="auto" w:before="46"/>
        <w:ind w:right="1135" w:firstLine="390"/>
        <w:jc w:val="both"/>
      </w:pPr>
      <w:r>
        <w:rPr/>
        <w:t>通常逾期超过</w:t>
      </w:r>
      <w:r>
        <w:rPr>
          <w:rFonts w:ascii="Times New Roman" w:hAnsi="Times New Roman" w:cs="Times New Roman" w:eastAsia="Times New Roman" w:hint="default"/>
        </w:rPr>
        <w:t>30</w:t>
      </w:r>
      <w:r>
        <w:rPr/>
        <w:t>日，本公司即认为该金融工具的信用风险已显著增加，除非有确凿证据证明该金融工具的信用风险自 初始确认后并未显著增加。</w:t>
      </w:r>
    </w:p>
    <w:p>
      <w:pPr>
        <w:pStyle w:val="BodyText"/>
        <w:spacing w:line="314" w:lineRule="auto" w:before="41"/>
        <w:ind w:left="531" w:right="0"/>
        <w:jc w:val="left"/>
      </w:pPr>
      <w:r>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对于应收账款，无论是否包含重大融资成分，本公司始终按照相当于整个存续期内预期信用损失的金额计量其损失准</w:t>
      </w:r>
    </w:p>
    <w:p>
      <w:pPr>
        <w:pStyle w:val="BodyText"/>
        <w:spacing w:line="240" w:lineRule="auto" w:before="24"/>
        <w:ind w:right="0"/>
        <w:jc w:val="left"/>
      </w:pPr>
      <w:r>
        <w:rPr/>
        <w:t>备。</w:t>
      </w:r>
    </w:p>
    <w:p>
      <w:pPr>
        <w:pStyle w:val="BodyText"/>
        <w:spacing w:line="240" w:lineRule="auto" w:before="79"/>
        <w:ind w:left="531" w:right="0"/>
        <w:jc w:val="left"/>
      </w:pPr>
      <w:r>
        <w:rPr/>
        <w:t>对于租赁应收款、公司通过销售商品或提供劳务形成的长期应收款，本公司选择始终按照相当于整个存续期内预期信</w:t>
      </w:r>
    </w:p>
    <w:p>
      <w:pPr>
        <w:pStyle w:val="BodyText"/>
        <w:spacing w:line="240" w:lineRule="auto" w:before="80"/>
        <w:ind w:right="0"/>
        <w:jc w:val="both"/>
      </w:pPr>
      <w:r>
        <w:rPr/>
        <w:t>用损失的金额计量其损失准备。</w:t>
      </w:r>
    </w:p>
    <w:p>
      <w:pPr>
        <w:spacing w:line="240" w:lineRule="auto" w:before="0"/>
        <w:rPr>
          <w:rFonts w:ascii="宋体" w:hAnsi="宋体" w:cs="宋体" w:eastAsia="宋体" w:hint="default"/>
          <w:sz w:val="18"/>
          <w:szCs w:val="18"/>
        </w:rPr>
      </w:pPr>
    </w:p>
    <w:p>
      <w:pPr>
        <w:spacing w:line="321" w:lineRule="auto" w:before="144"/>
        <w:ind w:left="501" w:right="0" w:firstLine="15"/>
        <w:jc w:val="left"/>
        <w:rPr>
          <w:rFonts w:ascii="宋体" w:hAnsi="宋体" w:cs="宋体" w:eastAsia="宋体" w:hint="default"/>
          <w:sz w:val="18"/>
          <w:szCs w:val="18"/>
        </w:rPr>
      </w:pPr>
      <w:r>
        <w:rPr>
          <w:rFonts w:ascii="宋体" w:hAnsi="宋体" w:cs="宋体" w:eastAsia="宋体" w:hint="default"/>
          <w:b/>
          <w:bCs/>
          <w:sz w:val="18"/>
          <w:szCs w:val="18"/>
        </w:rPr>
        <w:t>公司执行新金融工具准则时涉及到本公司业务的金融资产具体划分情况如下：</w:t>
      </w:r>
      <w:r>
        <w:rPr>
          <w:rFonts w:ascii="宋体" w:hAnsi="宋体" w:cs="宋体" w:eastAsia="宋体" w:hint="default"/>
          <w:b/>
          <w:bCs/>
          <w:w w:val="99"/>
          <w:sz w:val="18"/>
          <w:szCs w:val="18"/>
        </w:rPr>
        <w:t> </w:t>
      </w:r>
      <w:r>
        <w:rPr>
          <w:rFonts w:ascii="宋体" w:hAnsi="宋体" w:cs="宋体" w:eastAsia="宋体" w:hint="default"/>
          <w:spacing w:val="-2"/>
          <w:sz w:val="18"/>
          <w:szCs w:val="18"/>
        </w:rPr>
        <w:t>对于存在客观证据表明存在减值，以及其他适用于单项评估的应收票据、应收账款、预付款项、其他应收款、应收款项</w:t>
      </w:r>
    </w:p>
    <w:p>
      <w:pPr>
        <w:pStyle w:val="BodyText"/>
        <w:spacing w:line="316" w:lineRule="auto" w:before="18"/>
        <w:ind w:right="1106"/>
        <w:jc w:val="both"/>
      </w:pPr>
      <w:r>
        <w:rPr>
          <w:spacing w:val="-2"/>
        </w:rPr>
        <w:t>融资、长期应收款等单独进行减值测试，确认预期信用损失，计提单项减值准备，对于不存在减值客观证据的应收票据、应</w:t>
      </w:r>
      <w:r>
        <w:rPr>
          <w:spacing w:val="-57"/>
        </w:rPr>
        <w:t> </w:t>
      </w:r>
      <w:r>
        <w:rPr>
          <w:spacing w:val="-57"/>
        </w:rPr>
      </w:r>
      <w:r>
        <w:rPr>
          <w:spacing w:val="-2"/>
        </w:rPr>
        <w:t>收账款、其他应收款、应收款项融资、长期应收款或当单项金融资产无法以合理成本评估预期信用损失的信息时，本公司依</w:t>
      </w:r>
      <w:r>
        <w:rPr>
          <w:spacing w:val="-42"/>
        </w:rPr>
        <w:t> </w:t>
      </w:r>
      <w:r>
        <w:rPr>
          <w:spacing w:val="-42"/>
        </w:rPr>
      </w:r>
      <w:r>
        <w:rPr>
          <w:spacing w:val="-2"/>
        </w:rPr>
        <w:t>据信用风险特征将应收票据、应收账款、其他应收款、应收款项融资、长期应收款等划分为若干组合，在组合基础上计算预</w:t>
      </w:r>
      <w:r>
        <w:rPr>
          <w:spacing w:val="-57"/>
        </w:rPr>
        <w:t> </w:t>
      </w:r>
      <w:r>
        <w:rPr>
          <w:spacing w:val="-57"/>
        </w:rPr>
      </w:r>
      <w:r>
        <w:rPr/>
        <w:t>期信用损失，确认的组合依据和预期信用损失的办法如下：</w:t>
      </w:r>
    </w:p>
    <w:p>
      <w:pPr>
        <w:spacing w:line="240" w:lineRule="auto" w:before="12"/>
        <w:rPr>
          <w:rFonts w:ascii="宋体" w:hAnsi="宋体" w:cs="宋体" w:eastAsia="宋体" w:hint="default"/>
          <w:sz w:val="26"/>
          <w:szCs w:val="26"/>
        </w:rPr>
      </w:pPr>
    </w:p>
    <w:p>
      <w:pPr>
        <w:pStyle w:val="BodyText"/>
        <w:spacing w:line="240" w:lineRule="auto"/>
        <w:ind w:left="741" w:right="0"/>
        <w:jc w:val="left"/>
      </w:pPr>
      <w:r>
        <w:rPr/>
        <w:t>（</w:t>
      </w:r>
      <w:r>
        <w:rPr>
          <w:rFonts w:ascii="Times New Roman" w:hAnsi="Times New Roman" w:cs="Times New Roman" w:eastAsia="Times New Roman" w:hint="default"/>
        </w:rPr>
        <w:t>1</w:t>
      </w:r>
      <w:r>
        <w:rPr/>
        <w:t>）应收票据</w:t>
      </w:r>
    </w:p>
    <w:p>
      <w:pPr>
        <w:spacing w:line="240" w:lineRule="auto" w:before="6"/>
        <w:rPr>
          <w:rFonts w:ascii="宋体" w:hAnsi="宋体" w:cs="宋体" w:eastAsia="宋体" w:hint="default"/>
          <w:sz w:val="4"/>
          <w:szCs w:val="4"/>
        </w:rPr>
      </w:pPr>
    </w:p>
    <w:tbl>
      <w:tblPr>
        <w:tblW w:w="0" w:type="auto"/>
        <w:jc w:val="left"/>
        <w:tblInd w:w="186" w:type="dxa"/>
        <w:tblLayout w:type="fixed"/>
        <w:tblCellMar>
          <w:top w:w="0" w:type="dxa"/>
          <w:left w:w="0" w:type="dxa"/>
          <w:bottom w:w="0" w:type="dxa"/>
          <w:right w:w="0" w:type="dxa"/>
        </w:tblCellMar>
        <w:tblLook w:val="01E0"/>
      </w:tblPr>
      <w:tblGrid>
        <w:gridCol w:w="1112"/>
        <w:gridCol w:w="1923"/>
        <w:gridCol w:w="6503"/>
      </w:tblGrid>
      <w:tr>
        <w:trPr>
          <w:trHeight w:val="368" w:hRule="exact"/>
        </w:trPr>
        <w:tc>
          <w:tcPr>
            <w:tcW w:w="11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316"/>
              <w:jc w:val="right"/>
              <w:rPr>
                <w:rFonts w:ascii="宋体" w:hAnsi="宋体" w:cs="宋体" w:eastAsia="宋体" w:hint="default"/>
                <w:sz w:val="18"/>
                <w:szCs w:val="18"/>
              </w:rPr>
            </w:pPr>
            <w:r>
              <w:rPr>
                <w:rFonts w:ascii="宋体" w:hAnsi="宋体" w:cs="宋体" w:eastAsia="宋体" w:hint="default"/>
                <w:sz w:val="18"/>
                <w:szCs w:val="18"/>
              </w:rPr>
              <w:t>确定组合的依据</w:t>
            </w:r>
          </w:p>
        </w:tc>
        <w:tc>
          <w:tcPr>
            <w:tcW w:w="65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27" w:right="0"/>
              <w:jc w:val="center"/>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390" w:hRule="exact"/>
        </w:trPr>
        <w:tc>
          <w:tcPr>
            <w:tcW w:w="111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6"/>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6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4" w:right="0"/>
              <w:jc w:val="center"/>
              <w:rPr>
                <w:rFonts w:ascii="宋体" w:hAnsi="宋体" w:cs="宋体" w:eastAsia="宋体" w:hint="default"/>
                <w:sz w:val="18"/>
                <w:szCs w:val="18"/>
              </w:rPr>
            </w:pPr>
            <w:r>
              <w:rPr>
                <w:rFonts w:ascii="宋体" w:hAnsi="宋体" w:cs="宋体" w:eastAsia="宋体" w:hint="default"/>
                <w:sz w:val="18"/>
                <w:szCs w:val="18"/>
              </w:rPr>
              <w:t>以银行承兑汇票中承兑银行的信用评级作为信用风险特征</w:t>
            </w:r>
          </w:p>
        </w:tc>
      </w:tr>
      <w:tr>
        <w:trPr>
          <w:trHeight w:val="390" w:hRule="exact"/>
        </w:trPr>
        <w:tc>
          <w:tcPr>
            <w:tcW w:w="1112" w:type="dxa"/>
            <w:vMerge/>
            <w:tcBorders>
              <w:left w:val="single" w:sz="6" w:space="0" w:color="000000"/>
              <w:bottom w:val="single" w:sz="6" w:space="0" w:color="000000"/>
              <w:right w:val="single" w:sz="6" w:space="0" w:color="000000"/>
            </w:tcBorders>
            <w:shd w:val="clear" w:color="auto" w:fill="D9D9D9"/>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61"/>
              <w:jc w:val="right"/>
              <w:rPr>
                <w:rFonts w:ascii="宋体" w:hAnsi="宋体" w:cs="宋体" w:eastAsia="宋体" w:hint="default"/>
                <w:sz w:val="18"/>
                <w:szCs w:val="18"/>
              </w:rPr>
            </w:pPr>
            <w:r>
              <w:rPr>
                <w:rFonts w:ascii="宋体" w:hAnsi="宋体" w:cs="宋体" w:eastAsia="宋体" w:hint="default"/>
                <w:sz w:val="18"/>
                <w:szCs w:val="18"/>
              </w:rPr>
              <w:t>商业承兑汇票</w:t>
            </w:r>
          </w:p>
        </w:tc>
        <w:tc>
          <w:tcPr>
            <w:tcW w:w="6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4" w:right="0"/>
              <w:jc w:val="center"/>
              <w:rPr>
                <w:rFonts w:ascii="宋体" w:hAnsi="宋体" w:cs="宋体" w:eastAsia="宋体" w:hint="default"/>
                <w:sz w:val="18"/>
                <w:szCs w:val="18"/>
              </w:rPr>
            </w:pPr>
            <w:r>
              <w:rPr>
                <w:rFonts w:ascii="宋体" w:hAnsi="宋体" w:cs="宋体" w:eastAsia="宋体" w:hint="default"/>
                <w:sz w:val="18"/>
                <w:szCs w:val="18"/>
              </w:rPr>
              <w:t>以商业承兑汇票中承兑公司的信用评级作为信用风险特征</w:t>
            </w:r>
          </w:p>
        </w:tc>
      </w:tr>
    </w:tbl>
    <w:p>
      <w:pPr>
        <w:spacing w:line="240" w:lineRule="auto" w:before="9"/>
        <w:rPr>
          <w:rFonts w:ascii="宋体" w:hAnsi="宋体" w:cs="宋体" w:eastAsia="宋体" w:hint="default"/>
          <w:sz w:val="20"/>
          <w:szCs w:val="20"/>
        </w:rPr>
      </w:pPr>
    </w:p>
    <w:p>
      <w:pPr>
        <w:pStyle w:val="BodyText"/>
        <w:spacing w:line="240" w:lineRule="auto" w:before="44"/>
        <w:ind w:left="666" w:right="0"/>
        <w:jc w:val="left"/>
      </w:pPr>
      <w:r>
        <w:rPr/>
        <w:t>（</w:t>
      </w:r>
      <w:r>
        <w:rPr>
          <w:rFonts w:ascii="Times New Roman" w:hAnsi="Times New Roman" w:cs="Times New Roman" w:eastAsia="Times New Roman" w:hint="default"/>
        </w:rPr>
        <w:t>2</w:t>
      </w:r>
      <w:r>
        <w:rPr/>
        <w:t>）应收账款</w:t>
      </w:r>
    </w:p>
    <w:p>
      <w:pPr>
        <w:spacing w:line="240" w:lineRule="auto" w:before="6"/>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780"/>
        <w:gridCol w:w="1577"/>
        <w:gridCol w:w="6248"/>
      </w:tblGrid>
      <w:tr>
        <w:trPr>
          <w:trHeight w:val="330"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28"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62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12" w:right="0"/>
              <w:jc w:val="center"/>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668"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0" w:lineRule="auto" w:before="22"/>
              <w:ind w:left="442" w:right="28" w:hanging="391"/>
              <w:jc w:val="left"/>
              <w:rPr>
                <w:rFonts w:ascii="宋体" w:hAnsi="宋体" w:cs="宋体" w:eastAsia="宋体"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w:t>
            </w:r>
            <w:r>
              <w:rPr>
                <w:rFonts w:ascii="宋体" w:hAnsi="宋体" w:cs="宋体" w:eastAsia="宋体" w:hint="default"/>
                <w:sz w:val="18"/>
                <w:szCs w:val="18"/>
              </w:rPr>
              <w:t>信用风 险特征组合</w:t>
            </w:r>
          </w:p>
        </w:tc>
        <w:tc>
          <w:tcPr>
            <w:tcW w:w="15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6248" w:type="dxa"/>
            <w:tcBorders>
              <w:top w:val="single" w:sz="12" w:space="0" w:color="000000"/>
              <w:left w:val="single" w:sz="6" w:space="0" w:color="000000"/>
              <w:bottom w:val="single" w:sz="6" w:space="0" w:color="000000"/>
              <w:right w:val="single" w:sz="6" w:space="0" w:color="000000"/>
            </w:tcBorders>
          </w:tcPr>
          <w:p>
            <w:pPr>
              <w:pStyle w:val="TableParagraph"/>
              <w:spacing w:line="321" w:lineRule="auto"/>
              <w:ind w:left="29" w:right="82"/>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参考历史信用损失经验，结合当前状况以及对未来经济状况的预测，编制应收 账款账龄与整个存续期逾期信用损失率对照表，计算预期信用损失</w:t>
            </w:r>
          </w:p>
        </w:tc>
      </w:tr>
      <w:tr>
        <w:trPr>
          <w:trHeight w:val="646"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0" w:lineRule="auto" w:before="15"/>
              <w:ind w:left="622" w:right="28" w:hanging="571"/>
              <w:jc w:val="left"/>
              <w:rPr>
                <w:rFonts w:ascii="宋体" w:hAnsi="宋体" w:cs="宋体" w:eastAsia="宋体"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w:t>
            </w:r>
            <w:r>
              <w:rPr>
                <w:rFonts w:ascii="宋体" w:hAnsi="宋体" w:cs="宋体" w:eastAsia="宋体" w:hint="default"/>
                <w:sz w:val="18"/>
                <w:szCs w:val="18"/>
              </w:rPr>
              <w:t>关联往 来组合</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8" w:right="0"/>
              <w:jc w:val="center"/>
              <w:rPr>
                <w:rFonts w:ascii="宋体" w:hAnsi="宋体" w:cs="宋体" w:eastAsia="宋体" w:hint="default"/>
                <w:sz w:val="18"/>
                <w:szCs w:val="18"/>
              </w:rPr>
            </w:pPr>
            <w:r>
              <w:rPr>
                <w:rFonts w:ascii="宋体" w:hAnsi="宋体" w:cs="宋体" w:eastAsia="宋体" w:hint="default"/>
                <w:sz w:val="18"/>
                <w:szCs w:val="18"/>
              </w:rPr>
              <w:t>关联方组合</w:t>
            </w:r>
          </w:p>
        </w:tc>
        <w:tc>
          <w:tcPr>
            <w:tcW w:w="6248"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ind w:left="29" w:right="82"/>
              <w:jc w:val="left"/>
              <w:rPr>
                <w:rFonts w:ascii="Times New Roman" w:hAnsi="Times New Roman" w:cs="Times New Roman" w:eastAsia="Times New Roman" w:hint="default"/>
                <w:sz w:val="18"/>
                <w:szCs w:val="18"/>
              </w:rPr>
            </w:pPr>
            <w:r>
              <w:rPr>
                <w:rFonts w:ascii="宋体" w:hAnsi="宋体" w:cs="宋体" w:eastAsia="宋体" w:hint="default"/>
                <w:sz w:val="18"/>
                <w:szCs w:val="18"/>
              </w:rPr>
              <w:t>参考历史信用损失经验，结合当前状况以及对未来经济状况的预测，通过违约 风险敞口和整个存续期预期信用损失率，该组合预期信用损失率为</w:t>
            </w:r>
            <w:r>
              <w:rPr>
                <w:rFonts w:ascii="Times New Roman" w:hAnsi="Times New Roman" w:cs="Times New Roman" w:eastAsia="Times New Roman" w:hint="default"/>
                <w:sz w:val="18"/>
                <w:szCs w:val="18"/>
              </w:rPr>
              <w:t>0</w:t>
            </w:r>
          </w:p>
        </w:tc>
      </w:tr>
    </w:tbl>
    <w:p>
      <w:pPr>
        <w:spacing w:after="0" w:line="336" w:lineRule="auto"/>
        <w:jc w:val="lef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240" w:lineRule="auto" w:before="44"/>
        <w:ind w:left="781" w:right="0"/>
        <w:jc w:val="left"/>
      </w:pPr>
      <w:r>
        <w:rPr/>
        <w:t>（</w:t>
      </w:r>
      <w:r>
        <w:rPr>
          <w:rFonts w:ascii="Times New Roman" w:hAnsi="Times New Roman" w:cs="Times New Roman" w:eastAsia="Times New Roman" w:hint="default"/>
        </w:rPr>
        <w:t>3</w:t>
      </w:r>
      <w:r>
        <w:rPr/>
        <w:t>）其他应收款</w:t>
      </w:r>
    </w:p>
    <w:p>
      <w:pPr>
        <w:spacing w:line="240" w:lineRule="auto" w:before="6"/>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907"/>
        <w:gridCol w:w="1847"/>
        <w:gridCol w:w="6022"/>
      </w:tblGrid>
      <w:tr>
        <w:trPr>
          <w:trHeight w:val="330" w:hRule="exact"/>
        </w:trPr>
        <w:tc>
          <w:tcPr>
            <w:tcW w:w="1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60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668" w:hRule="exact"/>
        </w:trPr>
        <w:tc>
          <w:tcPr>
            <w:tcW w:w="190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p>
        </w:tc>
        <w:tc>
          <w:tcPr>
            <w:tcW w:w="1847" w:type="dxa"/>
            <w:tcBorders>
              <w:top w:val="single" w:sz="12" w:space="0" w:color="D9D9D9"/>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合并范围内外关联方</w:t>
            </w:r>
          </w:p>
        </w:tc>
        <w:tc>
          <w:tcPr>
            <w:tcW w:w="6022" w:type="dxa"/>
            <w:tcBorders>
              <w:top w:val="single" w:sz="12" w:space="0" w:color="D9D9D9"/>
              <w:left w:val="single" w:sz="6" w:space="0" w:color="000000"/>
              <w:bottom w:val="single" w:sz="6" w:space="0" w:color="000000"/>
              <w:right w:val="single" w:sz="6" w:space="0" w:color="000000"/>
            </w:tcBorders>
          </w:tcPr>
          <w:p>
            <w:pPr>
              <w:pStyle w:val="TableParagraph"/>
              <w:spacing w:line="336" w:lineRule="auto" w:before="14"/>
              <w:ind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参考历史信用损失经验，结合当前状况以及对未来经济状况的预测，通过违 约风险敞口和整个存续期预期信用损失率，该组合预期信用损失率为</w:t>
            </w:r>
            <w:r>
              <w:rPr>
                <w:rFonts w:ascii="Times New Roman" w:hAnsi="Times New Roman" w:cs="Times New Roman" w:eastAsia="Times New Roman" w:hint="default"/>
                <w:sz w:val="18"/>
                <w:szCs w:val="18"/>
              </w:rPr>
              <w:t>0</w:t>
            </w:r>
          </w:p>
        </w:tc>
      </w:tr>
      <w:tr>
        <w:trPr>
          <w:trHeight w:val="661" w:hRule="exact"/>
        </w:trPr>
        <w:tc>
          <w:tcPr>
            <w:tcW w:w="1907" w:type="dxa"/>
            <w:vMerge/>
            <w:tcBorders>
              <w:left w:val="single" w:sz="6" w:space="0" w:color="000000"/>
              <w:bottom w:val="single" w:sz="6" w:space="0" w:color="000000"/>
              <w:right w:val="single" w:sz="6" w:space="0" w:color="000000"/>
            </w:tcBorders>
            <w:shd w:val="clear" w:color="auto" w:fill="D9D9D9"/>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602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ind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参考历史信用损失经验，结合当前状况以及对未来经济状况的预测，通过违 约风险敞口和整个存续期预期信用损失率，该组合预期信用损失率为</w:t>
            </w:r>
            <w:r>
              <w:rPr>
                <w:rFonts w:ascii="Times New Roman" w:hAnsi="Times New Roman" w:cs="Times New Roman" w:eastAsia="Times New Roman" w:hint="default"/>
                <w:sz w:val="18"/>
                <w:szCs w:val="18"/>
              </w:rPr>
              <w:t>0</w:t>
            </w:r>
          </w:p>
        </w:tc>
      </w:tr>
      <w:tr>
        <w:trPr>
          <w:trHeight w:val="645" w:hRule="exact"/>
        </w:trPr>
        <w:tc>
          <w:tcPr>
            <w:tcW w:w="190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应收其他款项</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往来款组合</w:t>
            </w:r>
          </w:p>
        </w:tc>
        <w:tc>
          <w:tcPr>
            <w:tcW w:w="602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ind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参考历史信用损失经验，结合当前状况以及对未来经济状况的预测，通过违 约风险敞口和整个存续期预期信用损失率，该组合预期信用损失率为</w:t>
            </w:r>
            <w:r>
              <w:rPr>
                <w:rFonts w:ascii="Times New Roman" w:hAnsi="Times New Roman" w:cs="Times New Roman" w:eastAsia="Times New Roman" w:hint="default"/>
                <w:sz w:val="18"/>
                <w:szCs w:val="18"/>
              </w:rPr>
              <w:t>0</w:t>
            </w:r>
          </w:p>
        </w:tc>
      </w:tr>
      <w:tr>
        <w:trPr>
          <w:trHeight w:val="646" w:hRule="exact"/>
        </w:trPr>
        <w:tc>
          <w:tcPr>
            <w:tcW w:w="1907" w:type="dxa"/>
            <w:vMerge/>
            <w:tcBorders>
              <w:left w:val="single" w:sz="6" w:space="0" w:color="000000"/>
              <w:bottom w:val="single" w:sz="6" w:space="0" w:color="000000"/>
              <w:right w:val="single" w:sz="6" w:space="0" w:color="000000"/>
            </w:tcBorders>
            <w:shd w:val="clear" w:color="auto" w:fill="D9D9D9"/>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left="736" w:right="16" w:hanging="721"/>
              <w:jc w:val="left"/>
              <w:rPr>
                <w:rFonts w:ascii="宋体" w:hAnsi="宋体" w:cs="宋体" w:eastAsia="宋体" w:hint="default"/>
                <w:sz w:val="18"/>
                <w:szCs w:val="18"/>
              </w:rPr>
            </w:pPr>
            <w:r>
              <w:rPr>
                <w:rFonts w:ascii="宋体" w:hAnsi="宋体" w:cs="宋体" w:eastAsia="宋体" w:hint="default"/>
                <w:sz w:val="18"/>
                <w:szCs w:val="18"/>
              </w:rPr>
              <w:t>保证金、押金、备用金 组合</w:t>
            </w:r>
          </w:p>
        </w:tc>
        <w:tc>
          <w:tcPr>
            <w:tcW w:w="60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64"/>
              <w:jc w:val="left"/>
              <w:rPr>
                <w:rFonts w:ascii="Times New Roman" w:hAnsi="Times New Roman" w:cs="Times New Roman" w:eastAsia="Times New Roman" w:hint="default"/>
                <w:sz w:val="18"/>
                <w:szCs w:val="18"/>
              </w:rPr>
            </w:pPr>
            <w:r>
              <w:rPr>
                <w:rFonts w:ascii="宋体" w:hAnsi="宋体" w:cs="宋体" w:eastAsia="宋体" w:hint="default"/>
                <w:sz w:val="18"/>
                <w:szCs w:val="18"/>
              </w:rPr>
              <w:t>参考历史信用损失经验，结合当前状况以及对未来经济状况的预测，通过违 约风险敞口和整个存续期预期信用损失率，该组合预期信用损失率为</w:t>
            </w:r>
            <w:r>
              <w:rPr>
                <w:rFonts w:ascii="Times New Roman" w:hAnsi="Times New Roman" w:cs="Times New Roman" w:eastAsia="Times New Roman" w:hint="default"/>
                <w:sz w:val="18"/>
                <w:szCs w:val="18"/>
              </w:rPr>
              <w:t>0</w:t>
            </w:r>
          </w:p>
        </w:tc>
      </w:tr>
    </w:tbl>
    <w:p>
      <w:pPr>
        <w:spacing w:line="240" w:lineRule="auto" w:before="9"/>
        <w:rPr>
          <w:rFonts w:ascii="宋体" w:hAnsi="宋体" w:cs="宋体" w:eastAsia="宋体" w:hint="default"/>
          <w:sz w:val="20"/>
          <w:szCs w:val="20"/>
        </w:rPr>
      </w:pPr>
    </w:p>
    <w:p>
      <w:pPr>
        <w:pStyle w:val="BodyText"/>
        <w:spacing w:line="240" w:lineRule="auto" w:before="44"/>
        <w:ind w:left="181" w:right="0"/>
        <w:jc w:val="left"/>
      </w:pPr>
      <w:r>
        <w:rPr/>
        <w:t>其中：上述组合中账龄组合，信用风险特征组合的账龄与整个存续期预期信用损失率对照表如下：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4611"/>
        <w:gridCol w:w="5091"/>
      </w:tblGrid>
      <w:tr>
        <w:trPr>
          <w:trHeight w:val="346" w:hRule="exact"/>
        </w:trPr>
        <w:tc>
          <w:tcPr>
            <w:tcW w:w="4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0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应收账款预期信用损失率</w:t>
            </w:r>
            <w:r>
              <w:rPr>
                <w:rFonts w:ascii="Times New Roman" w:hAnsi="Times New Roman" w:cs="Times New Roman" w:eastAsia="Times New Roman" w:hint="default"/>
                <w:sz w:val="18"/>
                <w:szCs w:val="18"/>
              </w:rPr>
              <w:t>(%)</w:t>
            </w:r>
          </w:p>
        </w:tc>
      </w:tr>
      <w:tr>
        <w:trPr>
          <w:trHeight w:val="330" w:hRule="exact"/>
        </w:trPr>
        <w:tc>
          <w:tcPr>
            <w:tcW w:w="4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个月（含</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5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0.00</w:t>
            </w:r>
          </w:p>
        </w:tc>
      </w:tr>
      <w:tr>
        <w:trPr>
          <w:trHeight w:val="345" w:hRule="exact"/>
        </w:trPr>
        <w:tc>
          <w:tcPr>
            <w:tcW w:w="4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宋体" w:hAnsi="宋体" w:cs="宋体" w:eastAsia="宋体" w:hint="default"/>
                <w:sz w:val="18"/>
                <w:szCs w:val="18"/>
              </w:rPr>
              <w:t>个月（含</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tc>
        <w:tc>
          <w:tcPr>
            <w:tcW w:w="5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5.00</w:t>
            </w:r>
          </w:p>
        </w:tc>
      </w:tr>
      <w:tr>
        <w:trPr>
          <w:trHeight w:val="345" w:hRule="exact"/>
        </w:trPr>
        <w:tc>
          <w:tcPr>
            <w:tcW w:w="4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5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30.00</w:t>
            </w:r>
          </w:p>
        </w:tc>
      </w:tr>
      <w:tr>
        <w:trPr>
          <w:trHeight w:val="346" w:hRule="exact"/>
        </w:trPr>
        <w:tc>
          <w:tcPr>
            <w:tcW w:w="4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5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20"/>
          <w:szCs w:val="20"/>
        </w:rPr>
      </w:pPr>
    </w:p>
    <w:p>
      <w:pPr>
        <w:spacing w:line="288" w:lineRule="auto" w:before="44"/>
        <w:ind w:left="54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日前适用的会计政策</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44"/>
        <w:ind w:left="181" w:right="0"/>
        <w:jc w:val="left"/>
      </w:pPr>
      <w:r>
        <w:rPr/>
        <w:t>有客观证据表明某项金融资产发生减值的，计提减值准备。</w:t>
      </w:r>
    </w:p>
    <w:p>
      <w:pPr>
        <w:pStyle w:val="BodyText"/>
        <w:spacing w:line="288" w:lineRule="auto" w:before="95"/>
        <w:ind w:left="541" w:right="1133"/>
        <w:jc w:val="left"/>
      </w:pPr>
      <w:r>
        <w:rPr/>
        <w:t>（</w:t>
      </w:r>
      <w:r>
        <w:rPr>
          <w:rFonts w:ascii="Times New Roman" w:hAnsi="Times New Roman" w:cs="Times New Roman" w:eastAsia="Times New Roman" w:hint="default"/>
        </w:rPr>
        <w:t>1</w:t>
      </w:r>
      <w:r>
        <w:rPr/>
        <w:t>）可供出售金融资产的减值准备： </w:t>
      </w:r>
      <w:r>
        <w:rPr>
          <w:spacing w:val="-2"/>
        </w:rPr>
        <w:t>期末如果可供出售权益工具投资的公允价值发生严重下降，或在综合考虑各种相关因素后，预期这种下降趋势属于非暂</w:t>
      </w:r>
    </w:p>
    <w:p>
      <w:pPr>
        <w:pStyle w:val="BodyText"/>
        <w:spacing w:line="321" w:lineRule="auto" w:before="29"/>
        <w:ind w:left="541" w:right="0" w:hanging="361"/>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21" w:lineRule="auto" w:before="19"/>
        <w:ind w:left="541" w:right="5709" w:hanging="361"/>
        <w:jc w:val="left"/>
      </w:pPr>
      <w:r>
        <w:rPr/>
        <w:t>事项有关的，原确认的减值损失予以转回，计入当期损益。 可供出售权益工具投资发生的减值损失，不通过损益转回。</w:t>
      </w:r>
    </w:p>
    <w:p>
      <w:pPr>
        <w:spacing w:line="240" w:lineRule="auto" w:before="7"/>
        <w:rPr>
          <w:rFonts w:ascii="宋体" w:hAnsi="宋体" w:cs="宋体" w:eastAsia="宋体" w:hint="default"/>
          <w:sz w:val="25"/>
          <w:szCs w:val="25"/>
        </w:rPr>
      </w:pPr>
    </w:p>
    <w:p>
      <w:pPr>
        <w:pStyle w:val="BodyText"/>
        <w:spacing w:line="240" w:lineRule="auto"/>
        <w:ind w:left="541" w:right="0"/>
        <w:jc w:val="left"/>
      </w:pPr>
      <w:r>
        <w:rPr/>
        <w:t>（</w:t>
      </w:r>
      <w:r>
        <w:rPr>
          <w:rFonts w:ascii="Times New Roman" w:hAnsi="Times New Roman" w:cs="Times New Roman" w:eastAsia="Times New Roman" w:hint="default"/>
        </w:rPr>
        <w:t>2</w:t>
      </w:r>
      <w:r>
        <w:rPr/>
        <w:t>）应收款项坏账准备：</w:t>
      </w:r>
    </w:p>
    <w:p>
      <w:pPr>
        <w:pStyle w:val="BodyText"/>
        <w:spacing w:line="336" w:lineRule="auto" w:before="51"/>
        <w:ind w:left="541" w:right="6429"/>
        <w:jc w:val="left"/>
      </w:pPr>
      <w:r>
        <w:rPr/>
        <w:t>①单项金额重大并单独计提坏账准备的应收款项： 单项金额重大的判断依据或金额标准：</w:t>
      </w:r>
      <w:r>
        <w:rPr>
          <w:rFonts w:ascii="Times New Roman" w:hAnsi="Times New Roman" w:cs="Times New Roman" w:eastAsia="Times New Roman" w:hint="default"/>
        </w:rPr>
        <w:t>100</w:t>
      </w:r>
      <w:r>
        <w:rPr/>
        <w:t>万元</w:t>
      </w:r>
    </w:p>
    <w:p>
      <w:pPr>
        <w:pStyle w:val="BodyText"/>
        <w:spacing w:line="207" w:lineRule="exact"/>
        <w:ind w:left="181" w:right="0" w:firstLine="360"/>
        <w:jc w:val="left"/>
      </w:pPr>
      <w:r>
        <w:rPr/>
        <w:t>单项金额重大并单独计提坏账准备的计提方法：本公司对单项金额重大的应收款项单独进行减值测试，单独测试未发生</w:t>
      </w:r>
    </w:p>
    <w:p>
      <w:pPr>
        <w:pStyle w:val="BodyText"/>
        <w:spacing w:line="304" w:lineRule="auto" w:before="80"/>
        <w:ind w:left="181" w:right="0"/>
        <w:jc w:val="left"/>
      </w:pPr>
      <w:r>
        <w:rPr>
          <w:spacing w:val="-2"/>
        </w:rPr>
        <w:t>减值的金融资产，包括在具有类似信用风险特征的金融资产组合中进行减值测试。单项测试已确认减值损失的应收款项，不</w:t>
      </w:r>
      <w:r>
        <w:rPr>
          <w:spacing w:val="-75"/>
        </w:rPr>
        <w:t> </w:t>
      </w:r>
      <w:r>
        <w:rPr>
          <w:spacing w:val="-75"/>
        </w:rPr>
      </w:r>
      <w:r>
        <w:rPr/>
        <w:t>再包括在具有类似信用风险特征的应收款项组合中进行减值测试。</w:t>
      </w:r>
    </w:p>
    <w:p>
      <w:pPr>
        <w:spacing w:line="240" w:lineRule="auto" w:before="6"/>
        <w:rPr>
          <w:rFonts w:ascii="宋体" w:hAnsi="宋体" w:cs="宋体" w:eastAsia="宋体" w:hint="default"/>
          <w:sz w:val="26"/>
          <w:szCs w:val="26"/>
        </w:rPr>
      </w:pPr>
    </w:p>
    <w:p>
      <w:pPr>
        <w:pStyle w:val="BodyText"/>
        <w:spacing w:line="240" w:lineRule="auto"/>
        <w:ind w:left="541" w:right="0"/>
        <w:jc w:val="left"/>
      </w:pPr>
      <w:r>
        <w:rPr/>
        <w:t>②按信用风险特征组合计提坏账准备应收款项：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278" w:type="dxa"/>
        <w:tblLayout w:type="fixed"/>
        <w:tblCellMar>
          <w:top w:w="0" w:type="dxa"/>
          <w:left w:w="0" w:type="dxa"/>
          <w:bottom w:w="0" w:type="dxa"/>
          <w:right w:w="0" w:type="dxa"/>
        </w:tblCellMar>
        <w:tblLook w:val="01E0"/>
      </w:tblPr>
      <w:tblGrid>
        <w:gridCol w:w="2396"/>
        <w:gridCol w:w="5151"/>
        <w:gridCol w:w="1877"/>
      </w:tblGrid>
      <w:tr>
        <w:trPr>
          <w:trHeight w:val="315" w:hRule="exact"/>
        </w:trPr>
        <w:tc>
          <w:tcPr>
            <w:tcW w:w="942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8" w:lineRule="exact"/>
              <w:ind w:left="290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353" w:hRule="exact"/>
        </w:trPr>
        <w:tc>
          <w:tcPr>
            <w:tcW w:w="2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1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29"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570" w:right="0"/>
              <w:jc w:val="left"/>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5" w:hRule="exact"/>
        </w:trPr>
        <w:tc>
          <w:tcPr>
            <w:tcW w:w="2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组合：普通往来款</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一般往来款项</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55" w:hRule="exact"/>
        </w:trPr>
        <w:tc>
          <w:tcPr>
            <w:tcW w:w="2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组合：特殊往来款</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6" w:right="0"/>
              <w:jc w:val="center"/>
              <w:rPr>
                <w:rFonts w:ascii="宋体" w:hAnsi="宋体" w:cs="宋体" w:eastAsia="宋体" w:hint="default"/>
                <w:sz w:val="18"/>
                <w:szCs w:val="18"/>
              </w:rPr>
            </w:pPr>
            <w:r>
              <w:rPr>
                <w:rFonts w:ascii="宋体" w:hAnsi="宋体" w:cs="宋体" w:eastAsia="宋体" w:hint="default"/>
                <w:sz w:val="18"/>
                <w:szCs w:val="18"/>
              </w:rPr>
              <w:t>合并关联方、备用金、代扣代垫款、押金</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94"/>
              <w:jc w:val="righ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after="0" w:line="240" w:lineRule="auto"/>
        <w:jc w:val="right"/>
        <w:rPr>
          <w:rFonts w:ascii="宋体" w:hAnsi="宋体" w:cs="宋体" w:eastAsia="宋体" w:hint="default"/>
          <w:sz w:val="18"/>
          <w:szCs w:val="18"/>
        </w:rPr>
        <w:sectPr>
          <w:pgSz w:w="11910" w:h="16850"/>
          <w:pgMar w:header="866" w:footer="981" w:top="1120" w:bottom="1180" w:left="960" w:right="0"/>
        </w:sectPr>
      </w:pPr>
    </w:p>
    <w:p>
      <w:pPr>
        <w:spacing w:line="240" w:lineRule="auto" w:before="9"/>
        <w:rPr>
          <w:rFonts w:ascii="宋体" w:hAnsi="宋体" w:cs="宋体" w:eastAsia="宋体" w:hint="default"/>
          <w:sz w:val="20"/>
          <w:szCs w:val="20"/>
        </w:rPr>
      </w:pPr>
    </w:p>
    <w:p>
      <w:pPr>
        <w:pStyle w:val="BodyText"/>
        <w:spacing w:line="240" w:lineRule="auto" w:before="44"/>
        <w:ind w:left="221" w:right="1133"/>
        <w:jc w:val="left"/>
      </w:pPr>
      <w:r>
        <w:rPr/>
        <w:t>组合中，采用账龄分析法计提坏账准备的：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3492"/>
        <w:gridCol w:w="3139"/>
        <w:gridCol w:w="3064"/>
      </w:tblGrid>
      <w:tr>
        <w:trPr>
          <w:trHeight w:val="330" w:hRule="exact"/>
        </w:trPr>
        <w:tc>
          <w:tcPr>
            <w:tcW w:w="3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31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7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0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5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45" w:hRule="exact"/>
        </w:trPr>
        <w:tc>
          <w:tcPr>
            <w:tcW w:w="3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139" w:type="dxa"/>
            <w:tcBorders>
              <w:top w:val="single" w:sz="6" w:space="0" w:color="000000"/>
              <w:left w:val="single" w:sz="6" w:space="0" w:color="000000"/>
              <w:bottom w:val="single" w:sz="6" w:space="0" w:color="000000"/>
              <w:right w:val="single" w:sz="6" w:space="0" w:color="000000"/>
            </w:tcBorders>
          </w:tcPr>
          <w:p>
            <w:pPr/>
          </w:p>
        </w:tc>
        <w:tc>
          <w:tcPr>
            <w:tcW w:w="3064"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0-6</w:t>
            </w:r>
            <w:r>
              <w:rPr>
                <w:rFonts w:ascii="宋体" w:hAnsi="宋体" w:cs="宋体" w:eastAsia="宋体" w:hint="default"/>
                <w:sz w:val="18"/>
                <w:szCs w:val="18"/>
              </w:rPr>
              <w:t>个月（含</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70" w:right="0"/>
              <w:jc w:val="center"/>
              <w:rPr>
                <w:rFonts w:ascii="宋体" w:hAnsi="宋体" w:cs="宋体" w:eastAsia="宋体" w:hint="default"/>
                <w:sz w:val="18"/>
                <w:szCs w:val="18"/>
              </w:rPr>
            </w:pPr>
            <w:r>
              <w:rPr>
                <w:rFonts w:ascii="宋体" w:hAnsi="宋体" w:cs="宋体" w:eastAsia="宋体" w:hint="default"/>
                <w:sz w:val="18"/>
                <w:szCs w:val="18"/>
              </w:rPr>
              <w:t>－</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6"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46" w:hRule="exact"/>
        </w:trPr>
        <w:tc>
          <w:tcPr>
            <w:tcW w:w="3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宋体" w:hAnsi="宋体" w:cs="宋体" w:eastAsia="宋体" w:hint="default"/>
                <w:sz w:val="18"/>
                <w:szCs w:val="18"/>
              </w:rPr>
              <w:t>个月（含</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555" w:right="0"/>
              <w:jc w:val="center"/>
              <w:rPr>
                <w:rFonts w:ascii="Times New Roman" w:hAnsi="Times New Roman" w:cs="Times New Roman" w:eastAsia="Times New Roman" w:hint="default"/>
                <w:sz w:val="18"/>
                <w:szCs w:val="18"/>
              </w:rPr>
            </w:pPr>
            <w:r>
              <w:rPr>
                <w:rFonts w:ascii="Times New Roman"/>
                <w:sz w:val="18"/>
              </w:rPr>
              <w:t>5.00</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56"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555" w:right="0"/>
              <w:jc w:val="center"/>
              <w:rPr>
                <w:rFonts w:ascii="Times New Roman" w:hAnsi="Times New Roman" w:cs="Times New Roman" w:eastAsia="Times New Roman" w:hint="default"/>
                <w:sz w:val="18"/>
                <w:szCs w:val="18"/>
              </w:rPr>
            </w:pPr>
            <w:r>
              <w:rPr>
                <w:rFonts w:ascii="Times New Roman"/>
                <w:sz w:val="18"/>
              </w:rPr>
              <w:t>30.00</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56"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3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91" w:right="0"/>
              <w:jc w:val="left"/>
              <w:rPr>
                <w:rFonts w:ascii="Times New Roman" w:hAnsi="Times New Roman" w:cs="Times New Roman" w:eastAsia="Times New Roman" w:hint="default"/>
                <w:sz w:val="18"/>
                <w:szCs w:val="18"/>
              </w:rPr>
            </w:pPr>
            <w:r>
              <w:rPr>
                <w:rFonts w:ascii="Times New Roman"/>
                <w:sz w:val="18"/>
              </w:rPr>
              <w:t>100.00</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56"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9"/>
        <w:rPr>
          <w:rFonts w:ascii="宋体" w:hAnsi="宋体" w:cs="宋体" w:eastAsia="宋体" w:hint="default"/>
          <w:sz w:val="20"/>
          <w:szCs w:val="20"/>
        </w:rPr>
      </w:pPr>
    </w:p>
    <w:p>
      <w:pPr>
        <w:pStyle w:val="BodyText"/>
        <w:spacing w:line="240" w:lineRule="auto" w:before="44"/>
        <w:ind w:left="221" w:right="1133"/>
        <w:jc w:val="left"/>
      </w:pPr>
      <w:r>
        <w:rPr/>
        <w:t>组合中，采用其他方法计提坏账准备的：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552"/>
        <w:gridCol w:w="3297"/>
        <w:gridCol w:w="3003"/>
      </w:tblGrid>
      <w:tr>
        <w:trPr>
          <w:trHeight w:val="338"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left="3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83"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特殊往来款</w:t>
            </w:r>
          </w:p>
        </w:tc>
        <w:tc>
          <w:tcPr>
            <w:tcW w:w="3297" w:type="dxa"/>
            <w:tcBorders>
              <w:top w:val="single" w:sz="12" w:space="0" w:color="D9D9D9"/>
              <w:left w:val="single" w:sz="12"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3003" w:type="dxa"/>
            <w:tcBorders>
              <w:top w:val="single" w:sz="12" w:space="0" w:color="D9D9D9"/>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9"/>
        <w:rPr>
          <w:rFonts w:ascii="宋体" w:hAnsi="宋体" w:cs="宋体" w:eastAsia="宋体" w:hint="default"/>
          <w:sz w:val="20"/>
          <w:szCs w:val="20"/>
        </w:rPr>
      </w:pPr>
    </w:p>
    <w:p>
      <w:pPr>
        <w:pStyle w:val="BodyText"/>
        <w:spacing w:line="321" w:lineRule="auto" w:before="44"/>
        <w:ind w:left="581" w:right="1133"/>
        <w:jc w:val="left"/>
      </w:pPr>
      <w:r>
        <w:rPr/>
        <w:t>③单项金额不重大但单独计提坏账准备的应收款项： </w:t>
      </w:r>
      <w:r>
        <w:rPr>
          <w:spacing w:val="-2"/>
        </w:rPr>
        <w:t>单独计提坏账准备的理由：本公司对于单项金额虽不重大但具备以下特征的应收款项，单独进行减值测试，有客观证据</w:t>
      </w:r>
    </w:p>
    <w:p>
      <w:pPr>
        <w:pStyle w:val="BodyText"/>
        <w:spacing w:line="321" w:lineRule="auto" w:before="3"/>
        <w:ind w:left="221" w:right="0"/>
        <w:jc w:val="left"/>
      </w:pPr>
      <w:r>
        <w:rPr>
          <w:spacing w:val="-2"/>
        </w:rPr>
        <w:t>表明其发生了减值的，根据其未来现金流量现值低于其账面价值的差额，确认减值损失，计提坏账准备；如：与对方存在争</w:t>
      </w:r>
      <w:r>
        <w:rPr>
          <w:spacing w:val="-57"/>
        </w:rPr>
        <w:t> </w:t>
      </w:r>
      <w:r>
        <w:rPr>
          <w:spacing w:val="-57"/>
        </w:rPr>
      </w:r>
      <w:r>
        <w:rPr/>
        <w:t>议或涉及诉讼、仲裁的应收款项；已有明显迹象表明债务人很可能无法履行还款义务的应收款项等。</w:t>
      </w:r>
    </w:p>
    <w:p>
      <w:pPr>
        <w:spacing w:line="240" w:lineRule="auto" w:before="7"/>
        <w:rPr>
          <w:rFonts w:ascii="宋体" w:hAnsi="宋体" w:cs="宋体" w:eastAsia="宋体" w:hint="default"/>
          <w:sz w:val="25"/>
          <w:szCs w:val="25"/>
        </w:rPr>
      </w:pPr>
    </w:p>
    <w:p>
      <w:pPr>
        <w:pStyle w:val="BodyText"/>
        <w:spacing w:line="240" w:lineRule="auto"/>
        <w:ind w:left="581" w:right="1133"/>
        <w:jc w:val="left"/>
      </w:pPr>
      <w:r>
        <w:rPr/>
        <w:t>坏账准备的计提方法：按预计未来现金流量现值低于其账面价值的差额计提坏账准备，计入当期损益。</w:t>
      </w:r>
    </w:p>
    <w:p>
      <w:pPr>
        <w:spacing w:line="240" w:lineRule="auto" w:before="0"/>
        <w:rPr>
          <w:rFonts w:ascii="宋体" w:hAnsi="宋体" w:cs="宋体" w:eastAsia="宋体" w:hint="default"/>
          <w:sz w:val="18"/>
          <w:szCs w:val="18"/>
        </w:rPr>
      </w:pPr>
    </w:p>
    <w:p>
      <w:pPr>
        <w:pStyle w:val="Heading5"/>
        <w:spacing w:line="240" w:lineRule="auto" w:before="139"/>
        <w:ind w:left="221" w:right="1133"/>
        <w:jc w:val="left"/>
        <w:rPr>
          <w:b w:val="0"/>
          <w:bCs w:val="0"/>
        </w:rPr>
      </w:pPr>
      <w:bookmarkStart w:name="11、应收票据" w:id="188"/>
      <w:bookmarkEnd w:id="188"/>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21" w:right="1133"/>
        <w:jc w:val="left"/>
      </w:pPr>
      <w:r>
        <w:rPr/>
        <w:t>详见本附注五、（十）“金融工具”各项描述</w:t>
      </w:r>
    </w:p>
    <w:p>
      <w:pPr>
        <w:spacing w:line="240" w:lineRule="auto" w:before="0"/>
        <w:rPr>
          <w:rFonts w:ascii="宋体" w:hAnsi="宋体" w:cs="宋体" w:eastAsia="宋体" w:hint="default"/>
          <w:sz w:val="18"/>
          <w:szCs w:val="18"/>
        </w:rPr>
      </w:pPr>
    </w:p>
    <w:p>
      <w:pPr>
        <w:pStyle w:val="Heading5"/>
        <w:spacing w:line="240" w:lineRule="auto" w:before="124"/>
        <w:ind w:left="221" w:right="1133"/>
        <w:jc w:val="left"/>
        <w:rPr>
          <w:b w:val="0"/>
          <w:bCs w:val="0"/>
        </w:rPr>
      </w:pPr>
      <w:bookmarkStart w:name="12、应收账款" w:id="189"/>
      <w:bookmarkEnd w:id="189"/>
      <w:r>
        <w:rPr>
          <w:b w:val="0"/>
          <w:bCs w:val="0"/>
        </w:rPr>
      </w:r>
      <w:r>
        <w:rPr>
          <w:rFonts w:ascii="宋体" w:hAnsi="宋体" w:cs="宋体" w:eastAsia="宋体" w:hint="default"/>
        </w:rPr>
        <w:t>12</w:t>
      </w:r>
      <w:r>
        <w:rPr/>
        <w:t>、应收账款</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221" w:right="1133"/>
        <w:jc w:val="left"/>
      </w:pPr>
      <w:r>
        <w:rPr/>
        <w:t>详见本附注五、（十）“金融工具”各项描述</w:t>
      </w:r>
    </w:p>
    <w:p>
      <w:pPr>
        <w:spacing w:line="240" w:lineRule="auto" w:before="0"/>
        <w:rPr>
          <w:rFonts w:ascii="宋体" w:hAnsi="宋体" w:cs="宋体" w:eastAsia="宋体" w:hint="default"/>
          <w:sz w:val="18"/>
          <w:szCs w:val="18"/>
        </w:rPr>
      </w:pPr>
    </w:p>
    <w:p>
      <w:pPr>
        <w:pStyle w:val="Heading5"/>
        <w:spacing w:line="240" w:lineRule="auto" w:before="139"/>
        <w:ind w:left="221" w:right="1133"/>
        <w:jc w:val="left"/>
        <w:rPr>
          <w:b w:val="0"/>
          <w:bCs w:val="0"/>
        </w:rPr>
      </w:pPr>
      <w:bookmarkStart w:name="13、应收款项融资" w:id="190"/>
      <w:bookmarkEnd w:id="190"/>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21"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left="221" w:right="1133"/>
        <w:jc w:val="left"/>
        <w:rPr>
          <w:b w:val="0"/>
          <w:bCs w:val="0"/>
        </w:rPr>
      </w:pPr>
      <w:bookmarkStart w:name="14、其他应收款" w:id="191"/>
      <w:bookmarkEnd w:id="191"/>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left="221" w:right="6429"/>
        <w:jc w:val="left"/>
      </w:pPr>
      <w:r>
        <w:rPr/>
        <w:t>其他应收款的预期信用损失的确定方法及会计处理方法 详见本附注五、（十）“金融工具”各项描述</w:t>
      </w:r>
    </w:p>
    <w:p>
      <w:pPr>
        <w:spacing w:line="240" w:lineRule="auto" w:before="5"/>
        <w:rPr>
          <w:rFonts w:ascii="宋体" w:hAnsi="宋体" w:cs="宋体" w:eastAsia="宋体" w:hint="default"/>
          <w:sz w:val="21"/>
          <w:szCs w:val="21"/>
        </w:rPr>
      </w:pPr>
    </w:p>
    <w:p>
      <w:pPr>
        <w:pStyle w:val="Heading5"/>
        <w:spacing w:line="240" w:lineRule="auto"/>
        <w:ind w:left="221" w:right="1133"/>
        <w:jc w:val="left"/>
        <w:rPr>
          <w:b w:val="0"/>
          <w:bCs w:val="0"/>
        </w:rPr>
      </w:pPr>
      <w:bookmarkStart w:name="15、存货" w:id="192"/>
      <w:bookmarkEnd w:id="192"/>
      <w:r>
        <w:rPr>
          <w:b w:val="0"/>
          <w:bCs w:val="0"/>
        </w:rPr>
      </w:r>
      <w:r>
        <w:rPr>
          <w:rFonts w:ascii="Times New Roman" w:hAnsi="Times New Roman" w:cs="Times New Roman" w:eastAsia="Times New Roman" w:hint="default"/>
        </w:rPr>
        <w:t>15</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left="611" w:right="1133"/>
        <w:jc w:val="left"/>
      </w:pPr>
      <w:r>
        <w:rPr>
          <w:rFonts w:ascii="Times New Roman" w:hAnsi="Times New Roman" w:cs="Times New Roman" w:eastAsia="Times New Roman" w:hint="default"/>
        </w:rPr>
        <w:t>1</w:t>
      </w:r>
      <w:r>
        <w:rPr/>
        <w:t>、存货分类为：项目成本。 项目成本按实际成本计量，包括从项目开始至项目完成止所发生的、与执行合同有关的项目直接费用。 项目成本主要核算项目未完工验收前已发生的成本支出，如存在开发项目完成之前所发生的其他费用，该费用能够单</w:t>
      </w:r>
    </w:p>
    <w:p>
      <w:pPr>
        <w:pStyle w:val="BodyText"/>
        <w:spacing w:line="240" w:lineRule="auto" w:before="36"/>
        <w:ind w:left="221" w:right="1133"/>
        <w:jc w:val="left"/>
      </w:pPr>
      <w:r>
        <w:rPr/>
        <w:t>独区分和可靠计量的且合同很可能订立的，在取得合同时计入项目成本；未满足上述条件的，则计入当期损益。</w:t>
      </w:r>
    </w:p>
    <w:p>
      <w:pPr>
        <w:spacing w:after="0" w:line="240" w:lineRule="auto"/>
        <w:jc w:val="left"/>
        <w:sectPr>
          <w:pgSz w:w="11910" w:h="16850"/>
          <w:pgMar w:header="866" w:footer="981" w:top="1120" w:bottom="1180" w:left="920" w:right="0"/>
        </w:sectPr>
      </w:pPr>
    </w:p>
    <w:p>
      <w:pPr>
        <w:spacing w:line="240" w:lineRule="auto" w:before="9"/>
        <w:rPr>
          <w:rFonts w:ascii="宋体" w:hAnsi="宋体" w:cs="宋体" w:eastAsia="宋体" w:hint="default"/>
          <w:sz w:val="20"/>
          <w:szCs w:val="20"/>
        </w:rPr>
      </w:pPr>
    </w:p>
    <w:p>
      <w:pPr>
        <w:pStyle w:val="BodyText"/>
        <w:spacing w:line="240" w:lineRule="auto" w:before="44"/>
        <w:ind w:left="531" w:right="0"/>
        <w:jc w:val="left"/>
      </w:pPr>
      <w:r>
        <w:rPr/>
        <w:t>项目成本在验收完工时，按各项目实际账面价值结转成本。</w:t>
      </w:r>
    </w:p>
    <w:p>
      <w:pPr>
        <w:pStyle w:val="BodyText"/>
        <w:spacing w:line="290" w:lineRule="auto" w:before="94"/>
        <w:ind w:left="531" w:right="7839"/>
        <w:jc w:val="left"/>
      </w:pPr>
      <w:r>
        <w:rPr>
          <w:rFonts w:ascii="Times New Roman" w:hAnsi="Times New Roman" w:cs="Times New Roman" w:eastAsia="Times New Roman" w:hint="default"/>
        </w:rPr>
        <w:t>2</w:t>
      </w:r>
      <w:r>
        <w:rPr/>
        <w:t>、发出存货的计价方法 存货发出时按个别认定法计价。</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16、合同资产" w:id="193"/>
      <w:bookmarkEnd w:id="193"/>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7、合同成本" w:id="194"/>
      <w:bookmarkEnd w:id="194"/>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8、持有待售资产" w:id="195"/>
      <w:bookmarkEnd w:id="195"/>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31" w:right="0"/>
        <w:jc w:val="left"/>
      </w:pPr>
      <w:r>
        <w:rPr/>
        <w:t>本公司将同时满足下列条件的非流动资产或处置组划分为持有待售类别：</w:t>
      </w:r>
    </w:p>
    <w:p>
      <w:pPr>
        <w:pStyle w:val="BodyText"/>
        <w:spacing w:line="240" w:lineRule="auto" w:before="80"/>
        <w:ind w:left="456"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88" w:lineRule="auto" w:before="66"/>
        <w:ind w:right="1164" w:firstLine="315"/>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19、债权投资" w:id="196"/>
      <w:bookmarkEnd w:id="196"/>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0、其他债权投资" w:id="197"/>
      <w:bookmarkEnd w:id="197"/>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21、长期应收款" w:id="198"/>
      <w:bookmarkEnd w:id="198"/>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2、长期股权投资" w:id="199"/>
      <w:bookmarkEnd w:id="199"/>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288" w:lineRule="auto"/>
        <w:ind w:left="531" w:right="0"/>
        <w:jc w:val="left"/>
      </w:pPr>
      <w:r>
        <w:rPr>
          <w:rFonts w:ascii="Times New Roman" w:hAnsi="Times New Roman" w:cs="Times New Roman" w:eastAsia="Times New Roman" w:hint="default"/>
        </w:rPr>
        <w:t>1</w:t>
      </w:r>
      <w:r>
        <w:rPr/>
        <w:t>、共同控制、重大影响的判断标准 共同控制，是指按照相关约定对某项安排所共有的控制，并且该安排的相关活动必须经过分享控制权的参与方一致同</w:t>
      </w:r>
    </w:p>
    <w:p>
      <w:pPr>
        <w:pStyle w:val="BodyText"/>
        <w:spacing w:line="321" w:lineRule="auto" w:before="29"/>
        <w:ind w:right="0"/>
        <w:jc w:val="left"/>
      </w:pPr>
      <w:r>
        <w:rPr>
          <w:spacing w:val="-2"/>
        </w:rPr>
        <w:t>意后才能决策。本公司与其他合营方一同对被投资单位实施共同控制且对被投资单位净资产享有权利的，被投资单位为本公</w:t>
      </w:r>
      <w:r>
        <w:rPr>
          <w:spacing w:val="-72"/>
        </w:rPr>
        <w:t> </w:t>
      </w:r>
      <w:r>
        <w:rPr>
          <w:spacing w:val="-72"/>
        </w:rPr>
      </w:r>
      <w:r>
        <w:rPr/>
        <w:t>司的合营企业。</w:t>
      </w:r>
    </w:p>
    <w:p>
      <w:pPr>
        <w:pStyle w:val="BodyText"/>
        <w:spacing w:line="321" w:lineRule="auto" w:before="19"/>
        <w:ind w:right="0" w:firstLine="390"/>
        <w:jc w:val="left"/>
      </w:pPr>
      <w:r>
        <w:rPr/>
        <w:t>重大影响，是指对一个企业的财务和经营决策有参与决策的权力，但并不能够控制或者与其他方一起共同控制这些政 策的制定。本公司能够对被投资单位施加重大影响的，被投资单位为本公司联营企业。</w:t>
      </w:r>
    </w:p>
    <w:p>
      <w:pPr>
        <w:pStyle w:val="BodyText"/>
        <w:spacing w:line="240" w:lineRule="auto" w:before="33"/>
        <w:ind w:left="531" w:right="0"/>
        <w:jc w:val="left"/>
      </w:pPr>
      <w:r>
        <w:rPr>
          <w:rFonts w:ascii="Times New Roman" w:hAnsi="Times New Roman" w:cs="Times New Roman" w:eastAsia="Times New Roman" w:hint="default"/>
        </w:rPr>
        <w:t>2</w:t>
      </w:r>
      <w:r>
        <w:rPr/>
        <w:t>、初始投资成本的确定</w:t>
      </w:r>
    </w:p>
    <w:p>
      <w:pPr>
        <w:pStyle w:val="BodyText"/>
        <w:spacing w:line="288" w:lineRule="auto" w:before="51"/>
        <w:ind w:left="531" w:right="0" w:hanging="75"/>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同一控制下的企业合并：公司以支付现金、转让非现金资产或承担债务方式以及以发行权益性证券作为合并对价的，</w:t>
      </w:r>
    </w:p>
    <w:p>
      <w:pPr>
        <w:pStyle w:val="BodyText"/>
        <w:spacing w:line="321" w:lineRule="auto" w:before="44"/>
        <w:ind w:right="1029"/>
        <w:jc w:val="left"/>
      </w:pPr>
      <w:r>
        <w:rPr/>
        <w:t>在合并日按照取得被合并方所有者权益在最终控制方合并财务报表中的账面价值的份额作为长期股权投资的初始投资成本。 </w:t>
      </w:r>
      <w:r>
        <w:rPr>
          <w:spacing w:val="-2"/>
        </w:rPr>
        <w:t>因追加投资等原因能够对同一控制下的被投资单位实施控制的，在合并日根据合并后应享有被合并方净资产在最终控制方合</w:t>
      </w:r>
      <w:r>
        <w:rPr>
          <w:spacing w:val="-53"/>
        </w:rPr>
        <w:t> </w:t>
      </w:r>
      <w:r>
        <w:rPr>
          <w:spacing w:val="-53"/>
        </w:rPr>
      </w:r>
      <w:r>
        <w:rPr>
          <w:spacing w:val="-2"/>
        </w:rPr>
        <w:t>并财务报表中的账面价值的份额，确定长期股权投资的初始投资成本。合并日长期股权投资的初始投资成本，与达到合并前</w:t>
      </w:r>
    </w:p>
    <w:p>
      <w:pPr>
        <w:spacing w:after="0" w:line="321"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21" w:lineRule="auto" w:before="44"/>
        <w:ind w:right="1136"/>
        <w:jc w:val="both"/>
      </w:pPr>
      <w:r>
        <w:rPr>
          <w:spacing w:val="-2"/>
        </w:rPr>
        <w:t>的长期股权投资账面价值加上合并日进一步取得股份新支付对价的账面价值之和的差额，调整股本溢价，股本溢价不足冲减</w:t>
      </w:r>
      <w:r>
        <w:rPr>
          <w:spacing w:val="-72"/>
        </w:rPr>
        <w:t> </w:t>
      </w:r>
      <w:r>
        <w:rPr>
          <w:spacing w:val="-72"/>
        </w:rPr>
      </w:r>
      <w:r>
        <w:rPr/>
        <w:t>的，冲减留存收益。</w:t>
      </w:r>
    </w:p>
    <w:p>
      <w:pPr>
        <w:pStyle w:val="BodyText"/>
        <w:spacing w:line="314" w:lineRule="auto" w:before="18"/>
        <w:ind w:right="1136" w:firstLine="390"/>
        <w:jc w:val="both"/>
      </w:pPr>
      <w:r>
        <w:rPr/>
        <w:t>非同一控制下的企业合并：公司按照购买日确定的合并成本作为长期股权投资的初始投资成本。因追加投资等原因能 </w:t>
      </w:r>
      <w:r>
        <w:rPr>
          <w:spacing w:val="-2"/>
        </w:rPr>
        <w:t>够对非同一控制下的被投资单位实施控制的，按照原持有的股权投资账面价值加上新增投资成本之和，作为改按成本法核算</w:t>
      </w:r>
      <w:r>
        <w:rPr>
          <w:spacing w:val="-72"/>
        </w:rPr>
        <w:t> </w:t>
      </w:r>
      <w:r>
        <w:rPr>
          <w:spacing w:val="-72"/>
        </w:rPr>
      </w:r>
      <w:r>
        <w:rPr/>
        <w:t>的初始投资成本。</w:t>
      </w:r>
    </w:p>
    <w:p>
      <w:pPr>
        <w:pStyle w:val="BodyText"/>
        <w:spacing w:line="304" w:lineRule="auto" w:before="39"/>
        <w:ind w:left="531" w:right="1118" w:hanging="75"/>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在非货币性资产交换具有商业实质，且换入资产或换出资产的公允价值能够可靠计量时，以公允价值为基础计量。如</w:t>
      </w:r>
    </w:p>
    <w:p>
      <w:pPr>
        <w:pStyle w:val="BodyText"/>
        <w:spacing w:line="321" w:lineRule="auto" w:before="31"/>
        <w:ind w:right="1131"/>
        <w:jc w:val="both"/>
      </w:pPr>
      <w:r>
        <w:rPr>
          <w:spacing w:val="-2"/>
        </w:rPr>
        <w:t>换入资产和换出资产的公允价值均能可靠计量的，对于换入的长期股权投资，以换出资产的公允价值和应支付的相关税费作</w:t>
      </w:r>
      <w:r>
        <w:rPr>
          <w:spacing w:val="-72"/>
        </w:rPr>
        <w:t> </w:t>
      </w:r>
      <w:r>
        <w:rPr>
          <w:spacing w:val="-72"/>
        </w:rPr>
      </w:r>
      <w:r>
        <w:rPr>
          <w:spacing w:val="-2"/>
        </w:rPr>
        <w:t>为换入的长期股权投资的初始投资成本，除非有确凿证据表明换入资产的公允价值更加可靠。非货币性资产交换不具有商业</w:t>
      </w:r>
      <w:r>
        <w:rPr>
          <w:spacing w:val="-66"/>
        </w:rPr>
        <w:t> </w:t>
      </w:r>
      <w:r>
        <w:rPr>
          <w:spacing w:val="-66"/>
        </w:rPr>
      </w:r>
      <w:r>
        <w:rPr>
          <w:spacing w:val="-2"/>
        </w:rPr>
        <w:t>实质，或换入资产和换出资产的公允价值均不能可靠计量的，对于换入的长期股权投资，以换出资产的账面价值和应支付的</w:t>
      </w:r>
      <w:r>
        <w:rPr>
          <w:spacing w:val="-75"/>
        </w:rPr>
        <w:t> </w:t>
      </w:r>
      <w:r>
        <w:rPr>
          <w:spacing w:val="-75"/>
        </w:rPr>
      </w:r>
      <w:r>
        <w:rPr/>
        <w:t>相关税费作为换入长期股权投资的初始投资成本。</w:t>
      </w:r>
    </w:p>
    <w:p>
      <w:pPr>
        <w:pStyle w:val="BodyText"/>
        <w:spacing w:line="321" w:lineRule="auto" w:before="3"/>
        <w:ind w:right="1136" w:firstLine="390"/>
        <w:jc w:val="both"/>
      </w:pPr>
      <w:r>
        <w:rPr/>
        <w:t>通过债务重组取得的长期股权投资，以所放弃债权的公允价值和可直接归属于该资产的税金等其他成本确定其入账价 值，并将所放弃债权的公允价值与账面价值之间的差额，计入当期损益。</w:t>
      </w:r>
    </w:p>
    <w:p>
      <w:pPr>
        <w:pStyle w:val="BodyText"/>
        <w:spacing w:line="240" w:lineRule="auto" w:before="33"/>
        <w:ind w:left="531" w:right="0"/>
        <w:jc w:val="left"/>
      </w:pPr>
      <w:r>
        <w:rPr>
          <w:rFonts w:ascii="Times New Roman" w:hAnsi="Times New Roman" w:cs="Times New Roman" w:eastAsia="Times New Roman" w:hint="default"/>
        </w:rPr>
        <w:t>3</w:t>
      </w:r>
      <w:r>
        <w:rPr/>
        <w:t>、后续计量及损益确认方法</w:t>
      </w:r>
    </w:p>
    <w:p>
      <w:pPr>
        <w:pStyle w:val="BodyText"/>
        <w:spacing w:line="288" w:lineRule="auto" w:before="66"/>
        <w:ind w:left="531" w:right="0" w:hanging="301"/>
        <w:jc w:val="left"/>
      </w:pPr>
      <w:r>
        <w:rPr/>
        <w:t>（</w:t>
      </w: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公司对子公司的长期股权投资，采用成本法核算。除取得投资时实际支付的价款或对价中包含的已宣告但尚未发放的</w:t>
      </w:r>
    </w:p>
    <w:p>
      <w:pPr>
        <w:pStyle w:val="BodyText"/>
        <w:spacing w:line="240" w:lineRule="auto" w:before="29"/>
        <w:ind w:right="0"/>
        <w:jc w:val="left"/>
      </w:pPr>
      <w:r>
        <w:rPr/>
        <w:t>现金股利或利润外，公司按照享有被投资单位宣告发放的现金股利或利润确认当期投资收益。</w:t>
      </w:r>
    </w:p>
    <w:p>
      <w:pPr>
        <w:pStyle w:val="BodyText"/>
        <w:spacing w:line="290" w:lineRule="auto" w:before="94"/>
        <w:ind w:left="531" w:right="0" w:hanging="301"/>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对联营企业和合营企业的长期股权投资，采用权益法核算。初始投资成本大于投资时应享有被投资单位可辨认净资产</w:t>
      </w:r>
    </w:p>
    <w:p>
      <w:pPr>
        <w:pStyle w:val="BodyText"/>
        <w:spacing w:line="321" w:lineRule="auto" w:before="41"/>
        <w:ind w:right="1136"/>
        <w:jc w:val="both"/>
      </w:pPr>
      <w:r>
        <w:rPr>
          <w:spacing w:val="-2"/>
        </w:rPr>
        <w:t>公允价值份额的差额，不调整长期股权投资的初始投资成本；初始投资成本小于投资时应享有被投资单位可辨认净资产公允</w:t>
      </w:r>
      <w:r>
        <w:rPr>
          <w:spacing w:val="-72"/>
        </w:rPr>
        <w:t> </w:t>
      </w:r>
      <w:r>
        <w:rPr>
          <w:spacing w:val="-72"/>
        </w:rPr>
      </w:r>
      <w:r>
        <w:rPr/>
        <w:t>价值份额的差额，计入当期损益。</w:t>
      </w:r>
    </w:p>
    <w:p>
      <w:pPr>
        <w:pStyle w:val="BodyText"/>
        <w:spacing w:line="321" w:lineRule="auto" w:before="4"/>
        <w:ind w:right="1125" w:firstLine="390"/>
        <w:jc w:val="both"/>
      </w:pPr>
      <w:r>
        <w:rPr/>
        <w:t>公司按照应享有或应分担的被投资单位实现的净损益和其他综合收益的份额，分别确认投资收益和其他综合收益，同 </w:t>
      </w:r>
      <w:r>
        <w:rPr>
          <w:spacing w:val="-2"/>
        </w:rPr>
        <w:t>时调整长期股权投资的账面价值；按照被投资单位宣告分派的利润或现金股利计算应享有的部分，相应减少长期股权投资的</w:t>
      </w:r>
      <w:r>
        <w:rPr>
          <w:spacing w:val="-72"/>
        </w:rPr>
        <w:t> </w:t>
      </w:r>
      <w:r>
        <w:rPr>
          <w:spacing w:val="-72"/>
        </w:rPr>
      </w:r>
      <w:r>
        <w:rPr>
          <w:spacing w:val="-2"/>
        </w:rPr>
        <w:t>账面价值；对于被投资单位除净损益、其他综合收益和利润分配以外所有者权益的其他变动，调整长期股权投资的账面价值</w:t>
      </w:r>
      <w:r>
        <w:rPr>
          <w:spacing w:val="-75"/>
        </w:rPr>
        <w:t> </w:t>
      </w:r>
      <w:r>
        <w:rPr>
          <w:spacing w:val="-75"/>
        </w:rPr>
      </w:r>
      <w:r>
        <w:rPr/>
        <w:t>并计入所有者权益。</w:t>
      </w:r>
    </w:p>
    <w:p>
      <w:pPr>
        <w:pStyle w:val="BodyText"/>
        <w:spacing w:line="314" w:lineRule="auto" w:before="19"/>
        <w:ind w:right="1106" w:firstLine="390"/>
        <w:jc w:val="both"/>
      </w:pPr>
      <w:r>
        <w:rPr/>
        <w:t>在确认应享有被投资单位净损益的份额时，以取得投资时被投资单位可辨认净资产的公允价值为基础，并按照公司的 </w:t>
      </w:r>
      <w:r>
        <w:rPr>
          <w:spacing w:val="-2"/>
        </w:rPr>
        <w:t>会计政策及会计期间，对被投资单位的净利润进行调整后确认。在持有投资期间，被投资单位编制合并财务报表的，以合并</w:t>
      </w:r>
      <w:r>
        <w:rPr>
          <w:spacing w:val="-42"/>
        </w:rPr>
        <w:t> </w:t>
      </w:r>
      <w:r>
        <w:rPr>
          <w:spacing w:val="-42"/>
        </w:rPr>
      </w:r>
      <w:r>
        <w:rPr/>
        <w:t>财务报表中的净利润、其他综合收益和其他所有者权益变动中归属于被投资单位的金额为基础进行核算。</w:t>
      </w:r>
    </w:p>
    <w:p>
      <w:pPr>
        <w:pStyle w:val="BodyText"/>
        <w:spacing w:line="321" w:lineRule="auto" w:before="23"/>
        <w:ind w:right="1121" w:firstLine="390"/>
        <w:jc w:val="both"/>
      </w:pPr>
      <w:r>
        <w:rPr/>
        <w:t>公司与联营企业、合营企业之间发生的未实现内部交易损益按照应享有的比例计算归属于公司的部分，予以抵销，在 </w:t>
      </w:r>
      <w:r>
        <w:rPr>
          <w:spacing w:val="-2"/>
        </w:rPr>
        <w:t>此基础上确认投资收益。与被投资单位发生的未实现内部交易损失，属于资产减值损失的，全额确认。公司与联营企业、合</w:t>
      </w:r>
    </w:p>
    <w:p>
      <w:pPr>
        <w:pStyle w:val="BodyText"/>
        <w:spacing w:line="288" w:lineRule="auto" w:before="34"/>
        <w:ind w:right="1129"/>
        <w:jc w:val="both"/>
      </w:pPr>
      <w:r>
        <w:rPr/>
        <w:t>营企业之间发生投出或出售资产的交易，该资产构成业务的，按照本附注</w:t>
      </w:r>
      <w:r>
        <w:rPr>
          <w:rFonts w:ascii="Times New Roman" w:hAnsi="Times New Roman" w:cs="Times New Roman" w:eastAsia="Times New Roman" w:hint="default"/>
        </w:rPr>
        <w:t>“</w:t>
      </w:r>
      <w:r>
        <w:rPr/>
        <w:t>五、（五）同一控制下和非同一控制下企业合并</w:t>
      </w:r>
      <w:r>
        <w:rPr>
          <w:spacing w:val="-74"/>
        </w:rPr>
        <w:t> </w:t>
      </w:r>
      <w:r>
        <w:rPr/>
        <w:t>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五、（六）合并财务报表的编制方法</w:t>
      </w:r>
      <w:r>
        <w:rPr>
          <w:rFonts w:ascii="Times New Roman" w:hAnsi="Times New Roman" w:cs="Times New Roman" w:eastAsia="Times New Roman" w:hint="default"/>
        </w:rPr>
        <w:t>”</w:t>
      </w:r>
      <w:r>
        <w:rPr/>
        <w:t>中披露的相关政策进行会计处理。</w:t>
      </w:r>
    </w:p>
    <w:p>
      <w:pPr>
        <w:pStyle w:val="BodyText"/>
        <w:spacing w:line="321" w:lineRule="auto" w:before="11"/>
        <w:ind w:right="1121" w:firstLine="390"/>
        <w:jc w:val="both"/>
      </w:pPr>
      <w:r>
        <w:rPr/>
        <w:t>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w:t>
      </w:r>
      <w:r>
        <w:rPr>
          <w:spacing w:val="-7"/>
        </w:rPr>
        <w:t> </w:t>
      </w:r>
      <w:r>
        <w:rPr>
          <w:spacing w:val="-7"/>
        </w:rPr>
      </w:r>
      <w:r>
        <w:rPr>
          <w:spacing w:val="-2"/>
        </w:rPr>
        <w:t>失，冲减长期应收项目等的账面价值。最后，经过上述处理，按照投资合同或协议约定企业仍承担额外义务的，按预计承担</w:t>
      </w:r>
      <w:r>
        <w:rPr>
          <w:spacing w:val="-57"/>
        </w:rPr>
        <w:t> </w:t>
      </w:r>
      <w:r>
        <w:rPr>
          <w:spacing w:val="-57"/>
        </w:rPr>
      </w:r>
      <w:r>
        <w:rPr/>
        <w:t>的义务确认预计负债，计入当期投资损失。</w:t>
      </w:r>
    </w:p>
    <w:p>
      <w:pPr>
        <w:pStyle w:val="BodyText"/>
        <w:spacing w:line="288" w:lineRule="auto" w:before="18"/>
        <w:ind w:left="531" w:right="4599" w:hanging="226"/>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44"/>
        <w:ind w:right="1126" w:firstLine="390"/>
        <w:jc w:val="both"/>
      </w:pPr>
      <w:r>
        <w:rPr/>
        <w:t>采用权益法核算的长期股权投资，在处置该项投资时，采用与被投资单位直接处置相关资产或负债相同的基础，按相 </w:t>
      </w:r>
      <w:r>
        <w:rPr>
          <w:spacing w:val="-2"/>
        </w:rPr>
        <w:t>应比例对原计入其他综合收益的部分进行会计处理。因被投资单位除净损益、其他综合收益和利润分配以外的其他所有者权</w:t>
      </w:r>
      <w:r>
        <w:rPr>
          <w:spacing w:val="-72"/>
        </w:rPr>
        <w:t> </w:t>
      </w:r>
      <w:r>
        <w:rPr>
          <w:spacing w:val="-72"/>
        </w:rPr>
      </w:r>
      <w:r>
        <w:rPr>
          <w:spacing w:val="-2"/>
        </w:rPr>
        <w:t>益变动而确认的所有者权益，按比例结转入当期损益，由于被投资方重新计量设定受益计划净负债或净资产变动而产生的其</w:t>
      </w:r>
      <w:r>
        <w:rPr>
          <w:spacing w:val="-72"/>
        </w:rPr>
        <w:t> </w:t>
      </w:r>
      <w:r>
        <w:rPr>
          <w:spacing w:val="-72"/>
        </w:rPr>
      </w:r>
      <w:r>
        <w:rPr/>
        <w:t>他综合收益除外。</w:t>
      </w:r>
    </w:p>
    <w:p>
      <w:pPr>
        <w:spacing w:after="0" w:line="316" w:lineRule="auto"/>
        <w:jc w:val="both"/>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16" w:lineRule="auto" w:before="44"/>
        <w:ind w:right="1132" w:firstLine="390"/>
        <w:jc w:val="both"/>
      </w:pPr>
      <w:r>
        <w:rPr/>
        <w:t>因处置部分股权投资等原因丧失了对被投资单位的共同控制或重大影响的，处置后的剩余股权改按金融工具确认和计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72"/>
        </w:rPr>
        <w:t> </w:t>
      </w:r>
      <w:r>
        <w:rPr>
          <w:spacing w:val="-72"/>
        </w:rPr>
      </w:r>
      <w:r>
        <w:rPr/>
        <w:t>核算而确认的其他综合收益，在终止采用权益法核算时采用与被投资单位直接处置相关资产或负债相同的基础进行会计处</w:t>
      </w:r>
      <w:r>
        <w:rPr>
          <w:spacing w:val="-2"/>
        </w:rPr>
        <w:t> </w:t>
      </w:r>
      <w:r>
        <w:rPr>
          <w:spacing w:val="-2"/>
        </w:rPr>
        <w:t>理。因被投资方除净损益、其他综合收益和利润分配以外的其他所有者权益变动而确认的所有者权益，在终止采用权益法核</w:t>
      </w:r>
      <w:r>
        <w:rPr>
          <w:spacing w:val="-75"/>
        </w:rPr>
        <w:t> </w:t>
      </w:r>
      <w:r>
        <w:rPr>
          <w:spacing w:val="-75"/>
        </w:rPr>
      </w:r>
      <w:r>
        <w:rPr/>
        <w:t>算时全部转入当期损益。</w:t>
      </w:r>
    </w:p>
    <w:p>
      <w:pPr>
        <w:pStyle w:val="BodyText"/>
        <w:spacing w:line="319" w:lineRule="auto" w:before="22"/>
        <w:ind w:right="0" w:firstLine="390"/>
        <w:jc w:val="left"/>
      </w:pPr>
      <w:r>
        <w:rPr/>
        <w:t>因处置部分股权投资、因其他投资方对子公司增资而导致本公司持股比例下降等原因丧失了对被投资单位控制权的， </w:t>
      </w:r>
      <w:r>
        <w:rPr>
          <w:spacing w:val="-2"/>
        </w:rPr>
        <w:t>在编制个别财务报表时，剩余股权能够对被投资单位实施共同控制或重大影响的，改按权益法核算，并对该剩余股权视同自</w:t>
      </w:r>
      <w:r>
        <w:rPr>
          <w:spacing w:val="-75"/>
        </w:rPr>
        <w:t> </w:t>
      </w:r>
      <w:r>
        <w:rPr>
          <w:spacing w:val="-75"/>
        </w:rPr>
      </w:r>
      <w:r>
        <w:rPr>
          <w:spacing w:val="-2"/>
        </w:rPr>
        <w:t>取得时即采用权益法核算进行调整；剩余股权不能对被投资单位实施共同控制或施加重大影响的，改按金融工具确认和计量</w:t>
      </w:r>
      <w:r>
        <w:rPr>
          <w:spacing w:val="-62"/>
        </w:rPr>
        <w:t> </w:t>
      </w:r>
      <w:r>
        <w:rPr>
          <w:spacing w:val="-62"/>
        </w:rPr>
      </w:r>
      <w:r>
        <w:rPr/>
        <w:t>准则的有关规定进行会计处理，其在丧失控制之日的公允价值与账面价值间的差额计入当期损益。 处置的股权是因追加投资等原因通过企业合并取得的，在编制个别财务报表时，处置后的剩余股权采用成本法或权益法核 </w:t>
      </w:r>
      <w:r>
        <w:rPr>
          <w:spacing w:val="-2"/>
        </w:rPr>
        <w:t>算的，购买日之前持有的股权投资因采用权益法核算而确认的其他综合收益和其他所有者权益按比例结转；处置后的剩余股</w:t>
      </w:r>
      <w:r>
        <w:rPr>
          <w:spacing w:val="-72"/>
        </w:rPr>
        <w:t> </w:t>
      </w:r>
      <w:r>
        <w:rPr>
          <w:spacing w:val="-72"/>
        </w:rPr>
      </w:r>
      <w:r>
        <w:rPr/>
        <w:t>权改按金融工具确认和计量准则进行会计处理的，其他综合收益和其他所有者权益全部结转。</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bookmarkStart w:name="23、投资性房地产" w:id="200"/>
      <w:bookmarkEnd w:id="200"/>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1"/>
        <w:rPr>
          <w:rFonts w:ascii="宋体" w:hAnsi="宋体" w:cs="宋体" w:eastAsia="宋体" w:hint="default"/>
          <w:b/>
          <w:bCs/>
          <w:sz w:val="24"/>
          <w:szCs w:val="24"/>
        </w:rPr>
      </w:pPr>
    </w:p>
    <w:p>
      <w:pPr>
        <w:pStyle w:val="BodyText"/>
        <w:spacing w:line="360" w:lineRule="auto"/>
        <w:ind w:right="8949"/>
        <w:jc w:val="left"/>
      </w:pPr>
      <w:r>
        <w:rPr/>
        <w:t>投资性房地产计量模式 成本法计量 折旧或摊销方法</w:t>
      </w:r>
    </w:p>
    <w:p>
      <w:pPr>
        <w:pStyle w:val="BodyText"/>
        <w:spacing w:line="314" w:lineRule="auto" w:before="35"/>
        <w:ind w:right="1102" w:firstLine="300"/>
        <w:jc w:val="both"/>
      </w:pPr>
      <w:r>
        <w:rPr/>
        <w:t>投资性房地产是指为赚取租金或资本增值，或两者兼有而持有的房地产，包括已出租的土地使用权、持有并准备增值后 </w:t>
      </w:r>
      <w:r>
        <w:rPr>
          <w:spacing w:val="-2"/>
        </w:rPr>
        <w:t>转让的土地使用权、已出租的建筑物（含自行建造或开发活动完成后用于出租的建筑物以及正在建造或开发过程中将来用于</w:t>
      </w:r>
      <w:r>
        <w:rPr>
          <w:spacing w:val="-72"/>
        </w:rPr>
        <w:t> </w:t>
      </w:r>
      <w:r>
        <w:rPr>
          <w:spacing w:val="-72"/>
        </w:rPr>
      </w:r>
      <w:r>
        <w:rPr/>
        <w:t>出租的建筑物）。</w:t>
      </w:r>
    </w:p>
    <w:p>
      <w:pPr>
        <w:pStyle w:val="BodyText"/>
        <w:spacing w:line="321" w:lineRule="auto" w:before="24"/>
        <w:ind w:right="1120" w:firstLine="300"/>
        <w:jc w:val="both"/>
      </w:pPr>
      <w:r>
        <w:rPr>
          <w:spacing w:val="-1"/>
        </w:rPr>
        <w:t>本公司对现有投资性房地产采用成本模式计量。对按照成本模式计量的投资性房地产－出租用建筑物采用与本公司固定</w:t>
      </w:r>
      <w:r>
        <w:rPr/>
        <w:t> 资产相同的折旧政策，出租用土地使用权按与无形资产相同的摊销政策执行。</w:t>
      </w:r>
    </w:p>
    <w:p>
      <w:pPr>
        <w:spacing w:line="240" w:lineRule="auto" w:before="13"/>
        <w:rPr>
          <w:rFonts w:ascii="宋体" w:hAnsi="宋体" w:cs="宋体" w:eastAsia="宋体" w:hint="default"/>
          <w:sz w:val="23"/>
          <w:szCs w:val="23"/>
        </w:rPr>
      </w:pPr>
    </w:p>
    <w:p>
      <w:pPr>
        <w:pStyle w:val="Heading5"/>
        <w:spacing w:line="240" w:lineRule="auto"/>
        <w:ind w:right="0"/>
        <w:jc w:val="left"/>
        <w:rPr>
          <w:b w:val="0"/>
          <w:bCs w:val="0"/>
        </w:rPr>
      </w:pPr>
      <w:bookmarkStart w:name="24、固定资产" w:id="201"/>
      <w:bookmarkEnd w:id="201"/>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确认条件" w:id="202"/>
      <w:bookmarkEnd w:id="202"/>
      <w:r>
        <w:rPr>
          <w:b w:val="0"/>
          <w:bCs w:val="0"/>
        </w:rPr>
      </w:r>
      <w:r>
        <w:rPr/>
        <w:t>（</w:t>
      </w:r>
      <w:r>
        <w:rPr>
          <w:rFonts w:ascii="Times New Roman" w:hAnsi="Times New Roman" w:cs="Times New Roman" w:eastAsia="Times New Roman" w:hint="default"/>
        </w:rPr>
        <w:t>1</w:t>
      </w:r>
      <w:r>
        <w:rPr/>
        <w:t>）确认条件</w:t>
      </w:r>
      <w:r>
        <w:rPr>
          <w:b w:val="0"/>
          <w:bCs w:val="0"/>
        </w:rPr>
      </w:r>
    </w:p>
    <w:p>
      <w:pPr>
        <w:pStyle w:val="BodyText"/>
        <w:spacing w:line="307" w:lineRule="auto" w:before="150"/>
        <w:ind w:right="1096" w:firstLine="360"/>
        <w:jc w:val="both"/>
      </w:pPr>
      <w:r>
        <w:rPr>
          <w:spacing w:val="-1"/>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89"/>
        <w:ind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96"/>
        <w:ind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2）折旧方法" w:id="203"/>
      <w:bookmarkEnd w:id="20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37"/>
        <w:gridCol w:w="1923"/>
        <w:gridCol w:w="1922"/>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1.90-5.00</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3-5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0-5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19.00-33.33</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19.00-33.33</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4-10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9.50-25.00</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21" w:lineRule="auto"/>
        <w:ind w:right="1089" w:firstLine="300"/>
        <w:jc w:val="left"/>
      </w:pPr>
      <w:r>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spacing w:after="0" w:line="321"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3）融资租入固定资产的认定依据、计价和折旧方法" w:id="204"/>
      <w:bookmarkEnd w:id="20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1137"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72"/>
        </w:rPr>
        <w:t> </w:t>
      </w:r>
      <w:r>
        <w:rPr>
          <w:spacing w:val="-72"/>
        </w:rPr>
      </w:r>
      <w:r>
        <w:rPr/>
        <w:t>折旧。</w:t>
      </w:r>
    </w:p>
    <w:p>
      <w:pPr>
        <w:spacing w:line="240" w:lineRule="auto" w:before="7"/>
        <w:rPr>
          <w:rFonts w:ascii="宋体" w:hAnsi="宋体" w:cs="宋体" w:eastAsia="宋体" w:hint="default"/>
          <w:sz w:val="25"/>
          <w:szCs w:val="25"/>
        </w:rPr>
      </w:pPr>
    </w:p>
    <w:p>
      <w:pPr>
        <w:pStyle w:val="Heading5"/>
        <w:spacing w:line="240" w:lineRule="auto"/>
        <w:ind w:right="0"/>
        <w:jc w:val="left"/>
        <w:rPr>
          <w:b w:val="0"/>
          <w:bCs w:val="0"/>
        </w:rPr>
      </w:pPr>
      <w:bookmarkStart w:name="25、在建工程" w:id="205"/>
      <w:bookmarkEnd w:id="205"/>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0" w:firstLine="390"/>
        <w:jc w:val="left"/>
      </w:pPr>
      <w:r>
        <w:rPr/>
        <w:t>在建工程项目按建造该项资产达到预定可使用状态前所发生的必要支出，作为固定资产的入账价值。所建造的固定资 </w:t>
      </w:r>
      <w:r>
        <w:rPr>
          <w:spacing w:val="-2"/>
        </w:rPr>
        <w:t>产在工程已达到预定可使用状态，但尚未办理竣工决算的，自达到预定可使用状态之日起，根据工程预算、造价或者工程实</w:t>
      </w:r>
      <w:r>
        <w:rPr>
          <w:spacing w:val="-42"/>
        </w:rPr>
        <w:t> </w:t>
      </w:r>
      <w:r>
        <w:rPr>
          <w:spacing w:val="-42"/>
        </w:rPr>
      </w:r>
      <w:r>
        <w:rPr>
          <w:spacing w:val="-2"/>
        </w:rPr>
        <w:t>际成本等，按估计的价值转入固定资产，并按本公司固定资产折旧政策计提固定资产的折旧，待办理竣工决算后，再按实际</w:t>
      </w:r>
      <w:r>
        <w:rPr>
          <w:spacing w:val="-42"/>
        </w:rPr>
        <w:t> </w:t>
      </w:r>
      <w:r>
        <w:rPr>
          <w:spacing w:val="-42"/>
        </w:rPr>
      </w:r>
      <w:r>
        <w:rPr/>
        <w:t>成本调整原来的暂估价值，但不调整原已计提的折旧额。</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26、借款费用" w:id="206"/>
      <w:bookmarkEnd w:id="206"/>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left="531" w:right="1118"/>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公司发生的借款费用，可直接归属于符合资本化条件的资产的购建或者生产的，予以资本化，计入相关资产成本；其</w:t>
      </w:r>
    </w:p>
    <w:p>
      <w:pPr>
        <w:pStyle w:val="BodyText"/>
        <w:spacing w:line="304" w:lineRule="auto" w:before="31"/>
        <w:ind w:left="531" w:right="0" w:hanging="391"/>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21" w:lineRule="auto" w:before="31"/>
        <w:ind w:left="531" w:right="6939" w:hanging="391"/>
        <w:jc w:val="left"/>
      </w:pPr>
      <w:r>
        <w:rPr/>
        <w:t>产、投资性房地产和存货等资产。 借款费用同时满足下列条件时开始资本化：</w:t>
      </w:r>
    </w:p>
    <w:p>
      <w:pPr>
        <w:pStyle w:val="BodyText"/>
        <w:spacing w:line="288" w:lineRule="auto" w:before="33"/>
        <w:ind w:right="0" w:firstLine="315"/>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44"/>
        <w:ind w:left="456"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6"/>
        <w:ind w:left="456"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09" w:lineRule="auto" w:before="66"/>
        <w:ind w:left="531" w:right="0"/>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28"/>
        <w:ind w:right="0"/>
        <w:jc w:val="left"/>
      </w:pPr>
      <w:r>
        <w:rPr/>
        <w:t>借款费用资本化。</w:t>
      </w:r>
    </w:p>
    <w:p>
      <w:pPr>
        <w:pStyle w:val="BodyText"/>
        <w:spacing w:line="304" w:lineRule="auto" w:before="94"/>
        <w:ind w:left="531" w:right="0"/>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218" w:lineRule="exact"/>
        <w:ind w:right="0"/>
        <w:jc w:val="left"/>
      </w:pPr>
      <w:r>
        <w:rPr/>
        <w:t>该项中断如是所购建或生产的符合资本化条件的资产达到预定可使用状态或者可销售状态必要的程序</w:t>
      </w:r>
      <w:r>
        <w:rPr>
          <w:spacing w:val="-76"/>
        </w:rPr>
        <w:t>，</w:t>
      </w:r>
      <w:r>
        <w:rPr/>
        <w:t>则借款费用继续资本</w:t>
      </w:r>
    </w:p>
    <w:p>
      <w:pPr>
        <w:pStyle w:val="BodyText"/>
        <w:spacing w:line="312" w:lineRule="auto" w:before="80"/>
        <w:ind w:left="531" w:right="0" w:hanging="391"/>
        <w:jc w:val="left"/>
      </w:pPr>
      <w:r>
        <w:rPr/>
        <w:t>化。在中断期间发生的借款费用确认为当期损益，直至资产的购建或者生产活动重新开始后借款费用继续资本化。 </w:t>
      </w:r>
      <w:r>
        <w:rPr>
          <w:rFonts w:ascii="Times New Roman" w:hAnsi="Times New Roman" w:cs="Times New Roman" w:eastAsia="Times New Roman" w:hint="default"/>
        </w:rPr>
        <w:t>4</w:t>
      </w:r>
      <w:r>
        <w:rPr/>
        <w:t>、借款费用资本化率、资本化金额的计算方法 对于为购建或者生产符合资本化条件的资产而借入的专门借款，以专门借款当期实际发生的借款费用，减去尚未动用</w:t>
      </w:r>
    </w:p>
    <w:p>
      <w:pPr>
        <w:pStyle w:val="BodyText"/>
        <w:spacing w:line="304" w:lineRule="auto" w:before="26"/>
        <w:ind w:left="531" w:right="0" w:hanging="391"/>
        <w:jc w:val="left"/>
      </w:pPr>
      <w:r>
        <w:rPr/>
        <w:t>的借款资金存入银行取得的利息收入或进行暂时性投资取得的投资收益后的金额，来确定借款费用的资本化金额。 对于为购建或者生产符合资本化条件的资产而占用的一般借款，根据累计资产支出超过专门借款部分的资产支出加权</w:t>
      </w:r>
    </w:p>
    <w:p>
      <w:pPr>
        <w:pStyle w:val="BodyText"/>
        <w:spacing w:line="321" w:lineRule="auto" w:before="31"/>
        <w:ind w:right="1118"/>
        <w:jc w:val="left"/>
      </w:pPr>
      <w:r>
        <w:rPr>
          <w:spacing w:val="-2"/>
        </w:rPr>
        <w:t>平均数乘以所占用一般借款的资本化率，计算确定一般借款应予资本化的借款费用金额。资本化率根据一般借款加权平均利</w:t>
      </w:r>
      <w:r>
        <w:rPr>
          <w:spacing w:val="-72"/>
        </w:rPr>
        <w:t> </w:t>
      </w:r>
      <w:r>
        <w:rPr>
          <w:spacing w:val="-72"/>
        </w:rPr>
      </w:r>
      <w:r>
        <w:rPr/>
        <w:t>率计算确定。</w:t>
      </w:r>
    </w:p>
    <w:p>
      <w:pPr>
        <w:spacing w:after="0" w:line="321"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7、生物资产" w:id="207"/>
      <w:bookmarkEnd w:id="207"/>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8、油气资产" w:id="208"/>
      <w:bookmarkEnd w:id="208"/>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29、使用权资产" w:id="209"/>
      <w:bookmarkEnd w:id="209"/>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0、无形资产" w:id="210"/>
      <w:bookmarkEnd w:id="210"/>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计价方法、使用寿命、减值测试" w:id="211"/>
      <w:bookmarkEnd w:id="21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31" w:right="0"/>
        <w:jc w:val="left"/>
      </w:pPr>
      <w:r>
        <w:rPr>
          <w:rFonts w:ascii="Times New Roman" w:hAnsi="Times New Roman" w:cs="Times New Roman" w:eastAsia="Times New Roman" w:hint="default"/>
        </w:rPr>
        <w:t>1</w:t>
      </w:r>
      <w:r>
        <w:rPr/>
        <w:t>、无形资产的计价方法</w:t>
      </w:r>
    </w:p>
    <w:p>
      <w:pPr>
        <w:pStyle w:val="BodyText"/>
        <w:spacing w:line="276" w:lineRule="auto" w:before="66"/>
        <w:ind w:left="531" w:right="0" w:hanging="75"/>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外购无形资产的成本，包括购买价款、相关税费以及直接归属于使该项资产达到预定用途所发生的其他支出。购买无</w:t>
      </w:r>
    </w:p>
    <w:p>
      <w:pPr>
        <w:pStyle w:val="BodyText"/>
        <w:spacing w:line="321" w:lineRule="auto" w:before="52"/>
        <w:ind w:left="531" w:right="0" w:hanging="391"/>
        <w:jc w:val="left"/>
      </w:pPr>
      <w:r>
        <w:rPr/>
        <w:t>形资产的价款超过正常信用条件延期支付，实质上具有融资性质的，无形资产的成本以购买价款的现值为基础确定。 债务重组取得债务人用以抵债的无形资产，以所放弃债权的公允价值和可直接归属于使该资产达到预定用途所发生的</w:t>
      </w:r>
    </w:p>
    <w:p>
      <w:pPr>
        <w:pStyle w:val="BodyText"/>
        <w:spacing w:line="321" w:lineRule="auto" w:before="18"/>
        <w:ind w:left="531" w:right="0" w:hanging="391"/>
        <w:jc w:val="left"/>
      </w:pPr>
      <w:r>
        <w:rPr/>
        <w:t>税金等其他成本确定其入账价值，并将所放弃债权的公允价值与账面价值之间的差额，计入当期损益。</w:t>
      </w:r>
      <w:r>
        <w:rPr>
          <w:spacing w:val="-83"/>
        </w:rPr>
        <w:t> </w:t>
      </w:r>
      <w:r>
        <w:rPr>
          <w:spacing w:val="-83"/>
        </w:rPr>
      </w:r>
      <w:r>
        <w:rPr/>
        <w:t>在非货币性资产交换具有商业实质，且换入资产或换出资产的公允价值能够可靠计量时，以公允价值为基础计量。如</w:t>
      </w:r>
    </w:p>
    <w:p>
      <w:pPr>
        <w:pStyle w:val="BodyText"/>
        <w:spacing w:line="321" w:lineRule="auto" w:before="3"/>
        <w:ind w:right="1136"/>
        <w:jc w:val="both"/>
      </w:pPr>
      <w:r>
        <w:rPr>
          <w:spacing w:val="-2"/>
        </w:rPr>
        <w:t>换入资产和换出资产的公允价值均能可靠计量的，对于换入的无形资产，以换出资产的公允价值和应支付的相关税费作为换</w:t>
      </w:r>
      <w:r>
        <w:rPr>
          <w:spacing w:val="-72"/>
        </w:rPr>
        <w:t> </w:t>
      </w:r>
      <w:r>
        <w:rPr>
          <w:spacing w:val="-72"/>
        </w:rPr>
      </w:r>
      <w:r>
        <w:rPr>
          <w:spacing w:val="-2"/>
        </w:rPr>
        <w:t>入的无形资产的初始投资成本，除非有确凿证据表明换入资产的公允价值更加可靠。非货币性资产交换不具有商业实质，或</w:t>
      </w:r>
      <w:r>
        <w:rPr>
          <w:spacing w:val="-75"/>
        </w:rPr>
        <w:t> </w:t>
      </w:r>
      <w:r>
        <w:rPr>
          <w:spacing w:val="-75"/>
        </w:rPr>
      </w:r>
      <w:r>
        <w:rPr>
          <w:spacing w:val="-2"/>
        </w:rPr>
        <w:t>换入资产和换出资产的公允价值均不能可靠计量的，对于换入的无形资产，以换出资产的账面价值和应支付的相关税费作为</w:t>
      </w:r>
      <w:r>
        <w:rPr>
          <w:spacing w:val="-72"/>
        </w:rPr>
        <w:t> </w:t>
      </w:r>
      <w:r>
        <w:rPr>
          <w:spacing w:val="-72"/>
        </w:rPr>
      </w:r>
      <w:r>
        <w:rPr/>
        <w:t>换入无形资产的初始投资成本。</w:t>
      </w:r>
    </w:p>
    <w:p>
      <w:pPr>
        <w:pStyle w:val="BodyText"/>
        <w:spacing w:line="273" w:lineRule="auto" w:before="34"/>
        <w:ind w:left="531" w:right="7119"/>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21" w:lineRule="auto" w:before="54"/>
        <w:ind w:right="0" w:firstLine="390"/>
        <w:jc w:val="left"/>
      </w:pPr>
      <w:r>
        <w:rPr/>
        <w:t>对于使用寿命有限的无形资产，在为企业带来经济利益的期限内按直线法摊销；无法预见无形资产为企业带来经济利 益期限的，视为使用寿命不确定的无形资产，不予摊销。</w:t>
      </w:r>
    </w:p>
    <w:p>
      <w:pPr>
        <w:spacing w:line="240" w:lineRule="auto" w:before="9"/>
        <w:rPr>
          <w:rFonts w:ascii="宋体" w:hAnsi="宋体" w:cs="宋体" w:eastAsia="宋体" w:hint="default"/>
          <w:sz w:val="26"/>
          <w:szCs w:val="26"/>
        </w:rPr>
      </w:pPr>
    </w:p>
    <w:p>
      <w:pPr>
        <w:pStyle w:val="BodyText"/>
        <w:spacing w:line="240" w:lineRule="auto"/>
        <w:ind w:left="441"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6"/>
        <w:rPr>
          <w:rFonts w:ascii="宋体" w:hAnsi="宋体" w:cs="宋体" w:eastAsia="宋体"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598"/>
        <w:gridCol w:w="2283"/>
        <w:gridCol w:w="2403"/>
        <w:gridCol w:w="2403"/>
      </w:tblGrid>
      <w:tr>
        <w:trPr>
          <w:trHeight w:val="330" w:hRule="exact"/>
        </w:trPr>
        <w:tc>
          <w:tcPr>
            <w:tcW w:w="2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15"/>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14"/>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1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2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3"/>
              <w:jc w:val="center"/>
              <w:rPr>
                <w:rFonts w:ascii="Times New Roman" w:hAnsi="Times New Roman" w:cs="Times New Roman" w:eastAsia="Times New Roman" w:hint="default"/>
                <w:sz w:val="18"/>
                <w:szCs w:val="18"/>
              </w:rPr>
            </w:pPr>
            <w:r>
              <w:rPr>
                <w:rFonts w:ascii="Times New Roman"/>
                <w:sz w:val="18"/>
              </w:rPr>
              <w:t>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4"/>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3"/>
              <w:jc w:val="center"/>
              <w:rPr>
                <w:rFonts w:ascii="宋体" w:hAnsi="宋体" w:cs="宋体" w:eastAsia="宋体" w:hint="default"/>
                <w:sz w:val="18"/>
                <w:szCs w:val="18"/>
              </w:rPr>
            </w:pPr>
            <w:r>
              <w:rPr>
                <w:rFonts w:ascii="宋体" w:hAnsi="宋体" w:cs="宋体" w:eastAsia="宋体" w:hint="default"/>
                <w:sz w:val="18"/>
                <w:szCs w:val="18"/>
              </w:rPr>
              <w:t>预计使用期限</w:t>
            </w:r>
          </w:p>
        </w:tc>
      </w:tr>
      <w:tr>
        <w:trPr>
          <w:trHeight w:val="346" w:hRule="exact"/>
        </w:trPr>
        <w:tc>
          <w:tcPr>
            <w:tcW w:w="2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预计使用期限</w:t>
            </w:r>
          </w:p>
        </w:tc>
      </w:tr>
      <w:tr>
        <w:trPr>
          <w:trHeight w:val="345" w:hRule="exact"/>
        </w:trPr>
        <w:tc>
          <w:tcPr>
            <w:tcW w:w="2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知识产权（注）</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10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预计使用期限</w:t>
            </w:r>
          </w:p>
        </w:tc>
      </w:tr>
    </w:tbl>
    <w:p>
      <w:pPr>
        <w:pStyle w:val="BodyText"/>
        <w:spacing w:line="321" w:lineRule="auto"/>
        <w:ind w:left="531" w:right="0"/>
        <w:jc w:val="left"/>
      </w:pPr>
      <w:r>
        <w:rPr/>
        <w:t>注：知识产权为公司所拥有的零售商业体信息统计与分析管理系统。 每年度终了，对使用寿命有限的无形资产的使用寿命及摊销方法进行复核。 经复核，本年期末无形资产的使用寿命及摊销方法与以前估计未有不同。</w:t>
      </w:r>
    </w:p>
    <w:p>
      <w:pPr>
        <w:spacing w:line="240" w:lineRule="auto" w:before="7"/>
        <w:rPr>
          <w:rFonts w:ascii="宋体" w:hAnsi="宋体" w:cs="宋体" w:eastAsia="宋体" w:hint="default"/>
          <w:sz w:val="25"/>
          <w:szCs w:val="25"/>
        </w:rPr>
      </w:pPr>
    </w:p>
    <w:p>
      <w:pPr>
        <w:pStyle w:val="BodyText"/>
        <w:spacing w:line="290" w:lineRule="auto"/>
        <w:ind w:left="606" w:right="4329" w:hanging="75"/>
        <w:jc w:val="left"/>
      </w:pPr>
      <w:r>
        <w:rPr>
          <w:rFonts w:ascii="Times New Roman" w:hAnsi="Times New Roman" w:cs="Times New Roman" w:eastAsia="Times New Roman" w:hint="default"/>
        </w:rPr>
        <w:t>3</w:t>
      </w:r>
      <w:r>
        <w:rPr/>
        <w:t>、使用寿命不确定的无形资产的判断依据以及对其使用寿命进行复核的程序 截至资产负债表日，本公司没有使用寿命不确定的无形资产。</w:t>
      </w:r>
    </w:p>
    <w:p>
      <w:pPr>
        <w:spacing w:after="0" w:line="290"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内部研究开发支出会计政策" w:id="212"/>
      <w:bookmarkEnd w:id="21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left="531" w:right="0"/>
        <w:jc w:val="left"/>
      </w:pPr>
      <w:r>
        <w:rPr/>
        <w:t>公司内部研究开发项目的支出分为研究阶段支出和开发阶段支出。 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240" w:lineRule="auto" w:before="24"/>
        <w:ind w:right="0"/>
        <w:jc w:val="left"/>
      </w:pPr>
      <w:r>
        <w:rPr/>
        <w:t>改进的材料、装置、产品等活动的阶段。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bookmarkStart w:name="31、长期资产减值" w:id="213"/>
      <w:bookmarkEnd w:id="213"/>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121" w:firstLine="390"/>
        <w:jc w:val="both"/>
      </w:pPr>
      <w:r>
        <w:rPr/>
        <w:t>长期股权投资、采用成本模式计量的投资性房地产、固定资产、在建工程、使用寿命有限的无形资产等长期资产，于 </w:t>
      </w:r>
      <w:r>
        <w:rPr>
          <w:spacing w:val="-2"/>
        </w:rPr>
        <w:t>资产负债表日存在减值迹象的，进行减值测试。减值测试结果表明资产的可收回金额低于其账面价值的，按其差额计提减值</w:t>
      </w:r>
      <w:r>
        <w:rPr>
          <w:spacing w:val="-75"/>
        </w:rPr>
        <w:t> </w:t>
      </w:r>
      <w:r>
        <w:rPr>
          <w:spacing w:val="-75"/>
        </w:rPr>
      </w:r>
      <w:r>
        <w:rPr>
          <w:spacing w:val="-2"/>
        </w:rPr>
        <w:t>准备并计入减值损失。可收回金额为资产的公允价值减去处置费用后的净额与资产预计未来现金流量的现值两者之间的较高</w:t>
      </w:r>
      <w:r>
        <w:rPr>
          <w:spacing w:val="-58"/>
        </w:rPr>
        <w:t> </w:t>
      </w:r>
      <w:r>
        <w:rPr>
          <w:spacing w:val="-58"/>
        </w:rPr>
      </w:r>
      <w:r>
        <w:rPr>
          <w:spacing w:val="-2"/>
        </w:rPr>
        <w:t>者。资产减值准备按单项资产为基础计算并确认，如果难以对单项资产的可收回金额进行估计的，以该资产所属的资产组确</w:t>
      </w:r>
      <w:r>
        <w:rPr>
          <w:spacing w:val="-70"/>
        </w:rPr>
        <w:t> </w:t>
      </w:r>
      <w:r>
        <w:rPr>
          <w:spacing w:val="-70"/>
        </w:rPr>
      </w:r>
      <w:r>
        <w:rPr/>
        <w:t>定资产组的可收回金额。资产组是能够独立产生现金流入的最小资产组合。</w:t>
      </w:r>
    </w:p>
    <w:p>
      <w:pPr>
        <w:pStyle w:val="BodyText"/>
        <w:spacing w:line="321" w:lineRule="auto" w:before="22"/>
        <w:ind w:left="531" w:right="999"/>
        <w:jc w:val="left"/>
      </w:pPr>
      <w:r>
        <w:rPr/>
        <w:t>商誉、使用寿命不确定的无形资产、尚未达到可使用状态的无形资产至少在每年年度终了进行减值测试。 本公司进行商誉减值测试，对于因企业合并形成的商誉的账面价值，自购买日起按照合理的方法分摊至相关的资产组；</w:t>
      </w:r>
    </w:p>
    <w:p>
      <w:pPr>
        <w:pStyle w:val="BodyText"/>
        <w:spacing w:line="321" w:lineRule="auto" w:before="3"/>
        <w:ind w:right="0"/>
        <w:jc w:val="left"/>
      </w:pPr>
      <w:r>
        <w:rPr>
          <w:spacing w:val="-2"/>
        </w:rPr>
        <w:t>难以分摊至相关的资产组的，将其分摊至相关的资产组组合。本公司在分摊商誉的账面价值时，根据相关资产组或资产组组</w:t>
      </w:r>
      <w:r>
        <w:rPr>
          <w:spacing w:val="-75"/>
        </w:rPr>
        <w:t> </w:t>
      </w:r>
      <w:r>
        <w:rPr>
          <w:spacing w:val="-75"/>
        </w:rPr>
      </w:r>
      <w:r>
        <w:rPr/>
        <w:t>合能够从企业合并的协同效应中获得的相对受益情况进行分摊，在此基础上进行商誉减值测试。</w:t>
      </w:r>
    </w:p>
    <w:p>
      <w:pPr>
        <w:pStyle w:val="BodyText"/>
        <w:spacing w:line="316" w:lineRule="auto" w:before="18"/>
        <w:ind w:right="1029" w:firstLine="390"/>
        <w:jc w:val="left"/>
      </w:pPr>
      <w:r>
        <w:rPr>
          <w:spacing w:val="-1"/>
        </w:rPr>
        <w:t>在对包含商誉的相关资产组或者资产组组合进行减值测试时，如与商誉相关的资产组或者资产组组合存在减值迹象的，</w:t>
      </w:r>
      <w:r>
        <w:rPr/>
        <w:t> </w:t>
      </w:r>
      <w:r>
        <w:rPr>
          <w:spacing w:val="-4"/>
        </w:rPr>
        <w:t>先对不包含商誉的资产组或者资产组组合进行减值测试，计算可收回金额，并与相关账面价值相比较，确认相应的减值损失。</w:t>
      </w:r>
      <w:r>
        <w:rPr>
          <w:spacing w:val="-50"/>
        </w:rPr>
        <w:t> </w:t>
      </w:r>
      <w:r>
        <w:rPr>
          <w:spacing w:val="-50"/>
        </w:rPr>
      </w:r>
      <w:r>
        <w:rPr>
          <w:spacing w:val="-2"/>
        </w:rPr>
        <w:t>再对包含商誉的资产组或者资产组组合进行减值测试，比较这些相关资产组或者资产组组合的账面价值（包括所分摊的商誉</w:t>
      </w:r>
      <w:r>
        <w:rPr>
          <w:spacing w:val="-72"/>
        </w:rPr>
        <w:t> </w:t>
      </w:r>
      <w:r>
        <w:rPr>
          <w:spacing w:val="-72"/>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4"/>
        <w:rPr>
          <w:rFonts w:ascii="宋体" w:hAnsi="宋体" w:cs="宋体" w:eastAsia="宋体" w:hint="default"/>
          <w:sz w:val="24"/>
          <w:szCs w:val="24"/>
        </w:rPr>
      </w:pPr>
    </w:p>
    <w:p>
      <w:pPr>
        <w:pStyle w:val="Heading5"/>
        <w:spacing w:line="240" w:lineRule="auto"/>
        <w:ind w:right="0"/>
        <w:jc w:val="left"/>
        <w:rPr>
          <w:b w:val="0"/>
          <w:bCs w:val="0"/>
        </w:rPr>
      </w:pPr>
      <w:bookmarkStart w:name="32、长期待摊费用" w:id="214"/>
      <w:bookmarkEnd w:id="214"/>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64" w:firstLine="405"/>
        <w:jc w:val="left"/>
      </w:pPr>
      <w:r>
        <w:rPr/>
        <w:t>长期待摊费用为已经发生但应由本期和以后各期负担的分摊期限在一年以上的各项费用。本公司长期待摊费用包括装 修费。长期待摊费用在受益期内平均摊销。</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33、合同负债" w:id="215"/>
      <w:bookmarkEnd w:id="215"/>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4、职工薪酬" w:id="216"/>
      <w:bookmarkEnd w:id="216"/>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短期薪酬的会计处理方法" w:id="217"/>
      <w:bookmarkEnd w:id="21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left="531" w:right="0"/>
        <w:jc w:val="left"/>
      </w:pPr>
      <w:r>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w:t>
      </w:r>
    </w:p>
    <w:p>
      <w:pPr>
        <w:pStyle w:val="BodyText"/>
        <w:spacing w:line="304" w:lineRule="auto" w:before="18"/>
        <w:ind w:left="516" w:right="4450" w:hanging="376"/>
        <w:jc w:val="left"/>
      </w:pPr>
      <w:r>
        <w:rPr/>
        <w:t>务的会计期间，根据规定的计提基础和计提比例计算确定相应的职工薪酬金额。</w:t>
      </w:r>
      <w:r>
        <w:rPr>
          <w:spacing w:val="-87"/>
        </w:rPr>
        <w:t> </w:t>
      </w:r>
      <w:r>
        <w:rPr>
          <w:spacing w:val="-87"/>
        </w:rPr>
      </w:r>
      <w:r>
        <w:rPr/>
        <w:t>职工福利费为非货币性福利的，如能够可靠计量的，按照公允价值计量。</w:t>
      </w:r>
    </w:p>
    <w:p>
      <w:pPr>
        <w:spacing w:after="0" w:line="304"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离职后福利的会计处理方法" w:id="218"/>
      <w:bookmarkEnd w:id="21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90" w:lineRule="auto"/>
        <w:ind w:left="531" w:right="0"/>
        <w:jc w:val="left"/>
      </w:pPr>
      <w:r>
        <w:rPr/>
        <w:t>（</w:t>
      </w:r>
      <w:r>
        <w:rPr>
          <w:rFonts w:ascii="Times New Roman" w:hAnsi="Times New Roman" w:cs="Times New Roman" w:eastAsia="Times New Roman" w:hint="default"/>
        </w:rPr>
        <w:t>1</w:t>
      </w:r>
      <w:r>
        <w:rPr/>
        <w:t>）设定提存计划 本公司按当地政府的相关规定为职工缴纳基本养老保险和失业保险，在职工为本公司提供服务的会计期间，按以当地</w:t>
      </w:r>
    </w:p>
    <w:p>
      <w:pPr>
        <w:pStyle w:val="BodyText"/>
        <w:spacing w:line="321" w:lineRule="auto" w:before="26"/>
        <w:ind w:left="531" w:right="0" w:hanging="391"/>
        <w:jc w:val="left"/>
      </w:pPr>
      <w:r>
        <w:rPr/>
        <w:t>规定的缴纳基数和比例计算应缴纳金额，确认为负债，并计入当期损益或相关资产成本。 除基本养老保险外，本公司还依据国家企业年金制度的相关政策建立了企业年金缴费制度（补充养老保险）。本公司</w:t>
      </w:r>
    </w:p>
    <w:p>
      <w:pPr>
        <w:pStyle w:val="BodyText"/>
        <w:spacing w:line="240" w:lineRule="auto" w:before="18"/>
        <w:ind w:right="0"/>
        <w:jc w:val="left"/>
      </w:pPr>
      <w:r>
        <w:rPr/>
        <w:t>按职工工资总额的一定比例向当地社会保险机构缴费，相应支出计入当期损益或相关资产成本。</w:t>
      </w:r>
    </w:p>
    <w:p>
      <w:pPr>
        <w:pStyle w:val="BodyText"/>
        <w:spacing w:line="288" w:lineRule="auto" w:before="95"/>
        <w:ind w:left="531" w:right="0"/>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本公司根据预期累计福利单位法确定的公式将设定受益计划产生的福利义务归属于职工提供服务的期间，并计入当期</w:t>
      </w:r>
    </w:p>
    <w:p>
      <w:pPr>
        <w:pStyle w:val="BodyText"/>
        <w:spacing w:line="321" w:lineRule="auto" w:before="29"/>
        <w:ind w:left="531" w:right="0" w:hanging="391"/>
        <w:jc w:val="left"/>
      </w:pPr>
      <w:r>
        <w:rPr/>
        <w:t>损益或相关资产成本。 </w:t>
      </w:r>
      <w:r>
        <w:rPr>
          <w:spacing w:val="4"/>
        </w:rPr>
        <w:t>设定受益计划义务现值减去设定受益计划资产公允价值所形成的赤字或盈余确认为一项设定受益计划净负债或净资</w:t>
      </w:r>
    </w:p>
    <w:p>
      <w:pPr>
        <w:pStyle w:val="BodyText"/>
        <w:spacing w:line="321" w:lineRule="auto" w:before="18"/>
        <w:ind w:left="531" w:right="0" w:hanging="391"/>
        <w:jc w:val="left"/>
      </w:pPr>
      <w:r>
        <w:rPr/>
        <w:t>产。设定受益计划存在盈余的，本公司以设定受益计划的盈余和资产上限两项的孰低者计量设定受益计划净资产。 所有设定受益计划义务，包括预期在职工提供服务的年度报告期间结束后的十二个月内支付的义务，根据资产负债表</w:t>
      </w:r>
    </w:p>
    <w:p>
      <w:pPr>
        <w:pStyle w:val="BodyText"/>
        <w:spacing w:line="307" w:lineRule="auto" w:before="19"/>
        <w:ind w:left="531" w:right="0" w:hanging="391"/>
        <w:jc w:val="left"/>
      </w:pPr>
      <w:r>
        <w:rPr/>
        <w:t>日与设定受益计划义务期限和币种相匹配的国债或活跃市场上的高质量公司债券的市场收益率予以折现。 设定受益计划产生的服务成本和设定受益计划净负债或净资产的利息净额计入当期损益或相关资产成本；重新计量设</w:t>
      </w:r>
    </w:p>
    <w:p>
      <w:pPr>
        <w:pStyle w:val="BodyText"/>
        <w:spacing w:line="321" w:lineRule="auto" w:before="29"/>
        <w:ind w:right="0"/>
        <w:jc w:val="left"/>
      </w:pPr>
      <w:r>
        <w:rPr>
          <w:spacing w:val="-2"/>
        </w:rPr>
        <w:t>定受益计划净负债或净资产所产生的变动计入其他综合收益，并且在后续会计期间不转回至损益，在原设定受益计划终止时</w:t>
      </w:r>
      <w:r>
        <w:rPr>
          <w:spacing w:val="-72"/>
        </w:rPr>
        <w:t> </w:t>
      </w:r>
      <w:r>
        <w:rPr>
          <w:spacing w:val="-72"/>
        </w:rPr>
      </w:r>
      <w:r>
        <w:rPr/>
        <w:t>在权益范围内将原计入其他综合收益的部分全部结转至未分配利润。</w:t>
      </w:r>
    </w:p>
    <w:p>
      <w:pPr>
        <w:pStyle w:val="BodyText"/>
        <w:spacing w:line="240" w:lineRule="auto" w:before="18"/>
        <w:ind w:left="531" w:right="0"/>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辞退福利的会计处理方法" w:id="219"/>
      <w:bookmarkEnd w:id="21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07" w:lineRule="auto"/>
        <w:ind w:right="0" w:firstLine="390"/>
        <w:jc w:val="left"/>
      </w:pPr>
      <w:r>
        <w:rPr/>
        <w:t>本公司在不能单方面撤回因解除劳动关系计划或裁减建议所提供的辞退福利时，或确认与涉及支付辞退福利的重组相 关的成本或费用时（两者孰早），确认辞退福利产生的职工薪酬负债，并计入当期损益。</w:t>
      </w:r>
    </w:p>
    <w:p>
      <w:pPr>
        <w:spacing w:line="240" w:lineRule="auto" w:before="11"/>
        <w:rPr>
          <w:rFonts w:ascii="宋体" w:hAnsi="宋体" w:cs="宋体" w:eastAsia="宋体" w:hint="default"/>
          <w:sz w:val="24"/>
          <w:szCs w:val="24"/>
        </w:rPr>
      </w:pPr>
    </w:p>
    <w:p>
      <w:pPr>
        <w:pStyle w:val="Heading5"/>
        <w:spacing w:line="240" w:lineRule="auto"/>
        <w:ind w:right="0"/>
        <w:jc w:val="left"/>
        <w:rPr>
          <w:b w:val="0"/>
          <w:bCs w:val="0"/>
        </w:rPr>
      </w:pPr>
      <w:bookmarkStart w:name="（4）其他长期职工福利的会计处理方法" w:id="220"/>
      <w:bookmarkEnd w:id="22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5、租赁负债" w:id="221"/>
      <w:bookmarkEnd w:id="221"/>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6、预计负债" w:id="222"/>
      <w:bookmarkEnd w:id="222"/>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3"/>
        <w:rPr>
          <w:rFonts w:ascii="宋体" w:hAnsi="宋体" w:cs="宋体" w:eastAsia="宋体" w:hint="default"/>
          <w:b/>
          <w:bCs/>
          <w:sz w:val="25"/>
          <w:szCs w:val="25"/>
        </w:rPr>
      </w:pPr>
    </w:p>
    <w:p>
      <w:pPr>
        <w:pStyle w:val="BodyText"/>
        <w:spacing w:line="290" w:lineRule="auto"/>
        <w:ind w:left="531" w:right="1539"/>
        <w:jc w:val="left"/>
      </w:pP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57"/>
        <w:ind w:left="456"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6"/>
        <w:ind w:left="456"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6"/>
        <w:ind w:left="456" w:right="0"/>
        <w:jc w:val="left"/>
      </w:pPr>
      <w:r>
        <w:rPr/>
        <w:t>（</w:t>
      </w:r>
      <w:r>
        <w:rPr>
          <w:rFonts w:ascii="Times New Roman" w:hAnsi="Times New Roman" w:cs="Times New Roman" w:eastAsia="Times New Roman" w:hint="default"/>
        </w:rPr>
        <w:t>3</w:t>
      </w:r>
      <w:r>
        <w:rPr/>
        <w:t>）该义务的金额能够可靠地计量。</w:t>
      </w:r>
    </w:p>
    <w:p>
      <w:pPr>
        <w:pStyle w:val="BodyText"/>
        <w:spacing w:line="290" w:lineRule="auto" w:before="51"/>
        <w:ind w:left="531" w:right="4239"/>
        <w:jc w:val="left"/>
      </w:pP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21" w:lineRule="auto" w:before="42"/>
        <w:ind w:right="0" w:firstLine="390"/>
        <w:jc w:val="left"/>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307" w:lineRule="auto" w:before="18"/>
        <w:ind w:right="999" w:firstLine="390"/>
        <w:jc w:val="left"/>
      </w:pPr>
      <w:r>
        <w:rPr/>
        <w:t>本公司清偿预计负债所需支出全部或部分预期由第三方补偿的，补偿金额在基本确定能够收到时，作为资产单独确认， 确认的补偿金额不超过预计负债的账面价值。</w:t>
      </w:r>
    </w:p>
    <w:p>
      <w:pPr>
        <w:spacing w:after="0" w:line="307"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both"/>
        <w:rPr>
          <w:b w:val="0"/>
          <w:bCs w:val="0"/>
        </w:rPr>
      </w:pPr>
      <w:bookmarkStart w:name="37、股份支付" w:id="223"/>
      <w:bookmarkEnd w:id="223"/>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6" w:firstLine="390"/>
        <w:jc w:val="both"/>
      </w:pPr>
      <w:r>
        <w:rPr/>
        <w:t>本公司的股份支付是为了获取职工或其他方提供服务而授予权益工具或者承担以权益工具为基础确定的负债的交易。 本公司的股份支付分为以权益结算的股份支付和以现金结算的股份支付。</w:t>
      </w:r>
    </w:p>
    <w:p>
      <w:pPr>
        <w:pStyle w:val="BodyText"/>
        <w:spacing w:line="290" w:lineRule="auto" w:before="18"/>
        <w:ind w:left="531" w:right="0"/>
        <w:jc w:val="left"/>
      </w:pPr>
      <w:r>
        <w:rPr>
          <w:rFonts w:ascii="Times New Roman" w:hAnsi="Times New Roman" w:cs="Times New Roman" w:eastAsia="Times New Roman" w:hint="default"/>
        </w:rPr>
        <w:t>1</w:t>
      </w:r>
      <w:r>
        <w:rPr/>
        <w:t>、以权益结算的股份支付及权益工具 以权益结算的股份支付换取职工提供服务的，以授予职工权益工具的公允价值计量。本公司以限制性股票进行股份支</w:t>
      </w:r>
    </w:p>
    <w:p>
      <w:pPr>
        <w:pStyle w:val="BodyText"/>
        <w:spacing w:line="319" w:lineRule="auto" w:before="41"/>
        <w:ind w:right="1121"/>
        <w:jc w:val="both"/>
      </w:pPr>
      <w:r>
        <w:rPr>
          <w:spacing w:val="-2"/>
        </w:rPr>
        <w:t>付的，职工出资认购股票，股票在达到解锁条件并解锁前不得上市流通或转让；如果最终股权激励计划规定的解锁条件未能</w:t>
      </w:r>
      <w:r>
        <w:rPr>
          <w:spacing w:val="-75"/>
        </w:rPr>
        <w:t> </w:t>
      </w:r>
      <w:r>
        <w:rPr>
          <w:spacing w:val="-75"/>
        </w:rPr>
      </w:r>
      <w:r>
        <w:rPr>
          <w:spacing w:val="-2"/>
        </w:rPr>
        <w:t>达到，则本公司按照事先约定的价格回购股票。本公司取得职工认购限制性股票支付的款项时，按照取得的认股款确认股本</w:t>
      </w:r>
      <w:r>
        <w:rPr>
          <w:spacing w:val="-70"/>
        </w:rPr>
        <w:t> </w:t>
      </w:r>
      <w:r>
        <w:rPr>
          <w:spacing w:val="-70"/>
        </w:rPr>
      </w:r>
      <w:r>
        <w:rPr>
          <w:spacing w:val="-2"/>
        </w:rPr>
        <w:t>和资本公积（股本溢价），同时就回购义务全额确认一项负债并确认库存股。在等待期内每个资产负债表日，本公司根据最</w:t>
      </w:r>
      <w:r>
        <w:rPr>
          <w:spacing w:val="-57"/>
        </w:rPr>
        <w:t> </w:t>
      </w:r>
      <w:r>
        <w:rPr>
          <w:spacing w:val="-57"/>
        </w:rPr>
      </w:r>
      <w:r>
        <w:rPr/>
        <w:t>新取得的可行权职工人数变动 、是否达到规定业绩条件等后续信息对可行权权益工具数量作出最佳估计，以此为基础，按</w:t>
      </w:r>
      <w:r>
        <w:rPr>
          <w:spacing w:val="-88"/>
        </w:rPr>
        <w:t> </w:t>
      </w:r>
      <w:r>
        <w:rPr>
          <w:spacing w:val="-88"/>
        </w:rPr>
      </w:r>
      <w:r>
        <w:rPr>
          <w:spacing w:val="-2"/>
        </w:rPr>
        <w:t>照授予日的公允价值，将当期取得的服务计入相关成本或费用，相应增加资本公积。在可行权日之后不再对已确认的相关成</w:t>
      </w:r>
      <w:r>
        <w:rPr>
          <w:spacing w:val="-75"/>
        </w:rPr>
        <w:t> </w:t>
      </w:r>
      <w:r>
        <w:rPr>
          <w:spacing w:val="-75"/>
        </w:rPr>
      </w:r>
      <w:r>
        <w:rPr>
          <w:spacing w:val="-2"/>
        </w:rPr>
        <w:t>本或费用和所有者权益总额进行调整。但授予后立即可行权的，在授予日按照公允价值计入相关成本或费用，相应增加资本</w:t>
      </w:r>
      <w:r>
        <w:rPr>
          <w:spacing w:val="-75"/>
        </w:rPr>
        <w:t> </w:t>
      </w:r>
      <w:r>
        <w:rPr>
          <w:spacing w:val="-75"/>
        </w:rPr>
      </w:r>
      <w:r>
        <w:rPr/>
        <w:t>公积。</w:t>
      </w:r>
    </w:p>
    <w:p>
      <w:pPr>
        <w:pStyle w:val="BodyText"/>
        <w:spacing w:line="307" w:lineRule="auto" w:before="20"/>
        <w:ind w:right="1136" w:firstLine="390"/>
        <w:jc w:val="both"/>
      </w:pPr>
      <w:r>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BodyText"/>
        <w:spacing w:line="321" w:lineRule="auto" w:before="29"/>
        <w:ind w:right="1136" w:firstLine="390"/>
        <w:jc w:val="both"/>
      </w:pPr>
      <w:r>
        <w:rPr/>
        <w:t>如果修改了以权益结算的股份支付的条款，至少按照未修改条款的情况确认取得的服务。此外，任何增加所授予权益 工具公允价值的修改，或在修改日对职工有利的变更，均确认取得服务的增加。</w:t>
      </w:r>
    </w:p>
    <w:p>
      <w:pPr>
        <w:pStyle w:val="BodyText"/>
        <w:spacing w:line="316" w:lineRule="auto" w:before="18"/>
        <w:ind w:right="1101" w:firstLine="390"/>
        <w:jc w:val="both"/>
      </w:pPr>
      <w:r>
        <w:rPr/>
        <w:t>如果取消了以权益结算的股份支付，则于取消日作为加速行权处理，立即确认尚未确认的金额。职工或其他方能够选 </w:t>
      </w:r>
      <w:r>
        <w:rPr>
          <w:spacing w:val="-1"/>
        </w:rPr>
        <w:t>择满足非可行权条件但在等待期内未满足的，作为取消以权益结算的股份支付处理。但是，如果授予新的权益工具，并在新</w:t>
      </w:r>
      <w:r>
        <w:rPr/>
        <w:t> </w:t>
      </w:r>
      <w:r>
        <w:rPr>
          <w:spacing w:val="-2"/>
        </w:rPr>
        <w:t>权益工具授予日认定所授予的新权益工具是用于替代被取消的权益工具的，则以与处理原权益工具条款和条件修改相同的方</w:t>
      </w:r>
      <w:r>
        <w:rPr>
          <w:spacing w:val="-58"/>
        </w:rPr>
        <w:t> </w:t>
      </w:r>
      <w:r>
        <w:rPr>
          <w:spacing w:val="-58"/>
        </w:rPr>
      </w:r>
      <w:r>
        <w:rPr/>
        <w:t>式，对所授予的替代权益工具进行处理。</w:t>
      </w:r>
    </w:p>
    <w:p>
      <w:pPr>
        <w:pStyle w:val="BodyText"/>
        <w:spacing w:line="290" w:lineRule="auto" w:before="37"/>
        <w:ind w:left="531" w:right="0"/>
        <w:jc w:val="left"/>
      </w:pPr>
      <w:r>
        <w:rPr>
          <w:rFonts w:ascii="Times New Roman" w:hAnsi="Times New Roman" w:cs="Times New Roman" w:eastAsia="Times New Roman" w:hint="default"/>
        </w:rPr>
        <w:t>2</w:t>
      </w:r>
      <w:r>
        <w:rPr/>
        <w:t>、以现金结算的股份支付及权益工具 以现金结算的股份支付，按照本公司承担的以股份或其他权益工具为基础计算确定的负债的公允价值计量。授予后立</w:t>
      </w:r>
    </w:p>
    <w:p>
      <w:pPr>
        <w:pStyle w:val="BodyText"/>
        <w:spacing w:line="314" w:lineRule="auto" w:before="42"/>
        <w:ind w:right="1046"/>
        <w:jc w:val="both"/>
      </w:pPr>
      <w:r>
        <w:rPr>
          <w:spacing w:val="-2"/>
        </w:rPr>
        <w:t>即可行权的，在授予日以承担负债的公允价值计入成本或费用，相应增加负债；完成等待期内的服务或达到规定业绩条件才</w:t>
      </w:r>
      <w:r>
        <w:rPr>
          <w:spacing w:val="-75"/>
        </w:rPr>
        <w:t> </w:t>
      </w:r>
      <w:r>
        <w:rPr>
          <w:spacing w:val="-75"/>
        </w:rPr>
      </w:r>
      <w:r>
        <w:rPr>
          <w:spacing w:val="-2"/>
        </w:rPr>
        <w:t>可行权的，在等待期内以对可行权情况的最佳估计为基础，按照承担负债的公允价值，将当期取得的服务计入相关成本或费</w:t>
      </w:r>
      <w:r>
        <w:rPr>
          <w:spacing w:val="-71"/>
        </w:rPr>
        <w:t> </w:t>
      </w:r>
      <w:r>
        <w:rPr>
          <w:spacing w:val="-71"/>
        </w:rPr>
      </w:r>
      <w:r>
        <w:rPr>
          <w:spacing w:val="-4"/>
        </w:rPr>
        <w:t>用，增加相应负债。在相关负债结算前的每个资产负债表日以及结算日，对负债的公允价值重新计量，其变动计入当期损益。</w:t>
      </w:r>
    </w:p>
    <w:p>
      <w:pPr>
        <w:spacing w:line="240" w:lineRule="auto" w:before="5"/>
        <w:rPr>
          <w:rFonts w:ascii="宋体" w:hAnsi="宋体" w:cs="宋体" w:eastAsia="宋体" w:hint="default"/>
          <w:sz w:val="24"/>
          <w:szCs w:val="24"/>
        </w:rPr>
      </w:pPr>
    </w:p>
    <w:p>
      <w:pPr>
        <w:pStyle w:val="Heading5"/>
        <w:spacing w:line="240" w:lineRule="auto"/>
        <w:ind w:right="0"/>
        <w:jc w:val="both"/>
        <w:rPr>
          <w:b w:val="0"/>
          <w:bCs w:val="0"/>
        </w:rPr>
      </w:pPr>
      <w:bookmarkStart w:name="38、优先股、永续债等其他金融工具" w:id="224"/>
      <w:bookmarkEnd w:id="224"/>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5"/>
        <w:rPr>
          <w:rFonts w:ascii="宋体" w:hAnsi="宋体" w:cs="宋体" w:eastAsia="宋体" w:hint="default"/>
          <w:b/>
          <w:bCs/>
          <w:sz w:val="26"/>
          <w:szCs w:val="26"/>
        </w:rPr>
      </w:pPr>
    </w:p>
    <w:p>
      <w:pPr>
        <w:pStyle w:val="BodyText"/>
        <w:spacing w:line="288" w:lineRule="auto"/>
        <w:ind w:right="1133" w:firstLine="390"/>
        <w:jc w:val="both"/>
      </w:pPr>
      <w:r>
        <w:rPr/>
        <w:t>本公司根据所发行优先股</w:t>
      </w:r>
      <w:r>
        <w:rPr>
          <w:rFonts w:ascii="Times New Roman" w:hAnsi="Times New Roman" w:cs="Times New Roman" w:eastAsia="Times New Roman" w:hint="default"/>
        </w:rPr>
        <w:t>/</w:t>
      </w:r>
      <w:r>
        <w:rPr/>
        <w:t>永续债的合同条款及其所反映的经济实质而非仅以法律形式，在初始确认时将其分类为金融 资产、金融负债或权益工具。</w:t>
      </w:r>
    </w:p>
    <w:p>
      <w:pPr>
        <w:pStyle w:val="BodyText"/>
        <w:spacing w:line="273" w:lineRule="auto" w:before="59"/>
        <w:ind w:left="261" w:right="1118" w:firstLine="315"/>
        <w:jc w:val="left"/>
      </w:pPr>
      <w:r>
        <w:rPr>
          <w:spacing w:val="-1"/>
        </w:rPr>
        <w:t>本公司发行的永续债</w:t>
      </w:r>
      <w:r>
        <w:rPr>
          <w:rFonts w:ascii="Times New Roman" w:hAnsi="Times New Roman" w:cs="Times New Roman" w:eastAsia="Times New Roman" w:hint="default"/>
          <w:spacing w:val="-1"/>
        </w:rPr>
        <w:t>/</w:t>
      </w:r>
      <w:r>
        <w:rPr>
          <w:spacing w:val="-1"/>
        </w:rPr>
        <w:t>优先股等金融工具满足以下条件之一，在初始确认时将该金融工具整体或其组成部分分类为金融</w:t>
      </w:r>
      <w:r>
        <w:rPr/>
        <w:t> 负债：</w:t>
      </w:r>
    </w:p>
    <w:p>
      <w:pPr>
        <w:pStyle w:val="BodyText"/>
        <w:spacing w:line="240" w:lineRule="auto" w:before="70"/>
        <w:ind w:left="501" w:right="0"/>
        <w:jc w:val="left"/>
      </w:pPr>
      <w:r>
        <w:rPr/>
        <w:t>（</w:t>
      </w:r>
      <w:r>
        <w:rPr>
          <w:rFonts w:ascii="Times New Roman" w:hAnsi="Times New Roman" w:cs="Times New Roman" w:eastAsia="Times New Roman" w:hint="default"/>
        </w:rPr>
        <w:t>1</w:t>
      </w:r>
      <w:r>
        <w:rPr/>
        <w:t>）存在本公司不能无条件地避免以交付现金或其他金融资产履行的合同义务；</w:t>
      </w:r>
    </w:p>
    <w:p>
      <w:pPr>
        <w:pStyle w:val="BodyText"/>
        <w:spacing w:line="240" w:lineRule="auto" w:before="66"/>
        <w:ind w:left="501" w:right="0"/>
        <w:jc w:val="left"/>
      </w:pPr>
      <w:r>
        <w:rPr/>
        <w:t>（</w:t>
      </w:r>
      <w:r>
        <w:rPr>
          <w:rFonts w:ascii="Times New Roman" w:hAnsi="Times New Roman" w:cs="Times New Roman" w:eastAsia="Times New Roman" w:hint="default"/>
        </w:rPr>
        <w:t>2</w:t>
      </w:r>
      <w:r>
        <w:rPr/>
        <w:t>）包含交付可变数量的自身权益工具进行结算的合同义务；</w:t>
      </w:r>
    </w:p>
    <w:p>
      <w:pPr>
        <w:pStyle w:val="BodyText"/>
        <w:spacing w:line="290" w:lineRule="auto" w:before="66"/>
        <w:ind w:left="261" w:right="1119" w:firstLine="240"/>
        <w:jc w:val="left"/>
      </w:pPr>
      <w:r>
        <w:rPr/>
        <w:t>（</w:t>
      </w:r>
      <w:r>
        <w:rPr>
          <w:rFonts w:ascii="Times New Roman" w:hAnsi="Times New Roman" w:cs="Times New Roman" w:eastAsia="Times New Roman" w:hint="default"/>
        </w:rPr>
        <w:t>3</w:t>
      </w:r>
      <w:r>
        <w:rPr/>
        <w:t>）包含以自身权益进行结算的衍生工具（例如转股权等），且该衍生工具不以固定数量的自身权益工具交换固定金 额的现金或其他金融资产进行结算；</w:t>
      </w:r>
    </w:p>
    <w:p>
      <w:pPr>
        <w:pStyle w:val="BodyText"/>
        <w:spacing w:line="240" w:lineRule="auto" w:before="41"/>
        <w:ind w:left="501" w:right="0"/>
        <w:jc w:val="left"/>
      </w:pPr>
      <w:r>
        <w:rPr/>
        <w:t>（</w:t>
      </w:r>
      <w:r>
        <w:rPr>
          <w:rFonts w:ascii="Times New Roman" w:hAnsi="Times New Roman" w:cs="Times New Roman" w:eastAsia="Times New Roman" w:hint="default"/>
        </w:rPr>
        <w:t>4</w:t>
      </w:r>
      <w:r>
        <w:rPr/>
        <w:t>）存在间接地形成合同义务的合同条款；</w:t>
      </w:r>
    </w:p>
    <w:p>
      <w:pPr>
        <w:pStyle w:val="BodyText"/>
        <w:spacing w:line="302" w:lineRule="auto" w:before="66"/>
        <w:ind w:left="531" w:right="0" w:hanging="30"/>
        <w:jc w:val="left"/>
      </w:pPr>
      <w:r>
        <w:rPr/>
        <w:t>（</w:t>
      </w:r>
      <w:r>
        <w:rPr>
          <w:rFonts w:ascii="Times New Roman" w:hAnsi="Times New Roman" w:cs="Times New Roman" w:eastAsia="Times New Roman" w:hint="default"/>
        </w:rPr>
        <w:t>5</w:t>
      </w:r>
      <w:r>
        <w:rPr/>
        <w:t>）发行方清算时永续债与发行方发行的普通债券和其他债务处于相同清偿顺序的。 </w:t>
      </w:r>
      <w:r>
        <w:rPr>
          <w:spacing w:val="-2"/>
        </w:rPr>
        <w:t>不满足上述任何一项条件的永续债</w:t>
      </w:r>
      <w:r>
        <w:rPr>
          <w:rFonts w:ascii="Times New Roman" w:hAnsi="Times New Roman" w:cs="Times New Roman" w:eastAsia="Times New Roman" w:hint="default"/>
          <w:spacing w:val="-2"/>
        </w:rPr>
        <w:t>/</w:t>
      </w:r>
      <w:r>
        <w:rPr>
          <w:spacing w:val="-2"/>
        </w:rPr>
        <w:t>优先股等金融工具，在初始确认时将该金融工具整体或其组成部分分类为权益工具。</w:t>
      </w:r>
    </w:p>
    <w:p>
      <w:pPr>
        <w:spacing w:after="0" w:line="302"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39、收入" w:id="225"/>
      <w:bookmarkEnd w:id="225"/>
      <w:r>
        <w:rPr>
          <w:b w:val="0"/>
          <w:bCs w:val="0"/>
        </w:rPr>
      </w:r>
      <w:r>
        <w:rPr>
          <w:rFonts w:ascii="Times New Roman" w:hAnsi="Times New Roman" w:cs="Times New Roman" w:eastAsia="Times New Roman" w:hint="default"/>
        </w:rPr>
        <w:t>39</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90" w:lineRule="auto"/>
        <w:ind w:right="1115"/>
        <w:jc w:val="left"/>
      </w:pPr>
      <w:r>
        <w:rPr>
          <w:spacing w:val="-2"/>
        </w:rPr>
        <w:t>公司需遵守《深圳证券交易所创业板行业信息披露指引第</w:t>
      </w:r>
      <w:r>
        <w:rPr/>
        <w:t>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spacing w:val="-2"/>
        </w:rPr>
        <w:t>号</w:t>
      </w:r>
      <w:r>
        <w:rPr>
          <w:rFonts w:ascii="Times New Roman" w:hAnsi="Times New Roman" w:cs="Times New Roman" w:eastAsia="Times New Roman" w:hint="default"/>
          <w:spacing w:val="-2"/>
        </w:rPr>
        <w:t>——</w:t>
      </w:r>
      <w:r>
        <w:rPr>
          <w:spacing w:val="-2"/>
        </w:rPr>
        <w:t>上市公司从事互联网营销及数据服务相关业务》的披露要</w:t>
      </w:r>
      <w:r>
        <w:rPr/>
        <w:t> 求：</w:t>
      </w:r>
    </w:p>
    <w:p>
      <w:pPr>
        <w:pStyle w:val="BodyText"/>
        <w:spacing w:line="321" w:lineRule="auto" w:before="71"/>
        <w:ind w:left="456" w:right="2514"/>
        <w:jc w:val="left"/>
      </w:pPr>
      <w:r>
        <w:rPr/>
        <w:t>提供服务交易的结果能够可靠估计是指同时满足： 第一，本公司已将商品所有权上的主要风险和报酬转移给购货方； 第二，本公司既没有保留通常与所有权相联系的继续管理权，也没有对已售出的商品实施有效控制； 第三，收入的金额能够可靠地计量；</w:t>
      </w:r>
    </w:p>
    <w:p>
      <w:pPr>
        <w:pStyle w:val="BodyText"/>
        <w:spacing w:line="321" w:lineRule="auto" w:before="3"/>
        <w:ind w:left="456" w:right="6114"/>
        <w:jc w:val="left"/>
      </w:pPr>
      <w:r>
        <w:rPr/>
        <w:t>第四，相关经济利益很可能流入公司； 第五，相关的已发生或将发生的成本能够可靠地计量。</w:t>
      </w:r>
    </w:p>
    <w:p>
      <w:pPr>
        <w:spacing w:line="240" w:lineRule="auto" w:before="7"/>
        <w:rPr>
          <w:rFonts w:ascii="宋体" w:hAnsi="宋体" w:cs="宋体" w:eastAsia="宋体" w:hint="default"/>
          <w:sz w:val="25"/>
          <w:szCs w:val="25"/>
        </w:rPr>
      </w:pPr>
    </w:p>
    <w:p>
      <w:pPr>
        <w:pStyle w:val="BodyText"/>
        <w:spacing w:line="321" w:lineRule="auto"/>
        <w:ind w:left="501" w:right="8454" w:hanging="45"/>
        <w:jc w:val="left"/>
      </w:pPr>
      <w:r>
        <w:rPr/>
        <w:t>公司确认收入的标准为： 提供服务收入</w:t>
      </w:r>
    </w:p>
    <w:p>
      <w:pPr>
        <w:pStyle w:val="BodyText"/>
        <w:spacing w:line="297" w:lineRule="auto" w:before="18"/>
        <w:ind w:right="0" w:firstLine="315"/>
        <w:jc w:val="left"/>
      </w:pPr>
      <w:r>
        <w:rPr/>
        <w:t>（</w:t>
      </w:r>
      <w:r>
        <w:rPr>
          <w:rFonts w:ascii="Times New Roman" w:hAnsi="Times New Roman" w:cs="Times New Roman" w:eastAsia="Times New Roman" w:hint="default"/>
        </w:rPr>
        <w:t>1</w:t>
      </w:r>
      <w:r>
        <w:rPr/>
        <w:t>）常年顾问服务收入 公司与客户签订年度（或某一约定期限内的）营销传播顾问服务合同（合同期限通常为连续</w:t>
      </w:r>
      <w:r>
        <w:rPr>
          <w:rFonts w:ascii="Times New Roman" w:hAnsi="Times New Roman" w:cs="Times New Roman" w:eastAsia="Times New Roman" w:hint="default"/>
        </w:rPr>
        <w:t>12</w:t>
      </w:r>
      <w:r>
        <w:rPr/>
        <w:t>个月），合同会约定固定期</w:t>
      </w:r>
      <w:r>
        <w:rPr>
          <w:spacing w:val="-82"/>
        </w:rPr>
        <w:t> </w:t>
      </w:r>
      <w:r>
        <w:rPr/>
        <w:t>限（月或季度）的服务费金额，公司按合同约定提供服务并定期（按月或按季度）予以确认收入。</w:t>
      </w:r>
    </w:p>
    <w:p>
      <w:pPr>
        <w:pStyle w:val="BodyText"/>
        <w:spacing w:line="297" w:lineRule="auto" w:before="51"/>
        <w:ind w:right="1118" w:firstLine="315"/>
        <w:jc w:val="left"/>
      </w:pPr>
      <w:r>
        <w:rPr/>
        <w:t>（</w:t>
      </w:r>
      <w:r>
        <w:rPr>
          <w:rFonts w:ascii="Times New Roman" w:hAnsi="Times New Roman" w:cs="Times New Roman" w:eastAsia="Times New Roman" w:hint="default"/>
        </w:rPr>
        <w:t>2</w:t>
      </w:r>
      <w:r>
        <w:rPr/>
        <w:t>）项目服务收入 公司按项目合同的约定为客户提供专属化的营销传播服务，项目服务结束后，公司收到客户确认的完工证明时予以确认收 入。</w:t>
      </w:r>
    </w:p>
    <w:p>
      <w:pPr>
        <w:pStyle w:val="BodyText"/>
        <w:spacing w:line="240" w:lineRule="auto" w:before="36"/>
        <w:ind w:left="576" w:right="0"/>
        <w:jc w:val="left"/>
      </w:pPr>
      <w:r>
        <w:rPr/>
        <w:t>提供广告收入</w:t>
      </w:r>
    </w:p>
    <w:p>
      <w:pPr>
        <w:pStyle w:val="BodyText"/>
        <w:spacing w:line="290" w:lineRule="auto" w:before="95"/>
        <w:ind w:left="231" w:right="5079" w:firstLine="225"/>
        <w:jc w:val="left"/>
      </w:pPr>
      <w:r>
        <w:rPr/>
        <w:t>（</w:t>
      </w:r>
      <w:r>
        <w:rPr>
          <w:rFonts w:ascii="Times New Roman" w:hAnsi="Times New Roman" w:cs="Times New Roman" w:eastAsia="Times New Roman" w:hint="default"/>
        </w:rPr>
        <w:t>1</w:t>
      </w:r>
      <w:r>
        <w:rPr/>
        <w:t>）效果广告 客户确认关键指标后，按照关键指标的实际转化数量来计费确认收入。</w:t>
      </w:r>
    </w:p>
    <w:p>
      <w:pPr>
        <w:pStyle w:val="BodyText"/>
        <w:spacing w:line="297" w:lineRule="auto" w:before="56"/>
        <w:ind w:right="1118" w:firstLine="390"/>
        <w:jc w:val="left"/>
      </w:pPr>
      <w:r>
        <w:rPr/>
        <w:t>（</w:t>
      </w:r>
      <w:r>
        <w:rPr>
          <w:rFonts w:ascii="Times New Roman" w:hAnsi="Times New Roman" w:cs="Times New Roman" w:eastAsia="Times New Roman" w:hint="default"/>
        </w:rPr>
        <w:t>2</w:t>
      </w:r>
      <w:r>
        <w:rPr/>
        <w:t>）信息流广告 根据客户的广告投放需求定制广告投放排期表，约定投放的媒体、期间、频次等要素，按排期表执行进度逐月确认广告投 放收入。</w:t>
      </w:r>
    </w:p>
    <w:p>
      <w:pPr>
        <w:spacing w:line="240" w:lineRule="auto" w:before="0"/>
        <w:rPr>
          <w:rFonts w:ascii="宋体" w:hAnsi="宋体" w:cs="宋体" w:eastAsia="宋体" w:hint="default"/>
          <w:sz w:val="18"/>
          <w:szCs w:val="18"/>
        </w:rPr>
      </w:pPr>
    </w:p>
    <w:p>
      <w:pPr>
        <w:pStyle w:val="BodyText"/>
        <w:spacing w:line="240" w:lineRule="auto" w:before="131"/>
        <w:ind w:left="231" w:right="0"/>
        <w:jc w:val="left"/>
      </w:pPr>
      <w:r>
        <w:rPr>
          <w:rFonts w:ascii="Times New Roman" w:hAnsi="Times New Roman" w:cs="Times New Roman" w:eastAsia="Times New Roman" w:hint="default"/>
        </w:rPr>
        <w:t>40</w:t>
      </w:r>
      <w:r>
        <w:rPr/>
        <w:t>、政府补助</w:t>
      </w:r>
    </w:p>
    <w:p>
      <w:pPr>
        <w:pStyle w:val="BodyText"/>
        <w:spacing w:line="273" w:lineRule="auto" w:before="66"/>
        <w:ind w:left="531" w:right="1118"/>
        <w:jc w:val="left"/>
      </w:pPr>
      <w:r>
        <w:rPr>
          <w:rFonts w:ascii="Times New Roman" w:hAnsi="Times New Roman" w:cs="Times New Roman" w:eastAsia="Times New Roman" w:hint="default"/>
        </w:rPr>
        <w:t>1</w:t>
      </w:r>
      <w:r>
        <w:rPr/>
        <w:t>、类型 政府补助，是本公司从政府无偿取得的货币性资产与非货币性资产。分为与资产相关的政府补助和与收益相关的政府</w:t>
      </w:r>
    </w:p>
    <w:p>
      <w:pPr>
        <w:pStyle w:val="BodyText"/>
        <w:spacing w:line="240" w:lineRule="auto" w:before="54"/>
        <w:ind w:right="0"/>
        <w:jc w:val="left"/>
      </w:pPr>
      <w:r>
        <w:rPr/>
        <w:t>补助。</w:t>
      </w:r>
    </w:p>
    <w:p>
      <w:pPr>
        <w:pStyle w:val="BodyText"/>
        <w:spacing w:line="321" w:lineRule="auto" w:before="79"/>
        <w:ind w:right="0" w:firstLine="390"/>
        <w:jc w:val="left"/>
      </w:pPr>
      <w:r>
        <w:rPr/>
        <w:t>与资产相关的政府补助，是指本公司取得的、用于购建或以其他方式形成长期资产的政府补助。与收益相关的政府补 助，是指除与资产相关的政府补助之外的政府补助。</w:t>
      </w:r>
    </w:p>
    <w:p>
      <w:pPr>
        <w:pStyle w:val="BodyText"/>
        <w:spacing w:line="304" w:lineRule="auto" w:before="19"/>
        <w:ind w:right="1119" w:firstLine="390"/>
        <w:jc w:val="left"/>
      </w:pPr>
      <w:r>
        <w:rPr/>
        <w:t>本公司将政府补助划分为与资产相关的具体标准为：政府补助批准文件明确指出补助用于购建或以其他方</w:t>
      </w:r>
      <w:r>
        <w:rPr>
          <w:spacing w:val="-30"/>
        </w:rPr>
        <w:t> </w:t>
      </w:r>
      <w:r>
        <w:rPr/>
        <w:t>式形成长期</w:t>
      </w:r>
      <w:r>
        <w:rPr/>
        <w:t> 资产的。</w:t>
      </w:r>
    </w:p>
    <w:p>
      <w:pPr>
        <w:pStyle w:val="BodyText"/>
        <w:spacing w:line="321" w:lineRule="auto" w:before="31"/>
        <w:ind w:right="0" w:firstLine="390"/>
        <w:jc w:val="left"/>
      </w:pPr>
      <w:r>
        <w:rPr/>
        <w:t>本公司将政府补助划分为与收益相关的具体标准为：政府补助批准文件明确指出补助用于购建或以其他方式形成长期 资产之外的情况。</w:t>
      </w:r>
    </w:p>
    <w:p>
      <w:pPr>
        <w:pStyle w:val="BodyText"/>
        <w:spacing w:line="321" w:lineRule="auto" w:before="19"/>
        <w:ind w:right="0" w:firstLine="390"/>
        <w:jc w:val="left"/>
      </w:pPr>
      <w:r>
        <w:rPr/>
        <w:t>对于政府文件未明确规定补助对象的，本公司将该政府补助划分为与资产相关或与收益相关的判断依据为：是否用于 购建或以其他方式形成长期资产。</w:t>
      </w:r>
    </w:p>
    <w:p>
      <w:pPr>
        <w:pStyle w:val="BodyText"/>
        <w:spacing w:line="312" w:lineRule="auto" w:before="18"/>
        <w:ind w:left="531" w:right="7299"/>
        <w:jc w:val="left"/>
      </w:pPr>
      <w:r>
        <w:rPr>
          <w:rFonts w:ascii="Times New Roman" w:hAnsi="Times New Roman" w:cs="Times New Roman" w:eastAsia="Times New Roman" w:hint="default"/>
        </w:rPr>
        <w:t>2</w:t>
      </w:r>
      <w:r>
        <w:rPr/>
        <w:t>、确认时点 企业以实际收到政府补助为确认时点。 </w:t>
      </w:r>
      <w:r>
        <w:rPr>
          <w:rFonts w:ascii="Times New Roman" w:hAnsi="Times New Roman" w:cs="Times New Roman" w:eastAsia="Times New Roman" w:hint="default"/>
        </w:rPr>
        <w:t>3</w:t>
      </w:r>
      <w:r>
        <w:rPr/>
        <w:t>、会计处理</w:t>
      </w:r>
    </w:p>
    <w:p>
      <w:pPr>
        <w:pStyle w:val="BodyText"/>
        <w:spacing w:line="314" w:lineRule="auto"/>
        <w:ind w:right="1118" w:firstLine="390"/>
        <w:jc w:val="both"/>
      </w:pPr>
      <w:r>
        <w:rPr/>
        <w:t>与资产相关的政府补助，冲减相关资产账面价值或确认为递延收益。确认为递延收益的，在相关资产使用寿命内按照 </w:t>
      </w:r>
      <w:r>
        <w:rPr>
          <w:spacing w:val="-2"/>
        </w:rPr>
        <w:t>合理、系统的方法分期计入当期损益（与本公司日常活动相关的，计入其他收益；与本公司日常活动无关的，计入营业外收</w:t>
      </w:r>
      <w:r>
        <w:rPr>
          <w:spacing w:val="-55"/>
        </w:rPr>
        <w:t> </w:t>
      </w:r>
      <w:r>
        <w:rPr>
          <w:spacing w:val="-55"/>
        </w:rPr>
      </w:r>
      <w:r>
        <w:rPr/>
        <w:t>入）；</w:t>
      </w:r>
    </w:p>
    <w:p>
      <w:pPr>
        <w:spacing w:after="0" w:line="314" w:lineRule="auto"/>
        <w:jc w:val="both"/>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16" w:lineRule="auto" w:before="44"/>
        <w:ind w:right="1029" w:firstLine="390"/>
        <w:jc w:val="left"/>
      </w:pPr>
      <w:r>
        <w:rPr/>
        <w:t>与收益相关的政府补助，用于补偿本公司以后期间的相关成本费用或损失的，确认为递延收益，并在确认相关成本费 用或损失的期间，计入当期损益（与本公司日常活动相关的，计入其他收益；与本公司日常活动无关的，计入营业外收入） </w:t>
      </w:r>
      <w:r>
        <w:rPr>
          <w:spacing w:val="-2"/>
        </w:rPr>
        <w:t>或冲减相关成本费用或损失；用于补偿本公司已发生的相关成本费用或损失的，直接计入当期损益（与本公司日常活动相关</w:t>
      </w:r>
      <w:r>
        <w:rPr>
          <w:spacing w:val="-75"/>
        </w:rPr>
        <w:t> </w:t>
      </w:r>
      <w:r>
        <w:rPr>
          <w:spacing w:val="-75"/>
        </w:rPr>
      </w:r>
      <w:r>
        <w:rPr/>
        <w:t>的，计入其他收益；与本公司日常活动无关的，计入营业外收入）或冲减相关成本费用或损失。</w:t>
      </w:r>
    </w:p>
    <w:p>
      <w:pPr>
        <w:pStyle w:val="BodyText"/>
        <w:spacing w:line="240" w:lineRule="auto" w:before="22"/>
        <w:ind w:left="531" w:right="0"/>
        <w:jc w:val="left"/>
      </w:pPr>
      <w:r>
        <w:rPr/>
        <w:t>本公司取得的政策性优惠贷款贴息，区分以下两种情况，分别进行会计处理：</w:t>
      </w:r>
    </w:p>
    <w:p>
      <w:pPr>
        <w:pStyle w:val="BodyText"/>
        <w:spacing w:line="288" w:lineRule="auto" w:before="95"/>
        <w:ind w:right="1105" w:firstLine="390"/>
        <w:jc w:val="both"/>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59"/>
        <w:ind w:left="531"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4"/>
        <w:rPr>
          <w:rFonts w:ascii="宋体" w:hAnsi="宋体" w:cs="宋体" w:eastAsia="宋体" w:hint="default"/>
          <w:sz w:val="25"/>
          <w:szCs w:val="25"/>
        </w:rPr>
      </w:pPr>
    </w:p>
    <w:p>
      <w:pPr>
        <w:pStyle w:val="Heading5"/>
        <w:spacing w:line="240" w:lineRule="auto"/>
        <w:ind w:right="0"/>
        <w:jc w:val="both"/>
        <w:rPr>
          <w:b w:val="0"/>
          <w:bCs w:val="0"/>
        </w:rPr>
      </w:pPr>
      <w:bookmarkStart w:name="41、递延所得税资产/递延所得税负债" w:id="226"/>
      <w:bookmarkEnd w:id="226"/>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5" w:firstLine="390"/>
        <w:jc w:val="both"/>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70"/>
        </w:rPr>
        <w:t> </w:t>
      </w:r>
      <w:r>
        <w:rPr>
          <w:spacing w:val="-70"/>
        </w:rPr>
      </w:r>
      <w:r>
        <w:rPr/>
        <w:t>限，确认相应的递延所得税资产。</w:t>
      </w:r>
    </w:p>
    <w:p>
      <w:pPr>
        <w:pStyle w:val="BodyText"/>
        <w:spacing w:line="304" w:lineRule="auto" w:before="19"/>
        <w:ind w:left="576" w:right="1134"/>
        <w:jc w:val="left"/>
      </w:pPr>
      <w:r>
        <w:rPr/>
        <w:t>对于应纳税暂时性差异，除特殊情况外，确认递延所得税负债。 不确认递延所得税资产或递延所得税负债的特殊情况包括：商誉的初始确认；除企业合并以外的发生时既不影响会计</w:t>
      </w:r>
    </w:p>
    <w:p>
      <w:pPr>
        <w:pStyle w:val="BodyText"/>
        <w:spacing w:line="321" w:lineRule="auto" w:before="31"/>
        <w:ind w:left="531" w:right="0" w:hanging="271"/>
        <w:jc w:val="left"/>
      </w:pPr>
      <w:r>
        <w:rPr/>
        <w:t>利润也不影响应纳税所得额（或可抵扣亏损）的其他交易或事项。 当拥有以净额结算的法定权利，且意图以净额结算或取得资产、清偿负债同时进行时，当期所得税资产及当期所得税</w:t>
      </w:r>
    </w:p>
    <w:p>
      <w:pPr>
        <w:pStyle w:val="BodyText"/>
        <w:spacing w:line="321" w:lineRule="auto" w:before="19"/>
        <w:ind w:left="531" w:right="0" w:hanging="391"/>
        <w:jc w:val="left"/>
      </w:pPr>
      <w:r>
        <w:rPr/>
        <w:t>负债以抵销后的净额列报。 当拥有以净额结算当期所得税资产及当期所得税负债的法定权利，且递延所得税资产及递延所得税负债是与同一税收</w:t>
      </w:r>
    </w:p>
    <w:p>
      <w:pPr>
        <w:pStyle w:val="BodyText"/>
        <w:spacing w:line="321" w:lineRule="auto" w:before="3"/>
        <w:ind w:right="1121"/>
        <w:jc w:val="both"/>
      </w:pPr>
      <w:r>
        <w:rPr>
          <w:spacing w:val="-2"/>
        </w:rPr>
        <w:t>征管部门对同一纳税主体征收的所得税相关或者是对不同的纳税主体相关，但在未来每一具有重要性的递延所得税资产及负</w:t>
      </w:r>
      <w:r>
        <w:rPr>
          <w:spacing w:val="-58"/>
        </w:rPr>
        <w:t> </w:t>
      </w:r>
      <w:r>
        <w:rPr>
          <w:spacing w:val="-58"/>
        </w:rPr>
      </w:r>
      <w:r>
        <w:rPr>
          <w:spacing w:val="-2"/>
        </w:rPr>
        <w:t>债转回的期间内，涉及的纳税主体意图以净额结算当期所得税资产和负债或是同时取得资产、清偿负债时，递延所得税资产</w:t>
      </w:r>
      <w:r>
        <w:rPr>
          <w:spacing w:val="-75"/>
        </w:rPr>
        <w:t> </w:t>
      </w:r>
      <w:r>
        <w:rPr>
          <w:spacing w:val="-75"/>
        </w:rPr>
      </w:r>
      <w:r>
        <w:rPr/>
        <w:t>及递延所得税负债以抵销后的净额列报。</w:t>
      </w:r>
    </w:p>
    <w:p>
      <w:pPr>
        <w:spacing w:line="240" w:lineRule="auto" w:before="13"/>
        <w:rPr>
          <w:rFonts w:ascii="宋体" w:hAnsi="宋体" w:cs="宋体" w:eastAsia="宋体" w:hint="default"/>
          <w:sz w:val="23"/>
          <w:szCs w:val="23"/>
        </w:rPr>
      </w:pPr>
    </w:p>
    <w:p>
      <w:pPr>
        <w:pStyle w:val="Heading5"/>
        <w:spacing w:line="240" w:lineRule="auto"/>
        <w:ind w:right="0"/>
        <w:jc w:val="both"/>
        <w:rPr>
          <w:b w:val="0"/>
          <w:bCs w:val="0"/>
        </w:rPr>
      </w:pPr>
      <w:bookmarkStart w:name="42、租赁" w:id="227"/>
      <w:bookmarkEnd w:id="227"/>
      <w:r>
        <w:rPr>
          <w:b w:val="0"/>
          <w:bCs w:val="0"/>
        </w:rPr>
      </w:r>
      <w:r>
        <w:rPr>
          <w:rFonts w:ascii="Times New Roman" w:hAnsi="Times New Roman" w:cs="Times New Roman" w:eastAsia="Times New Roman" w:hint="default"/>
        </w:rPr>
        <w:t>42</w:t>
      </w:r>
      <w:r>
        <w:rPr/>
        <w:t>、租赁</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both"/>
        <w:rPr>
          <w:b w:val="0"/>
          <w:bCs w:val="0"/>
        </w:rPr>
      </w:pPr>
      <w:bookmarkStart w:name="（1）经营租赁的会计处理方法" w:id="228"/>
      <w:bookmarkEnd w:id="22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76" w:lineRule="auto"/>
        <w:ind w:right="1136" w:firstLine="315"/>
        <w:jc w:val="both"/>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21" w:lineRule="auto" w:before="52"/>
        <w:ind w:right="1136" w:firstLine="390"/>
        <w:jc w:val="both"/>
      </w:pPr>
      <w:r>
        <w:rPr/>
        <w:t>资产出租方承担了应由公司承担的与租赁相关的费用时，公司将该部分费用从租金总额中扣除，按扣除后的租金费用 在租赁期内分摊，计入当期费用。</w:t>
      </w:r>
    </w:p>
    <w:p>
      <w:pPr>
        <w:pStyle w:val="BodyText"/>
        <w:spacing w:line="297" w:lineRule="auto" w:before="33"/>
        <w:ind w:right="1106" w:firstLine="315"/>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 </w:t>
      </w:r>
      <w:r>
        <w:rPr>
          <w:spacing w:val="-2"/>
        </w:rPr>
        <w:t>司支付的与租赁交易相关的初始直接费用，计入当期费用；如金额较大的，则予以资本化，在整个租赁期间内按照与租赁相</w:t>
      </w:r>
      <w:r>
        <w:rPr>
          <w:spacing w:val="-42"/>
        </w:rPr>
        <w:t> </w:t>
      </w:r>
      <w:r>
        <w:rPr>
          <w:spacing w:val="-42"/>
        </w:rPr>
      </w:r>
      <w:r>
        <w:rPr/>
        <w:t>关收入确认相同的基础分期计入当期收益。</w:t>
      </w:r>
    </w:p>
    <w:p>
      <w:pPr>
        <w:pStyle w:val="BodyText"/>
        <w:spacing w:line="321" w:lineRule="auto" w:before="36"/>
        <w:ind w:right="1189" w:firstLine="390"/>
        <w:jc w:val="both"/>
      </w:pPr>
      <w:r>
        <w:rPr/>
        <w:t>公司承担了应由承租方承担的与租赁相关的费用时，公司将该部分费用从租金收入总额中扣除，按扣除后的租金费用 在租赁期内分配。</w:t>
      </w:r>
    </w:p>
    <w:p>
      <w:pPr>
        <w:spacing w:line="240" w:lineRule="auto" w:before="13"/>
        <w:rPr>
          <w:rFonts w:ascii="宋体" w:hAnsi="宋体" w:cs="宋体" w:eastAsia="宋体" w:hint="default"/>
          <w:sz w:val="23"/>
          <w:szCs w:val="23"/>
        </w:rPr>
      </w:pPr>
    </w:p>
    <w:p>
      <w:pPr>
        <w:pStyle w:val="Heading5"/>
        <w:spacing w:line="240" w:lineRule="auto"/>
        <w:ind w:right="0"/>
        <w:jc w:val="both"/>
        <w:rPr>
          <w:b w:val="0"/>
          <w:bCs w:val="0"/>
        </w:rPr>
      </w:pPr>
      <w:bookmarkStart w:name="（2）融资租赁的会计处理方法" w:id="229"/>
      <w:bookmarkEnd w:id="22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right="1105" w:firstLine="39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账价值，将最低租赁付款额作为长期应付款的入账价值，其差额作为未确认的融资费用。公司采用实际利率法对未确认的融</w:t>
      </w:r>
      <w:r>
        <w:rPr>
          <w:spacing w:val="-75"/>
        </w:rPr>
        <w:t> </w:t>
      </w:r>
      <w:r>
        <w:rPr>
          <w:spacing w:val="-75"/>
        </w:rPr>
      </w:r>
      <w:r>
        <w:rPr/>
        <w:t>资费用，在资产租赁期间内摊销，计入财务费用。公司发生的初始直接费用，计入租入资产价值。</w:t>
      </w:r>
    </w:p>
    <w:p>
      <w:pPr>
        <w:pStyle w:val="BodyText"/>
        <w:spacing w:line="290" w:lineRule="auto" w:before="51"/>
        <w:ind w:right="1045" w:firstLine="390"/>
        <w:jc w:val="both"/>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p>
    <w:p>
      <w:pPr>
        <w:spacing w:after="0" w:line="290" w:lineRule="auto"/>
        <w:jc w:val="both"/>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240" w:lineRule="auto" w:before="44"/>
        <w:ind w:left="701" w:right="0"/>
        <w:jc w:val="both"/>
      </w:pPr>
      <w:r>
        <w:rPr/>
        <w:t>中，并减少租赁期内确认的收益金额。</w:t>
      </w:r>
    </w:p>
    <w:p>
      <w:pPr>
        <w:spacing w:line="240" w:lineRule="auto" w:before="0"/>
        <w:rPr>
          <w:rFonts w:ascii="宋体" w:hAnsi="宋体" w:cs="宋体" w:eastAsia="宋体" w:hint="default"/>
          <w:sz w:val="18"/>
          <w:szCs w:val="18"/>
        </w:rPr>
      </w:pPr>
    </w:p>
    <w:p>
      <w:pPr>
        <w:pStyle w:val="Heading5"/>
        <w:spacing w:line="240" w:lineRule="auto" w:before="139"/>
        <w:ind w:left="701" w:right="0"/>
        <w:jc w:val="both"/>
        <w:rPr>
          <w:b w:val="0"/>
          <w:bCs w:val="0"/>
        </w:rPr>
      </w:pPr>
      <w:bookmarkStart w:name="43、其他重要的会计政策和会计估计" w:id="230"/>
      <w:bookmarkEnd w:id="230"/>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5"/>
        <w:rPr>
          <w:rFonts w:ascii="宋体" w:hAnsi="宋体" w:cs="宋体" w:eastAsia="宋体" w:hint="default"/>
          <w:b/>
          <w:bCs/>
          <w:sz w:val="26"/>
          <w:szCs w:val="26"/>
        </w:rPr>
      </w:pPr>
    </w:p>
    <w:p>
      <w:pPr>
        <w:pStyle w:val="BodyText"/>
        <w:spacing w:line="276" w:lineRule="auto"/>
        <w:ind w:left="1091" w:right="1089"/>
        <w:jc w:val="left"/>
      </w:pPr>
      <w:r>
        <w:rPr>
          <w:rFonts w:ascii="Times New Roman" w:hAnsi="Times New Roman" w:cs="Times New Roman" w:eastAsia="Times New Roman" w:hint="default"/>
        </w:rPr>
        <w:t>1</w:t>
      </w:r>
      <w:r>
        <w:rPr/>
        <w:t>、终止经营 终止经营是满足下列条件之一的、能够单独区分的组成部分，且该组成部分已被本公司处置或被本公司划归为持有待</w:t>
      </w:r>
    </w:p>
    <w:p>
      <w:pPr>
        <w:pStyle w:val="BodyText"/>
        <w:spacing w:line="240" w:lineRule="auto" w:before="52"/>
        <w:ind w:left="701" w:right="0"/>
        <w:jc w:val="both"/>
      </w:pPr>
      <w:r>
        <w:rPr/>
        <w:t>售类别：</w:t>
      </w:r>
    </w:p>
    <w:p>
      <w:pPr>
        <w:pStyle w:val="BodyText"/>
        <w:spacing w:line="240" w:lineRule="auto" w:before="95"/>
        <w:ind w:left="1016" w:right="1089"/>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6"/>
        <w:ind w:left="1016" w:right="1089"/>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6"/>
        <w:ind w:left="1016" w:right="1089"/>
        <w:jc w:val="left"/>
      </w:pPr>
      <w:r>
        <w:rPr/>
        <w:t>（</w:t>
      </w:r>
      <w:r>
        <w:rPr>
          <w:rFonts w:ascii="Times New Roman" w:hAnsi="Times New Roman" w:cs="Times New Roman" w:eastAsia="Times New Roman" w:hint="default"/>
        </w:rPr>
        <w:t>3</w:t>
      </w:r>
      <w:r>
        <w:rPr/>
        <w:t>）该组成部分是专为转售而取得的子公司。</w:t>
      </w:r>
    </w:p>
    <w:p>
      <w:pPr>
        <w:pStyle w:val="BodyText"/>
        <w:spacing w:line="304" w:lineRule="auto" w:before="51"/>
        <w:ind w:left="1091" w:right="1089"/>
        <w:jc w:val="left"/>
      </w:pPr>
      <w:r>
        <w:rPr>
          <w:rFonts w:ascii="Times New Roman" w:hAnsi="Times New Roman" w:cs="Times New Roman" w:eastAsia="Times New Roman" w:hint="default"/>
        </w:rPr>
        <w:t>2</w:t>
      </w:r>
      <w:r>
        <w:rPr/>
        <w:t>、回购本公司股份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日召开第三届董事会第七次会议、第四届监事会第六次会议，于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年第三次</w:t>
      </w:r>
    </w:p>
    <w:p>
      <w:pPr>
        <w:pStyle w:val="BodyText"/>
        <w:spacing w:line="297" w:lineRule="auto" w:before="12"/>
        <w:ind w:left="701" w:right="1126"/>
        <w:jc w:val="both"/>
      </w:pPr>
      <w:r>
        <w:rPr/>
        <w:t>临时股东大会，审议通过了《关于回购公司股份的预案》。公司拟使用不低于人民币</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w:t>
      </w:r>
      <w:r>
        <w:rPr/>
        <w:t>且不超过人民币</w:t>
      </w:r>
      <w:r>
        <w:rPr>
          <w:rFonts w:ascii="Times New Roman" w:hAnsi="Times New Roman" w:cs="Times New Roman" w:eastAsia="Times New Roman" w:hint="default"/>
        </w:rPr>
        <w:t>5,000</w:t>
      </w:r>
      <w:r>
        <w:rPr/>
        <w:t>万</w:t>
      </w:r>
      <w:r>
        <w:rPr>
          <w:spacing w:val="-25"/>
        </w:rPr>
        <w:t> </w:t>
      </w:r>
      <w:r>
        <w:rPr>
          <w:spacing w:val="-2"/>
        </w:rPr>
        <w:t>元</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w:t>
      </w:r>
      <w:r>
        <w:rPr>
          <w:spacing w:val="-2"/>
        </w:rPr>
        <w:t>的自有资金，以集中竞价交易方式回购公司股份，回购股份的价格不超过人民币</w:t>
      </w:r>
      <w:r>
        <w:rPr>
          <w:rFonts w:ascii="Times New Roman" w:hAnsi="Times New Roman" w:cs="Times New Roman" w:eastAsia="Times New Roman" w:hint="default"/>
          <w:spacing w:val="-2"/>
        </w:rPr>
        <w:t>25</w:t>
      </w:r>
      <w:r>
        <w:rPr>
          <w:spacing w:val="-2"/>
        </w:rPr>
        <w:t>元</w:t>
      </w:r>
      <w:r>
        <w:rPr>
          <w:rFonts w:ascii="Times New Roman" w:hAnsi="Times New Roman" w:cs="Times New Roman" w:eastAsia="Times New Roman" w:hint="default"/>
          <w:spacing w:val="-2"/>
        </w:rPr>
        <w:t>/</w:t>
      </w:r>
      <w:r>
        <w:rPr>
          <w:spacing w:val="-2"/>
        </w:rPr>
        <w:t>股（含），拟回购的股份将用于</w:t>
      </w:r>
      <w:r>
        <w:rPr>
          <w:spacing w:val="-49"/>
        </w:rPr>
        <w:t> </w:t>
      </w:r>
      <w:r>
        <w:rPr>
          <w:spacing w:val="-49"/>
        </w:rPr>
      </w:r>
      <w:r>
        <w:rPr/>
        <w:t>实施股权激励计划、员工持股计划或依法注销减少注册资本。回购期限自</w:t>
      </w:r>
      <w:r>
        <w:rPr>
          <w:rFonts w:ascii="Times New Roman" w:hAnsi="Times New Roman" w:cs="Times New Roman" w:eastAsia="Times New Roman" w:hint="default"/>
        </w:rPr>
        <w:t>2018</w:t>
      </w:r>
      <w:r>
        <w:rPr/>
        <w:t>年第三次临时股东大会审议通过之日起</w:t>
      </w:r>
      <w:r>
        <w:rPr>
          <w:rFonts w:ascii="Times New Roman" w:hAnsi="Times New Roman" w:cs="Times New Roman" w:eastAsia="Times New Roman" w:hint="default"/>
        </w:rPr>
        <w:t>6</w:t>
      </w:r>
      <w:r>
        <w:rPr/>
        <w:t>个月</w:t>
      </w:r>
      <w:r>
        <w:rPr>
          <w:spacing w:val="-81"/>
        </w:rPr>
        <w:t> </w:t>
      </w:r>
      <w:r>
        <w:rPr>
          <w:spacing w:val="-2"/>
        </w:rPr>
        <w:t>内。截至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日，公司通过股票回购专用证券账户以集中竞价交易方式累计回购公司股份数量为</w:t>
      </w:r>
      <w:r>
        <w:rPr>
          <w:rFonts w:ascii="Times New Roman" w:hAnsi="Times New Roman" w:cs="Times New Roman" w:eastAsia="Times New Roman" w:hint="default"/>
          <w:spacing w:val="-2"/>
        </w:rPr>
        <w:t>2,960,025</w:t>
      </w:r>
      <w:r>
        <w:rPr>
          <w:spacing w:val="-2"/>
        </w:rPr>
        <w:t>股，占公</w:t>
      </w:r>
      <w:r>
        <w:rPr>
          <w:spacing w:val="-48"/>
        </w:rPr>
        <w:t> </w:t>
      </w:r>
      <w:r>
        <w:rPr>
          <w:spacing w:val="-48"/>
        </w:rPr>
      </w:r>
      <w:r>
        <w:rPr/>
        <w:t>司目前总股本的比例为</w:t>
      </w:r>
      <w:r>
        <w:rPr>
          <w:rFonts w:ascii="Times New Roman" w:hAnsi="Times New Roman" w:cs="Times New Roman" w:eastAsia="Times New Roman" w:hint="default"/>
        </w:rPr>
        <w:t>1.83%</w:t>
      </w:r>
      <w:r>
        <w:rPr/>
        <w:t>，最高成交价为</w:t>
      </w:r>
      <w:r>
        <w:rPr>
          <w:rFonts w:ascii="Times New Roman" w:hAnsi="Times New Roman" w:cs="Times New Roman" w:eastAsia="Times New Roman" w:hint="default"/>
        </w:rPr>
        <w:t>18.50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14.93</w:t>
      </w:r>
      <w:r>
        <w:rPr/>
        <w:t>元</w:t>
      </w:r>
      <w:r>
        <w:rPr>
          <w:rFonts w:ascii="Times New Roman" w:hAnsi="Times New Roman" w:cs="Times New Roman" w:eastAsia="Times New Roman" w:hint="default"/>
        </w:rPr>
        <w:t>/</w:t>
      </w:r>
      <w:r>
        <w:rPr/>
        <w:t>股，成交总金额为</w:t>
      </w:r>
      <w:r>
        <w:rPr>
          <w:spacing w:val="11"/>
        </w:rPr>
        <w:t> </w:t>
      </w:r>
      <w:r>
        <w:rPr>
          <w:rFonts w:ascii="Times New Roman" w:hAnsi="Times New Roman" w:cs="Times New Roman" w:eastAsia="Times New Roman" w:hint="default"/>
        </w:rPr>
        <w:t>48,875,219.48</w:t>
      </w:r>
      <w:r>
        <w:rPr>
          <w:rFonts w:ascii="Times New Roman" w:hAnsi="Times New Roman" w:cs="Times New Roman" w:eastAsia="Times New Roman" w:hint="default"/>
          <w:spacing w:val="11"/>
        </w:rPr>
        <w:t> </w:t>
      </w:r>
      <w:r>
        <w:rPr/>
        <w:t>元（含手</w:t>
      </w:r>
      <w:r>
        <w:rPr>
          <w:spacing w:val="-88"/>
        </w:rPr>
        <w:t> </w:t>
      </w:r>
      <w:r>
        <w:rPr/>
        <w:t>续费）。</w:t>
      </w:r>
    </w:p>
    <w:p>
      <w:pPr>
        <w:spacing w:line="240" w:lineRule="auto" w:before="5"/>
        <w:rPr>
          <w:rFonts w:ascii="宋体" w:hAnsi="宋体" w:cs="宋体" w:eastAsia="宋体" w:hint="default"/>
          <w:sz w:val="25"/>
          <w:szCs w:val="25"/>
        </w:rPr>
      </w:pPr>
    </w:p>
    <w:p>
      <w:pPr>
        <w:pStyle w:val="Heading5"/>
        <w:spacing w:line="240" w:lineRule="auto"/>
        <w:ind w:left="701" w:right="0"/>
        <w:jc w:val="both"/>
        <w:rPr>
          <w:b w:val="0"/>
          <w:bCs w:val="0"/>
        </w:rPr>
      </w:pPr>
      <w:bookmarkStart w:name="44、重要会计政策和会计估计变更" w:id="231"/>
      <w:bookmarkEnd w:id="231"/>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left="701" w:right="0"/>
        <w:jc w:val="both"/>
        <w:rPr>
          <w:b w:val="0"/>
          <w:bCs w:val="0"/>
        </w:rPr>
      </w:pPr>
      <w:bookmarkStart w:name="（1）重要会计政策变更" w:id="232"/>
      <w:bookmarkEnd w:id="23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01"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2492" w:lineRule="exact"/>
        <w:ind w:left="5522" w:right="0" w:firstLine="0"/>
        <w:rPr>
          <w:rFonts w:ascii="宋体" w:hAnsi="宋体" w:cs="宋体" w:eastAsia="宋体" w:hint="default"/>
          <w:sz w:val="20"/>
          <w:szCs w:val="20"/>
        </w:rPr>
      </w:pPr>
      <w:r>
        <w:rPr>
          <w:rFonts w:ascii="宋体" w:hAnsi="宋体" w:cs="宋体" w:eastAsia="宋体" w:hint="default"/>
          <w:position w:val="-49"/>
          <w:sz w:val="20"/>
          <w:szCs w:val="20"/>
        </w:rPr>
        <w:pict>
          <v:group style="width:70.6pt;height:124.65pt;mso-position-horizontal-relative:char;mso-position-vertical-relative:line" coordorigin="0,0" coordsize="1412,2493">
            <v:group style="position:absolute;left:0;top:0;width:1412;height:2493" coordorigin="0,0" coordsize="1412,2493">
              <v:shape style="position:absolute;left:0;top:0;width:1412;height:2493" coordorigin="0,0" coordsize="1412,2493" path="m0,2493l1411,2493,1411,0,0,0,0,2493xe" filled="true" fillcolor="#ffffff" stroked="false">
                <v:path arrowok="t"/>
                <v:fill type="solid"/>
              </v:shape>
            </v:group>
          </v:group>
        </w:pict>
      </w:r>
      <w:r>
        <w:rPr>
          <w:rFonts w:ascii="宋体" w:hAnsi="宋体" w:cs="宋体" w:eastAsia="宋体" w:hint="default"/>
          <w:position w:val="-49"/>
          <w:sz w:val="20"/>
          <w:szCs w:val="20"/>
        </w:rPr>
      </w:r>
    </w:p>
    <w:p>
      <w:pPr>
        <w:spacing w:line="240" w:lineRule="auto" w:before="0"/>
        <w:rPr>
          <w:rFonts w:ascii="宋体" w:hAnsi="宋体" w:cs="宋体" w:eastAsia="宋体" w:hint="default"/>
          <w:sz w:val="23"/>
          <w:szCs w:val="23"/>
        </w:rPr>
      </w:pPr>
    </w:p>
    <w:p>
      <w:pPr>
        <w:pStyle w:val="BodyText"/>
        <w:spacing w:line="240" w:lineRule="auto" w:before="44"/>
        <w:ind w:left="0" w:right="480"/>
        <w:jc w:val="right"/>
      </w:pPr>
      <w:r>
        <w:rPr/>
        <w:pict>
          <v:shape style="position:absolute;margin-left:292.130005pt;margin-top:-139.688278pt;width:76.6pt;height:124.65pt;mso-position-horizontal-relative:page;mso-position-vertical-relative:paragraph;z-index:-11965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4" w:right="0"/>
                    <w:jc w:val="left"/>
                  </w:pPr>
                  <w:r>
                    <w:rPr/>
                    <w:t>）</w:t>
                  </w:r>
                </w:p>
                <w:p>
                  <w:pPr>
                    <w:pStyle w:val="BodyText"/>
                    <w:spacing w:line="240" w:lineRule="auto" w:before="64"/>
                    <w:ind w:left="0" w:right="0"/>
                    <w:jc w:val="left"/>
                  </w:pPr>
                  <w:r>
                    <w:rPr/>
                    <w:t>）</w:t>
                  </w:r>
                </w:p>
              </w:txbxContent>
            </v:textbox>
            <w10:wrap type="none"/>
          </v:shape>
        </w:pict>
      </w:r>
      <w:r>
        <w:rPr/>
        <w:pict>
          <v:shape style="position:absolute;margin-left:27.025pt;margin-top:-160.688278pt;width:541.8pt;height:290.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07"/>
                    <w:gridCol w:w="1426"/>
                    <w:gridCol w:w="3980"/>
                  </w:tblGrid>
                  <w:tr>
                    <w:trPr>
                      <w:trHeight w:val="405" w:hRule="exact"/>
                    </w:trPr>
                    <w:tc>
                      <w:tcPr>
                        <w:tcW w:w="5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2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9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390" w:hRule="exact"/>
                    </w:trPr>
                    <w:tc>
                      <w:tcPr>
                        <w:tcW w:w="5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4" w:lineRule="auto"/>
                          <w:ind w:left="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w:t>
                        </w:r>
                        <w:r>
                          <w:rPr>
                            <w:rFonts w:ascii="宋体" w:hAnsi="宋体" w:cs="宋体" w:eastAsia="宋体" w:hint="default"/>
                            <w:spacing w:val="-5"/>
                            <w:sz w:val="18"/>
                            <w:szCs w:val="18"/>
                          </w:rPr>
                          <w:t>）执行《财政部关于修订印发</w:t>
                        </w:r>
                        <w:r>
                          <w:rPr>
                            <w:rFonts w:ascii="宋体" w:hAnsi="宋体" w:cs="宋体" w:eastAsia="宋体" w:hint="default"/>
                            <w:spacing w:val="-38"/>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年度一般企业财务报表格式的</w:t>
                        </w:r>
                        <w:r>
                          <w:rPr>
                            <w:rFonts w:ascii="宋体" w:hAnsi="宋体" w:cs="宋体" w:eastAsia="宋体" w:hint="default"/>
                            <w:spacing w:val="-87"/>
                            <w:sz w:val="18"/>
                            <w:szCs w:val="18"/>
                          </w:rPr>
                          <w:t> </w:t>
                        </w:r>
                        <w:r>
                          <w:rPr>
                            <w:rFonts w:ascii="宋体" w:hAnsi="宋体" w:cs="宋体" w:eastAsia="宋体" w:hint="default"/>
                            <w:sz w:val="18"/>
                            <w:szCs w:val="18"/>
                          </w:rPr>
                          <w:t>通知》和《关于修订印发合并财务报表格式（</w:t>
                        </w:r>
                        <w:r>
                          <w:rPr>
                            <w:rFonts w:ascii="宋体" w:hAnsi="宋体" w:cs="宋体" w:eastAsia="宋体" w:hint="default"/>
                            <w:sz w:val="18"/>
                            <w:szCs w:val="18"/>
                          </w:rPr>
                          <w:t>2019 </w:t>
                        </w:r>
                        <w:r>
                          <w:rPr>
                            <w:rFonts w:ascii="宋体" w:hAnsi="宋体" w:cs="宋体" w:eastAsia="宋体" w:hint="default"/>
                            <w:sz w:val="18"/>
                            <w:szCs w:val="18"/>
                          </w:rPr>
                          <w:t>版）的通知》</w:t>
                        </w:r>
                        <w:r>
                          <w:rPr>
                            <w:rFonts w:ascii="宋体" w:hAnsi="宋体" w:cs="宋体" w:eastAsia="宋体" w:hint="default"/>
                            <w:spacing w:val="-41"/>
                            <w:sz w:val="18"/>
                            <w:szCs w:val="18"/>
                          </w:rPr>
                          <w:t> </w:t>
                        </w:r>
                        <w:r>
                          <w:rPr>
                            <w:rFonts w:ascii="宋体" w:hAnsi="宋体" w:cs="宋体" w:eastAsia="宋体" w:hint="default"/>
                            <w:sz w:val="18"/>
                            <w:szCs w:val="18"/>
                          </w:rPr>
                          <w:t>财</w:t>
                        </w:r>
                        <w:r>
                          <w:rPr>
                            <w:rFonts w:ascii="宋体" w:hAnsi="宋体" w:cs="宋体" w:eastAsia="宋体" w:hint="default"/>
                            <w:sz w:val="18"/>
                            <w:szCs w:val="18"/>
                          </w:rPr>
                          <w:t> 政部分别于</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 发布了《关于修 订印发</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pacing w:val="-7"/>
                            <w:sz w:val="18"/>
                            <w:szCs w:val="18"/>
                          </w:rPr>
                          <w:t>年度一般企业财务报表格式的通知》（财会（</w:t>
                        </w:r>
                        <w:r>
                          <w:rPr>
                            <w:rFonts w:ascii="宋体" w:hAnsi="宋体" w:cs="宋体" w:eastAsia="宋体" w:hint="default"/>
                            <w:spacing w:val="-7"/>
                            <w:sz w:val="18"/>
                            <w:szCs w:val="18"/>
                          </w:rPr>
                          <w:t>2019</w:t>
                        </w:r>
                        <w:r>
                          <w:rPr>
                            <w:rFonts w:ascii="宋体" w:hAnsi="宋体" w:cs="宋体" w:eastAsia="宋体" w:hint="default"/>
                            <w:spacing w:val="-7"/>
                            <w:sz w:val="18"/>
                            <w:szCs w:val="18"/>
                          </w:rPr>
                          <w:t>）</w:t>
                        </w:r>
                        <w:r>
                          <w:rPr>
                            <w:rFonts w:ascii="宋体" w:hAnsi="宋体" w:cs="宋体" w:eastAsia="宋体" w:hint="default"/>
                            <w:spacing w:val="-7"/>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号 </w:t>
                        </w:r>
                        <w:r>
                          <w:rPr>
                            <w:rFonts w:ascii="宋体" w:hAnsi="宋体" w:cs="宋体" w:eastAsia="宋体" w:hint="default"/>
                            <w:spacing w:val="-6"/>
                            <w:sz w:val="18"/>
                            <w:szCs w:val="18"/>
                          </w:rPr>
                          <w:t>和《关于修订印发合并财务报表格式（</w:t>
                        </w:r>
                        <w:r>
                          <w:rPr>
                            <w:rFonts w:ascii="宋体" w:hAnsi="宋体" w:cs="宋体" w:eastAsia="宋体" w:hint="default"/>
                            <w:spacing w:val="-6"/>
                            <w:sz w:val="18"/>
                            <w:szCs w:val="18"/>
                          </w:rPr>
                          <w:t>2019</w:t>
                        </w:r>
                        <w:r>
                          <w:rPr>
                            <w:rFonts w:ascii="宋体" w:hAnsi="宋体" w:cs="宋体" w:eastAsia="宋体" w:hint="default"/>
                            <w:spacing w:val="-40"/>
                            <w:sz w:val="18"/>
                            <w:szCs w:val="18"/>
                          </w:rPr>
                          <w:t> </w:t>
                        </w:r>
                        <w:r>
                          <w:rPr>
                            <w:rFonts w:ascii="宋体" w:hAnsi="宋体" w:cs="宋体" w:eastAsia="宋体" w:hint="default"/>
                            <w:spacing w:val="-19"/>
                            <w:sz w:val="18"/>
                            <w:szCs w:val="18"/>
                          </w:rPr>
                          <w:t>版）的通知》（财会（</w:t>
                        </w:r>
                        <w:r>
                          <w:rPr>
                            <w:rFonts w:ascii="宋体" w:hAnsi="宋体" w:cs="宋体" w:eastAsia="宋体" w:hint="default"/>
                            <w:spacing w:val="-19"/>
                            <w:sz w:val="18"/>
                            <w:szCs w:val="18"/>
                          </w:rPr>
                          <w:t>2019</w:t>
                        </w:r>
                        <w:r>
                          <w:rPr>
                            <w:rFonts w:ascii="宋体" w:hAnsi="宋体" w:cs="宋体" w:eastAsia="宋体" w:hint="default"/>
                            <w:spacing w:val="-75"/>
                            <w:sz w:val="18"/>
                            <w:szCs w:val="18"/>
                          </w:rPr>
                          <w:t> </w:t>
                        </w:r>
                        <w:r>
                          <w:rPr>
                            <w:rFonts w:ascii="宋体" w:hAnsi="宋体" w:cs="宋体" w:eastAsia="宋体" w:hint="default"/>
                            <w:sz w:val="18"/>
                            <w:szCs w:val="18"/>
                          </w:rPr>
                          <w:t>16</w:t>
                        </w:r>
                        <w:r>
                          <w:rPr>
                            <w:rFonts w:ascii="宋体" w:hAnsi="宋体" w:cs="宋体" w:eastAsia="宋体" w:hint="default"/>
                            <w:spacing w:val="-35"/>
                            <w:sz w:val="18"/>
                            <w:szCs w:val="18"/>
                          </w:rPr>
                          <w:t> </w:t>
                        </w:r>
                        <w:r>
                          <w:rPr>
                            <w:rFonts w:ascii="宋体" w:hAnsi="宋体" w:cs="宋体" w:eastAsia="宋体" w:hint="default"/>
                            <w:spacing w:val="-5"/>
                            <w:sz w:val="18"/>
                            <w:szCs w:val="18"/>
                          </w:rPr>
                          <w:t>号），对一般企业财务报表格式进行了修订。</w:t>
                        </w:r>
                      </w:p>
                      <w:p>
                        <w:pPr>
                          <w:pStyle w:val="TableParagraph"/>
                          <w:spacing w:line="240" w:lineRule="auto" w:before="69"/>
                          <w:ind w:left="30" w:right="0"/>
                          <w:jc w:val="left"/>
                          <w:rPr>
                            <w:rFonts w:ascii="宋体" w:hAnsi="宋体" w:cs="宋体" w:eastAsia="宋体" w:hint="default"/>
                            <w:sz w:val="18"/>
                            <w:szCs w:val="18"/>
                          </w:rPr>
                        </w:pPr>
                        <w:r>
                          <w:rPr>
                            <w:rFonts w:ascii="宋体" w:hAnsi="宋体" w:cs="宋体" w:eastAsia="宋体" w:hint="default"/>
                            <w:sz w:val="18"/>
                            <w:szCs w:val="18"/>
                          </w:rPr>
                          <w:t>本公司执行上述规定的主要影响如下：</w:t>
                        </w:r>
                      </w:p>
                      <w:p>
                        <w:pPr>
                          <w:pStyle w:val="TableParagraph"/>
                          <w:spacing w:line="321" w:lineRule="auto" w:before="109"/>
                          <w:ind w:left="30" w:right="4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）资产负债表中“应收票据及应收账款”拆分为“应收票据”和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“应收账款”列示；“应付票据及应付账款”拆分为“应付票据”和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“应付账款”列示；比较数据相应调整。</w:t>
                        </w:r>
                      </w:p>
                      <w:p>
                        <w:pPr>
                          <w:pStyle w:val="TableParagraph"/>
                          <w:spacing w:line="321" w:lineRule="auto" w:before="48"/>
                          <w:ind w:left="30" w:right="4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）在利润表中投资收益项下新增“其中：以摊余成本计量的金融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资产终止确认收益”项目。比较数据不调整。</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15"/>
                            <w:sz w:val="18"/>
                            <w:szCs w:val="18"/>
                          </w:rPr>
                          <w:t>）</w:t>
                        </w:r>
                        <w:r>
                          <w:rPr>
                            <w:rFonts w:ascii="宋体" w:hAnsi="宋体" w:cs="宋体" w:eastAsia="宋体" w:hint="default"/>
                            <w:sz w:val="18"/>
                            <w:szCs w:val="18"/>
                          </w:rPr>
                          <w:t>合并资产负债表</w:t>
                        </w:r>
                        <w:r>
                          <w:rPr>
                            <w:rFonts w:ascii="宋体" w:hAnsi="宋体" w:cs="宋体" w:eastAsia="宋体" w:hint="default"/>
                            <w:spacing w:val="-104"/>
                            <w:sz w:val="18"/>
                            <w:szCs w:val="18"/>
                          </w:rPr>
                          <w:t>：</w:t>
                        </w:r>
                        <w:r>
                          <w:rPr>
                            <w:rFonts w:ascii="宋体" w:hAnsi="宋体" w:cs="宋体" w:eastAsia="宋体" w:hint="default"/>
                            <w:sz w:val="18"/>
                            <w:szCs w:val="18"/>
                          </w:rPr>
                          <w:t>“应收票据及应收账</w:t>
                        </w:r>
                        <w:r>
                          <w:rPr>
                            <w:rFonts w:ascii="宋体" w:hAnsi="宋体" w:cs="宋体" w:eastAsia="宋体" w:hint="default"/>
                            <w:spacing w:val="1"/>
                            <w:sz w:val="18"/>
                            <w:szCs w:val="18"/>
                          </w:rPr>
                          <w:t>款</w:t>
                        </w:r>
                        <w:r>
                          <w:rPr>
                            <w:rFonts w:ascii="宋体" w:hAnsi="宋体" w:cs="宋体" w:eastAsia="宋体" w:hint="default"/>
                            <w:spacing w:val="-15"/>
                            <w:sz w:val="18"/>
                            <w:szCs w:val="18"/>
                          </w:rPr>
                          <w:t>”</w:t>
                        </w:r>
                        <w:r>
                          <w:rPr>
                            <w:rFonts w:ascii="宋体" w:hAnsi="宋体" w:cs="宋体" w:eastAsia="宋体" w:hint="default"/>
                            <w:sz w:val="18"/>
                            <w:szCs w:val="18"/>
                          </w:rPr>
                          <w:t>拆</w:t>
                        </w:r>
                        <w:r>
                          <w:rPr>
                            <w:rFonts w:ascii="宋体" w:hAnsi="宋体" w:cs="宋体" w:eastAsia="宋体" w:hint="default"/>
                            <w:sz w:val="18"/>
                            <w:szCs w:val="18"/>
                          </w:rPr>
                          <w:t> 分为“应收票</w:t>
                        </w:r>
                        <w:r>
                          <w:rPr>
                            <w:rFonts w:ascii="宋体" w:hAnsi="宋体" w:cs="宋体" w:eastAsia="宋体" w:hint="default"/>
                            <w:spacing w:val="1"/>
                            <w:sz w:val="18"/>
                            <w:szCs w:val="18"/>
                          </w:rPr>
                          <w:t>据</w:t>
                        </w:r>
                        <w:r>
                          <w:rPr>
                            <w:rFonts w:ascii="宋体" w:hAnsi="宋体" w:cs="宋体" w:eastAsia="宋体" w:hint="default"/>
                            <w:sz w:val="18"/>
                            <w:szCs w:val="18"/>
                          </w:rPr>
                          <w:t>”和“应收账</w:t>
                        </w:r>
                        <w:r>
                          <w:rPr>
                            <w:rFonts w:ascii="宋体" w:hAnsi="宋体" w:cs="宋体" w:eastAsia="宋体" w:hint="default"/>
                            <w:spacing w:val="1"/>
                            <w:sz w:val="18"/>
                            <w:szCs w:val="18"/>
                          </w:rPr>
                          <w:t>款</w:t>
                        </w:r>
                        <w:r>
                          <w:rPr>
                            <w:rFonts w:ascii="宋体" w:hAnsi="宋体" w:cs="宋体" w:eastAsia="宋体" w:hint="default"/>
                            <w:spacing w:val="-90"/>
                            <w:sz w:val="18"/>
                            <w:szCs w:val="18"/>
                          </w:rPr>
                          <w:t>”，</w:t>
                        </w:r>
                        <w:r>
                          <w:rPr>
                            <w:rFonts w:ascii="宋体" w:hAnsi="宋体" w:cs="宋体" w:eastAsia="宋体" w:hint="default"/>
                            <w:sz w:val="18"/>
                            <w:szCs w:val="18"/>
                          </w:rPr>
                          <w:t>“应收票</w:t>
                        </w:r>
                        <w:r>
                          <w:rPr>
                            <w:rFonts w:ascii="宋体" w:hAnsi="宋体" w:cs="宋体" w:eastAsia="宋体" w:hint="default"/>
                            <w:spacing w:val="-15"/>
                            <w:sz w:val="18"/>
                            <w:szCs w:val="18"/>
                          </w:rPr>
                          <w:t>据</w:t>
                        </w:r>
                        <w:r>
                          <w:rPr>
                            <w:rFonts w:ascii="宋体" w:hAnsi="宋体" w:cs="宋体" w:eastAsia="宋体" w:hint="default"/>
                            <w:sz w:val="18"/>
                            <w:szCs w:val="18"/>
                          </w:rPr>
                          <w:t>”上</w:t>
                        </w:r>
                        <w:r>
                          <w:rPr>
                            <w:rFonts w:ascii="宋体" w:hAnsi="宋体" w:cs="宋体" w:eastAsia="宋体" w:hint="default"/>
                            <w:sz w:val="18"/>
                            <w:szCs w:val="18"/>
                          </w:rPr>
                          <w:t> 年年末余额</w:t>
                        </w:r>
                        <w:r>
                          <w:rPr>
                            <w:rFonts w:ascii="宋体" w:hAnsi="宋体" w:cs="宋体" w:eastAsia="宋体" w:hint="default"/>
                            <w:spacing w:val="-45"/>
                            <w:sz w:val="18"/>
                            <w:szCs w:val="18"/>
                          </w:rPr>
                          <w:t> </w:t>
                        </w:r>
                        <w:r>
                          <w:rPr>
                            <w:rFonts w:ascii="宋体" w:hAnsi="宋体" w:cs="宋体" w:eastAsia="宋体" w:hint="default"/>
                            <w:sz w:val="18"/>
                            <w:szCs w:val="18"/>
                          </w:rPr>
                          <w:t>16,984,595.19</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“应收账款”上年</w:t>
                        </w:r>
                      </w:p>
                      <w:p>
                        <w:pPr>
                          <w:pStyle w:val="TableParagraph"/>
                          <w:spacing w:line="319" w:lineRule="auto" w:before="24"/>
                          <w:ind w:left="15" w:right="0"/>
                          <w:jc w:val="both"/>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pacing w:val="-45"/>
                            <w:sz w:val="18"/>
                            <w:szCs w:val="18"/>
                          </w:rPr>
                          <w:t> </w:t>
                        </w:r>
                        <w:r>
                          <w:rPr>
                            <w:rFonts w:ascii="宋体" w:hAnsi="宋体" w:cs="宋体" w:eastAsia="宋体" w:hint="default"/>
                            <w:sz w:val="18"/>
                            <w:szCs w:val="18"/>
                          </w:rPr>
                          <w:t>140,540,231.26</w:t>
                        </w:r>
                        <w:r>
                          <w:rPr>
                            <w:rFonts w:ascii="宋体" w:hAnsi="宋体" w:cs="宋体" w:eastAsia="宋体" w:hint="default"/>
                            <w:spacing w:val="-43"/>
                            <w:sz w:val="18"/>
                            <w:szCs w:val="18"/>
                          </w:rPr>
                          <w:t> </w:t>
                        </w:r>
                        <w:r>
                          <w:rPr>
                            <w:rFonts w:ascii="宋体" w:hAnsi="宋体" w:cs="宋体" w:eastAsia="宋体" w:hint="default"/>
                            <w:spacing w:val="-11"/>
                            <w:sz w:val="18"/>
                            <w:szCs w:val="18"/>
                          </w:rPr>
                          <w:t>元；“应付票据及应付账</w:t>
                        </w:r>
                        <w:r>
                          <w:rPr>
                            <w:rFonts w:ascii="宋体" w:hAnsi="宋体" w:cs="宋体" w:eastAsia="宋体" w:hint="default"/>
                            <w:sz w:val="18"/>
                            <w:szCs w:val="18"/>
                          </w:rPr>
                          <w:t> </w:t>
                        </w:r>
                        <w:r>
                          <w:rPr>
                            <w:rFonts w:ascii="宋体" w:hAnsi="宋体" w:cs="宋体" w:eastAsia="宋体" w:hint="default"/>
                            <w:spacing w:val="-9"/>
                            <w:sz w:val="18"/>
                            <w:szCs w:val="18"/>
                          </w:rPr>
                          <w:t>款”拆分为“应付票据”和“应付账款”，“应付票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据”上年年末余额</w:t>
                        </w:r>
                        <w:r>
                          <w:rPr>
                            <w:rFonts w:ascii="宋体" w:hAnsi="宋体" w:cs="宋体" w:eastAsia="宋体" w:hint="default"/>
                            <w:spacing w:val="-44"/>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pacing w:val="-10"/>
                            <w:sz w:val="18"/>
                            <w:szCs w:val="18"/>
                          </w:rPr>
                          <w:t>元，“应付账款”上年年末</w:t>
                        </w:r>
                        <w:r>
                          <w:rPr>
                            <w:rFonts w:ascii="宋体" w:hAnsi="宋体" w:cs="宋体" w:eastAsia="宋体" w:hint="default"/>
                            <w:sz w:val="18"/>
                            <w:szCs w:val="18"/>
                          </w:rPr>
                          <w:t> 余额</w:t>
                        </w:r>
                        <w:r>
                          <w:rPr>
                            <w:rFonts w:ascii="宋体" w:hAnsi="宋体" w:cs="宋体" w:eastAsia="宋体" w:hint="default"/>
                            <w:spacing w:val="-44"/>
                            <w:sz w:val="18"/>
                            <w:szCs w:val="18"/>
                          </w:rPr>
                          <w:t> </w:t>
                        </w:r>
                        <w:r>
                          <w:rPr>
                            <w:rFonts w:ascii="宋体" w:hAnsi="宋体" w:cs="宋体" w:eastAsia="宋体" w:hint="default"/>
                            <w:sz w:val="18"/>
                            <w:szCs w:val="18"/>
                          </w:rPr>
                          <w:t>41,677,219.28</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13"/>
                            <w:sz w:val="18"/>
                            <w:szCs w:val="18"/>
                          </w:rPr>
                          <w:t> </w:t>
                        </w:r>
                        <w:r>
                          <w:rPr>
                            <w:rFonts w:ascii="宋体" w:hAnsi="宋体" w:cs="宋体" w:eastAsia="宋体" w:hint="default"/>
                            <w:spacing w:val="-10"/>
                            <w:sz w:val="18"/>
                            <w:szCs w:val="18"/>
                          </w:rPr>
                          <w:t>母公司资产负债表：“应</w:t>
                        </w:r>
                        <w:r>
                          <w:rPr>
                            <w:rFonts w:ascii="宋体" w:hAnsi="宋体" w:cs="宋体" w:eastAsia="宋体" w:hint="default"/>
                            <w:sz w:val="18"/>
                            <w:szCs w:val="18"/>
                          </w:rPr>
                          <w:t> </w:t>
                        </w:r>
                        <w:r>
                          <w:rPr>
                            <w:rFonts w:ascii="宋体" w:hAnsi="宋体" w:cs="宋体" w:eastAsia="宋体" w:hint="default"/>
                            <w:spacing w:val="-1"/>
                            <w:sz w:val="18"/>
                            <w:szCs w:val="18"/>
                          </w:rPr>
                          <w:t>收票据及应收账款”拆分为“应收票据”和“应收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账款”，“应收票据”上年年末余额</w:t>
                        </w:r>
                        <w:r>
                          <w:rPr>
                            <w:rFonts w:ascii="宋体" w:hAnsi="宋体" w:cs="宋体" w:eastAsia="宋体" w:hint="default"/>
                            <w:spacing w:val="-31"/>
                            <w:sz w:val="18"/>
                            <w:szCs w:val="18"/>
                          </w:rPr>
                          <w:t> </w:t>
                        </w:r>
                        <w:r>
                          <w:rPr>
                            <w:rFonts w:ascii="宋体" w:hAnsi="宋体" w:cs="宋体" w:eastAsia="宋体" w:hint="default"/>
                            <w:sz w:val="18"/>
                            <w:szCs w:val="18"/>
                          </w:rPr>
                          <w:t>15,035,069.94</w:t>
                        </w:r>
                      </w:p>
                      <w:p>
                        <w:pPr>
                          <w:pStyle w:val="TableParagraph"/>
                          <w:spacing w:line="321" w:lineRule="auto" w:before="5"/>
                          <w:ind w:left="15" w:right="-1"/>
                          <w:jc w:val="left"/>
                          <w:rPr>
                            <w:rFonts w:ascii="宋体" w:hAnsi="宋体" w:cs="宋体" w:eastAsia="宋体" w:hint="default"/>
                            <w:sz w:val="18"/>
                            <w:szCs w:val="18"/>
                          </w:rPr>
                        </w:pPr>
                        <w:r>
                          <w:rPr>
                            <w:rFonts w:ascii="宋体" w:hAnsi="宋体" w:cs="宋体" w:eastAsia="宋体" w:hint="default"/>
                            <w:spacing w:val="-15"/>
                            <w:sz w:val="18"/>
                            <w:szCs w:val="18"/>
                          </w:rPr>
                          <w:t>元，“应收账款”上年年末余额</w:t>
                        </w:r>
                        <w:r>
                          <w:rPr>
                            <w:rFonts w:ascii="宋体" w:hAnsi="宋体" w:cs="宋体" w:eastAsia="宋体" w:hint="default"/>
                            <w:spacing w:val="-44"/>
                            <w:sz w:val="18"/>
                            <w:szCs w:val="18"/>
                          </w:rPr>
                          <w:t> </w:t>
                        </w:r>
                        <w:r>
                          <w:rPr>
                            <w:rFonts w:ascii="宋体" w:hAnsi="宋体" w:cs="宋体" w:eastAsia="宋体" w:hint="default"/>
                            <w:sz w:val="18"/>
                            <w:szCs w:val="18"/>
                          </w:rPr>
                          <w:t>123,041,361.90</w:t>
                        </w:r>
                        <w:r>
                          <w:rPr>
                            <w:rFonts w:ascii="宋体" w:hAnsi="宋体" w:cs="宋体" w:eastAsia="宋体" w:hint="default"/>
                            <w:spacing w:val="-43"/>
                            <w:sz w:val="18"/>
                            <w:szCs w:val="18"/>
                          </w:rPr>
                          <w:t> </w:t>
                        </w:r>
                        <w:r>
                          <w:rPr>
                            <w:rFonts w:ascii="宋体" w:hAnsi="宋体" w:cs="宋体" w:eastAsia="宋体" w:hint="default"/>
                            <w:sz w:val="18"/>
                            <w:szCs w:val="18"/>
                          </w:rPr>
                          <w:t>元 </w:t>
                        </w:r>
                        <w:r>
                          <w:rPr>
                            <w:rFonts w:ascii="宋体" w:hAnsi="宋体" w:cs="宋体" w:eastAsia="宋体" w:hint="default"/>
                            <w:spacing w:val="-9"/>
                            <w:sz w:val="18"/>
                            <w:szCs w:val="18"/>
                          </w:rPr>
                          <w:t>“应付票据及应付账款”拆分为“应付票据”和“应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6"/>
                            <w:sz w:val="18"/>
                            <w:szCs w:val="18"/>
                          </w:rPr>
                          <w:t>付账款”，“应付票据”上年年末余额</w:t>
                        </w:r>
                        <w:r>
                          <w:rPr>
                            <w:rFonts w:ascii="宋体" w:hAnsi="宋体" w:cs="宋体" w:eastAsia="宋体" w:hint="default"/>
                            <w:spacing w:val="-43"/>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pacing w:val="-4"/>
                            <w:sz w:val="18"/>
                            <w:szCs w:val="18"/>
                          </w:rPr>
                          <w:t>元，“应</w:t>
                        </w:r>
                      </w:p>
                      <w:p>
                        <w:pPr>
                          <w:pStyle w:val="TableParagraph"/>
                          <w:spacing w:line="240" w:lineRule="auto" w:before="18"/>
                          <w:ind w:left="15" w:right="0"/>
                          <w:jc w:val="both"/>
                          <w:rPr>
                            <w:rFonts w:ascii="宋体" w:hAnsi="宋体" w:cs="宋体" w:eastAsia="宋体" w:hint="default"/>
                            <w:sz w:val="18"/>
                            <w:szCs w:val="18"/>
                          </w:rPr>
                        </w:pPr>
                        <w:r>
                          <w:rPr>
                            <w:rFonts w:ascii="宋体" w:hAnsi="宋体" w:cs="宋体" w:eastAsia="宋体" w:hint="default"/>
                            <w:sz w:val="18"/>
                            <w:szCs w:val="18"/>
                          </w:rPr>
                          <w:t>付账款”上年年末余额</w:t>
                        </w:r>
                        <w:r>
                          <w:rPr>
                            <w:rFonts w:ascii="宋体" w:hAnsi="宋体" w:cs="宋体" w:eastAsia="宋体" w:hint="default"/>
                            <w:spacing w:val="-44"/>
                            <w:sz w:val="18"/>
                            <w:szCs w:val="18"/>
                          </w:rPr>
                          <w:t> </w:t>
                        </w:r>
                        <w:r>
                          <w:rPr>
                            <w:rFonts w:ascii="宋体" w:hAnsi="宋体" w:cs="宋体" w:eastAsia="宋体" w:hint="default"/>
                            <w:sz w:val="18"/>
                            <w:szCs w:val="18"/>
                          </w:rPr>
                          <w:t>45,341,737.92</w:t>
                        </w:r>
                        <w:r>
                          <w:rPr>
                            <w:rFonts w:ascii="宋体" w:hAnsi="宋体" w:cs="宋体" w:eastAsia="宋体" w:hint="default"/>
                            <w:spacing w:val="-44"/>
                            <w:sz w:val="18"/>
                            <w:szCs w:val="18"/>
                          </w:rPr>
                          <w:t> </w:t>
                        </w:r>
                        <w:r>
                          <w:rPr>
                            <w:rFonts w:ascii="宋体" w:hAnsi="宋体" w:cs="宋体" w:eastAsia="宋体" w:hint="default"/>
                            <w:sz w:val="18"/>
                            <w:szCs w:val="18"/>
                          </w:rPr>
                          <w:t>元。</w:t>
                        </w:r>
                      </w:p>
                      <w:p>
                        <w:pPr>
                          <w:pStyle w:val="TableParagraph"/>
                          <w:spacing w:line="316" w:lineRule="auto" w:before="80"/>
                          <w:ind w:left="15" w:right="17"/>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）合并利润表：“以摊余成本计量的金融资产终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止确认收益”本期金额</w:t>
                        </w:r>
                        <w:r>
                          <w:rPr>
                            <w:rFonts w:ascii="宋体" w:hAnsi="宋体" w:cs="宋体" w:eastAsia="宋体" w:hint="default"/>
                            <w:sz w:val="18"/>
                            <w:szCs w:val="18"/>
                          </w:rPr>
                          <w:t>-250,891.31</w:t>
                        </w:r>
                        <w:r>
                          <w:rPr>
                            <w:rFonts w:ascii="宋体" w:hAnsi="宋体" w:cs="宋体" w:eastAsia="宋体" w:hint="default"/>
                            <w:spacing w:val="-44"/>
                            <w:sz w:val="18"/>
                            <w:szCs w:val="18"/>
                          </w:rPr>
                          <w:t> </w:t>
                        </w:r>
                        <w:r>
                          <w:rPr>
                            <w:rFonts w:ascii="宋体" w:hAnsi="宋体" w:cs="宋体" w:eastAsia="宋体" w:hint="default"/>
                            <w:sz w:val="18"/>
                            <w:szCs w:val="18"/>
                          </w:rPr>
                          <w:t>元元。母公司 </w:t>
                        </w:r>
                        <w:r>
                          <w:rPr>
                            <w:rFonts w:ascii="宋体" w:hAnsi="宋体" w:cs="宋体" w:eastAsia="宋体" w:hint="default"/>
                            <w:spacing w:val="-4"/>
                            <w:sz w:val="18"/>
                            <w:szCs w:val="18"/>
                          </w:rPr>
                          <w:t>利润表：“以摊余成本计量的金融资产终止确认收</w:t>
                        </w:r>
                        <w:r>
                          <w:rPr>
                            <w:rFonts w:ascii="宋体" w:hAnsi="宋体" w:cs="宋体" w:eastAsia="宋体" w:hint="default"/>
                            <w:sz w:val="18"/>
                            <w:szCs w:val="18"/>
                          </w:rPr>
                          <w:t> 益”本期金额</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50"/>
          <w:pgMar w:header="866" w:footer="981" w:top="1120" w:bottom="1180" w:left="440" w:right="0"/>
        </w:sectPr>
      </w:pPr>
    </w:p>
    <w:p>
      <w:pPr>
        <w:spacing w:line="240" w:lineRule="auto" w:before="2"/>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5407"/>
        <w:gridCol w:w="1426"/>
        <w:gridCol w:w="3980"/>
      </w:tblGrid>
      <w:tr>
        <w:trPr>
          <w:trHeight w:val="405" w:hRule="exact"/>
        </w:trPr>
        <w:tc>
          <w:tcPr>
            <w:tcW w:w="5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2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9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59" w:hRule="exact"/>
        </w:trPr>
        <w:tc>
          <w:tcPr>
            <w:tcW w:w="5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执</w:t>
            </w:r>
            <w:r>
              <w:rPr>
                <w:rFonts w:ascii="宋体" w:hAnsi="宋体" w:cs="宋体" w:eastAsia="宋体" w:hint="default"/>
                <w:spacing w:val="-15"/>
                <w:sz w:val="18"/>
                <w:szCs w:val="18"/>
              </w:rPr>
              <w:t>行</w:t>
            </w: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号——金融工具确认和计量</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《企业</w:t>
            </w:r>
          </w:p>
          <w:p>
            <w:pPr>
              <w:pStyle w:val="TableParagraph"/>
              <w:spacing w:line="321"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号——金融资产转移</w:t>
            </w:r>
            <w:r>
              <w:rPr>
                <w:rFonts w:ascii="宋体" w:hAnsi="宋体" w:cs="宋体" w:eastAsia="宋体" w:hint="default"/>
                <w:spacing w:val="-90"/>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号——套 期会计》和《企业会计准则第</w:t>
            </w:r>
            <w:r>
              <w:rPr>
                <w:rFonts w:ascii="宋体" w:hAnsi="宋体" w:cs="宋体" w:eastAsia="宋体" w:hint="default"/>
                <w:spacing w:val="-42"/>
                <w:sz w:val="18"/>
                <w:szCs w:val="18"/>
              </w:rPr>
              <w:t> </w:t>
            </w:r>
            <w:r>
              <w:rPr>
                <w:rFonts w:ascii="宋体" w:hAnsi="宋体" w:cs="宋体" w:eastAsia="宋体" w:hint="default"/>
                <w:sz w:val="18"/>
                <w:szCs w:val="18"/>
              </w:rPr>
              <w:t>37</w:t>
            </w:r>
            <w:r>
              <w:rPr>
                <w:rFonts w:ascii="宋体" w:hAnsi="宋体" w:cs="宋体" w:eastAsia="宋体" w:hint="default"/>
                <w:spacing w:val="-45"/>
                <w:sz w:val="18"/>
                <w:szCs w:val="18"/>
              </w:rPr>
              <w:t> </w:t>
            </w:r>
            <w:r>
              <w:rPr>
                <w:rFonts w:ascii="宋体" w:hAnsi="宋体" w:cs="宋体" w:eastAsia="宋体" w:hint="default"/>
                <w:sz w:val="18"/>
                <w:szCs w:val="18"/>
              </w:rPr>
              <w:t>号——金融工具列报</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年修 订</w:t>
            </w:r>
            <w:r>
              <w:rPr>
                <w:rFonts w:ascii="宋体" w:hAnsi="宋体" w:cs="宋体" w:eastAsia="宋体" w:hint="default"/>
                <w:spacing w:val="-90"/>
                <w:sz w:val="18"/>
                <w:szCs w:val="18"/>
              </w:rPr>
              <w:t>）</w:t>
            </w:r>
            <w:r>
              <w:rPr>
                <w:rFonts w:ascii="宋体" w:hAnsi="宋体" w:cs="宋体" w:eastAsia="宋体" w:hint="default"/>
                <w:sz w:val="18"/>
                <w:szCs w:val="18"/>
              </w:rPr>
              <w:t>。财政部于</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年度修订了《企业会计准则第</w:t>
            </w:r>
            <w:r>
              <w:rPr>
                <w:rFonts w:ascii="宋体" w:hAnsi="宋体" w:cs="宋体" w:eastAsia="宋体" w:hint="default"/>
                <w:spacing w:val="-43"/>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号——金融工</w:t>
            </w:r>
          </w:p>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具确认和计量</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号——金融资产转移</w:t>
            </w:r>
            <w:r>
              <w:rPr>
                <w:rFonts w:ascii="宋体" w:hAnsi="宋体" w:cs="宋体" w:eastAsia="宋体" w:hint="default"/>
                <w:spacing w:val="-90"/>
                <w:sz w:val="18"/>
                <w:szCs w:val="18"/>
              </w:rPr>
              <w:t>》、</w:t>
            </w:r>
            <w:r>
              <w:rPr>
                <w:rFonts w:ascii="宋体" w:hAnsi="宋体" w:cs="宋体" w:eastAsia="宋体" w:hint="default"/>
                <w:sz w:val="18"/>
                <w:szCs w:val="18"/>
              </w:rPr>
              <w:t>《企业</w:t>
            </w:r>
          </w:p>
          <w:p>
            <w:pPr>
              <w:pStyle w:val="TableParagraph"/>
              <w:spacing w:line="316" w:lineRule="auto" w:before="79"/>
              <w:ind w:left="30" w:right="0"/>
              <w:jc w:val="both"/>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3"/>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pacing w:val="-4"/>
                <w:sz w:val="18"/>
                <w:szCs w:val="18"/>
              </w:rPr>
              <w:t>号——套期会计》和《企业会计准则第</w:t>
            </w:r>
            <w:r>
              <w:rPr>
                <w:rFonts w:ascii="宋体" w:hAnsi="宋体" w:cs="宋体" w:eastAsia="宋体" w:hint="default"/>
                <w:spacing w:val="-41"/>
                <w:sz w:val="18"/>
                <w:szCs w:val="18"/>
              </w:rPr>
              <w:t> </w:t>
            </w:r>
            <w:r>
              <w:rPr>
                <w:rFonts w:ascii="宋体" w:hAnsi="宋体" w:cs="宋体" w:eastAsia="宋体" w:hint="default"/>
                <w:sz w:val="18"/>
                <w:szCs w:val="18"/>
              </w:rPr>
              <w:t>37</w:t>
            </w:r>
            <w:r>
              <w:rPr>
                <w:rFonts w:ascii="宋体" w:hAnsi="宋体" w:cs="宋体" w:eastAsia="宋体" w:hint="default"/>
                <w:spacing w:val="-44"/>
                <w:sz w:val="18"/>
                <w:szCs w:val="18"/>
              </w:rPr>
              <w:t> </w:t>
            </w:r>
            <w:r>
              <w:rPr>
                <w:rFonts w:ascii="宋体" w:hAnsi="宋体" w:cs="宋体" w:eastAsia="宋体" w:hint="default"/>
                <w:sz w:val="18"/>
                <w:szCs w:val="18"/>
              </w:rPr>
              <w:t>号——金融 </w:t>
            </w:r>
            <w:r>
              <w:rPr>
                <w:rFonts w:ascii="宋体" w:hAnsi="宋体" w:cs="宋体" w:eastAsia="宋体" w:hint="default"/>
                <w:spacing w:val="-3"/>
                <w:sz w:val="18"/>
                <w:szCs w:val="18"/>
              </w:rPr>
              <w:t>工具列报》。修订后的准则规定，对于首次执行日尚未终止确认的金</w:t>
            </w:r>
            <w:r>
              <w:rPr>
                <w:rFonts w:ascii="宋体" w:hAnsi="宋体" w:cs="宋体" w:eastAsia="宋体" w:hint="default"/>
                <w:sz w:val="18"/>
                <w:szCs w:val="18"/>
              </w:rPr>
              <w:t> </w:t>
            </w:r>
            <w:r>
              <w:rPr>
                <w:rFonts w:ascii="宋体" w:hAnsi="宋体" w:cs="宋体" w:eastAsia="宋体" w:hint="default"/>
                <w:spacing w:val="-2"/>
                <w:sz w:val="18"/>
                <w:szCs w:val="18"/>
              </w:rPr>
              <w:t>融工具，之前的确认和计量与修订后的准则要求不一致的，应当追溯</w:t>
            </w:r>
            <w:r>
              <w:rPr>
                <w:rFonts w:ascii="宋体" w:hAnsi="宋体" w:cs="宋体" w:eastAsia="宋体" w:hint="default"/>
                <w:sz w:val="18"/>
                <w:szCs w:val="18"/>
              </w:rPr>
              <w:t> </w:t>
            </w:r>
            <w:r>
              <w:rPr>
                <w:rFonts w:ascii="宋体" w:hAnsi="宋体" w:cs="宋体" w:eastAsia="宋体" w:hint="default"/>
                <w:spacing w:val="-3"/>
                <w:sz w:val="18"/>
                <w:szCs w:val="18"/>
              </w:rPr>
              <w:t>调整。涉及前期比较财务报表数据与修订后的准则要求不一致的，无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需调整。本公司将因追溯调整产生的累积影响数调整当年年初留存收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益和其他综合收益。以按照财会〔</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pacing w:val="-66"/>
                <w:sz w:val="18"/>
                <w:szCs w:val="18"/>
              </w:rPr>
              <w:t> </w:t>
            </w:r>
            <w:r>
              <w:rPr>
                <w:rFonts w:ascii="宋体" w:hAnsi="宋体" w:cs="宋体" w:eastAsia="宋体" w:hint="default"/>
                <w:sz w:val="18"/>
                <w:szCs w:val="18"/>
              </w:rPr>
              <w:t>号和财会〔</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pacing w:val="-66"/>
                <w:sz w:val="18"/>
                <w:szCs w:val="18"/>
              </w:rPr>
              <w:t> </w:t>
            </w:r>
            <w:r>
              <w:rPr>
                <w:rFonts w:ascii="宋体" w:hAnsi="宋体" w:cs="宋体" w:eastAsia="宋体" w:hint="default"/>
                <w:sz w:val="18"/>
                <w:szCs w:val="18"/>
              </w:rPr>
              <w:t>号的 </w:t>
            </w:r>
            <w:r>
              <w:rPr>
                <w:rFonts w:ascii="宋体" w:hAnsi="宋体" w:cs="宋体" w:eastAsia="宋体" w:hint="default"/>
                <w:spacing w:val="-2"/>
                <w:sz w:val="18"/>
                <w:szCs w:val="18"/>
              </w:rPr>
              <w:t>规定调整后的上年年末余额为基础，执行上述新金融工具准则的主要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影响如下：因报表项目名称变更，将列报在“可供出售金融资产的非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交易性权益工具投资”重分类至“其他权益工具投资”。比较数据不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调整。</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合并“其他权益工具投资”本年年初金额 </w:t>
            </w:r>
            <w:r>
              <w:rPr>
                <w:rFonts w:ascii="宋体" w:hAnsi="宋体" w:cs="宋体" w:eastAsia="宋体" w:hint="default"/>
                <w:sz w:val="18"/>
                <w:szCs w:val="18"/>
              </w:rPr>
              <w:t>50,233,669.58</w:t>
            </w:r>
            <w:r>
              <w:rPr>
                <w:rFonts w:ascii="宋体" w:hAnsi="宋体" w:cs="宋体" w:eastAsia="宋体" w:hint="default"/>
                <w:spacing w:val="-41"/>
                <w:sz w:val="18"/>
                <w:szCs w:val="18"/>
              </w:rPr>
              <w:t> </w:t>
            </w:r>
            <w:r>
              <w:rPr>
                <w:rFonts w:ascii="宋体" w:hAnsi="宋体" w:cs="宋体" w:eastAsia="宋体" w:hint="default"/>
                <w:sz w:val="18"/>
                <w:szCs w:val="18"/>
              </w:rPr>
              <w:t>元。母公司“其他权益工具投资”</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本年年初金额</w:t>
            </w:r>
            <w:r>
              <w:rPr>
                <w:rFonts w:ascii="宋体" w:hAnsi="宋体" w:cs="宋体" w:eastAsia="宋体" w:hint="default"/>
                <w:spacing w:val="-45"/>
                <w:sz w:val="18"/>
                <w:szCs w:val="18"/>
              </w:rPr>
              <w:t> </w:t>
            </w:r>
            <w:r>
              <w:rPr>
                <w:rFonts w:ascii="宋体" w:hAnsi="宋体" w:cs="宋体" w:eastAsia="宋体" w:hint="default"/>
                <w:sz w:val="18"/>
                <w:szCs w:val="18"/>
              </w:rPr>
              <w:t>27,652,274.00</w:t>
            </w:r>
            <w:r>
              <w:rPr>
                <w:rFonts w:ascii="宋体" w:hAnsi="宋体" w:cs="宋体" w:eastAsia="宋体" w:hint="default"/>
                <w:spacing w:val="-44"/>
                <w:sz w:val="18"/>
                <w:szCs w:val="18"/>
              </w:rPr>
              <w:t> </w:t>
            </w:r>
            <w:r>
              <w:rPr>
                <w:rFonts w:ascii="宋体" w:hAnsi="宋体" w:cs="宋体" w:eastAsia="宋体" w:hint="default"/>
                <w:sz w:val="18"/>
                <w:szCs w:val="18"/>
              </w:rPr>
              <w:t>元。</w:t>
            </w:r>
          </w:p>
        </w:tc>
      </w:tr>
    </w:tbl>
    <w:p>
      <w:pPr>
        <w:spacing w:line="240" w:lineRule="auto" w:before="11"/>
        <w:rPr>
          <w:rFonts w:ascii="宋体" w:hAnsi="宋体" w:cs="宋体" w:eastAsia="宋体" w:hint="default"/>
          <w:sz w:val="21"/>
          <w:szCs w:val="21"/>
        </w:rPr>
      </w:pPr>
    </w:p>
    <w:p>
      <w:pPr>
        <w:pStyle w:val="BodyText"/>
        <w:spacing w:line="302" w:lineRule="auto" w:before="44"/>
        <w:ind w:left="1091" w:right="1089" w:hanging="151"/>
        <w:jc w:val="left"/>
      </w:pPr>
      <w:r>
        <w:rPr/>
        <w:t>（</w:t>
      </w:r>
      <w:r>
        <w:rPr>
          <w:rFonts w:ascii="Times New Roman" w:hAnsi="Times New Roman" w:cs="Times New Roman" w:eastAsia="Times New Roman" w:hint="default"/>
        </w:rPr>
        <w:t>3</w:t>
      </w:r>
      <w:r>
        <w:rPr/>
        <w:t>）执行《企业会计准则第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w:t>
      </w:r>
      <w:r>
        <w:rPr>
          <w:spacing w:val="-86"/>
        </w:rPr>
        <w:t> </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日发布了《企业会计准则第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w:t>
      </w:r>
      <w:r>
        <w:rPr/>
        <w:t>号），修</w:t>
      </w:r>
    </w:p>
    <w:p>
      <w:pPr>
        <w:pStyle w:val="BodyText"/>
        <w:spacing w:line="288" w:lineRule="auto" w:before="14"/>
        <w:ind w:left="701" w:right="1131"/>
        <w:jc w:val="both"/>
      </w:pPr>
      <w:r>
        <w:rPr/>
        <w:t>订后的准则自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日至本准则施行日之间发生的非货币性资产交换，应根据本准则进行调 </w:t>
      </w:r>
      <w:r>
        <w:rPr>
          <w:spacing w:val="-2"/>
        </w:rPr>
        <w:t>整。对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日之前发生的非货币性资产交换，不需要按照本准则的规定进行追溯调整。本公司执行上述准则在本报告</w:t>
      </w:r>
      <w:r>
        <w:rPr>
          <w:spacing w:val="-69"/>
        </w:rPr>
        <w:t> </w:t>
      </w:r>
      <w:r>
        <w:rPr>
          <w:spacing w:val="-69"/>
        </w:rPr>
      </w:r>
      <w:r>
        <w:rPr/>
        <w:t>期内无重大影响。</w:t>
      </w:r>
    </w:p>
    <w:p>
      <w:pPr>
        <w:spacing w:line="240" w:lineRule="auto" w:before="0"/>
        <w:rPr>
          <w:rFonts w:ascii="宋体" w:hAnsi="宋体" w:cs="宋体" w:eastAsia="宋体" w:hint="default"/>
          <w:sz w:val="18"/>
          <w:szCs w:val="18"/>
        </w:rPr>
      </w:pPr>
    </w:p>
    <w:p>
      <w:pPr>
        <w:pStyle w:val="BodyText"/>
        <w:spacing w:line="302" w:lineRule="auto" w:before="138"/>
        <w:ind w:left="1091" w:right="1089" w:hanging="45"/>
        <w:jc w:val="left"/>
      </w:pPr>
      <w:r>
        <w:rPr/>
        <w:t>（</w:t>
      </w:r>
      <w:r>
        <w:rPr>
          <w:rFonts w:ascii="Times New Roman" w:hAnsi="Times New Roman" w:cs="Times New Roman" w:eastAsia="Times New Roman" w:hint="default"/>
        </w:rPr>
        <w:t>4</w:t>
      </w:r>
      <w:r>
        <w:rPr/>
        <w:t>）执行《企业会计准则第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w:t>
      </w:r>
      <w:r>
        <w:rPr>
          <w:spacing w:val="-87"/>
        </w:rPr>
        <w:t> </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日发布了《企业会计准则第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t>号），修订后的</w:t>
      </w:r>
    </w:p>
    <w:p>
      <w:pPr>
        <w:pStyle w:val="BodyText"/>
        <w:spacing w:line="240" w:lineRule="auto" w:before="14"/>
        <w:ind w:left="701" w:right="0"/>
        <w:jc w:val="both"/>
        <w:rPr>
          <w:rFonts w:ascii="Times New Roman" w:hAnsi="Times New Roman" w:cs="Times New Roman" w:eastAsia="Times New Roman" w:hint="default"/>
        </w:rPr>
      </w:pPr>
      <w:r>
        <w:rPr/>
        <w:t>准则自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日至本准则施行日之间发生的债务重组，应根据本准则进行调整。对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p>
    <w:p>
      <w:pPr>
        <w:pStyle w:val="BodyText"/>
        <w:spacing w:line="240" w:lineRule="auto" w:before="51"/>
        <w:ind w:left="701" w:right="0"/>
        <w:jc w:val="both"/>
      </w:pPr>
      <w:r>
        <w:rPr/>
        <w:t>月</w:t>
      </w:r>
      <w:r>
        <w:rPr>
          <w:rFonts w:ascii="Times New Roman" w:hAnsi="Times New Roman" w:cs="Times New Roman" w:eastAsia="Times New Roman" w:hint="default"/>
        </w:rPr>
        <w:t>1</w:t>
      </w:r>
      <w:r>
        <w:rPr/>
        <w:t>日之前发生的债务重组，不需要按照本准则的规定进行追溯调整。本公司执行上述准则在本报告期内无重大影响。</w:t>
      </w:r>
    </w:p>
    <w:p>
      <w:pPr>
        <w:spacing w:line="240" w:lineRule="auto" w:before="6"/>
        <w:rPr>
          <w:rFonts w:ascii="宋体" w:hAnsi="宋体" w:cs="宋体" w:eastAsia="宋体" w:hint="default"/>
          <w:sz w:val="26"/>
          <w:szCs w:val="26"/>
        </w:rPr>
      </w:pPr>
    </w:p>
    <w:p>
      <w:pPr>
        <w:pStyle w:val="Heading5"/>
        <w:spacing w:line="240" w:lineRule="auto"/>
        <w:ind w:left="701" w:right="0"/>
        <w:jc w:val="both"/>
        <w:rPr>
          <w:b w:val="0"/>
          <w:bCs w:val="0"/>
        </w:rPr>
      </w:pPr>
      <w:bookmarkStart w:name="（2）重要会计估计变更" w:id="233"/>
      <w:bookmarkEnd w:id="23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01"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left="701" w:right="0"/>
        <w:jc w:val="both"/>
        <w:rPr>
          <w:b w:val="0"/>
          <w:bCs w:val="0"/>
        </w:rPr>
      </w:pPr>
      <w:bookmarkStart w:name="（3）2019年起执行新金融工具准则、新收入准则或新租赁准则调整执行当年年初财务" w:id="234"/>
      <w:bookmarkEnd w:id="23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年起执行新金融工具准则、新收入准则或新租赁准则调整执行当年年初财务报表相关项目情况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701"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both"/>
        <w:sectPr>
          <w:pgSz w:w="11910" w:h="16850"/>
          <w:pgMar w:header="866" w:footer="981" w:top="1120" w:bottom="1180" w:left="440" w:right="0"/>
        </w:sect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t>合并资产负债表</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210,949,768.73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210,949,768.73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16,984,595.19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16,984,595.19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140,540,231.26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140,540,231.26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118,152.41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118,152.41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4,773,939.89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4,773,939.89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14,646,178.30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14,646,178.30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12,078,108.29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12,078,108.29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400,090,974.07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400,090,974.07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50,233,669.58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-50,233,669.58</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36,590,096.82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36,590,096.82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50,233,669.58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50,233,669.58</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1"/>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6,952,349.64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6,952,349.64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1,404,383.56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1,404,383.56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798,691.06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798,691.06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814,507.12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814,507.12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2,621,119.43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2,621,119.43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100,414,817.21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100,414,817.21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500,505,791.28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500,505,791.28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102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41,677,219.28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41,677,219.28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12,037,837.41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12,037,837.41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7,478,435.64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7,478,435.64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17,766,010.80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17,766,010.80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2,424,268.52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2,424,268.52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1"/>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1,809,106.51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1,809,106.51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1"/>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81,383,771.65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81,383,771.65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1"/>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81,383,771.65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81,383,771.65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162,000,000.00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200,205,305.28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200,205,305.28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39,999,113.66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39,999,113.66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3,456,934.40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3,456,934.40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25,760,503.00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25,760,503.00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57,911,271.76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57,911,271.76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409,334,900.78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409,334,900.78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9,787,118.85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9,787,118.85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419,122,019.63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419,122,019.63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500,505,791.28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500,505,791.28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5"/>
        <w:ind w:right="0"/>
        <w:jc w:val="left"/>
      </w:pPr>
      <w:r>
        <w:rPr/>
        <w:t>调整情况说明</w:t>
      </w:r>
    </w:p>
    <w:p>
      <w:pPr>
        <w:pStyle w:val="BodyText"/>
        <w:spacing w:line="321" w:lineRule="auto" w:before="109"/>
        <w:ind w:right="0" w:firstLine="345"/>
        <w:jc w:val="left"/>
      </w:pPr>
      <w:r>
        <w:rPr/>
        <w:t>各项目调整情况的说明：根据新金融工具准则，公司将“可供出售金融资产”</w:t>
      </w:r>
      <w:r>
        <w:rPr>
          <w:rFonts w:ascii="宋体" w:hAnsi="宋体" w:cs="宋体" w:eastAsia="宋体" w:hint="default"/>
        </w:rPr>
        <w:t>50,233,669.58</w:t>
      </w:r>
      <w:r>
        <w:rPr/>
        <w:t>元重分类至“其他权益工 具投资”列报。</w:t>
      </w:r>
    </w:p>
    <w:p>
      <w:pPr>
        <w:spacing w:line="240" w:lineRule="auto" w:before="0"/>
        <w:rPr>
          <w:rFonts w:ascii="宋体" w:hAnsi="宋体" w:cs="宋体" w:eastAsia="宋体" w:hint="default"/>
          <w:sz w:val="18"/>
          <w:szCs w:val="18"/>
        </w:rPr>
      </w:pPr>
    </w:p>
    <w:p>
      <w:pPr>
        <w:pStyle w:val="BodyText"/>
        <w:spacing w:line="240" w:lineRule="auto" w:before="128"/>
        <w:ind w:right="0"/>
        <w:jc w:val="left"/>
      </w:pPr>
      <w:r>
        <w:rPr/>
        <w:t>母公司资产负债表</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39,554,325.41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39,554,325.41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15,035,069.94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15,035,069.94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123,041,361.90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123,041,361.90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8,659.10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8,659.10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8,646,068.07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8,646,068.07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6"/>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4,584,866.11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4,584,866.11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12,784,782.65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12,784,782.65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10,935,783.13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10,935,783.13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210,006,050.20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210,006,050.20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27,652,274.00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-27,652,274.00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237,908,218.67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237,908,218.67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27,652,274.00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27,652,274.00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1,239,873.99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1,239,873.99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256,688.74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256,688.74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814,507.12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814,507.12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2,604,513.79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2,604,513.79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270,476,076.31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270,476,076.31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480,482,126.51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480,482,126.51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102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45,341,737.92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45,341,737.92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12,024,673.90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12,024,673.90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5,835,772.40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5,835,772.40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12,595,112.26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12,595,112.26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3,607,575.23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3,607,575.23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1"/>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79,404,871.71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79,404,871.71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1"/>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79,404,871.71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79,404,871.71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162,000,000.00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205,303,490.61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205,303,490.61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39,999,113.66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39,999,113.66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24,485,949.64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24,485,949.64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49,286,928.21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49,286,928.21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401,077,254.80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401,077,254.80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480,482,126.51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480,482,126.51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4"/>
        <w:ind w:right="0"/>
        <w:jc w:val="left"/>
      </w:pPr>
      <w:r>
        <w:rPr/>
        <w:t>调整情况说明</w:t>
      </w:r>
    </w:p>
    <w:p>
      <w:pPr>
        <w:pStyle w:val="BodyText"/>
        <w:spacing w:line="321" w:lineRule="auto" w:before="110"/>
        <w:ind w:right="1119" w:firstLine="360"/>
        <w:jc w:val="left"/>
      </w:pPr>
      <w:r>
        <w:rPr/>
        <w:t>各项目调整情况的说明：根据新金融工具准则，公司将“可供出售金融资产”</w:t>
      </w:r>
      <w:r>
        <w:rPr>
          <w:rFonts w:ascii="宋体" w:hAnsi="宋体" w:cs="宋体" w:eastAsia="宋体" w:hint="default"/>
        </w:rPr>
        <w:t>27,652,274.00</w:t>
      </w:r>
      <w:r>
        <w:rPr/>
        <w:t>元重分类至“其他权益工 具投资”列报。</w:t>
      </w:r>
    </w:p>
    <w:p>
      <w:pPr>
        <w:spacing w:line="240" w:lineRule="auto" w:before="13"/>
        <w:rPr>
          <w:rFonts w:ascii="宋体" w:hAnsi="宋体" w:cs="宋体" w:eastAsia="宋体" w:hint="default"/>
          <w:sz w:val="23"/>
          <w:szCs w:val="23"/>
        </w:rPr>
      </w:pPr>
    </w:p>
    <w:p>
      <w:pPr>
        <w:pStyle w:val="Heading5"/>
        <w:spacing w:line="240" w:lineRule="auto"/>
        <w:ind w:right="0"/>
        <w:jc w:val="left"/>
        <w:rPr>
          <w:b w:val="0"/>
          <w:bCs w:val="0"/>
        </w:rPr>
      </w:pPr>
      <w:bookmarkStart w:name="（4）2019年起执行新金融工具准则或新租赁准则追溯调整前期比较数据说明" w:id="235"/>
      <w:bookmarkEnd w:id="235"/>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45、其他" w:id="236"/>
      <w:bookmarkEnd w:id="236"/>
      <w:r>
        <w:rPr>
          <w:b w:val="0"/>
          <w:bCs w:val="0"/>
        </w:rPr>
      </w:r>
      <w:r>
        <w:rPr>
          <w:rFonts w:ascii="Times New Roman" w:hAnsi="Times New Roman" w:cs="Times New Roman" w:eastAsia="Times New Roman" w:hint="default"/>
        </w:rPr>
        <w:t>45</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六、税项" w:id="237"/>
      <w:bookmarkEnd w:id="237"/>
      <w:r>
        <w:rPr>
          <w:b w:val="0"/>
          <w:bCs w:val="0"/>
        </w:rPr>
      </w:r>
      <w:r>
        <w:rPr/>
        <w:t>六、税项</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主要税种及税率" w:id="238"/>
      <w:bookmarkEnd w:id="23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840"/>
        <w:gridCol w:w="5812"/>
        <w:gridCol w:w="2343"/>
      </w:tblGrid>
      <w:tr>
        <w:trPr>
          <w:trHeight w:val="406" w:hRule="exact"/>
        </w:trPr>
        <w:tc>
          <w:tcPr>
            <w:tcW w:w="18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sz w:val="18"/>
                <w:szCs w:val="18"/>
              </w:rPr>
              <w:t>税种</w:t>
            </w:r>
          </w:p>
        </w:tc>
        <w:tc>
          <w:tcPr>
            <w:tcW w:w="58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825" w:hRule="exact"/>
        </w:trPr>
        <w:tc>
          <w:tcPr>
            <w:tcW w:w="18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812" w:type="dxa"/>
            <w:tcBorders>
              <w:top w:val="single" w:sz="6" w:space="0" w:color="000000"/>
              <w:left w:val="single" w:sz="12" w:space="0" w:color="000000"/>
              <w:bottom w:val="single" w:sz="6" w:space="0" w:color="000000"/>
              <w:right w:val="single" w:sz="6" w:space="0" w:color="000000"/>
            </w:tcBorders>
          </w:tcPr>
          <w:p>
            <w:pPr>
              <w:pStyle w:val="TableParagraph"/>
              <w:spacing w:line="307" w:lineRule="auto" w:before="104"/>
              <w:ind w:left="7" w:right="21"/>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按税法规定计算的销售货物和应税劳务收入为基础计算销项税额，在扣除 当期允许抵扣的进项税额后，差额部分为应交增值税</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406" w:hRule="exact"/>
        </w:trPr>
        <w:tc>
          <w:tcPr>
            <w:tcW w:w="18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58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43"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18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8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w:t>
            </w:r>
          </w:p>
        </w:tc>
      </w:tr>
      <w:tr>
        <w:trPr>
          <w:trHeight w:val="390" w:hRule="exact"/>
        </w:trPr>
        <w:tc>
          <w:tcPr>
            <w:tcW w:w="18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8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、境外适用税率</w:t>
            </w:r>
          </w:p>
        </w:tc>
      </w:tr>
      <w:tr>
        <w:trPr>
          <w:trHeight w:val="736" w:hRule="exact"/>
        </w:trPr>
        <w:tc>
          <w:tcPr>
            <w:tcW w:w="18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5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广告服务应税收入扣除允许抵扣的广告成本后的差额</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706" w:hRule="exact"/>
        </w:trPr>
        <w:tc>
          <w:tcPr>
            <w:tcW w:w="18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5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按转让房地产所取得的增值额和规定的税率计缴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9"/>
        <w:rPr>
          <w:rFonts w:ascii="宋体" w:hAnsi="宋体" w:cs="宋体" w:eastAsia="宋体" w:hint="default"/>
          <w:b/>
          <w:bCs/>
          <w:sz w:val="20"/>
          <w:szCs w:val="20"/>
        </w:rPr>
      </w:pPr>
    </w:p>
    <w:p>
      <w:pPr>
        <w:pStyle w:val="BodyText"/>
        <w:spacing w:line="240" w:lineRule="auto" w:before="44"/>
        <w:ind w:right="0"/>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8"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13"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秦皇岛宣亚公共关系顾问有限公司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云目未来科技（北京）有限公司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北京新兵连文化传媒有限公司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北京宣亚品牌咨询有限公司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北京金色区块网络科技有限公司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云目未来科技（湖南）有限公司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北京星声场网络科技有限公司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北京云柯网络科技有限公司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北京星畅网络科技有限公司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宣亚国际有限公司</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8.84%</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税收优惠" w:id="239"/>
      <w:bookmarkEnd w:id="23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25"/>
          <w:szCs w:val="25"/>
        </w:rPr>
      </w:pPr>
    </w:p>
    <w:p>
      <w:pPr>
        <w:pStyle w:val="Heading8"/>
        <w:spacing w:line="297" w:lineRule="auto"/>
        <w:ind w:right="0" w:firstLine="405"/>
        <w:jc w:val="left"/>
      </w:pPr>
      <w:r>
        <w:rPr>
          <w:rFonts w:ascii="宋体" w:hAnsi="宋体" w:cs="宋体" w:eastAsia="宋体" w:hint="default"/>
          <w:spacing w:val="3"/>
        </w:rPr>
        <w:t>1</w:t>
      </w:r>
      <w:r>
        <w:rPr>
          <w:spacing w:val="3"/>
        </w:rPr>
        <w:t>、本公司根据《中华人民共和国企业所得税法》（中华人民共和国主席令第</w:t>
      </w:r>
      <w:r>
        <w:rPr>
          <w:rFonts w:ascii="宋体" w:hAnsi="宋体" w:cs="宋体" w:eastAsia="宋体" w:hint="default"/>
          <w:spacing w:val="3"/>
        </w:rPr>
        <w:t>63</w:t>
      </w:r>
      <w:r>
        <w:rPr>
          <w:spacing w:val="3"/>
        </w:rPr>
        <w:t>号）第二十六条；《中华人</w:t>
      </w:r>
      <w:r>
        <w:rPr>
          <w:w w:val="102"/>
        </w:rPr>
        <w:t> </w:t>
      </w:r>
      <w:r>
        <w:rPr/>
        <w:t>民共和国企业所得税法实施条例》（中华人民共和国国务院令第</w:t>
      </w:r>
      <w:r>
        <w:rPr>
          <w:rFonts w:ascii="宋体" w:hAnsi="宋体" w:cs="宋体" w:eastAsia="宋体" w:hint="default"/>
        </w:rPr>
        <w:t>512</w:t>
      </w:r>
      <w:r>
        <w:rPr/>
        <w:t>号）第八十二条、第八十三条、第八十四条，</w:t>
      </w:r>
      <w:r>
        <w:rPr>
          <w:spacing w:val="45"/>
        </w:rPr>
        <w:t> </w:t>
      </w:r>
      <w:r>
        <w:rPr>
          <w:spacing w:val="45"/>
        </w:rPr>
      </w:r>
      <w:r>
        <w:rPr>
          <w:spacing w:val="4"/>
          <w:w w:val="105"/>
        </w:rPr>
        <w:t>享受符合合条件居民企业之间的股息、红利等权益性投资收益免征企业所得税。</w:t>
      </w:r>
      <w:r>
        <w:rPr>
          <w:spacing w:val="4"/>
        </w:rPr>
      </w:r>
    </w:p>
    <w:p>
      <w:pPr>
        <w:spacing w:line="240" w:lineRule="auto" w:before="3"/>
        <w:rPr>
          <w:rFonts w:ascii="宋体" w:hAnsi="宋体" w:cs="宋体" w:eastAsia="宋体" w:hint="default"/>
          <w:sz w:val="14"/>
          <w:szCs w:val="14"/>
        </w:rPr>
      </w:pPr>
    </w:p>
    <w:p>
      <w:pPr>
        <w:pStyle w:val="Heading8"/>
        <w:spacing w:line="297" w:lineRule="auto"/>
        <w:ind w:right="1127" w:firstLine="405"/>
        <w:jc w:val="both"/>
      </w:pPr>
      <w:r>
        <w:rPr>
          <w:rFonts w:ascii="宋体" w:hAnsi="宋体" w:cs="宋体" w:eastAsia="宋体" w:hint="default"/>
          <w:spacing w:val="3"/>
        </w:rPr>
        <w:t>2</w:t>
      </w:r>
      <w:r>
        <w:rPr>
          <w:spacing w:val="3"/>
        </w:rPr>
        <w:t>、本公司根据《中华人民共和国企业所得税法》（中华人民共和国主席令第</w:t>
      </w:r>
      <w:r>
        <w:rPr>
          <w:rFonts w:ascii="宋体" w:hAnsi="宋体" w:cs="宋体" w:eastAsia="宋体" w:hint="default"/>
          <w:spacing w:val="3"/>
        </w:rPr>
        <w:t>63</w:t>
      </w:r>
      <w:r>
        <w:rPr>
          <w:spacing w:val="3"/>
        </w:rPr>
        <w:t>号）第三十条及《中华人民</w:t>
      </w:r>
      <w:r>
        <w:rPr>
          <w:w w:val="102"/>
        </w:rPr>
        <w:t> </w:t>
      </w:r>
      <w:r>
        <w:rPr>
          <w:spacing w:val="3"/>
        </w:rPr>
        <w:t>共和国企业所得税法实施条例》（中华人民共和国国务院令第</w:t>
      </w:r>
      <w:r>
        <w:rPr>
          <w:rFonts w:ascii="宋体" w:hAnsi="宋体" w:cs="宋体" w:eastAsia="宋体" w:hint="default"/>
          <w:spacing w:val="3"/>
        </w:rPr>
        <w:t>512</w:t>
      </w:r>
      <w:r>
        <w:rPr>
          <w:spacing w:val="3"/>
        </w:rPr>
        <w:t>号）第九十五条规定，安置残疾人员所支付的</w:t>
      </w:r>
      <w:r>
        <w:rPr>
          <w:spacing w:val="72"/>
        </w:rPr>
        <w:t> </w:t>
      </w:r>
      <w:r>
        <w:rPr>
          <w:spacing w:val="72"/>
        </w:rPr>
      </w:r>
      <w:r>
        <w:rPr>
          <w:spacing w:val="2"/>
          <w:w w:val="105"/>
        </w:rPr>
        <w:t>工资</w:t>
      </w:r>
      <w:r>
        <w:rPr>
          <w:rFonts w:ascii="宋体" w:hAnsi="宋体" w:cs="宋体" w:eastAsia="宋体" w:hint="default"/>
          <w:spacing w:val="2"/>
          <w:w w:val="105"/>
        </w:rPr>
        <w:t>100%</w:t>
      </w:r>
      <w:r>
        <w:rPr>
          <w:spacing w:val="2"/>
          <w:w w:val="105"/>
        </w:rPr>
        <w:t>加计扣除。</w:t>
      </w:r>
      <w:r>
        <w:rPr>
          <w:spacing w:val="2"/>
        </w:rPr>
      </w:r>
    </w:p>
    <w:p>
      <w:pPr>
        <w:spacing w:line="240" w:lineRule="auto" w:before="3"/>
        <w:rPr>
          <w:rFonts w:ascii="宋体" w:hAnsi="宋体" w:cs="宋体" w:eastAsia="宋体" w:hint="default"/>
          <w:sz w:val="14"/>
          <w:szCs w:val="14"/>
        </w:rPr>
      </w:pPr>
    </w:p>
    <w:p>
      <w:pPr>
        <w:pStyle w:val="Heading8"/>
        <w:spacing w:line="300" w:lineRule="auto"/>
        <w:ind w:right="1111" w:firstLine="405"/>
        <w:jc w:val="both"/>
      </w:pPr>
      <w:r>
        <w:rPr>
          <w:rFonts w:ascii="宋体" w:hAnsi="宋体" w:cs="宋体" w:eastAsia="宋体" w:hint="default"/>
          <w:spacing w:val="3"/>
        </w:rPr>
        <w:t>3</w:t>
      </w:r>
      <w:r>
        <w:rPr>
          <w:spacing w:val="3"/>
        </w:rPr>
        <w:t>、本公司及其子公司秦皇岛宣亚公共关系顾问有限公司、北京品推宝移动科技有限公司、北京新兵连文化</w:t>
      </w:r>
      <w:r>
        <w:rPr>
          <w:w w:val="102"/>
        </w:rPr>
        <w:t> </w:t>
      </w:r>
      <w:r>
        <w:rPr>
          <w:spacing w:val="5"/>
        </w:rPr>
        <w:t>传媒有限公司、北京宣亚品牌咨询有限公司、天津星言云汇网络科技有限公司根据《关于深化增值税改革有关</w:t>
      </w:r>
      <w:r>
        <w:rPr>
          <w:spacing w:val="74"/>
        </w:rPr>
        <w:t> </w:t>
      </w:r>
      <w:r>
        <w:rPr>
          <w:spacing w:val="74"/>
        </w:rPr>
      </w:r>
      <w:r>
        <w:rPr>
          <w:spacing w:val="4"/>
        </w:rPr>
        <w:t>政策的公告》规定，自</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2021</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日，允许生产、生活性服务业纳税人按照当期可抵扣进项</w:t>
      </w:r>
      <w:r>
        <w:rPr>
          <w:spacing w:val="91"/>
        </w:rPr>
        <w:t> </w:t>
      </w:r>
      <w:r>
        <w:rPr>
          <w:spacing w:val="91"/>
        </w:rPr>
      </w:r>
      <w:r>
        <w:rPr>
          <w:spacing w:val="4"/>
        </w:rPr>
        <w:t>税额加计</w:t>
      </w:r>
      <w:r>
        <w:rPr>
          <w:rFonts w:ascii="宋体" w:hAnsi="宋体" w:cs="宋体" w:eastAsia="宋体" w:hint="default"/>
          <w:spacing w:val="4"/>
        </w:rPr>
        <w:t>10%</w:t>
      </w:r>
      <w:r>
        <w:rPr>
          <w:spacing w:val="4"/>
        </w:rPr>
        <w:t>，抵减应纳税额（称加计抵减政策），</w:t>
      </w:r>
      <w:r>
        <w:rPr>
          <w:rFonts w:ascii="宋体" w:hAnsi="宋体" w:cs="宋体" w:eastAsia="宋体" w:hint="default"/>
          <w:spacing w:val="4"/>
        </w:rPr>
        <w:t>2019</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31</w:t>
      </w:r>
      <w:r>
        <w:rPr>
          <w:spacing w:val="4"/>
        </w:rPr>
        <w:t>日前设立的纳税人，自</w:t>
      </w:r>
      <w:r>
        <w:rPr>
          <w:rFonts w:ascii="宋体" w:hAnsi="宋体" w:cs="宋体" w:eastAsia="宋体" w:hint="default"/>
          <w:spacing w:val="4"/>
        </w:rPr>
        <w:t>2018</w:t>
      </w:r>
      <w:r>
        <w:rPr>
          <w:spacing w:val="4"/>
        </w:rPr>
        <w:t>年</w:t>
      </w:r>
      <w:r>
        <w:rPr>
          <w:rFonts w:ascii="宋体" w:hAnsi="宋体" w:cs="宋体" w:eastAsia="宋体" w:hint="default"/>
          <w:spacing w:val="4"/>
        </w:rPr>
        <w:t>4</w:t>
      </w:r>
      <w:r>
        <w:rPr>
          <w:spacing w:val="4"/>
        </w:rPr>
        <w:t>月至</w:t>
      </w:r>
      <w:r>
        <w:rPr>
          <w:rFonts w:ascii="宋体" w:hAnsi="宋体" w:cs="宋体" w:eastAsia="宋体" w:hint="default"/>
          <w:spacing w:val="4"/>
        </w:rPr>
        <w:t>2019</w:t>
      </w:r>
      <w:r>
        <w:rPr>
          <w:spacing w:val="4"/>
        </w:rPr>
        <w:t>年</w:t>
      </w:r>
      <w:r>
        <w:rPr>
          <w:rFonts w:ascii="宋体" w:hAnsi="宋体" w:cs="宋体" w:eastAsia="宋体" w:hint="default"/>
          <w:spacing w:val="4"/>
        </w:rPr>
        <w:t>3</w:t>
      </w:r>
      <w:r>
        <w:rPr>
          <w:spacing w:val="4"/>
        </w:rPr>
        <w:t>月</w:t>
      </w:r>
      <w:r>
        <w:rPr>
          <w:spacing w:val="94"/>
        </w:rPr>
        <w:t> </w:t>
      </w:r>
      <w:r>
        <w:rPr>
          <w:spacing w:val="4"/>
          <w:w w:val="105"/>
        </w:rPr>
        <w:t>期间的销售额符合规定条件的，适用加计抵减政策。</w:t>
      </w:r>
      <w:r>
        <w:rPr>
          <w:spacing w:val="4"/>
        </w:rPr>
      </w:r>
    </w:p>
    <w:p>
      <w:pPr>
        <w:pStyle w:val="Heading8"/>
        <w:spacing w:line="302" w:lineRule="auto" w:before="169"/>
        <w:ind w:right="1111" w:firstLine="405"/>
        <w:jc w:val="both"/>
      </w:pPr>
      <w:r>
        <w:rPr>
          <w:rFonts w:ascii="宋体" w:hAnsi="宋体" w:cs="宋体" w:eastAsia="宋体" w:hint="default"/>
          <w:spacing w:val="3"/>
        </w:rPr>
        <w:t>4</w:t>
      </w:r>
      <w:r>
        <w:rPr>
          <w:spacing w:val="3"/>
        </w:rPr>
        <w:t>、本公司及其子公司秦皇岛宣亚公共关系顾问有限公司、云目未来科技（北京）有限公司、北京品推宝移</w:t>
      </w:r>
      <w:r>
        <w:rPr>
          <w:w w:val="102"/>
        </w:rPr>
        <w:t> </w:t>
      </w:r>
      <w:r>
        <w:rPr>
          <w:spacing w:val="5"/>
        </w:rPr>
        <w:t>动科技有限公司、北京新兵连文化传媒有限公司、北京宣亚品牌咨询有限公司、天津星言云汇网络科技有限公</w:t>
      </w:r>
      <w:r>
        <w:rPr>
          <w:spacing w:val="74"/>
        </w:rPr>
        <w:t> </w:t>
      </w:r>
      <w:r>
        <w:rPr>
          <w:spacing w:val="74"/>
        </w:rPr>
      </w:r>
      <w:r>
        <w:rPr>
          <w:spacing w:val="6"/>
        </w:rPr>
        <w:t>司根据财税</w:t>
      </w:r>
      <w:r>
        <w:rPr>
          <w:rFonts w:ascii="宋体" w:hAnsi="宋体" w:cs="宋体" w:eastAsia="宋体" w:hint="default"/>
          <w:spacing w:val="6"/>
        </w:rPr>
        <w:t>[2019]46</w:t>
      </w:r>
      <w:r>
        <w:rPr>
          <w:spacing w:val="6"/>
        </w:rPr>
        <w:t>号《财政部关于调整部分政府性基金有关政策的通知》 </w:t>
      </w:r>
      <w:r>
        <w:rPr>
          <w:spacing w:val="4"/>
        </w:rPr>
        <w:t>自</w:t>
      </w:r>
      <w:r>
        <w:rPr>
          <w:rFonts w:ascii="宋体" w:hAnsi="宋体" w:cs="宋体" w:eastAsia="宋体" w:hint="default"/>
          <w:spacing w:val="4"/>
        </w:rPr>
        <w:t>2019</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2024</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rFonts w:ascii="宋体" w:hAnsi="宋体" w:cs="宋体" w:eastAsia="宋体" w:hint="default"/>
          <w:spacing w:val="5"/>
        </w:rPr>
        <w:t> </w:t>
      </w:r>
      <w:r>
        <w:rPr>
          <w:spacing w:val="5"/>
        </w:rPr>
        <w:t>日，对归属中央收入的文化事业建设费，按照缴纳义务人应缴费额的</w:t>
      </w:r>
      <w:r>
        <w:rPr>
          <w:rFonts w:ascii="宋体" w:hAnsi="宋体" w:cs="宋体" w:eastAsia="宋体" w:hint="default"/>
          <w:spacing w:val="5"/>
        </w:rPr>
        <w:t>50</w:t>
      </w:r>
      <w:r>
        <w:rPr>
          <w:spacing w:val="5"/>
        </w:rPr>
        <w:t>％减征；对归属地方收入的文化事业建</w:t>
      </w:r>
      <w:r>
        <w:rPr>
          <w:spacing w:val="73"/>
        </w:rPr>
        <w:t> </w:t>
      </w:r>
      <w:r>
        <w:rPr>
          <w:spacing w:val="73"/>
        </w:rPr>
      </w:r>
      <w:r>
        <w:rPr>
          <w:spacing w:val="5"/>
        </w:rPr>
        <w:t>设费，各省</w:t>
      </w:r>
      <w:r>
        <w:rPr>
          <w:rFonts w:ascii="宋体" w:hAnsi="宋体" w:cs="宋体" w:eastAsia="宋体" w:hint="default"/>
          <w:spacing w:val="5"/>
        </w:rPr>
        <w:t>(</w:t>
      </w:r>
      <w:r>
        <w:rPr>
          <w:spacing w:val="5"/>
        </w:rPr>
        <w:t>区、市</w:t>
      </w:r>
      <w:r>
        <w:rPr>
          <w:rFonts w:ascii="宋体" w:hAnsi="宋体" w:cs="宋体" w:eastAsia="宋体" w:hint="default"/>
          <w:spacing w:val="5"/>
        </w:rPr>
        <w:t>)</w:t>
      </w:r>
      <w:r>
        <w:rPr>
          <w:spacing w:val="5"/>
        </w:rPr>
        <w:t>财政、党委宣传部门可以结合当地经济发展水平、宣传思想文化事业发展等因素，在应缴</w:t>
      </w:r>
      <w:r>
        <w:rPr>
          <w:spacing w:val="73"/>
        </w:rPr>
        <w:t> </w:t>
      </w:r>
      <w:r>
        <w:rPr>
          <w:spacing w:val="73"/>
        </w:rPr>
      </w:r>
      <w:r>
        <w:rPr>
          <w:spacing w:val="3"/>
          <w:w w:val="105"/>
        </w:rPr>
        <w:t>费额</w:t>
      </w:r>
      <w:r>
        <w:rPr>
          <w:rFonts w:ascii="宋体" w:hAnsi="宋体" w:cs="宋体" w:eastAsia="宋体" w:hint="default"/>
          <w:spacing w:val="3"/>
          <w:w w:val="105"/>
        </w:rPr>
        <w:t>50</w:t>
      </w:r>
      <w:r>
        <w:rPr>
          <w:spacing w:val="3"/>
          <w:w w:val="105"/>
        </w:rPr>
        <w:t>％的幅度内减征。</w:t>
      </w:r>
      <w:r>
        <w:rPr>
          <w:spacing w:val="3"/>
        </w:rPr>
      </w:r>
    </w:p>
    <w:p>
      <w:pPr>
        <w:spacing w:line="240" w:lineRule="auto" w:before="12"/>
        <w:rPr>
          <w:rFonts w:ascii="宋体" w:hAnsi="宋体" w:cs="宋体" w:eastAsia="宋体" w:hint="default"/>
          <w:sz w:val="13"/>
          <w:szCs w:val="13"/>
        </w:rPr>
      </w:pPr>
    </w:p>
    <w:p>
      <w:pPr>
        <w:pStyle w:val="Heading8"/>
        <w:spacing w:line="297" w:lineRule="auto"/>
        <w:ind w:right="1104" w:firstLine="405"/>
        <w:jc w:val="both"/>
      </w:pPr>
      <w:r>
        <w:rPr>
          <w:rFonts w:ascii="宋体" w:hAnsi="宋体" w:cs="宋体" w:eastAsia="宋体" w:hint="default"/>
          <w:spacing w:val="6"/>
        </w:rPr>
        <w:t>5</w:t>
      </w:r>
      <w:r>
        <w:rPr>
          <w:spacing w:val="6"/>
        </w:rPr>
        <w:t>、本公司之子公司秦皇岛宣亚公共关系顾问有限公司、北京新兵连文化传媒有限公司根据财税</w:t>
      </w:r>
      <w:r>
        <w:rPr>
          <w:rFonts w:ascii="宋体" w:hAnsi="宋体" w:cs="宋体" w:eastAsia="宋体" w:hint="default"/>
          <w:spacing w:val="6"/>
        </w:rPr>
        <w:t>[2016]12</w:t>
      </w:r>
      <w:r>
        <w:rPr>
          <w:rFonts w:ascii="宋体" w:hAnsi="宋体" w:cs="宋体" w:eastAsia="宋体" w:hint="default"/>
          <w:w w:val="102"/>
        </w:rPr>
        <w:t> </w:t>
      </w:r>
      <w:r>
        <w:rPr>
          <w:spacing w:val="5"/>
        </w:rPr>
        <w:t>号《关于扩大有关政府性基金免征范围的通知》，将免征教育费附加、地方教育附加、水利建设基金的范围，</w:t>
      </w:r>
      <w:r>
        <w:rPr>
          <w:spacing w:val="74"/>
        </w:rPr>
        <w:t> </w:t>
      </w:r>
      <w:r>
        <w:rPr>
          <w:spacing w:val="74"/>
        </w:rPr>
      </w:r>
      <w:r>
        <w:rPr>
          <w:spacing w:val="4"/>
        </w:rPr>
        <w:t>由现行按月纳税的月销售额或营业额不超过</w:t>
      </w:r>
      <w:r>
        <w:rPr>
          <w:rFonts w:ascii="宋体" w:hAnsi="宋体" w:cs="宋体" w:eastAsia="宋体" w:hint="default"/>
          <w:spacing w:val="4"/>
        </w:rPr>
        <w:t>3 </w:t>
      </w:r>
      <w:r>
        <w:rPr>
          <w:spacing w:val="4"/>
        </w:rPr>
        <w:t>万元（按季度纳税的季度销售额或营业额不超过</w:t>
      </w:r>
      <w:r>
        <w:rPr>
          <w:rFonts w:ascii="宋体" w:hAnsi="宋体" w:cs="宋体" w:eastAsia="宋体" w:hint="default"/>
          <w:spacing w:val="4"/>
        </w:rPr>
        <w:t>9 </w:t>
      </w:r>
      <w:r>
        <w:rPr>
          <w:spacing w:val="4"/>
        </w:rPr>
        <w:t>万元）的缴纳义</w:t>
      </w:r>
      <w:r>
        <w:rPr>
          <w:spacing w:val="26"/>
        </w:rPr>
        <w:t> </w:t>
      </w:r>
      <w:r>
        <w:rPr>
          <w:spacing w:val="26"/>
        </w:rPr>
      </w:r>
      <w:r>
        <w:rPr>
          <w:spacing w:val="5"/>
        </w:rPr>
        <w:t>务人，扩大到按月纳税的月销售额或营业额不超过</w:t>
      </w:r>
      <w:r>
        <w:rPr>
          <w:rFonts w:ascii="宋体" w:hAnsi="宋体" w:cs="宋体" w:eastAsia="宋体" w:hint="default"/>
          <w:spacing w:val="5"/>
        </w:rPr>
        <w:t>10</w:t>
      </w:r>
      <w:r>
        <w:rPr>
          <w:spacing w:val="5"/>
        </w:rPr>
        <w:t>万元（按季度纳税的季度销售额或营业额不超过</w:t>
      </w:r>
      <w:r>
        <w:rPr>
          <w:rFonts w:ascii="宋体" w:hAnsi="宋体" w:cs="宋体" w:eastAsia="宋体" w:hint="default"/>
          <w:spacing w:val="5"/>
        </w:rPr>
        <w:t>30</w:t>
      </w:r>
      <w:r>
        <w:rPr>
          <w:spacing w:val="5"/>
        </w:rPr>
        <w:t>万元）</w:t>
      </w:r>
      <w:r>
        <w:rPr>
          <w:spacing w:val="69"/>
        </w:rPr>
        <w:t> </w:t>
      </w:r>
      <w:r>
        <w:rPr>
          <w:spacing w:val="69"/>
        </w:rPr>
      </w:r>
      <w:r>
        <w:rPr>
          <w:w w:val="105"/>
        </w:rPr>
        <w:t>的缴纳义务人。</w:t>
      </w:r>
      <w:r>
        <w:rPr/>
      </w:r>
    </w:p>
    <w:p>
      <w:pPr>
        <w:spacing w:line="240" w:lineRule="auto" w:before="3"/>
        <w:rPr>
          <w:rFonts w:ascii="宋体" w:hAnsi="宋体" w:cs="宋体" w:eastAsia="宋体" w:hint="default"/>
          <w:sz w:val="14"/>
          <w:szCs w:val="14"/>
        </w:rPr>
      </w:pPr>
    </w:p>
    <w:p>
      <w:pPr>
        <w:pStyle w:val="Heading8"/>
        <w:spacing w:line="290" w:lineRule="auto"/>
        <w:ind w:right="1128" w:firstLine="405"/>
        <w:jc w:val="both"/>
      </w:pPr>
      <w:r>
        <w:rPr>
          <w:rFonts w:ascii="宋体" w:hAnsi="宋体" w:cs="宋体" w:eastAsia="宋体" w:hint="default"/>
          <w:spacing w:val="3"/>
        </w:rPr>
        <w:t>6</w:t>
      </w:r>
      <w:r>
        <w:rPr>
          <w:spacing w:val="3"/>
        </w:rPr>
        <w:t>、本公司之子公司宣亚国际有限公司，注册于美国，公司相关税项适用于当地税率，其中联邦政府所得税</w:t>
      </w:r>
      <w:r>
        <w:rPr>
          <w:w w:val="102"/>
        </w:rPr>
        <w:t> </w:t>
      </w:r>
      <w:r>
        <w:rPr>
          <w:spacing w:val="3"/>
          <w:w w:val="105"/>
        </w:rPr>
        <w:t>率为应纳税所得的</w:t>
      </w:r>
      <w:r>
        <w:rPr>
          <w:rFonts w:ascii="宋体" w:hAnsi="宋体" w:cs="宋体" w:eastAsia="宋体" w:hint="default"/>
          <w:spacing w:val="3"/>
          <w:w w:val="105"/>
        </w:rPr>
        <w:t>15%</w:t>
      </w:r>
      <w:r>
        <w:rPr>
          <w:spacing w:val="3"/>
          <w:w w:val="105"/>
        </w:rPr>
        <w:t>到</w:t>
      </w:r>
      <w:r>
        <w:rPr>
          <w:rFonts w:ascii="宋体" w:hAnsi="宋体" w:cs="宋体" w:eastAsia="宋体" w:hint="default"/>
          <w:spacing w:val="3"/>
          <w:w w:val="105"/>
        </w:rPr>
        <w:t>39%</w:t>
      </w:r>
      <w:r>
        <w:rPr>
          <w:spacing w:val="3"/>
          <w:w w:val="105"/>
        </w:rPr>
        <w:t>、公司所处州的州所得税率为</w:t>
      </w:r>
      <w:r>
        <w:rPr>
          <w:rFonts w:ascii="宋体" w:hAnsi="宋体" w:cs="宋体" w:eastAsia="宋体" w:hint="default"/>
          <w:spacing w:val="3"/>
          <w:w w:val="105"/>
        </w:rPr>
        <w:t>8.84%</w:t>
      </w:r>
      <w:r>
        <w:rPr>
          <w:spacing w:val="3"/>
          <w:w w:val="105"/>
        </w:rPr>
        <w:t>。</w:t>
      </w:r>
      <w:r>
        <w:rPr>
          <w:spacing w:val="3"/>
        </w:rPr>
      </w:r>
    </w:p>
    <w:p>
      <w:pPr>
        <w:spacing w:after="0" w:line="290" w:lineRule="auto"/>
        <w:jc w:val="both"/>
        <w:sectPr>
          <w:pgSz w:w="11910" w:h="16850"/>
          <w:pgMar w:header="866" w:footer="981" w:top="1120" w:bottom="1180" w:left="1000" w:right="0"/>
        </w:sectPr>
      </w:pPr>
    </w:p>
    <w:p>
      <w:pPr>
        <w:spacing w:line="240" w:lineRule="auto" w:before="0"/>
        <w:rPr>
          <w:rFonts w:ascii="宋体" w:hAnsi="宋体" w:cs="宋体" w:eastAsia="宋体" w:hint="default"/>
          <w:sz w:val="22"/>
          <w:szCs w:val="22"/>
        </w:rPr>
      </w:pPr>
    </w:p>
    <w:p>
      <w:pPr>
        <w:pStyle w:val="Heading8"/>
        <w:spacing w:line="297" w:lineRule="auto" w:before="45"/>
        <w:ind w:right="1125" w:firstLine="405"/>
        <w:jc w:val="both"/>
      </w:pPr>
      <w:r>
        <w:rPr>
          <w:rFonts w:ascii="宋体" w:hAnsi="宋体" w:cs="宋体" w:eastAsia="宋体" w:hint="default"/>
          <w:spacing w:val="3"/>
        </w:rPr>
        <w:t>7</w:t>
      </w:r>
      <w:r>
        <w:rPr>
          <w:spacing w:val="3"/>
        </w:rPr>
        <w:t>、本公司之子公司北京品推宝移动科技有限公司根据《中华人民共和国企业所得税法》（中华人民共和国</w:t>
      </w:r>
      <w:r>
        <w:rPr>
          <w:w w:val="102"/>
        </w:rPr>
        <w:t> </w:t>
      </w:r>
      <w:r>
        <w:rPr>
          <w:spacing w:val="3"/>
        </w:rPr>
        <w:t>主席令第</w:t>
      </w:r>
      <w:r>
        <w:rPr>
          <w:rFonts w:ascii="宋体" w:hAnsi="宋体" w:cs="宋体" w:eastAsia="宋体" w:hint="default"/>
          <w:spacing w:val="3"/>
        </w:rPr>
        <w:t>63</w:t>
      </w:r>
      <w:r>
        <w:rPr>
          <w:spacing w:val="3"/>
        </w:rPr>
        <w:t>号）第三十条；《中华人民共和国企业所得税法实施条例》（中华人民共和国国务院令第</w:t>
      </w:r>
      <w:r>
        <w:rPr>
          <w:rFonts w:ascii="宋体" w:hAnsi="宋体" w:cs="宋体" w:eastAsia="宋体" w:hint="default"/>
          <w:spacing w:val="3"/>
        </w:rPr>
        <w:t>512</w:t>
      </w:r>
      <w:r>
        <w:rPr>
          <w:spacing w:val="3"/>
        </w:rPr>
        <w:t>号）第</w:t>
      </w:r>
      <w:r>
        <w:rPr>
          <w:spacing w:val="71"/>
        </w:rPr>
        <w:t> </w:t>
      </w:r>
      <w:r>
        <w:rPr>
          <w:spacing w:val="71"/>
        </w:rPr>
      </w:r>
      <w:r>
        <w:rPr>
          <w:spacing w:val="4"/>
          <w:w w:val="105"/>
        </w:rPr>
        <w:t>九十五条规定，享受为安置残疾人员所支付的工资</w:t>
      </w:r>
      <w:r>
        <w:rPr>
          <w:rFonts w:ascii="宋体" w:hAnsi="宋体" w:cs="宋体" w:eastAsia="宋体" w:hint="default"/>
          <w:spacing w:val="4"/>
          <w:w w:val="105"/>
        </w:rPr>
        <w:t>100%</w:t>
      </w:r>
      <w:r>
        <w:rPr>
          <w:spacing w:val="4"/>
          <w:w w:val="105"/>
        </w:rPr>
        <w:t>加计扣除。</w:t>
      </w:r>
      <w:r>
        <w:rPr>
          <w:spacing w:val="4"/>
        </w:rPr>
      </w:r>
    </w:p>
    <w:p>
      <w:pPr>
        <w:pStyle w:val="Heading8"/>
        <w:spacing w:line="302" w:lineRule="auto" w:before="171"/>
        <w:ind w:right="0" w:firstLine="405"/>
        <w:jc w:val="left"/>
      </w:pPr>
      <w:r>
        <w:rPr>
          <w:rFonts w:ascii="宋体" w:hAnsi="宋体" w:cs="宋体" w:eastAsia="宋体" w:hint="default"/>
        </w:rPr>
        <w:t>8</w:t>
      </w:r>
      <w:r>
        <w:rPr/>
        <w:t>、本公司之子公司秦皇岛宣亚公共关系顾问有限公司、云目未来科技（北京）有限公司、云目未来科技（湖</w:t>
      </w:r>
      <w:r>
        <w:rPr>
          <w:w w:val="102"/>
        </w:rPr>
        <w:t> </w:t>
      </w:r>
      <w:r>
        <w:rPr>
          <w:spacing w:val="3"/>
        </w:rPr>
        <w:t>南）有限公司、北京新兵连文化传媒有限公司、北京宣亚品牌咨询有限公司、北京金色区块网络科技有限公司、</w:t>
      </w:r>
      <w:r>
        <w:rPr>
          <w:spacing w:val="87"/>
        </w:rPr>
        <w:t> </w:t>
      </w:r>
      <w:r>
        <w:rPr>
          <w:spacing w:val="87"/>
        </w:rPr>
      </w:r>
      <w:r>
        <w:rPr>
          <w:spacing w:val="5"/>
        </w:rPr>
        <w:t>北京星声场网络科技有限公司、北京云柯网络科技有限公司、北京星畅网络科技有限公司符合《中华人民共和</w:t>
      </w:r>
      <w:r>
        <w:rPr>
          <w:spacing w:val="74"/>
        </w:rPr>
        <w:t> </w:t>
      </w:r>
      <w:r>
        <w:rPr>
          <w:spacing w:val="74"/>
        </w:rPr>
      </w:r>
      <w:r>
        <w:rPr>
          <w:spacing w:val="4"/>
        </w:rPr>
        <w:t>国企业所得税法》及其实施条例规定的小型微利企业。自</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2021</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日，对小型微利企业年</w:t>
      </w:r>
      <w:r>
        <w:rPr>
          <w:spacing w:val="93"/>
        </w:rPr>
        <w:t> </w:t>
      </w:r>
      <w:r>
        <w:rPr>
          <w:spacing w:val="93"/>
        </w:rPr>
      </w:r>
      <w:r>
        <w:rPr>
          <w:spacing w:val="2"/>
        </w:rPr>
        <w:t>应纳税所得额不超过</w:t>
      </w:r>
      <w:r>
        <w:rPr>
          <w:rFonts w:ascii="宋体" w:hAnsi="宋体" w:cs="宋体" w:eastAsia="宋体" w:hint="default"/>
          <w:spacing w:val="2"/>
        </w:rPr>
        <w:t>100</w:t>
      </w:r>
      <w:r>
        <w:rPr>
          <w:spacing w:val="2"/>
        </w:rPr>
        <w:t>万元的部分，减按</w:t>
      </w:r>
      <w:r>
        <w:rPr>
          <w:rFonts w:ascii="宋体" w:hAnsi="宋体" w:cs="宋体" w:eastAsia="宋体" w:hint="default"/>
          <w:spacing w:val="2"/>
        </w:rPr>
        <w:t>25%</w:t>
      </w:r>
      <w:r>
        <w:rPr>
          <w:spacing w:val="2"/>
        </w:rPr>
        <w:t>计入应纳税所得额，按</w:t>
      </w:r>
      <w:r>
        <w:rPr>
          <w:rFonts w:ascii="宋体" w:hAnsi="宋体" w:cs="宋体" w:eastAsia="宋体" w:hint="default"/>
          <w:spacing w:val="2"/>
        </w:rPr>
        <w:t>20%</w:t>
      </w:r>
      <w:r>
        <w:rPr>
          <w:spacing w:val="2"/>
        </w:rPr>
        <w:t>的税率缴纳企业所得税。对年应纳税所</w:t>
      </w:r>
      <w:r>
        <w:rPr>
          <w:spacing w:val="21"/>
        </w:rPr>
        <w:t> </w:t>
      </w:r>
      <w:r>
        <w:rPr>
          <w:spacing w:val="21"/>
        </w:rPr>
      </w:r>
      <w:r>
        <w:rPr>
          <w:spacing w:val="3"/>
          <w:w w:val="105"/>
        </w:rPr>
        <w:t>得额超过</w:t>
      </w:r>
      <w:r>
        <w:rPr>
          <w:rFonts w:ascii="宋体" w:hAnsi="宋体" w:cs="宋体" w:eastAsia="宋体" w:hint="default"/>
          <w:spacing w:val="3"/>
          <w:w w:val="105"/>
        </w:rPr>
        <w:t>100</w:t>
      </w:r>
      <w:r>
        <w:rPr>
          <w:spacing w:val="3"/>
          <w:w w:val="105"/>
        </w:rPr>
        <w:t>万元但不超过</w:t>
      </w:r>
      <w:r>
        <w:rPr>
          <w:rFonts w:ascii="宋体" w:hAnsi="宋体" w:cs="宋体" w:eastAsia="宋体" w:hint="default"/>
          <w:spacing w:val="3"/>
          <w:w w:val="105"/>
        </w:rPr>
        <w:t>300</w:t>
      </w:r>
      <w:r>
        <w:rPr>
          <w:spacing w:val="3"/>
          <w:w w:val="105"/>
        </w:rPr>
        <w:t>万元的部分，减按</w:t>
      </w:r>
      <w:r>
        <w:rPr>
          <w:rFonts w:ascii="宋体" w:hAnsi="宋体" w:cs="宋体" w:eastAsia="宋体" w:hint="default"/>
          <w:spacing w:val="3"/>
          <w:w w:val="105"/>
        </w:rPr>
        <w:t>50%</w:t>
      </w:r>
      <w:r>
        <w:rPr>
          <w:spacing w:val="3"/>
          <w:w w:val="105"/>
        </w:rPr>
        <w:t>计入应纳税所得额，按</w:t>
      </w:r>
      <w:r>
        <w:rPr>
          <w:rFonts w:ascii="宋体" w:hAnsi="宋体" w:cs="宋体" w:eastAsia="宋体" w:hint="default"/>
          <w:spacing w:val="3"/>
          <w:w w:val="105"/>
        </w:rPr>
        <w:t>20%</w:t>
      </w:r>
      <w:r>
        <w:rPr>
          <w:spacing w:val="3"/>
          <w:w w:val="105"/>
        </w:rPr>
        <w:t>的税率缴纳企业所得税。</w:t>
      </w:r>
      <w:r>
        <w:rPr>
          <w:spacing w:val="3"/>
        </w:rPr>
      </w:r>
    </w:p>
    <w:p>
      <w:pPr>
        <w:spacing w:line="240" w:lineRule="auto" w:before="12"/>
        <w:rPr>
          <w:rFonts w:ascii="宋体" w:hAnsi="宋体" w:cs="宋体" w:eastAsia="宋体" w:hint="default"/>
          <w:sz w:val="13"/>
          <w:szCs w:val="13"/>
        </w:rPr>
      </w:pPr>
    </w:p>
    <w:p>
      <w:pPr>
        <w:pStyle w:val="Heading8"/>
        <w:spacing w:line="240" w:lineRule="auto"/>
        <w:ind w:left="546" w:right="0"/>
        <w:jc w:val="left"/>
      </w:pPr>
      <w:r>
        <w:rPr>
          <w:rFonts w:ascii="宋体" w:hAnsi="宋体" w:cs="宋体" w:eastAsia="宋体" w:hint="default"/>
          <w:spacing w:val="7"/>
          <w:w w:val="102"/>
        </w:rPr>
        <w:t>9</w:t>
      </w:r>
      <w:r>
        <w:rPr>
          <w:spacing w:val="-76"/>
          <w:w w:val="102"/>
        </w:rPr>
        <w:t>、</w:t>
      </w:r>
      <w:r>
        <w:rPr>
          <w:w w:val="102"/>
        </w:rPr>
        <w:t>本公司之</w:t>
      </w:r>
      <w:r>
        <w:rPr>
          <w:spacing w:val="15"/>
          <w:w w:val="102"/>
        </w:rPr>
        <w:t>子</w:t>
      </w:r>
      <w:r>
        <w:rPr>
          <w:w w:val="102"/>
        </w:rPr>
        <w:t>公司</w:t>
      </w:r>
      <w:r>
        <w:rPr>
          <w:spacing w:val="15"/>
          <w:w w:val="102"/>
        </w:rPr>
        <w:t>秦</w:t>
      </w:r>
      <w:r>
        <w:rPr>
          <w:w w:val="102"/>
        </w:rPr>
        <w:t>皇岛</w:t>
      </w:r>
      <w:r>
        <w:rPr>
          <w:spacing w:val="15"/>
          <w:w w:val="102"/>
        </w:rPr>
        <w:t>宣</w:t>
      </w:r>
      <w:r>
        <w:rPr>
          <w:w w:val="102"/>
        </w:rPr>
        <w:t>亚公</w:t>
      </w:r>
      <w:r>
        <w:rPr>
          <w:spacing w:val="15"/>
          <w:w w:val="102"/>
        </w:rPr>
        <w:t>共</w:t>
      </w:r>
      <w:r>
        <w:rPr>
          <w:spacing w:val="3"/>
          <w:w w:val="102"/>
        </w:rPr>
        <w:t>关</w:t>
      </w:r>
      <w:r>
        <w:rPr>
          <w:w w:val="102"/>
        </w:rPr>
        <w:t>系</w:t>
      </w:r>
      <w:r>
        <w:rPr>
          <w:spacing w:val="15"/>
          <w:w w:val="102"/>
        </w:rPr>
        <w:t>顾</w:t>
      </w:r>
      <w:r>
        <w:rPr>
          <w:w w:val="102"/>
        </w:rPr>
        <w:t>问有</w:t>
      </w:r>
      <w:r>
        <w:rPr>
          <w:spacing w:val="15"/>
          <w:w w:val="102"/>
        </w:rPr>
        <w:t>限</w:t>
      </w:r>
      <w:r>
        <w:rPr>
          <w:w w:val="102"/>
        </w:rPr>
        <w:t>公司</w:t>
      </w:r>
      <w:r>
        <w:rPr>
          <w:spacing w:val="15"/>
          <w:w w:val="102"/>
        </w:rPr>
        <w:t>的</w:t>
      </w:r>
      <w:r>
        <w:rPr>
          <w:w w:val="102"/>
        </w:rPr>
        <w:t>北京</w:t>
      </w:r>
      <w:r>
        <w:rPr>
          <w:spacing w:val="15"/>
          <w:w w:val="102"/>
        </w:rPr>
        <w:t>分</w:t>
      </w:r>
      <w:r>
        <w:rPr>
          <w:w w:val="102"/>
        </w:rPr>
        <w:t>公司</w:t>
      </w:r>
      <w:r>
        <w:rPr>
          <w:spacing w:val="15"/>
          <w:w w:val="102"/>
        </w:rPr>
        <w:t>为</w:t>
      </w:r>
      <w:r>
        <w:rPr>
          <w:w w:val="102"/>
        </w:rPr>
        <w:t>小规</w:t>
      </w:r>
      <w:r>
        <w:rPr>
          <w:spacing w:val="15"/>
          <w:w w:val="102"/>
        </w:rPr>
        <w:t>模</w:t>
      </w:r>
      <w:r>
        <w:rPr>
          <w:w w:val="102"/>
        </w:rPr>
        <w:t>纳</w:t>
      </w:r>
      <w:r>
        <w:rPr>
          <w:spacing w:val="15"/>
          <w:w w:val="102"/>
        </w:rPr>
        <w:t>税</w:t>
      </w:r>
      <w:r>
        <w:rPr>
          <w:w w:val="102"/>
        </w:rPr>
        <w:t>人</w:t>
      </w:r>
      <w:r>
        <w:rPr>
          <w:spacing w:val="-76"/>
          <w:w w:val="102"/>
        </w:rPr>
        <w:t>，</w:t>
      </w:r>
      <w:r>
        <w:rPr>
          <w:w w:val="102"/>
        </w:rPr>
        <w:t>增值</w:t>
      </w:r>
      <w:r>
        <w:rPr>
          <w:spacing w:val="15"/>
          <w:w w:val="102"/>
        </w:rPr>
        <w:t>税</w:t>
      </w:r>
      <w:r>
        <w:rPr>
          <w:w w:val="102"/>
        </w:rPr>
        <w:t>适</w:t>
      </w:r>
      <w:r>
        <w:rPr>
          <w:spacing w:val="5"/>
          <w:w w:val="102"/>
        </w:rPr>
        <w:t>用</w:t>
      </w:r>
      <w:r>
        <w:rPr>
          <w:rFonts w:ascii="宋体" w:hAnsi="宋体" w:cs="宋体" w:eastAsia="宋体" w:hint="default"/>
          <w:spacing w:val="7"/>
          <w:w w:val="102"/>
        </w:rPr>
        <w:t>3%</w:t>
      </w:r>
      <w:r>
        <w:rPr>
          <w:w w:val="102"/>
        </w:rPr>
        <w:t>征收</w:t>
      </w:r>
      <w:r>
        <w:rPr>
          <w:spacing w:val="15"/>
          <w:w w:val="102"/>
        </w:rPr>
        <w:t>率</w:t>
      </w:r>
      <w:r>
        <w:rPr>
          <w:w w:val="102"/>
        </w:rPr>
        <w:t>。</w:t>
      </w:r>
      <w:r>
        <w:rPr/>
      </w:r>
    </w:p>
    <w:p>
      <w:pPr>
        <w:spacing w:line="240" w:lineRule="auto" w:before="7"/>
        <w:rPr>
          <w:rFonts w:ascii="宋体" w:hAnsi="宋体" w:cs="宋体" w:eastAsia="宋体" w:hint="default"/>
          <w:sz w:val="16"/>
          <w:szCs w:val="16"/>
        </w:rPr>
      </w:pPr>
    </w:p>
    <w:p>
      <w:pPr>
        <w:pStyle w:val="Heading8"/>
        <w:spacing w:line="297" w:lineRule="auto"/>
        <w:ind w:right="1023" w:firstLine="405"/>
        <w:jc w:val="both"/>
      </w:pPr>
      <w:r>
        <w:rPr>
          <w:rFonts w:ascii="宋体" w:hAnsi="宋体" w:cs="宋体" w:eastAsia="宋体" w:hint="default"/>
          <w:spacing w:val="3"/>
        </w:rPr>
        <w:t>10</w:t>
      </w:r>
      <w:r>
        <w:rPr>
          <w:spacing w:val="3"/>
        </w:rPr>
        <w:t>、本公司之子公司北京品推宝移动科技有限公司、云目未来科技（北京）有限公司根据《企业所得税法》</w:t>
      </w:r>
      <w:r>
        <w:rPr>
          <w:w w:val="102"/>
        </w:rPr>
        <w:t> </w:t>
      </w:r>
      <w:r>
        <w:rPr>
          <w:spacing w:val="3"/>
        </w:rPr>
        <w:t>第</w:t>
      </w:r>
      <w:r>
        <w:rPr>
          <w:rFonts w:ascii="宋体" w:hAnsi="宋体" w:cs="宋体" w:eastAsia="宋体" w:hint="default"/>
          <w:spacing w:val="3"/>
        </w:rPr>
        <w:t>30</w:t>
      </w:r>
      <w:r>
        <w:rPr>
          <w:spacing w:val="3"/>
        </w:rPr>
        <w:t>条、《企业所得税法实施条例》第</w:t>
      </w:r>
      <w:r>
        <w:rPr>
          <w:rFonts w:ascii="宋体" w:hAnsi="宋体" w:cs="宋体" w:eastAsia="宋体" w:hint="default"/>
          <w:spacing w:val="3"/>
        </w:rPr>
        <w:t>95</w:t>
      </w:r>
      <w:r>
        <w:rPr>
          <w:spacing w:val="3"/>
        </w:rPr>
        <w:t>条等相关政策，</w:t>
      </w:r>
      <w:r>
        <w:rPr>
          <w:rFonts w:ascii="宋体" w:hAnsi="宋体" w:cs="宋体" w:eastAsia="宋体" w:hint="default"/>
          <w:spacing w:val="3"/>
        </w:rPr>
        <w:t>2019</w:t>
      </w:r>
      <w:r>
        <w:rPr>
          <w:spacing w:val="3"/>
        </w:rPr>
        <w:t>会计年度符合研发费用加计扣除所得税优惠条件，</w:t>
      </w:r>
      <w:r>
        <w:rPr>
          <w:spacing w:val="72"/>
        </w:rPr>
        <w:t> </w:t>
      </w:r>
      <w:r>
        <w:rPr>
          <w:spacing w:val="72"/>
        </w:rPr>
      </w:r>
      <w:r>
        <w:rPr>
          <w:spacing w:val="3"/>
          <w:w w:val="105"/>
        </w:rPr>
        <w:t>研究开发费用实际发生额按规定享受</w:t>
      </w:r>
      <w:r>
        <w:rPr>
          <w:rFonts w:ascii="宋体" w:hAnsi="宋体" w:cs="宋体" w:eastAsia="宋体" w:hint="default"/>
          <w:spacing w:val="3"/>
          <w:w w:val="105"/>
        </w:rPr>
        <w:t>75%</w:t>
      </w:r>
      <w:r>
        <w:rPr>
          <w:spacing w:val="3"/>
          <w:w w:val="105"/>
        </w:rPr>
        <w:t>的加计扣除。</w:t>
      </w:r>
      <w:r>
        <w:rPr>
          <w:spacing w:val="3"/>
        </w:rPr>
      </w:r>
    </w:p>
    <w:p>
      <w:pPr>
        <w:spacing w:line="240" w:lineRule="auto" w:before="12"/>
        <w:rPr>
          <w:rFonts w:ascii="宋体" w:hAnsi="宋体" w:cs="宋体" w:eastAsia="宋体" w:hint="default"/>
          <w:sz w:val="23"/>
          <w:szCs w:val="23"/>
        </w:rPr>
      </w:pPr>
    </w:p>
    <w:p>
      <w:pPr>
        <w:spacing w:line="482" w:lineRule="auto" w:before="0"/>
        <w:ind w:left="141" w:right="7857" w:firstLine="0"/>
        <w:jc w:val="left"/>
        <w:rPr>
          <w:rFonts w:ascii="宋体" w:hAnsi="宋体" w:cs="宋体" w:eastAsia="宋体" w:hint="default"/>
          <w:sz w:val="21"/>
          <w:szCs w:val="21"/>
        </w:rPr>
      </w:pPr>
      <w:bookmarkStart w:name="3、其他" w:id="240"/>
      <w:bookmarkEnd w:id="2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41"/>
      <w:bookmarkEnd w:id="241"/>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货币资金" w:id="242"/>
      <w:bookmarkEnd w:id="242"/>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671"/>
        <w:gridCol w:w="2846"/>
        <w:gridCol w:w="2057"/>
      </w:tblGrid>
      <w:tr>
        <w:trPr>
          <w:trHeight w:val="406" w:hRule="exact"/>
        </w:trPr>
        <w:tc>
          <w:tcPr>
            <w:tcW w:w="46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4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46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846" w:type="dxa"/>
            <w:tcBorders>
              <w:top w:val="single" w:sz="6" w:space="0" w:color="000000"/>
              <w:left w:val="single" w:sz="12"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196.90</w:t>
            </w:r>
          </w:p>
        </w:tc>
      </w:tr>
      <w:tr>
        <w:trPr>
          <w:trHeight w:val="406" w:hRule="exact"/>
        </w:trPr>
        <w:tc>
          <w:tcPr>
            <w:tcW w:w="46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130,883,932.96</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210,948,685.49</w:t>
            </w:r>
          </w:p>
        </w:tc>
      </w:tr>
      <w:tr>
        <w:trPr>
          <w:trHeight w:val="405" w:hRule="exact"/>
        </w:trPr>
        <w:tc>
          <w:tcPr>
            <w:tcW w:w="46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846" w:type="dxa"/>
            <w:tcBorders>
              <w:top w:val="single" w:sz="6" w:space="0" w:color="000000"/>
              <w:left w:val="single" w:sz="12"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886.34</w:t>
            </w:r>
          </w:p>
        </w:tc>
      </w:tr>
      <w:tr>
        <w:trPr>
          <w:trHeight w:val="405" w:hRule="exact"/>
        </w:trPr>
        <w:tc>
          <w:tcPr>
            <w:tcW w:w="46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130,883,932.96</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210,949,768.73</w:t>
            </w:r>
          </w:p>
        </w:tc>
      </w:tr>
      <w:tr>
        <w:trPr>
          <w:trHeight w:val="406" w:hRule="exact"/>
        </w:trPr>
        <w:tc>
          <w:tcPr>
            <w:tcW w:w="46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7"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8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10,874,073.20</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40,124,971.23</w:t>
            </w:r>
          </w:p>
        </w:tc>
      </w:tr>
      <w:tr>
        <w:trPr>
          <w:trHeight w:val="390" w:hRule="exact"/>
        </w:trPr>
        <w:tc>
          <w:tcPr>
            <w:tcW w:w="46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因抵押、质押或冻结等对使用有限制的款项总额</w:t>
            </w:r>
          </w:p>
        </w:tc>
        <w:tc>
          <w:tcPr>
            <w:tcW w:w="2846" w:type="dxa"/>
            <w:tcBorders>
              <w:top w:val="single" w:sz="6" w:space="0" w:color="000000"/>
              <w:left w:val="single" w:sz="12"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886.34</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交易性金融资产" w:id="243"/>
      <w:bookmarkEnd w:id="243"/>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663"/>
        <w:gridCol w:w="2854"/>
        <w:gridCol w:w="2433"/>
      </w:tblGrid>
      <w:tr>
        <w:trPr>
          <w:trHeight w:val="406" w:hRule="exact"/>
        </w:trPr>
        <w:tc>
          <w:tcPr>
            <w:tcW w:w="46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46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400,000.00</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46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3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4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北京米和花影业有限公司项目投资款</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400,000.00</w:t>
            </w:r>
          </w:p>
        </w:tc>
        <w:tc>
          <w:tcPr>
            <w:tcW w:w="243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46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指定以公允价值计量且其变动计入当期损益的金融资产</w:t>
            </w:r>
          </w:p>
        </w:tc>
        <w:tc>
          <w:tcPr>
            <w:tcW w:w="2854" w:type="dxa"/>
            <w:tcBorders>
              <w:top w:val="single" w:sz="6" w:space="0" w:color="000000"/>
              <w:left w:val="single" w:sz="12" w:space="0" w:color="000000"/>
              <w:bottom w:val="single" w:sz="6" w:space="0" w:color="000000"/>
              <w:right w:val="single" w:sz="6" w:space="0" w:color="000000"/>
            </w:tcBorders>
          </w:tcPr>
          <w:p>
            <w:pP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46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3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46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400,000.00</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3、衍生金融资产" w:id="244"/>
      <w:bookmarkEnd w:id="24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应收票据" w:id="245"/>
      <w:bookmarkEnd w:id="24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246"/>
      <w:bookmarkEnd w:id="24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18,221,304.20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16,984,595.19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18,221,304.20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16,984,595.19</w:t>
            </w:r>
          </w:p>
        </w:tc>
      </w:tr>
    </w:tbl>
    <w:p>
      <w:pPr>
        <w:pStyle w:val="BodyText"/>
        <w:spacing w:line="357" w:lineRule="auto" w:before="44"/>
        <w:ind w:right="8949"/>
        <w:jc w:val="left"/>
      </w:pPr>
      <w:r>
        <w:rPr/>
        <w:t>按单项计提坏账准备： 无 按组合计提坏账准备： 无</w:t>
      </w:r>
    </w:p>
    <w:p>
      <w:pPr>
        <w:pStyle w:val="BodyText"/>
        <w:spacing w:line="367" w:lineRule="auto" w:before="21"/>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350" w:lineRule="auto"/>
        <w:ind w:right="8769"/>
        <w:jc w:val="left"/>
      </w:pPr>
      <w:r>
        <w:rPr/>
        <w:t>本期计提坏账准备情况： 无</w:t>
      </w:r>
    </w:p>
    <w:p>
      <w:pPr>
        <w:pStyle w:val="BodyText"/>
        <w:spacing w:line="240" w:lineRule="auto" w:before="42"/>
        <w:ind w:right="0"/>
        <w:jc w:val="left"/>
      </w:pPr>
      <w:r>
        <w:rPr/>
        <w:t>其中本期坏账准备收回或转回金额重要的：</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bookmarkStart w:name="（3）期末公司已质押的应收票据" w:id="248"/>
      <w:bookmarkEnd w:id="248"/>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4）期末公司已背书或贴现且在资产负债表日尚未到期的应收票据" w:id="249"/>
      <w:bookmarkEnd w:id="249"/>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期末公司因出票人未履约而将其转应收账款的票据" w:id="250"/>
      <w:bookmarkEnd w:id="250"/>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5"/>
        <w:spacing w:line="240" w:lineRule="auto" w:before="35"/>
        <w:ind w:right="0"/>
        <w:jc w:val="left"/>
        <w:rPr>
          <w:b w:val="0"/>
          <w:bCs w:val="0"/>
        </w:rPr>
      </w:pPr>
      <w:bookmarkStart w:name="（6）本期实际核销的应收票据情况" w:id="251"/>
      <w:bookmarkEnd w:id="251"/>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7" w:lineRule="auto" w:before="45"/>
        <w:ind w:right="8229"/>
        <w:jc w:val="left"/>
      </w:pPr>
      <w:r>
        <w:rPr/>
        <w:t>其中重要的应收票据核销情况： 无</w:t>
      </w:r>
    </w:p>
    <w:p>
      <w:pPr>
        <w:pStyle w:val="BodyText"/>
        <w:spacing w:line="367" w:lineRule="auto" w:before="14"/>
        <w:ind w:right="9129"/>
        <w:jc w:val="left"/>
      </w:pPr>
      <w:r>
        <w:rPr/>
        <w:t>应收票据核销说明： 无</w:t>
      </w:r>
    </w:p>
    <w:p>
      <w:pPr>
        <w:spacing w:after="0" w:line="367"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240" w:lineRule="auto" w:before="35"/>
        <w:ind w:left="1121" w:right="0"/>
        <w:jc w:val="left"/>
        <w:rPr>
          <w:b w:val="0"/>
          <w:bCs w:val="0"/>
        </w:rPr>
      </w:pPr>
      <w:bookmarkStart w:name="5、应收账款" w:id="252"/>
      <w:bookmarkEnd w:id="25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left="1121" w:right="0"/>
        <w:jc w:val="left"/>
        <w:rPr>
          <w:b w:val="0"/>
          <w:bCs w:val="0"/>
        </w:rPr>
      </w:pPr>
      <w:bookmarkStart w:name="（1）应收账款分类披露" w:id="253"/>
      <w:bookmarkEnd w:id="25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12"/>
        <w:gridCol w:w="1277"/>
        <w:gridCol w:w="721"/>
        <w:gridCol w:w="1126"/>
        <w:gridCol w:w="721"/>
        <w:gridCol w:w="1277"/>
        <w:gridCol w:w="1276"/>
        <w:gridCol w:w="706"/>
        <w:gridCol w:w="1202"/>
        <w:gridCol w:w="645"/>
        <w:gridCol w:w="1277"/>
      </w:tblGrid>
      <w:tr>
        <w:trPr>
          <w:trHeight w:val="428" w:hRule="exact"/>
        </w:trPr>
        <w:tc>
          <w:tcPr>
            <w:tcW w:w="1412" w:type="dxa"/>
            <w:vMerge w:val="restart"/>
            <w:tcBorders>
              <w:top w:val="single" w:sz="6" w:space="0" w:color="000000"/>
              <w:left w:val="single" w:sz="6" w:space="0" w:color="000000"/>
              <w:right w:val="single" w:sz="6" w:space="0" w:color="000000"/>
            </w:tcBorders>
            <w:shd w:val="clear" w:color="auto" w:fill="D2D2D2"/>
          </w:tcPr>
          <w:p>
            <w:pPr/>
          </w:p>
        </w:tc>
        <w:tc>
          <w:tcPr>
            <w:tcW w:w="512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6"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0" w:hRule="exact"/>
        </w:trPr>
        <w:tc>
          <w:tcPr>
            <w:tcW w:w="1412" w:type="dxa"/>
            <w:vMerge/>
            <w:tcBorders>
              <w:left w:val="single" w:sz="6" w:space="0" w:color="000000"/>
              <w:bottom w:val="nil" w:sz="6" w:space="0" w:color="auto"/>
              <w:right w:val="single" w:sz="6" w:space="0" w:color="000000"/>
            </w:tcBorders>
            <w:shd w:val="clear" w:color="auto" w:fill="D2D2D2"/>
          </w:tcPr>
          <w:p>
            <w:pPr/>
          </w:p>
        </w:tc>
        <w:tc>
          <w:tcPr>
            <w:tcW w:w="199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98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0" w:hRule="exact"/>
        </w:trPr>
        <w:tc>
          <w:tcPr>
            <w:tcW w:w="14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类别</w:t>
            </w:r>
          </w:p>
        </w:tc>
        <w:tc>
          <w:tcPr>
            <w:tcW w:w="1998" w:type="dxa"/>
            <w:gridSpan w:val="2"/>
            <w:vMerge/>
            <w:tcBorders>
              <w:left w:val="single" w:sz="6" w:space="0" w:color="000000"/>
              <w:bottom w:val="single" w:sz="6" w:space="0" w:color="000000"/>
              <w:right w:val="single" w:sz="6" w:space="0" w:color="000000"/>
            </w:tcBorders>
            <w:shd w:val="clear" w:color="auto" w:fill="D2D2D2"/>
          </w:tcPr>
          <w:p>
            <w:pPr/>
          </w:p>
        </w:tc>
        <w:tc>
          <w:tcPr>
            <w:tcW w:w="1847" w:type="dxa"/>
            <w:gridSpan w:val="2"/>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982" w:type="dxa"/>
            <w:gridSpan w:val="2"/>
            <w:vMerge/>
            <w:tcBorders>
              <w:left w:val="single" w:sz="6" w:space="0" w:color="000000"/>
              <w:bottom w:val="single" w:sz="6" w:space="0" w:color="000000"/>
              <w:right w:val="single" w:sz="6" w:space="0" w:color="000000"/>
            </w:tcBorders>
            <w:shd w:val="clear" w:color="auto" w:fill="D2D2D2"/>
          </w:tcPr>
          <w:p>
            <w:pPr/>
          </w:p>
        </w:tc>
        <w:tc>
          <w:tcPr>
            <w:tcW w:w="1847" w:type="dxa"/>
            <w:gridSpan w:val="2"/>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r>
      <w:tr>
        <w:trPr>
          <w:trHeight w:val="181" w:hRule="exact"/>
        </w:trPr>
        <w:tc>
          <w:tcPr>
            <w:tcW w:w="1412" w:type="dxa"/>
            <w:vMerge/>
            <w:tcBorders>
              <w:left w:val="single" w:sz="6" w:space="0" w:color="000000"/>
              <w:bottom w:val="nil" w:sz="6" w:space="0" w:color="auto"/>
              <w:right w:val="single" w:sz="6" w:space="0" w:color="000000"/>
            </w:tcBorders>
            <w:shd w:val="clear" w:color="auto" w:fill="D2D2D2"/>
          </w:tcPr>
          <w:p>
            <w:pPr/>
          </w:p>
        </w:tc>
        <w:tc>
          <w:tcPr>
            <w:tcW w:w="1277"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3"/>
              <w:ind w:left="270" w:right="7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64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3"/>
              <w:ind w:left="210" w:right="5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7" w:type="dxa"/>
            <w:vMerge/>
            <w:tcBorders>
              <w:left w:val="single" w:sz="6" w:space="0" w:color="000000"/>
              <w:right w:val="single" w:sz="6" w:space="0" w:color="000000"/>
            </w:tcBorders>
            <w:shd w:val="clear" w:color="auto" w:fill="D2D2D2"/>
          </w:tcPr>
          <w:p>
            <w:pPr/>
          </w:p>
        </w:tc>
      </w:tr>
      <w:tr>
        <w:trPr>
          <w:trHeight w:val="180" w:hRule="exact"/>
        </w:trPr>
        <w:tc>
          <w:tcPr>
            <w:tcW w:w="1412" w:type="dxa"/>
            <w:vMerge w:val="restart"/>
            <w:tcBorders>
              <w:top w:val="nil" w:sz="6" w:space="0" w:color="auto"/>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1"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645"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r>
      <w:tr>
        <w:trPr>
          <w:trHeight w:val="210" w:hRule="exact"/>
        </w:trPr>
        <w:tc>
          <w:tcPr>
            <w:tcW w:w="1412"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bottom w:val="nil" w:sz="6" w:space="0" w:color="auto"/>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645"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r>
      <w:tr>
        <w:trPr>
          <w:trHeight w:val="173"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72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645"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r>
      <w:tr>
        <w:trPr>
          <w:trHeight w:val="751"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15" w:right="12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127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3,713,722.00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1.83%</w:t>
            </w:r>
            <w:r>
              <w:rPr>
                <w:rFonts w:ascii="Times New Roman"/>
                <w:sz w:val="18"/>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3,713,722.00</w:t>
            </w:r>
          </w:p>
        </w:tc>
        <w:tc>
          <w:tcPr>
            <w:tcW w:w="7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3,230,762.00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2.19%</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3,230,762.00</w:t>
            </w:r>
          </w:p>
        </w:tc>
        <w:tc>
          <w:tcPr>
            <w:tcW w:w="6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right="28"/>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13" w:hRule="exact"/>
        </w:trPr>
        <w:tc>
          <w:tcPr>
            <w:tcW w:w="141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4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59" w:hRule="exact"/>
        </w:trPr>
        <w:tc>
          <w:tcPr>
            <w:tcW w:w="1412"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314" w:lineRule="auto" w:before="59"/>
              <w:ind w:left="15" w:right="12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1277" w:type="dxa"/>
            <w:tcBorders>
              <w:top w:val="single" w:sz="12" w:space="0" w:color="000000"/>
              <w:left w:val="single" w:sz="6" w:space="0" w:color="000000"/>
              <w:bottom w:val="single" w:sz="6" w:space="0" w:color="000000"/>
              <w:right w:val="single" w:sz="6" w:space="0" w:color="000000"/>
            </w:tcBorders>
          </w:tcPr>
          <w:p>
            <w:pPr/>
          </w:p>
        </w:tc>
        <w:tc>
          <w:tcPr>
            <w:tcW w:w="721" w:type="dxa"/>
            <w:tcBorders>
              <w:top w:val="single" w:sz="12" w:space="0" w:color="000000"/>
              <w:left w:val="single" w:sz="6" w:space="0" w:color="000000"/>
              <w:bottom w:val="single" w:sz="6" w:space="0" w:color="000000"/>
              <w:right w:val="single" w:sz="6" w:space="0" w:color="000000"/>
            </w:tcBorders>
          </w:tcPr>
          <w:p>
            <w:pPr/>
          </w:p>
        </w:tc>
        <w:tc>
          <w:tcPr>
            <w:tcW w:w="1126" w:type="dxa"/>
            <w:tcBorders>
              <w:top w:val="single" w:sz="12" w:space="0" w:color="000000"/>
              <w:left w:val="single" w:sz="6" w:space="0" w:color="000000"/>
              <w:bottom w:val="single" w:sz="6" w:space="0" w:color="000000"/>
              <w:right w:val="single" w:sz="6" w:space="0" w:color="000000"/>
            </w:tcBorders>
          </w:tcPr>
          <w:p>
            <w:pPr/>
          </w:p>
        </w:tc>
        <w:tc>
          <w:tcPr>
            <w:tcW w:w="721"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3,230,762.00</w:t>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2.19%</w:t>
            </w:r>
            <w:r>
              <w:rPr>
                <w:rFonts w:ascii="Times New Roman"/>
                <w:sz w:val="18"/>
              </w:rPr>
            </w:r>
          </w:p>
        </w:tc>
        <w:tc>
          <w:tcPr>
            <w:tcW w:w="12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3,230,762.00</w:t>
            </w:r>
          </w:p>
        </w:tc>
        <w:tc>
          <w:tcPr>
            <w:tcW w:w="6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50" w:hRule="exact"/>
        </w:trPr>
        <w:tc>
          <w:tcPr>
            <w:tcW w:w="14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2"/>
              <w:ind w:left="15" w:right="12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27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199,091,868.49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98.17%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5,713,171.51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2.87%</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193,378,696.98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144,222,934.77</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97.81%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3,682,703.51</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2.55%</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140,540,231.26</w:t>
            </w: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4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51" w:hRule="exact"/>
        </w:trPr>
        <w:tc>
          <w:tcPr>
            <w:tcW w:w="1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199,091,868.49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98.17%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5,713,171.51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2.87%</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193,378,696.98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144,222,934.77</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97.81%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3,682,703.51</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2.55%</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140,540,231.26</w:t>
            </w: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202,805,590.49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9,426,893.51</w:t>
            </w:r>
          </w:p>
        </w:tc>
        <w:tc>
          <w:tcPr>
            <w:tcW w:w="72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193,378,696.98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147,453,696.77</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6,913,465.51</w:t>
            </w:r>
          </w:p>
        </w:tc>
        <w:tc>
          <w:tcPr>
            <w:tcW w:w="64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140,540,231.26</w:t>
            </w:r>
          </w:p>
        </w:tc>
      </w:tr>
    </w:tbl>
    <w:p>
      <w:pPr>
        <w:pStyle w:val="BodyText"/>
        <w:spacing w:line="240" w:lineRule="auto" w:before="45"/>
        <w:ind w:left="1121" w:right="0"/>
        <w:jc w:val="left"/>
      </w:pPr>
      <w:r>
        <w:rPr/>
        <w:t>按单项计提坏账准备：</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10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乐视控股（北京）有限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1,803,003.00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1,803,003.00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法乐第（北京）网络科 技有限公司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1,328,259.00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1,328,259.00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北京聚鑫星耀文化传媒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432,960.00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432,960.00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乐视体育文化产业发展</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99,500.00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99,500.00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中融国晟投资基金管理</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3,713,722.00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3,713,722.00</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6" w:footer="981" w:top="1120" w:bottom="1180" w:left="20" w:right="0"/>
        </w:sect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t>按组合计提坏账准备：账龄组合</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9D9D9"/>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170,898,042.32</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15,925,369.13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796,268.47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10,502,220.00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3,150,666.00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1,766,237.04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1,766,237.04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199,091,868.49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5,713,171.51</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44"/>
        <w:ind w:left="411" w:right="3542" w:hanging="271"/>
        <w:jc w:val="left"/>
      </w:pPr>
      <w:r>
        <w:rPr/>
        <w:t>确定该组合依据的说明： 确定该组合依据的说明详见“本附注五、重要会计政策及会计估计（十二）应收账款</w:t>
      </w:r>
      <w:r>
        <w:rPr>
          <w:spacing w:val="7"/>
        </w:rPr>
        <w:t> </w:t>
      </w:r>
      <w:r>
        <w:rPr/>
        <w:t>”</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如是按照预期信用损失一般模型计提应收账款坏账准备，请参照其他应收款的披露方式披露坏账准备的相关信息：</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4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186,823,411.45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10,985,180.00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52,000.00</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4,944,999.04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3,332,012.00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1,612,987.04</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202,805,590.49</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单项认定的坏账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3,230,762.00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482,960.00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3,713,722.00</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备的应收款项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3,682,703.51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7,314,599.41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1,097,178.41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4,186,953.00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5,713,171.51</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6,913,465.51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7,797,559.41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1,097,178.41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4,186,953.00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9,426,893.51</w:t>
            </w:r>
          </w:p>
        </w:tc>
      </w:tr>
    </w:tbl>
    <w:p>
      <w:pPr>
        <w:pStyle w:val="BodyText"/>
        <w:spacing w:line="240" w:lineRule="auto" w:before="45"/>
        <w:ind w:right="0"/>
        <w:jc w:val="left"/>
      </w:pPr>
      <w:r>
        <w:rPr/>
        <w:t>其中本期坏账准备收回或转回金额重要的：</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万达商业管理有限公司</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647,207.06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催收回款</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沃尔沃汽车（亚太）投资控股有限公司</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233,765.49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催收回款</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其他较小汇总</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216,205.86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催收回款</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1,097,178.41</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5"/>
        <w:ind w:left="291" w:right="0"/>
        <w:jc w:val="left"/>
      </w:pPr>
      <w:r>
        <w:rPr/>
        <w:t>本期计提中包含非同一控制下企业合并天津星言云汇网络科技有限公司增加</w:t>
      </w:r>
      <w:r>
        <w:rPr>
          <w:rFonts w:ascii="Times New Roman" w:hAnsi="Times New Roman" w:cs="Times New Roman" w:eastAsia="Times New Roman" w:hint="default"/>
        </w:rPr>
        <w:t>36,134.07</w:t>
      </w:r>
      <w:r>
        <w:rPr/>
        <w:t>元。</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本期实际核销的应收账款情况" w:id="255"/>
      <w:bookmarkEnd w:id="25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4,186,953.00</w:t>
            </w:r>
          </w:p>
        </w:tc>
      </w:tr>
    </w:tbl>
    <w:p>
      <w:pPr>
        <w:pStyle w:val="BodyText"/>
        <w:spacing w:line="240" w:lineRule="auto" w:before="45"/>
        <w:ind w:right="0"/>
        <w:jc w:val="left"/>
      </w:pPr>
      <w:r>
        <w:rPr/>
        <w:t>其中重要的应收账款核销情况：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7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21"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auto" w:before="44"/>
              <w:ind w:left="15" w:right="112"/>
              <w:jc w:val="left"/>
              <w:rPr>
                <w:rFonts w:ascii="宋体" w:hAnsi="宋体" w:cs="宋体" w:eastAsia="宋体" w:hint="default"/>
                <w:sz w:val="18"/>
                <w:szCs w:val="18"/>
              </w:rPr>
            </w:pPr>
            <w:r>
              <w:rPr>
                <w:rFonts w:ascii="宋体" w:hAnsi="宋体" w:cs="宋体" w:eastAsia="宋体" w:hint="default"/>
                <w:sz w:val="18"/>
                <w:szCs w:val="18"/>
              </w:rPr>
              <w:t>上海斐赛克斯通信 设备有限公司</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1,820,747.00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法院调解达成和解</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4" w:lineRule="auto" w:before="45"/>
              <w:ind w:left="15" w:right="112"/>
              <w:jc w:val="left"/>
              <w:rPr>
                <w:rFonts w:ascii="宋体" w:hAnsi="宋体" w:cs="宋体" w:eastAsia="宋体" w:hint="default"/>
                <w:sz w:val="18"/>
                <w:szCs w:val="18"/>
              </w:rPr>
            </w:pPr>
            <w:r>
              <w:rPr>
                <w:rFonts w:ascii="宋体" w:hAnsi="宋体" w:cs="宋体" w:eastAsia="宋体" w:hint="default"/>
                <w:sz w:val="18"/>
                <w:szCs w:val="18"/>
              </w:rPr>
              <w:t>上海康斐信息技术 有限公司</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1,532,866.00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法院调解达成和解</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112"/>
              <w:jc w:val="left"/>
              <w:rPr>
                <w:rFonts w:ascii="宋体" w:hAnsi="宋体" w:cs="宋体" w:eastAsia="宋体" w:hint="default"/>
                <w:sz w:val="18"/>
                <w:szCs w:val="18"/>
              </w:rPr>
            </w:pPr>
            <w:r>
              <w:rPr>
                <w:rFonts w:ascii="宋体" w:hAnsi="宋体" w:cs="宋体" w:eastAsia="宋体" w:hint="default"/>
                <w:sz w:val="18"/>
                <w:szCs w:val="18"/>
              </w:rPr>
              <w:t>上海斐阅信息技术 有限公司</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833,340.00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法院调解达成和解</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4,186,953.00</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按欠款方归集的期末余额前五名的应收账款情况" w:id="256"/>
      <w:bookmarkEnd w:id="25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88"/>
        <w:gridCol w:w="2418"/>
        <w:gridCol w:w="2839"/>
        <w:gridCol w:w="1637"/>
      </w:tblGrid>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2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长安马自达汽车销售分公司</w:t>
            </w:r>
          </w:p>
        </w:tc>
        <w:tc>
          <w:tcPr>
            <w:tcW w:w="2418"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36,447,325.19</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17.97%</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120,212.45</w:t>
            </w:r>
          </w:p>
        </w:tc>
      </w:tr>
      <w:tr>
        <w:trPr>
          <w:trHeight w:val="7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136"/>
              <w:jc w:val="left"/>
              <w:rPr>
                <w:rFonts w:ascii="宋体" w:hAnsi="宋体" w:cs="宋体" w:eastAsia="宋体" w:hint="default"/>
                <w:sz w:val="18"/>
                <w:szCs w:val="18"/>
              </w:rPr>
            </w:pPr>
            <w:r>
              <w:rPr>
                <w:rFonts w:ascii="宋体" w:hAnsi="宋体" w:cs="宋体" w:eastAsia="宋体" w:hint="default"/>
                <w:sz w:val="18"/>
                <w:szCs w:val="18"/>
              </w:rPr>
              <w:t>长安福特汽车有限公司销售分公 司</w:t>
            </w:r>
          </w:p>
        </w:tc>
        <w:tc>
          <w:tcPr>
            <w:tcW w:w="2418"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19,675,442.94</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9.70%</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4" w:lineRule="auto" w:before="45"/>
              <w:ind w:left="15" w:right="16"/>
              <w:jc w:val="left"/>
              <w:rPr>
                <w:rFonts w:ascii="宋体" w:hAnsi="宋体" w:cs="宋体" w:eastAsia="宋体" w:hint="default"/>
                <w:sz w:val="18"/>
                <w:szCs w:val="18"/>
              </w:rPr>
            </w:pPr>
            <w:r>
              <w:rPr>
                <w:rFonts w:ascii="宋体" w:hAnsi="宋体" w:cs="宋体" w:eastAsia="宋体" w:hint="default"/>
                <w:spacing w:val="-5"/>
                <w:sz w:val="18"/>
                <w:szCs w:val="18"/>
              </w:rPr>
              <w:t>沃尔沃汽车（亚太）投资控股有限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w:t>
            </w:r>
          </w:p>
        </w:tc>
        <w:tc>
          <w:tcPr>
            <w:tcW w:w="2418"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11,886,197.90</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5.86%</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26,498.57</w:t>
            </w:r>
          </w:p>
        </w:tc>
      </w:tr>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上汽通用汽车有限公司</w:t>
            </w:r>
          </w:p>
        </w:tc>
        <w:tc>
          <w:tcPr>
            <w:tcW w:w="2418"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11,571,404.00</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5.71%</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101,250.00</w:t>
            </w:r>
          </w:p>
        </w:tc>
      </w:tr>
      <w:tr>
        <w:trPr>
          <w:trHeight w:val="390" w:hRule="exact"/>
        </w:trPr>
        <w:tc>
          <w:tcPr>
            <w:tcW w:w="2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比亚迪汽车销售有限公司</w:t>
            </w:r>
          </w:p>
        </w:tc>
        <w:tc>
          <w:tcPr>
            <w:tcW w:w="2418"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11,260,825.00</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5.55%</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135,933.06</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688"/>
        <w:gridCol w:w="2418"/>
        <w:gridCol w:w="2854"/>
        <w:gridCol w:w="1614"/>
      </w:tblGrid>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6"/>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1344" w:right="0"/>
              <w:jc w:val="left"/>
              <w:rPr>
                <w:rFonts w:ascii="Times New Roman" w:hAnsi="Times New Roman" w:cs="Times New Roman" w:eastAsia="Times New Roman" w:hint="default"/>
                <w:sz w:val="18"/>
                <w:szCs w:val="18"/>
              </w:rPr>
            </w:pPr>
            <w:r>
              <w:rPr>
                <w:rFonts w:ascii="Times New Roman"/>
                <w:sz w:val="18"/>
              </w:rPr>
              <w:t>90,841,195.03</w:t>
            </w:r>
          </w:p>
        </w:tc>
        <w:tc>
          <w:tcPr>
            <w:tcW w:w="2854"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44.79%</w:t>
            </w:r>
            <w:r>
              <w:rPr>
                <w:rFonts w:ascii="Times New Roman"/>
                <w:sz w:val="18"/>
              </w:rPr>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因金融资产转移而终止确认的应收账款" w:id="257"/>
      <w:bookmarkEnd w:id="25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转移应收账款且继续涉入形成的资产、负债金额" w:id="258"/>
      <w:bookmarkEnd w:id="25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4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应收款项融资" w:id="259"/>
      <w:bookmarkEnd w:id="259"/>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left="411" w:right="6699"/>
        <w:jc w:val="left"/>
      </w:pPr>
      <w:r>
        <w:rPr/>
        <w:t>无 应收款项融资本期增减变动及公允价值变动情况</w:t>
      </w:r>
    </w:p>
    <w:p>
      <w:pPr>
        <w:pStyle w:val="BodyText"/>
        <w:spacing w:line="331" w:lineRule="auto" w:before="40"/>
        <w:ind w:left="411"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如是按照预期信用损失一般模型计提应收款项融资减值准备，请参照其他应收款的披露方式披露减值准备的相关信息：</w:t>
      </w:r>
    </w:p>
    <w:p>
      <w:pPr>
        <w:pStyle w:val="BodyText"/>
        <w:spacing w:line="240" w:lineRule="auto" w:before="56"/>
        <w:ind w:left="41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bookmarkStart w:name="7、预付款项" w:id="260"/>
      <w:bookmarkEnd w:id="260"/>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预付款项按账龄列示" w:id="261"/>
      <w:bookmarkEnd w:id="26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3"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2"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4,481,297.59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98.14%</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33,246.75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28.14%</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84,905.66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71.86%</w:t>
            </w:r>
            <w:r>
              <w:rPr>
                <w:rFonts w:ascii="Times New Roman"/>
                <w:sz w:val="18"/>
              </w:rPr>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84,905.66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1.86%</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4,566,203.25</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118,152.41</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9" w:lineRule="auto" w:before="59"/>
        <w:ind w:left="441" w:right="5890" w:hanging="301"/>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bookmarkStart w:name="（2）按预付对象归集的期末余额前五名的预付款情况" w:id="262"/>
      <w:bookmarkEnd w:id="26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830"/>
        <w:gridCol w:w="3334"/>
        <w:gridCol w:w="2463"/>
      </w:tblGrid>
      <w:tr>
        <w:trPr>
          <w:trHeight w:val="646" w:hRule="exact"/>
        </w:trPr>
        <w:tc>
          <w:tcPr>
            <w:tcW w:w="3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3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0"/>
              <w:ind w:right="1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36" w:lineRule="auto"/>
              <w:ind w:left="901" w:right="62" w:hanging="857"/>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 比例</w:t>
            </w:r>
            <w:r>
              <w:rPr>
                <w:rFonts w:ascii="Times New Roman" w:hAnsi="Times New Roman" w:cs="Times New Roman" w:eastAsia="Times New Roman" w:hint="default"/>
                <w:sz w:val="18"/>
                <w:szCs w:val="18"/>
              </w:rPr>
              <w:t>(%)</w:t>
            </w:r>
          </w:p>
        </w:tc>
      </w:tr>
      <w:tr>
        <w:trPr>
          <w:trHeight w:val="345" w:hRule="exact"/>
        </w:trPr>
        <w:tc>
          <w:tcPr>
            <w:tcW w:w="3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北京斯普汇德文化发展有限公司</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4,186,869.81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21" w:right="0"/>
              <w:jc w:val="left"/>
              <w:rPr>
                <w:rFonts w:ascii="Times New Roman" w:hAnsi="Times New Roman" w:cs="Times New Roman" w:eastAsia="Times New Roman" w:hint="default"/>
                <w:sz w:val="18"/>
                <w:szCs w:val="18"/>
              </w:rPr>
            </w:pPr>
            <w:r>
              <w:rPr>
                <w:rFonts w:ascii="Times New Roman"/>
                <w:sz w:val="18"/>
              </w:rPr>
              <w:t>91.69</w:t>
            </w:r>
          </w:p>
        </w:tc>
      </w:tr>
      <w:tr>
        <w:trPr>
          <w:trHeight w:val="346" w:hRule="exact"/>
        </w:trPr>
        <w:tc>
          <w:tcPr>
            <w:tcW w:w="3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北京市住宅建筑设计研究院有限公司</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237,735.84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66" w:right="0"/>
              <w:jc w:val="left"/>
              <w:rPr>
                <w:rFonts w:ascii="Times New Roman" w:hAnsi="Times New Roman" w:cs="Times New Roman" w:eastAsia="Times New Roman" w:hint="default"/>
                <w:sz w:val="18"/>
                <w:szCs w:val="18"/>
              </w:rPr>
            </w:pPr>
            <w:r>
              <w:rPr>
                <w:rFonts w:ascii="Times New Roman"/>
                <w:sz w:val="18"/>
              </w:rPr>
              <w:t>5.21</w:t>
            </w:r>
          </w:p>
        </w:tc>
      </w:tr>
      <w:tr>
        <w:trPr>
          <w:trHeight w:val="345" w:hRule="exact"/>
        </w:trPr>
        <w:tc>
          <w:tcPr>
            <w:tcW w:w="3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北京金三科技股份有限公司</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84,905.66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66" w:right="0"/>
              <w:jc w:val="left"/>
              <w:rPr>
                <w:rFonts w:ascii="Times New Roman" w:hAnsi="Times New Roman" w:cs="Times New Roman" w:eastAsia="Times New Roman" w:hint="default"/>
                <w:sz w:val="18"/>
                <w:szCs w:val="18"/>
              </w:rPr>
            </w:pPr>
            <w:r>
              <w:rPr>
                <w:rFonts w:ascii="Times New Roman"/>
                <w:sz w:val="18"/>
              </w:rPr>
              <w:t>1.86</w:t>
            </w:r>
          </w:p>
        </w:tc>
      </w:tr>
      <w:tr>
        <w:trPr>
          <w:trHeight w:val="330" w:hRule="exact"/>
        </w:trPr>
        <w:tc>
          <w:tcPr>
            <w:tcW w:w="3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中国石化销售有限公司</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46,846.49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66" w:right="0"/>
              <w:jc w:val="left"/>
              <w:rPr>
                <w:rFonts w:ascii="Times New Roman" w:hAnsi="Times New Roman" w:cs="Times New Roman" w:eastAsia="Times New Roman" w:hint="default"/>
                <w:sz w:val="18"/>
                <w:szCs w:val="18"/>
              </w:rPr>
            </w:pPr>
            <w:r>
              <w:rPr>
                <w:rFonts w:ascii="Times New Roman"/>
                <w:sz w:val="18"/>
              </w:rPr>
              <w:t>1.03</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830"/>
        <w:gridCol w:w="3334"/>
        <w:gridCol w:w="2463"/>
      </w:tblGrid>
      <w:tr>
        <w:trPr>
          <w:trHeight w:val="345" w:hRule="exact"/>
        </w:trPr>
        <w:tc>
          <w:tcPr>
            <w:tcW w:w="3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9,845.45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66" w:right="0"/>
              <w:jc w:val="left"/>
              <w:rPr>
                <w:rFonts w:ascii="Times New Roman" w:hAnsi="Times New Roman" w:cs="Times New Roman" w:eastAsia="Times New Roman" w:hint="default"/>
                <w:sz w:val="18"/>
                <w:szCs w:val="18"/>
              </w:rPr>
            </w:pPr>
            <w:r>
              <w:rPr>
                <w:rFonts w:ascii="Times New Roman"/>
                <w:sz w:val="18"/>
              </w:rPr>
              <w:t>0.21</w:t>
            </w:r>
          </w:p>
        </w:tc>
      </w:tr>
      <w:tr>
        <w:trPr>
          <w:trHeight w:val="330" w:hRule="exact"/>
        </w:trPr>
        <w:tc>
          <w:tcPr>
            <w:tcW w:w="3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4,566,203.25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81"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pStyle w:val="Heading5"/>
        <w:spacing w:line="240" w:lineRule="auto" w:before="35"/>
        <w:ind w:right="0"/>
        <w:jc w:val="left"/>
        <w:rPr>
          <w:b w:val="0"/>
          <w:bCs w:val="0"/>
        </w:rPr>
      </w:pPr>
      <w:bookmarkStart w:name="8、其他应收款" w:id="263"/>
      <w:bookmarkEnd w:id="263"/>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14,063,619.70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4,773,939.89</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14,063,619.70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4,773,939.89</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1）应收利息" w:id="264"/>
      <w:bookmarkEnd w:id="26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left="246" w:right="0"/>
        <w:jc w:val="left"/>
      </w:pPr>
      <w:bookmarkStart w:name="无" w:id="265"/>
      <w:bookmarkEnd w:id="265"/>
      <w:r>
        <w:rPr/>
      </w:r>
      <w:r>
        <w:rPr>
          <w:w w:val="102"/>
        </w:rPr>
        <w:t>无</w:t>
      </w:r>
      <w:r>
        <w:rPr/>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2）应收股利" w:id="266"/>
      <w:bookmarkEnd w:id="26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left="246" w:right="0"/>
        <w:jc w:val="left"/>
      </w:pPr>
      <w:bookmarkStart w:name="无" w:id="267"/>
      <w:bookmarkEnd w:id="267"/>
      <w:r>
        <w:rPr/>
      </w:r>
      <w:r>
        <w:rPr>
          <w:w w:val="102"/>
        </w:rPr>
        <w:t>无</w:t>
      </w:r>
      <w:r>
        <w:rPr/>
      </w:r>
    </w:p>
    <w:p>
      <w:pPr>
        <w:spacing w:line="240" w:lineRule="auto" w:before="5"/>
        <w:rPr>
          <w:rFonts w:ascii="宋体" w:hAnsi="宋体" w:cs="宋体" w:eastAsia="宋体" w:hint="default"/>
          <w:sz w:val="27"/>
          <w:szCs w:val="27"/>
        </w:rPr>
      </w:pPr>
    </w:p>
    <w:p>
      <w:pPr>
        <w:pStyle w:val="Heading5"/>
        <w:spacing w:line="508" w:lineRule="auto"/>
        <w:ind w:right="7481"/>
        <w:jc w:val="left"/>
        <w:rPr>
          <w:b w:val="0"/>
          <w:bCs w:val="0"/>
        </w:rPr>
      </w:pPr>
      <w:bookmarkStart w:name="（3）其他应收款" w:id="268"/>
      <w:bookmarkEnd w:id="268"/>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269"/>
      <w:bookmarkEnd w:id="269"/>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5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往来款组合</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保证金、押金、备用金组合</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5,563,619.70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4,773,939.89</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14,063,619.70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4,773,939.89</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坏账准备计提情况" w:id="270"/>
      <w:bookmarkEnd w:id="27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0"/>
        <w:jc w:val="left"/>
      </w:pPr>
      <w:r>
        <w:rPr/>
        <w:t>损失准备本期变动金额重大的账面余额变动情况</w:t>
      </w:r>
    </w:p>
    <w:p>
      <w:pPr>
        <w:pStyle w:val="BodyText"/>
        <w:spacing w:line="319"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6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10,134,630.20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3,007,357.14</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921,632.36</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104,046.16</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817,586.20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14,063,619.70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收回或转回的坏账准备情况" w:id="271"/>
      <w:bookmarkEnd w:id="27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4）本期实际核销的其他应收款情况" w:id="272"/>
      <w:bookmarkEnd w:id="27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本报告期内无实际核销的其他应收款</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按欠款方归集的期末余额前五名的其他应收款情况" w:id="273"/>
      <w:bookmarkEnd w:id="27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72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112"/>
              <w:jc w:val="left"/>
              <w:rPr>
                <w:rFonts w:ascii="宋体" w:hAnsi="宋体" w:cs="宋体" w:eastAsia="宋体" w:hint="default"/>
                <w:sz w:val="18"/>
                <w:szCs w:val="18"/>
              </w:rPr>
            </w:pPr>
            <w:r>
              <w:rPr>
                <w:rFonts w:ascii="宋体" w:hAnsi="宋体" w:cs="宋体" w:eastAsia="宋体" w:hint="default"/>
                <w:sz w:val="18"/>
                <w:szCs w:val="18"/>
              </w:rPr>
              <w:t>宁波森蕊源投资管 理有限公司</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60.44%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auto" w:before="44"/>
              <w:ind w:left="15" w:right="112"/>
              <w:jc w:val="left"/>
              <w:rPr>
                <w:rFonts w:ascii="宋体" w:hAnsi="宋体" w:cs="宋体" w:eastAsia="宋体" w:hint="default"/>
                <w:sz w:val="18"/>
                <w:szCs w:val="18"/>
              </w:rPr>
            </w:pPr>
            <w:r>
              <w:rPr>
                <w:rFonts w:ascii="宋体" w:hAnsi="宋体" w:cs="宋体" w:eastAsia="宋体" w:hint="default"/>
                <w:sz w:val="18"/>
                <w:szCs w:val="18"/>
              </w:rPr>
              <w:t>北京斯普汇德文化 发展有限公司</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2,455,112.07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17.46%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29"/>
              <w:ind w:left="15" w:right="112"/>
              <w:jc w:val="left"/>
              <w:rPr>
                <w:rFonts w:ascii="宋体" w:hAnsi="宋体" w:cs="宋体" w:eastAsia="宋体" w:hint="default"/>
                <w:sz w:val="18"/>
                <w:szCs w:val="18"/>
              </w:rPr>
            </w:pPr>
            <w:r>
              <w:rPr>
                <w:rFonts w:ascii="宋体" w:hAnsi="宋体" w:cs="宋体" w:eastAsia="宋体" w:hint="default"/>
                <w:sz w:val="18"/>
                <w:szCs w:val="18"/>
              </w:rPr>
              <w:t>北京国棉文化创意 发展有限公司</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1,024,688.78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7.29%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45"/>
              <w:ind w:left="15" w:right="112"/>
              <w:jc w:val="left"/>
              <w:rPr>
                <w:rFonts w:ascii="宋体" w:hAnsi="宋体" w:cs="宋体" w:eastAsia="宋体" w:hint="default"/>
                <w:sz w:val="18"/>
                <w:szCs w:val="18"/>
              </w:rPr>
            </w:pPr>
            <w:r>
              <w:rPr>
                <w:rFonts w:ascii="宋体" w:hAnsi="宋体" w:cs="宋体" w:eastAsia="宋体" w:hint="default"/>
                <w:sz w:val="18"/>
                <w:szCs w:val="18"/>
              </w:rPr>
              <w:t>上海长峰房地产开 发有限公司</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586,767.00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4.17%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4" w:lineRule="auto" w:before="45"/>
              <w:ind w:left="15" w:right="112"/>
              <w:jc w:val="left"/>
              <w:rPr>
                <w:rFonts w:ascii="宋体" w:hAnsi="宋体" w:cs="宋体" w:eastAsia="宋体" w:hint="default"/>
                <w:sz w:val="18"/>
                <w:szCs w:val="18"/>
              </w:rPr>
            </w:pPr>
            <w:r>
              <w:rPr>
                <w:rFonts w:ascii="宋体" w:hAnsi="宋体" w:cs="宋体" w:eastAsia="宋体" w:hint="default"/>
                <w:sz w:val="18"/>
                <w:szCs w:val="18"/>
              </w:rPr>
              <w:t>浙江吉利汽车销售 有限公司</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2.84%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12,966,567.85</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92.20%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274"/>
      <w:bookmarkEnd w:id="27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公司报告期各期末无涉及政府补助的其他应收款。</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7）因金融资产转移而终止确认的其他应收款" w:id="275"/>
      <w:bookmarkEnd w:id="27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公司报告期各期末无因金融资产转移而终止确认的其他应收款。</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8）转移其他应收款且继续涉入形成的资产、负债金额" w:id="276"/>
      <w:bookmarkEnd w:id="276"/>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367" w:lineRule="auto"/>
        <w:ind w:right="5199" w:firstLine="150"/>
        <w:jc w:val="left"/>
      </w:pPr>
      <w:r>
        <w:rPr/>
        <w:t>公司报告期各期末无转移其他应收款且继续涉入形成的资产、负债。 其他说明：</w:t>
      </w:r>
    </w:p>
    <w:p>
      <w:pPr>
        <w:pStyle w:val="BodyText"/>
        <w:spacing w:line="297" w:lineRule="auto" w:before="29"/>
        <w:ind w:right="1001" w:firstLine="405"/>
        <w:jc w:val="left"/>
      </w:pPr>
      <w:r>
        <w:rPr/>
        <w:t>本公司子公司北京品推宝移动科技有限公司于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日与宁波森蕊源投资管理有限公司签订股权转让协议，拟 </w:t>
      </w:r>
      <w:r>
        <w:rPr>
          <w:spacing w:val="-2"/>
        </w:rPr>
        <w:t>将其持有的秒啊（北京）科技有限公司</w:t>
      </w:r>
      <w:r>
        <w:rPr>
          <w:rFonts w:ascii="Times New Roman" w:hAnsi="Times New Roman" w:cs="Times New Roman" w:eastAsia="Times New Roman" w:hint="default"/>
          <w:spacing w:val="-2"/>
        </w:rPr>
        <w:t>10%</w:t>
      </w:r>
      <w:r>
        <w:rPr>
          <w:spacing w:val="-2"/>
        </w:rPr>
        <w:t>股权转让给该公司，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日已完成公司变更手续。股权转让尾款</w:t>
      </w:r>
      <w:r>
        <w:rPr>
          <w:rFonts w:ascii="Times New Roman" w:hAnsi="Times New Roman" w:cs="Times New Roman" w:eastAsia="Times New Roman" w:hint="default"/>
          <w:spacing w:val="-2"/>
        </w:rPr>
        <w:t>850</w:t>
      </w:r>
      <w:r>
        <w:rPr>
          <w:spacing w:val="-2"/>
        </w:rPr>
        <w:t>万元，</w:t>
      </w:r>
      <w:r>
        <w:rPr>
          <w:spacing w:val="-83"/>
        </w:rPr>
        <w:t> </w:t>
      </w:r>
      <w:r>
        <w:rPr/>
        <w:t>宁波森蕊源投资管理有限公司承诺于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日前支付。</w:t>
      </w:r>
    </w:p>
    <w:p>
      <w:pPr>
        <w:spacing w:line="240" w:lineRule="auto" w:before="10"/>
        <w:rPr>
          <w:rFonts w:ascii="宋体" w:hAnsi="宋体" w:cs="宋体" w:eastAsia="宋体" w:hint="default"/>
          <w:sz w:val="22"/>
          <w:szCs w:val="22"/>
        </w:rPr>
      </w:pPr>
    </w:p>
    <w:p>
      <w:pPr>
        <w:pStyle w:val="Heading5"/>
        <w:spacing w:line="240" w:lineRule="auto"/>
        <w:ind w:right="0"/>
        <w:jc w:val="left"/>
        <w:rPr>
          <w:b w:val="0"/>
          <w:bCs w:val="0"/>
        </w:rPr>
      </w:pPr>
      <w:bookmarkStart w:name="9、存货" w:id="277"/>
      <w:bookmarkEnd w:id="277"/>
      <w:r>
        <w:rPr>
          <w:b w:val="0"/>
          <w:bCs w:val="0"/>
        </w:rPr>
      </w:r>
      <w:r>
        <w:rPr>
          <w:rFonts w:ascii="Times New Roman" w:hAnsi="Times New Roman" w:cs="Times New Roman" w:eastAsia="Times New Roman" w:hint="default"/>
        </w:rPr>
        <w:t>9</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1）存货分类" w:id="278"/>
      <w:bookmarkEnd w:id="27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16,703,280.65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1,140,670.47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15,562,610.18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15,786,848.77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1,140,670.47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14,646,178.30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16,703,280.65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1,140,670.47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15,562,610.18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15,786,848.77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1,140,670.47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14,646,178.30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存货跌价准备" w:id="279"/>
      <w:bookmarkEnd w:id="27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1,140,670.47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1,140,670.47</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1,140,670.47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1,140,670.47</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存货期末余额含有借款费用资本化金额的说明" w:id="280"/>
      <w:bookmarkEnd w:id="28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4）期末建造合同形成的已完工未结算资产情况" w:id="281"/>
      <w:bookmarkEnd w:id="28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10、合同资产" w:id="282"/>
      <w:bookmarkEnd w:id="282"/>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31" w:right="0"/>
        <w:jc w:val="left"/>
      </w:pPr>
      <w:r>
        <w:rPr/>
        <w:t>无</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right="0"/>
        <w:jc w:val="left"/>
        <w:rPr>
          <w:b w:val="0"/>
          <w:bCs w:val="0"/>
        </w:rPr>
      </w:pPr>
      <w:bookmarkStart w:name="11、持有待售资产" w:id="283"/>
      <w:bookmarkEnd w:id="283"/>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5"/>
        <w:ind w:right="0"/>
        <w:jc w:val="left"/>
        <w:rPr>
          <w:b w:val="0"/>
          <w:bCs w:val="0"/>
        </w:rPr>
      </w:pPr>
      <w:bookmarkStart w:name="12、一年内到期的非流动资产" w:id="284"/>
      <w:bookmarkEnd w:id="28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3、其他流动资产" w:id="285"/>
      <w:bookmarkEnd w:id="28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120" w:bottom="1180" w:left="1000" w:right="0"/>
        </w:sectPr>
      </w:pPr>
    </w:p>
    <w:p>
      <w:pPr>
        <w:pStyle w:val="BodyText"/>
        <w:spacing w:line="240" w:lineRule="auto" w:before="44"/>
        <w:ind w:right="-20"/>
        <w:jc w:val="left"/>
      </w:pPr>
      <w:r>
        <w:rPr/>
        <w:t>是否已执行新收入准则</w:t>
      </w:r>
    </w:p>
    <w:p>
      <w:pPr>
        <w:pStyle w:val="BodyText"/>
        <w:spacing w:line="240" w:lineRule="auto" w:before="124"/>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22,261,251.05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10,256,000.00</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5,073,948.34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532,749.10</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1,305,170.43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740,863.48</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16,502.41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548,495.71</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28,656,872.23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12,078,108.29</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14、债权投资" w:id="286"/>
      <w:bookmarkEnd w:id="286"/>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5"/>
        <w:ind w:right="0"/>
        <w:jc w:val="left"/>
        <w:rPr>
          <w:b w:val="0"/>
          <w:bCs w:val="0"/>
        </w:rPr>
      </w:pPr>
      <w:bookmarkStart w:name="15、其他债权投资" w:id="287"/>
      <w:bookmarkEnd w:id="287"/>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6、长期应收款" w:id="288"/>
      <w:bookmarkEnd w:id="28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r>
        <w:rPr/>
        <w:t>无</w:t>
      </w:r>
    </w:p>
    <w:p>
      <w:pPr>
        <w:spacing w:after="0" w:line="240" w:lineRule="auto"/>
        <w:jc w:val="left"/>
        <w:sectPr>
          <w:type w:val="continuous"/>
          <w:pgSz w:w="11910" w:h="16850"/>
          <w:pgMar w:top="104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left="881" w:right="1151"/>
        <w:jc w:val="left"/>
        <w:rPr>
          <w:b w:val="0"/>
          <w:bCs w:val="0"/>
        </w:rPr>
      </w:pPr>
      <w:bookmarkStart w:name="17、长期股权投资" w:id="289"/>
      <w:bookmarkEnd w:id="28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097"/>
        <w:gridCol w:w="1096"/>
        <w:gridCol w:w="1217"/>
        <w:gridCol w:w="856"/>
        <w:gridCol w:w="1352"/>
        <w:gridCol w:w="555"/>
        <w:gridCol w:w="661"/>
        <w:gridCol w:w="871"/>
        <w:gridCol w:w="856"/>
        <w:gridCol w:w="481"/>
        <w:gridCol w:w="1246"/>
        <w:gridCol w:w="856"/>
      </w:tblGrid>
      <w:tr>
        <w:trPr>
          <w:trHeight w:val="390" w:hRule="exact"/>
        </w:trPr>
        <w:tc>
          <w:tcPr>
            <w:tcW w:w="10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90" w:lineRule="auto"/>
              <w:ind w:left="240" w:right="5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849"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4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90" w:lineRule="auto"/>
              <w:ind w:left="405" w:right="43"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85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07" w:lineRule="auto"/>
              <w:ind w:left="60" w:right="58"/>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52" w:hRule="exact"/>
        </w:trPr>
        <w:tc>
          <w:tcPr>
            <w:tcW w:w="109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300" w:right="44"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90" w:right="8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45" w:right="58"/>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25" w:right="75"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1144"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11144"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06" w:hRule="exact"/>
        </w:trPr>
        <w:tc>
          <w:tcPr>
            <w:tcW w:w="10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3"/>
                <w:szCs w:val="13"/>
              </w:rPr>
            </w:pPr>
          </w:p>
          <w:p>
            <w:pPr>
              <w:pStyle w:val="TableParagraph"/>
              <w:spacing w:line="312" w:lineRule="auto"/>
              <w:ind w:left="30" w:right="28"/>
              <w:jc w:val="left"/>
              <w:rPr>
                <w:rFonts w:ascii="宋体" w:hAnsi="宋体" w:cs="宋体" w:eastAsia="宋体" w:hint="default"/>
                <w:sz w:val="18"/>
                <w:szCs w:val="18"/>
              </w:rPr>
            </w:pPr>
            <w:r>
              <w:rPr>
                <w:rFonts w:ascii="宋体" w:hAnsi="宋体" w:cs="宋体" w:eastAsia="宋体" w:hint="default"/>
                <w:sz w:val="18"/>
                <w:szCs w:val="18"/>
              </w:rPr>
              <w:t>链极智能科 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28,205,152.60</w:t>
            </w:r>
          </w:p>
        </w:tc>
        <w:tc>
          <w:tcPr>
            <w:tcW w:w="121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-4,902,416.03</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23,302,736.57</w:t>
            </w:r>
          </w:p>
        </w:tc>
        <w:tc>
          <w:tcPr>
            <w:tcW w:w="85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0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5"/>
              <w:ind w:left="30" w:right="149"/>
              <w:jc w:val="both"/>
              <w:rPr>
                <w:rFonts w:ascii="宋体" w:hAnsi="宋体" w:cs="宋体" w:eastAsia="宋体" w:hint="default"/>
                <w:sz w:val="18"/>
                <w:szCs w:val="18"/>
              </w:rPr>
            </w:pPr>
            <w:r>
              <w:rPr>
                <w:rFonts w:ascii="宋体" w:hAnsi="宋体" w:cs="宋体" w:eastAsia="宋体" w:hint="default"/>
                <w:sz w:val="18"/>
                <w:szCs w:val="18"/>
              </w:rPr>
              <w:t>北京威维体 育文化有限 公司</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8,384,944.22</w:t>
            </w:r>
          </w:p>
        </w:tc>
        <w:tc>
          <w:tcPr>
            <w:tcW w:w="121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-1,919,259.72</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6,465,684.50</w:t>
            </w:r>
          </w:p>
        </w:tc>
        <w:tc>
          <w:tcPr>
            <w:tcW w:w="856" w:type="dxa"/>
            <w:tcBorders>
              <w:top w:val="single" w:sz="6" w:space="0" w:color="000000"/>
              <w:left w:val="single" w:sz="6" w:space="0" w:color="000000"/>
              <w:bottom w:val="single" w:sz="6" w:space="0" w:color="000000"/>
              <w:right w:val="single" w:sz="6" w:space="0" w:color="000000"/>
            </w:tcBorders>
          </w:tcPr>
          <w:p>
            <w:pPr/>
          </w:p>
        </w:tc>
      </w:tr>
      <w:tr>
        <w:trPr>
          <w:trHeight w:val="1006" w:hRule="exact"/>
        </w:trPr>
        <w:tc>
          <w:tcPr>
            <w:tcW w:w="10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364" w:lineRule="auto"/>
              <w:ind w:left="30" w:right="135"/>
              <w:jc w:val="left"/>
              <w:rPr>
                <w:rFonts w:ascii="Times New Roman" w:hAnsi="Times New Roman" w:cs="Times New Roman" w:eastAsia="Times New Roman" w:hint="default"/>
                <w:sz w:val="18"/>
                <w:szCs w:val="18"/>
              </w:rPr>
            </w:pPr>
            <w:r>
              <w:rPr>
                <w:rFonts w:ascii="Times New Roman"/>
                <w:sz w:val="18"/>
              </w:rPr>
              <w:t>RMDS</w:t>
            </w:r>
            <w:r>
              <w:rPr>
                <w:rFonts w:ascii="Times New Roman"/>
                <w:spacing w:val="-7"/>
                <w:sz w:val="18"/>
              </w:rPr>
              <w:t> </w:t>
            </w:r>
            <w:r>
              <w:rPr>
                <w:rFonts w:ascii="Times New Roman"/>
                <w:sz w:val="18"/>
              </w:rPr>
              <w:t>LAB</w:t>
            </w:r>
            <w:r>
              <w:rPr>
                <w:rFonts w:ascii="Times New Roman"/>
                <w:spacing w:val="-43"/>
                <w:sz w:val="18"/>
              </w:rPr>
              <w:t> </w:t>
            </w:r>
            <w:r>
              <w:rPr>
                <w:rFonts w:ascii="Times New Roman"/>
                <w:spacing w:val="-43"/>
                <w:sz w:val="18"/>
              </w:rPr>
            </w:r>
            <w:r>
              <w:rPr>
                <w:rFonts w:ascii="Times New Roman"/>
                <w:sz w:val="18"/>
              </w:rPr>
              <w:t>INC.</w:t>
            </w:r>
          </w:p>
        </w:tc>
        <w:tc>
          <w:tcPr>
            <w:tcW w:w="109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20,928,600.00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-1,519,901.90</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19,408,698.10</w:t>
            </w:r>
          </w:p>
        </w:tc>
        <w:tc>
          <w:tcPr>
            <w:tcW w:w="856" w:type="dxa"/>
            <w:tcBorders>
              <w:top w:val="single" w:sz="6" w:space="0" w:color="000000"/>
              <w:left w:val="single" w:sz="6" w:space="0" w:color="000000"/>
              <w:bottom w:val="single" w:sz="6" w:space="0" w:color="000000"/>
              <w:right w:val="single" w:sz="6" w:space="0" w:color="000000"/>
            </w:tcBorders>
          </w:tcPr>
          <w:p>
            <w:pPr/>
          </w:p>
        </w:tc>
      </w:tr>
      <w:tr>
        <w:trPr>
          <w:trHeight w:val="691"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36,590,096.82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20,928,600.00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-8,341,577.65</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49,177,119.17</w:t>
            </w:r>
          </w:p>
        </w:tc>
        <w:tc>
          <w:tcPr>
            <w:tcW w:w="856" w:type="dxa"/>
            <w:tcBorders>
              <w:top w:val="single" w:sz="6" w:space="0" w:color="000000"/>
              <w:left w:val="single" w:sz="6" w:space="0" w:color="000000"/>
              <w:bottom w:val="single" w:sz="6" w:space="0" w:color="000000"/>
              <w:right w:val="single" w:sz="6" w:space="0" w:color="000000"/>
            </w:tcBorders>
          </w:tcPr>
          <w:p>
            <w:pPr/>
          </w:p>
        </w:tc>
      </w:tr>
      <w:tr>
        <w:trPr>
          <w:trHeight w:val="691"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36,590,096.82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20,928,600.00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-8,341,577.65</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49,177,119.17</w:t>
            </w:r>
          </w:p>
        </w:tc>
        <w:tc>
          <w:tcPr>
            <w:tcW w:w="85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left="881" w:right="1151"/>
        <w:jc w:val="left"/>
      </w:pPr>
      <w:r>
        <w:rPr/>
        <w:t>其他说明</w:t>
      </w:r>
    </w:p>
    <w:p>
      <w:pPr>
        <w:pStyle w:val="BodyText"/>
        <w:spacing w:line="302" w:lineRule="auto" w:before="125"/>
        <w:ind w:left="881" w:right="1151" w:firstLine="390"/>
        <w:jc w:val="left"/>
      </w:pPr>
      <w:r>
        <w:rPr/>
        <w:t>说明：本公司全资子公司宣亚国际有限公司与</w:t>
      </w:r>
      <w:r>
        <w:rPr>
          <w:rFonts w:ascii="Times New Roman" w:hAnsi="Times New Roman" w:cs="Times New Roman" w:eastAsia="Times New Roman" w:hint="default"/>
        </w:rPr>
        <w:t>RMDS LAB</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r>
        <w:rPr/>
        <w:t>签署了《宣亚国际有限公司与</w:t>
      </w:r>
      <w:r>
        <w:rPr>
          <w:rFonts w:ascii="Times New Roman" w:hAnsi="Times New Roman" w:cs="Times New Roman" w:eastAsia="Times New Roman" w:hint="default"/>
        </w:rPr>
        <w:t>RMDS</w:t>
      </w:r>
      <w:r>
        <w:rPr/>
        <w:t>实验室股份有限公 司的股权认购协议》，出资金额</w:t>
      </w:r>
      <w:r>
        <w:rPr>
          <w:rFonts w:ascii="Times New Roman" w:hAnsi="Times New Roman" w:cs="Times New Roman" w:eastAsia="Times New Roman" w:hint="default"/>
        </w:rPr>
        <w:t>300</w:t>
      </w:r>
      <w:r>
        <w:rPr/>
        <w:t>万美元认购</w:t>
      </w:r>
      <w:r>
        <w:rPr>
          <w:rFonts w:ascii="Times New Roman" w:hAnsi="Times New Roman" w:cs="Times New Roman" w:eastAsia="Times New Roman" w:hint="default"/>
        </w:rPr>
        <w:t>RMDS</w:t>
      </w:r>
      <w:r>
        <w:rPr/>
        <w:t>发行的</w:t>
      </w:r>
      <w:r>
        <w:rPr>
          <w:rFonts w:ascii="Times New Roman" w:hAnsi="Times New Roman" w:cs="Times New Roman" w:eastAsia="Times New Roman" w:hint="default"/>
        </w:rPr>
        <w:t>300</w:t>
      </w:r>
      <w:r>
        <w:rPr/>
        <w:t>万股股份并占</w:t>
      </w:r>
      <w:r>
        <w:rPr>
          <w:rFonts w:ascii="Times New Roman" w:hAnsi="Times New Roman" w:cs="Times New Roman" w:eastAsia="Times New Roman" w:hint="default"/>
        </w:rPr>
        <w:t>RMDS</w:t>
      </w:r>
      <w:r>
        <w:rPr/>
        <w:t>总股份数的</w:t>
      </w:r>
      <w:r>
        <w:rPr>
          <w:rFonts w:ascii="Times New Roman" w:hAnsi="Times New Roman" w:cs="Times New Roman" w:eastAsia="Times New Roman" w:hint="default"/>
        </w:rPr>
        <w:t>30%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left="881" w:right="1151"/>
        <w:jc w:val="left"/>
        <w:rPr>
          <w:b w:val="0"/>
          <w:bCs w:val="0"/>
        </w:rPr>
      </w:pPr>
      <w:bookmarkStart w:name="18、其他权益工具投资" w:id="290"/>
      <w:bookmarkEnd w:id="290"/>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874"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北京周同科技有限公司</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23,352,274.00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致维科技（北京）有限公司</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15,397,080.00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Sunshine Partners Group</w:t>
            </w:r>
            <w:r>
              <w:rPr>
                <w:rFonts w:ascii="Times New Roman"/>
                <w:spacing w:val="12"/>
                <w:sz w:val="18"/>
              </w:rPr>
              <w:t> </w:t>
            </w:r>
            <w:r>
              <w:rPr>
                <w:rFonts w:ascii="Times New Roman"/>
                <w:spacing w:val="-3"/>
                <w:sz w:val="18"/>
              </w:rPr>
              <w:t>Limited</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10,116,041.40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3,089,098.04</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北京群创天杰科技发展有限责任公司</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北京睿链通证网络科技有限公司</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北京爱点互动科技有限公司</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4,300,000.00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260" w:right="0"/>
        </w:sectPr>
      </w:pPr>
    </w:p>
    <w:p>
      <w:pPr>
        <w:spacing w:line="240" w:lineRule="auto" w:before="2"/>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pacing w:val="3"/>
                <w:sz w:val="18"/>
              </w:rPr>
              <w:t>MUHO</w:t>
            </w:r>
            <w:r>
              <w:rPr>
                <w:rFonts w:ascii="Times New Roman"/>
                <w:spacing w:val="-9"/>
                <w:sz w:val="18"/>
              </w:rPr>
              <w:t> </w:t>
            </w:r>
            <w:r>
              <w:rPr>
                <w:rFonts w:ascii="Times New Roman"/>
                <w:sz w:val="18"/>
              </w:rPr>
              <w:t>LIMITED</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3,071,529.96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1,992,297.54</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星智云创网络科技（北京）有限公司</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秒啊（北京）科技有限公司</w:t>
            </w:r>
          </w:p>
        </w:tc>
        <w:tc>
          <w:tcPr>
            <w:tcW w:w="3207" w:type="dxa"/>
            <w:tcBorders>
              <w:top w:val="single" w:sz="6" w:space="0" w:color="000000"/>
              <w:left w:val="single" w:sz="12" w:space="0" w:color="D9D9D9"/>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17,500,000.00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73,284,651.36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50,233,669.58</w:t>
            </w:r>
          </w:p>
        </w:tc>
      </w:tr>
    </w:tbl>
    <w:p>
      <w:pPr>
        <w:pStyle w:val="BodyText"/>
        <w:spacing w:line="240" w:lineRule="auto" w:before="45"/>
        <w:ind w:right="0"/>
        <w:jc w:val="left"/>
      </w:pPr>
      <w:r>
        <w:rPr/>
        <w:t>分项披露本期非交易性权益工具投资</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601"/>
        <w:gridCol w:w="1382"/>
        <w:gridCol w:w="856"/>
        <w:gridCol w:w="1562"/>
        <w:gridCol w:w="1982"/>
        <w:gridCol w:w="1066"/>
      </w:tblGrid>
      <w:tr>
        <w:trPr>
          <w:trHeight w:val="1036"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30"/>
              <w:jc w:val="center"/>
              <w:rPr>
                <w:rFonts w:ascii="宋体" w:hAnsi="宋体" w:cs="宋体" w:eastAsia="宋体" w:hint="default"/>
                <w:sz w:val="18"/>
                <w:szCs w:val="18"/>
              </w:rPr>
            </w:pPr>
            <w:r>
              <w:rPr>
                <w:rFonts w:ascii="宋体" w:hAnsi="宋体" w:cs="宋体" w:eastAsia="宋体" w:hint="default"/>
                <w:sz w:val="18"/>
                <w:szCs w:val="18"/>
              </w:rPr>
              <w:t>确认的 股利收 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35" w:right="61" w:hanging="91"/>
              <w:jc w:val="left"/>
              <w:rPr>
                <w:rFonts w:ascii="宋体" w:hAnsi="宋体" w:cs="宋体" w:eastAsia="宋体" w:hint="default"/>
                <w:sz w:val="18"/>
                <w:szCs w:val="18"/>
              </w:rPr>
            </w:pPr>
            <w:r>
              <w:rPr>
                <w:rFonts w:ascii="宋体" w:hAnsi="宋体" w:cs="宋体" w:eastAsia="宋体" w:hint="default"/>
                <w:sz w:val="18"/>
                <w:szCs w:val="18"/>
              </w:rPr>
              <w:t>其他综合收益转入 留存收益的金额</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90"/>
              <w:jc w:val="center"/>
              <w:rPr>
                <w:rFonts w:ascii="宋体" w:hAnsi="宋体" w:cs="宋体" w:eastAsia="宋体" w:hint="default"/>
                <w:sz w:val="18"/>
                <w:szCs w:val="18"/>
              </w:rPr>
            </w:pPr>
            <w:r>
              <w:rPr>
                <w:rFonts w:ascii="宋体" w:hAnsi="宋体" w:cs="宋体" w:eastAsia="宋体" w:hint="default"/>
                <w:sz w:val="18"/>
                <w:szCs w:val="18"/>
              </w:rPr>
              <w:t>指定为以公允价值计量 且其变动计入其他综合 收益的原因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60" w:right="89"/>
              <w:jc w:val="both"/>
              <w:rPr>
                <w:rFonts w:ascii="宋体" w:hAnsi="宋体" w:cs="宋体" w:eastAsia="宋体" w:hint="default"/>
                <w:sz w:val="18"/>
                <w:szCs w:val="18"/>
              </w:rPr>
            </w:pPr>
            <w:r>
              <w:rPr>
                <w:rFonts w:ascii="宋体" w:hAnsi="宋体" w:cs="宋体" w:eastAsia="宋体" w:hint="default"/>
                <w:sz w:val="18"/>
                <w:szCs w:val="18"/>
              </w:rPr>
              <w:t>其他综合收 益转入留存 收益的原因</w:t>
            </w:r>
          </w:p>
        </w:tc>
      </w:tr>
      <w:tr>
        <w:trPr>
          <w:trHeight w:val="391" w:hRule="exact"/>
        </w:trPr>
        <w:tc>
          <w:tcPr>
            <w:tcW w:w="2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pacing w:val="-8"/>
                <w:sz w:val="18"/>
                <w:szCs w:val="18"/>
              </w:rPr>
              <w:t>致维科技（北京）有限公司</w:t>
            </w:r>
          </w:p>
        </w:tc>
        <w:tc>
          <w:tcPr>
            <w:tcW w:w="601"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0" w:right="0"/>
              <w:jc w:val="left"/>
              <w:rPr>
                <w:rFonts w:ascii="Times New Roman" w:hAnsi="Times New Roman" w:cs="Times New Roman" w:eastAsia="Times New Roman" w:hint="default"/>
                <w:sz w:val="18"/>
                <w:szCs w:val="18"/>
              </w:rPr>
            </w:pPr>
            <w:r>
              <w:rPr>
                <w:rFonts w:ascii="Times New Roman"/>
                <w:sz w:val="18"/>
              </w:rPr>
              <w:t>2,100,000.00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非交易性权益工具投资</w:t>
            </w: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其他说明：</w:t>
      </w:r>
    </w:p>
    <w:p>
      <w:pPr>
        <w:pStyle w:val="BodyText"/>
        <w:spacing w:line="321" w:lineRule="auto" w:before="110"/>
        <w:ind w:right="1098" w:firstLine="315"/>
        <w:jc w:val="both"/>
      </w:pPr>
      <w:r>
        <w:rPr>
          <w:spacing w:val="-1"/>
        </w:rPr>
        <w:t>本公司</w:t>
      </w:r>
      <w:r>
        <w:rPr>
          <w:rFonts w:ascii="宋体" w:hAnsi="宋体" w:cs="宋体" w:eastAsia="宋体" w:hint="default"/>
          <w:spacing w:val="-1"/>
        </w:rPr>
        <w:t>2019</w:t>
      </w:r>
      <w:r>
        <w:rPr>
          <w:spacing w:val="-1"/>
        </w:rPr>
        <w:t>年</w:t>
      </w:r>
      <w:r>
        <w:rPr>
          <w:rFonts w:ascii="宋体" w:hAnsi="宋体" w:cs="宋体" w:eastAsia="宋体" w:hint="default"/>
          <w:spacing w:val="-1"/>
        </w:rPr>
        <w:t>4</w:t>
      </w:r>
      <w:r>
        <w:rPr>
          <w:spacing w:val="-1"/>
        </w:rPr>
        <w:t>月对致维科技（北京）有限公司（以下简称“致维科技”）增资</w:t>
      </w:r>
      <w:r>
        <w:rPr>
          <w:rFonts w:ascii="宋体" w:hAnsi="宋体" w:cs="宋体" w:eastAsia="宋体" w:hint="default"/>
          <w:spacing w:val="-1"/>
        </w:rPr>
        <w:t>30,000,000.00</w:t>
      </w:r>
      <w:r>
        <w:rPr>
          <w:spacing w:val="-1"/>
        </w:rPr>
        <w:t>元；基于公司整体战略规</w:t>
      </w:r>
      <w:r>
        <w:rPr/>
        <w:t> 划及业务发展需要，公司与致维科技及其股东友好协商，由公司单方面对其减资，并于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5</w:t>
      </w:r>
      <w:r>
        <w:rPr/>
        <w:t>日经公司临时股东会批</w:t>
      </w:r>
      <w:r>
        <w:rPr>
          <w:spacing w:val="-82"/>
        </w:rPr>
        <w:t> </w:t>
      </w:r>
      <w:r>
        <w:rPr/>
        <w:t>准。公司对致维科技减资，减资对价为</w:t>
      </w:r>
      <w:r>
        <w:rPr>
          <w:rFonts w:ascii="宋体" w:hAnsi="宋体" w:cs="宋体" w:eastAsia="宋体" w:hint="default"/>
        </w:rPr>
        <w:t>32,100,000.00</w:t>
      </w:r>
      <w:r>
        <w:rPr/>
        <w:t>元，本年度收回投资款</w:t>
      </w:r>
      <w:r>
        <w:rPr>
          <w:rFonts w:ascii="宋体" w:hAnsi="宋体" w:cs="宋体" w:eastAsia="宋体" w:hint="default"/>
        </w:rPr>
        <w:t>16,702,920.00</w:t>
      </w:r>
      <w:r>
        <w:rPr/>
        <w:t>元，剩余款项</w:t>
      </w:r>
      <w:r>
        <w:rPr>
          <w:rFonts w:ascii="宋体" w:hAnsi="宋体" w:cs="宋体" w:eastAsia="宋体" w:hint="default"/>
        </w:rPr>
        <w:t>15,397,080.00</w:t>
      </w:r>
      <w:r>
        <w:rPr/>
        <w:t>元</w:t>
      </w:r>
      <w:r>
        <w:rPr>
          <w:spacing w:val="-82"/>
        </w:rPr>
        <w:t> </w:t>
      </w:r>
      <w:r>
        <w:rPr/>
        <w:t>已于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27</w:t>
      </w:r>
      <w:r>
        <w:rPr/>
        <w:t>日收回。</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19、其他非流动金融资产" w:id="291"/>
      <w:bookmarkEnd w:id="291"/>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right="0"/>
        <w:jc w:val="left"/>
      </w:pPr>
      <w:bookmarkStart w:name="无" w:id="292"/>
      <w:bookmarkEnd w:id="292"/>
      <w:r>
        <w:rPr/>
      </w:r>
      <w:r>
        <w:rPr>
          <w:w w:val="102"/>
        </w:rPr>
        <w:t>无</w:t>
      </w:r>
      <w:r>
        <w:rPr/>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20、投资性房地产" w:id="293"/>
      <w:bookmarkEnd w:id="293"/>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94"/>
      <w:bookmarkEnd w:id="29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采用公允价值计量模式的投资性房地产" w:id="295"/>
      <w:bookmarkEnd w:id="29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未办妥产权证书的投资性房地产情况" w:id="296"/>
      <w:bookmarkEnd w:id="29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4"/>
          <w:szCs w:val="24"/>
        </w:rPr>
      </w:pPr>
    </w:p>
    <w:p>
      <w:pPr>
        <w:pStyle w:val="Heading8"/>
        <w:spacing w:line="240" w:lineRule="auto"/>
        <w:ind w:right="0"/>
        <w:jc w:val="left"/>
      </w:pPr>
      <w:bookmarkStart w:name="无" w:id="297"/>
      <w:bookmarkEnd w:id="297"/>
      <w:r>
        <w:rPr/>
      </w:r>
      <w:r>
        <w:rPr>
          <w:w w:val="102"/>
        </w:rPr>
        <w:t>无</w:t>
      </w:r>
      <w:r>
        <w:rPr/>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21、固定资产" w:id="298"/>
      <w:bookmarkEnd w:id="298"/>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5,112,590.15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6,952,349.64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5,112,590.15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6,952,349.64</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1）固定资产情况" w:id="299"/>
      <w:bookmarkEnd w:id="29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17"/>
        <w:gridCol w:w="1570"/>
        <w:gridCol w:w="1412"/>
        <w:gridCol w:w="1712"/>
        <w:gridCol w:w="1412"/>
        <w:gridCol w:w="1352"/>
      </w:tblGrid>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1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其他</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9,445,902.01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1,602,907.19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6,529,663.18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3,857,673.74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21,436,146.12</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84,991.43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166,725.13</w:t>
            </w: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251,716.56</w:t>
            </w:r>
          </w:p>
        </w:tc>
      </w:tr>
      <w:tr>
        <w:trPr>
          <w:trHeight w:val="391"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24,506.16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166,725.13</w:t>
            </w: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191,231.29</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60,485.27</w:t>
            </w: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60,485.27</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97,109.26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2,759.83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113,279.85</w:t>
            </w: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213,148.94</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2,759.83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113,279.85</w:t>
            </w: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116,039.68</w:t>
            </w:r>
          </w:p>
        </w:tc>
      </w:tr>
      <w:tr>
        <w:trPr>
          <w:trHeight w:val="390"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97,109.26</w:t>
            </w: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97,109.26</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9,348,792.75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1,685,138.79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6,583,108.46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3,857,673.74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21,474,713.74</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6,913,322.44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1,539,822.63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5,677,705.86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352,945.55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14,483,796.48</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1,357,582.78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28,517.54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396,967.61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191,991.00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1,975,058.93</w:t>
            </w:r>
          </w:p>
        </w:tc>
      </w:tr>
      <w:tr>
        <w:trPr>
          <w:trHeight w:val="390"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1,357,582.78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25,916.84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396,967.61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191,991.00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1,972,458.23</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企业合并增加</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2,600.70</w:t>
            </w: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2,600.70</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2,759.83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93,971.99</w:t>
            </w: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96,731.82</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2,759.83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93,971.99</w:t>
            </w: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96,731.82</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sz w:val="18"/>
              </w:rPr>
              <w:t>8,270,905.22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1,565,580.34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5,980,701.48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544,936.55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16,362,123.59</w:t>
            </w:r>
          </w:p>
        </w:tc>
      </w:tr>
      <w:tr>
        <w:trPr>
          <w:trHeight w:val="390"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70" w:type="dxa"/>
            <w:tcBorders>
              <w:top w:val="single" w:sz="6" w:space="0" w:color="000000"/>
              <w:left w:val="single" w:sz="12"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1,077,887.53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119,558.45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602,406.98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3,312,737.19</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5,112,590.15</w:t>
            </w:r>
          </w:p>
        </w:tc>
      </w:tr>
      <w:tr>
        <w:trPr>
          <w:trHeight w:val="390"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2,532,579.57</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63,084.56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851,957.32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3,504,728.19</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6,952,349.64</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暂时闲置的固定资产情况" w:id="300"/>
      <w:bookmarkEnd w:id="30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left="246" w:right="0"/>
        <w:jc w:val="left"/>
      </w:pPr>
      <w:bookmarkStart w:name="无" w:id="301"/>
      <w:bookmarkEnd w:id="301"/>
      <w:r>
        <w:rPr/>
      </w:r>
      <w:r>
        <w:rPr>
          <w:w w:val="102"/>
        </w:rPr>
        <w:t>无</w:t>
      </w:r>
      <w:r>
        <w:rPr/>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3）通过融资租赁租入的固定资产情况" w:id="302"/>
      <w:bookmarkEnd w:id="30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left="246" w:right="0"/>
        <w:jc w:val="left"/>
      </w:pPr>
      <w:bookmarkStart w:name="无" w:id="303"/>
      <w:bookmarkEnd w:id="303"/>
      <w:r>
        <w:rPr/>
      </w:r>
      <w:r>
        <w:rPr>
          <w:w w:val="102"/>
        </w:rPr>
        <w:t>无</w:t>
      </w:r>
      <w:r>
        <w:rPr/>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4）通过经营租赁租出的固定资产" w:id="304"/>
      <w:bookmarkEnd w:id="30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4"/>
          <w:szCs w:val="24"/>
        </w:rPr>
      </w:pPr>
    </w:p>
    <w:p>
      <w:pPr>
        <w:pStyle w:val="Heading8"/>
        <w:spacing w:line="240" w:lineRule="auto"/>
        <w:ind w:left="246" w:right="0"/>
        <w:jc w:val="left"/>
      </w:pPr>
      <w:bookmarkStart w:name="无" w:id="305"/>
      <w:bookmarkEnd w:id="305"/>
      <w:r>
        <w:rPr/>
      </w:r>
      <w:r>
        <w:rPr>
          <w:w w:val="102"/>
        </w:rPr>
        <w:t>无</w:t>
      </w:r>
      <w:r>
        <w:rPr/>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5）未办妥产权证书的固定资产情况" w:id="306"/>
      <w:bookmarkEnd w:id="30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left="246" w:right="0"/>
        <w:jc w:val="left"/>
      </w:pPr>
      <w:bookmarkStart w:name="无" w:id="307"/>
      <w:bookmarkEnd w:id="307"/>
      <w:r>
        <w:rPr/>
      </w:r>
      <w:r>
        <w:rPr>
          <w:w w:val="102"/>
        </w:rPr>
        <w:t>无</w:t>
      </w:r>
      <w:r>
        <w:rPr/>
      </w: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6）固定资产清理" w:id="308"/>
      <w:bookmarkEnd w:id="30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left="246" w:right="0"/>
        <w:jc w:val="left"/>
      </w:pPr>
      <w:bookmarkStart w:name="无" w:id="309"/>
      <w:bookmarkEnd w:id="309"/>
      <w:r>
        <w:rPr/>
      </w:r>
      <w:r>
        <w:rPr>
          <w:w w:val="102"/>
        </w:rPr>
        <w:t>无</w:t>
      </w:r>
      <w:r>
        <w:rPr/>
      </w:r>
    </w:p>
    <w:p>
      <w:pPr>
        <w:spacing w:line="240" w:lineRule="auto" w:before="10"/>
        <w:rPr>
          <w:rFonts w:ascii="宋体" w:hAnsi="宋体" w:cs="宋体" w:eastAsia="宋体" w:hint="default"/>
          <w:sz w:val="27"/>
          <w:szCs w:val="27"/>
        </w:rPr>
      </w:pPr>
    </w:p>
    <w:p>
      <w:pPr>
        <w:pStyle w:val="BodyText"/>
        <w:spacing w:line="240" w:lineRule="auto"/>
        <w:ind w:left="231" w:right="0"/>
        <w:jc w:val="left"/>
      </w:pPr>
      <w:r>
        <w:rPr/>
        <w:t>其他说明</w:t>
      </w:r>
    </w:p>
    <w:p>
      <w:pPr>
        <w:pStyle w:val="BodyText"/>
        <w:spacing w:line="240" w:lineRule="auto" w:before="124"/>
        <w:ind w:left="29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、企业合并增加为本期非同一控制企业合并天津星言云汇网络科技有限公司所致。</w:t>
      </w:r>
    </w:p>
    <w:p>
      <w:pPr>
        <w:pStyle w:val="BodyText"/>
        <w:spacing w:line="240" w:lineRule="auto" w:before="66"/>
        <w:ind w:left="306" w:right="0"/>
        <w:jc w:val="left"/>
      </w:pPr>
      <w:r>
        <w:rPr>
          <w:rFonts w:ascii="Times New Roman" w:hAnsi="Times New Roman" w:cs="Times New Roman" w:eastAsia="Times New Roman" w:hint="default"/>
        </w:rPr>
        <w:t>2</w:t>
      </w:r>
      <w:r>
        <w:rPr/>
        <w:t>、本期减少</w:t>
      </w:r>
      <w:r>
        <w:rPr>
          <w:rFonts w:ascii="Times New Roman" w:hAnsi="Times New Roman" w:cs="Times New Roman" w:eastAsia="Times New Roman" w:hint="default"/>
        </w:rPr>
        <w:t>-</w:t>
      </w:r>
      <w:r>
        <w:rPr/>
        <w:t>其他减少系宣亚国际有限公司汇率变动所致。</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2、在建工程" w:id="310"/>
      <w:bookmarkEnd w:id="310"/>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left="246" w:right="0"/>
        <w:jc w:val="left"/>
      </w:pPr>
      <w:bookmarkStart w:name="无" w:id="311"/>
      <w:bookmarkEnd w:id="311"/>
      <w:r>
        <w:rPr/>
      </w:r>
      <w:r>
        <w:rPr>
          <w:w w:val="102"/>
        </w:rPr>
        <w:t>无</w:t>
      </w:r>
      <w:r>
        <w:rPr/>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23、生产性生物资产" w:id="312"/>
      <w:bookmarkEnd w:id="31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313"/>
      <w:bookmarkEnd w:id="31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2）采用公允价值计量模式的生产性生物资产" w:id="314"/>
      <w:bookmarkEnd w:id="31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24、油气资产" w:id="315"/>
      <w:bookmarkEnd w:id="31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right="0"/>
        <w:jc w:val="left"/>
        <w:rPr>
          <w:b w:val="0"/>
          <w:bCs w:val="0"/>
        </w:rPr>
      </w:pPr>
      <w:bookmarkStart w:name="25、使用权资产" w:id="316"/>
      <w:bookmarkEnd w:id="316"/>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4"/>
        <w:rPr>
          <w:rFonts w:ascii="宋体" w:hAnsi="宋体" w:cs="宋体" w:eastAsia="宋体" w:hint="default"/>
          <w:b/>
          <w:bCs/>
          <w:sz w:val="24"/>
          <w:szCs w:val="24"/>
        </w:rPr>
      </w:pPr>
    </w:p>
    <w:p>
      <w:pPr>
        <w:pStyle w:val="Heading8"/>
        <w:spacing w:line="240" w:lineRule="auto"/>
        <w:ind w:left="246" w:right="0"/>
        <w:jc w:val="left"/>
      </w:pPr>
      <w:bookmarkStart w:name="无" w:id="317"/>
      <w:bookmarkEnd w:id="317"/>
      <w:r>
        <w:rPr/>
      </w:r>
      <w:r>
        <w:rPr>
          <w:w w:val="102"/>
        </w:rPr>
        <w:t>无</w:t>
      </w:r>
      <w:r>
        <w:rPr/>
      </w: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6、无形资产" w:id="318"/>
      <w:bookmarkEnd w:id="318"/>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319"/>
      <w:bookmarkEnd w:id="31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17"/>
        <w:gridCol w:w="999"/>
        <w:gridCol w:w="705"/>
        <w:gridCol w:w="962"/>
        <w:gridCol w:w="1201"/>
        <w:gridCol w:w="1186"/>
        <w:gridCol w:w="1202"/>
        <w:gridCol w:w="1201"/>
      </w:tblGrid>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9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2,880,000.00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12,027,003.44</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14,907,003.44</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5,848,637.83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38,448,637.83</w:t>
            </w:r>
          </w:p>
        </w:tc>
      </w:tr>
      <w:tr>
        <w:trPr>
          <w:trHeight w:val="390"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1,839,622.59</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1,839,622.59</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3,993,765.24</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3,993,765.24</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15,250.00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32,615,250.00</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2,880,000.00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17,875,641.27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53,355,641.27</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1,752,000.00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11,750,619.88</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13,502,619.88</w:t>
            </w: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288,000.00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441,725.40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881,081.08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1,610,806.48</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288,000.00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440,225.40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881,081.08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1,609,306.48</w:t>
            </w:r>
          </w:p>
        </w:tc>
      </w:tr>
      <w:tr>
        <w:trPr>
          <w:trHeight w:val="391"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1,500.00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1,500.00</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12,192,345.28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881,081.08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15,113,426.36</w:t>
            </w: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999"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840,000.00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5,683,295.99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31,718,918.92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38,242,214.91</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2125"/>
        <w:gridCol w:w="992"/>
        <w:gridCol w:w="705"/>
        <w:gridCol w:w="962"/>
        <w:gridCol w:w="1201"/>
        <w:gridCol w:w="1186"/>
        <w:gridCol w:w="1202"/>
        <w:gridCol w:w="1201"/>
      </w:tblGrid>
      <w:tr>
        <w:trPr>
          <w:trHeight w:val="405" w:hRule="exact"/>
        </w:trPr>
        <w:tc>
          <w:tcPr>
            <w:tcW w:w="21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21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6"/>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992" w:type="dxa"/>
            <w:tcBorders>
              <w:top w:val="single" w:sz="6" w:space="0" w:color="000000"/>
              <w:left w:val="single" w:sz="12"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0" w:right="0"/>
              <w:jc w:val="left"/>
              <w:rPr>
                <w:rFonts w:ascii="Times New Roman" w:hAnsi="Times New Roman" w:cs="Times New Roman" w:eastAsia="Times New Roman" w:hint="default"/>
                <w:sz w:val="18"/>
                <w:szCs w:val="18"/>
              </w:rPr>
            </w:pPr>
            <w:r>
              <w:rPr>
                <w:rFonts w:ascii="Times New Roman"/>
                <w:sz w:val="18"/>
              </w:rPr>
              <w:t>1,128,000.00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Times New Roman" w:hAnsi="Times New Roman" w:cs="Times New Roman" w:eastAsia="Times New Roman" w:hint="default"/>
                <w:sz w:val="18"/>
                <w:szCs w:val="18"/>
              </w:rPr>
            </w:pPr>
            <w:r>
              <w:rPr>
                <w:rFonts w:ascii="Times New Roman"/>
                <w:sz w:val="18"/>
              </w:rPr>
              <w:t>276,383.56</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5" w:right="0"/>
              <w:jc w:val="left"/>
              <w:rPr>
                <w:rFonts w:ascii="Times New Roman" w:hAnsi="Times New Roman" w:cs="Times New Roman" w:eastAsia="Times New Roman" w:hint="default"/>
                <w:sz w:val="18"/>
                <w:szCs w:val="18"/>
              </w:rPr>
            </w:pPr>
            <w:r>
              <w:rPr>
                <w:rFonts w:ascii="Times New Roman"/>
                <w:sz w:val="18"/>
              </w:rPr>
              <w:t>1,404,383.56</w:t>
            </w:r>
          </w:p>
        </w:tc>
      </w:tr>
    </w:tbl>
    <w:p>
      <w:pPr>
        <w:pStyle w:val="BodyText"/>
        <w:spacing w:line="240" w:lineRule="auto" w:before="59"/>
        <w:ind w:right="0"/>
        <w:jc w:val="left"/>
      </w:pPr>
      <w:r>
        <w:rPr/>
        <w:t>本期末通过公司内部研发形成的无形资产占无形资产余额的比例</w:t>
      </w:r>
      <w:r>
        <w:rPr>
          <w:spacing w:val="-39"/>
        </w:rPr>
        <w:t> </w:t>
      </w:r>
      <w:r>
        <w:rPr>
          <w:rFonts w:ascii="Times New Roman" w:hAnsi="Times New Roman" w:cs="Times New Roman" w:eastAsia="Times New Roman" w:hint="default"/>
        </w:rPr>
        <w:t>10.10%</w:t>
      </w:r>
      <w:r>
        <w:rPr/>
        <w:t>。</w:t>
      </w:r>
    </w:p>
    <w:p>
      <w:pPr>
        <w:spacing w:line="240" w:lineRule="auto" w:before="7"/>
        <w:rPr>
          <w:rFonts w:ascii="宋体" w:hAnsi="宋体" w:cs="宋体" w:eastAsia="宋体" w:hint="default"/>
          <w:sz w:val="26"/>
          <w:szCs w:val="26"/>
        </w:rPr>
      </w:pPr>
    </w:p>
    <w:p>
      <w:pPr>
        <w:pStyle w:val="Heading5"/>
        <w:spacing w:line="240" w:lineRule="auto"/>
        <w:ind w:right="0"/>
        <w:jc w:val="left"/>
        <w:rPr>
          <w:b w:val="0"/>
          <w:bCs w:val="0"/>
        </w:rPr>
      </w:pPr>
      <w:bookmarkStart w:name="（2）未办妥产权证书的土地使用权情况" w:id="320"/>
      <w:bookmarkEnd w:id="32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25"/>
          <w:szCs w:val="25"/>
        </w:rPr>
      </w:pPr>
    </w:p>
    <w:p>
      <w:pPr>
        <w:pStyle w:val="Heading8"/>
        <w:spacing w:line="240" w:lineRule="auto"/>
        <w:ind w:left="246" w:right="0"/>
        <w:jc w:val="left"/>
      </w:pPr>
      <w:bookmarkStart w:name="无" w:id="321"/>
      <w:bookmarkEnd w:id="321"/>
      <w:r>
        <w:rPr/>
      </w:r>
      <w:r>
        <w:rPr>
          <w:w w:val="102"/>
        </w:rPr>
        <w:t>无</w:t>
      </w:r>
      <w:r>
        <w:rPr/>
      </w:r>
    </w:p>
    <w:p>
      <w:pPr>
        <w:spacing w:line="240" w:lineRule="auto" w:before="10"/>
        <w:rPr>
          <w:rFonts w:ascii="宋体" w:hAnsi="宋体" w:cs="宋体" w:eastAsia="宋体" w:hint="default"/>
          <w:sz w:val="27"/>
          <w:szCs w:val="27"/>
        </w:rPr>
      </w:pPr>
    </w:p>
    <w:p>
      <w:pPr>
        <w:pStyle w:val="BodyText"/>
        <w:spacing w:line="350" w:lineRule="auto"/>
        <w:ind w:left="291" w:right="4299" w:hanging="150"/>
        <w:jc w:val="left"/>
      </w:pPr>
      <w:r>
        <w:rPr/>
        <w:t>其他说明： 企业合并增加为本期非同一控制企业合并天津星言云汇网络科技有限公司所致。</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27、开发支出" w:id="322"/>
      <w:bookmarkEnd w:id="322"/>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69"/>
        <w:gridCol w:w="856"/>
        <w:gridCol w:w="1412"/>
        <w:gridCol w:w="706"/>
        <w:gridCol w:w="721"/>
        <w:gridCol w:w="1412"/>
        <w:gridCol w:w="1426"/>
        <w:gridCol w:w="706"/>
        <w:gridCol w:w="1066"/>
      </w:tblGrid>
      <w:tr>
        <w:trPr>
          <w:trHeight w:val="203" w:hRule="exact"/>
        </w:trPr>
        <w:tc>
          <w:tcPr>
            <w:tcW w:w="1269" w:type="dxa"/>
            <w:tcBorders>
              <w:top w:val="single" w:sz="6" w:space="0" w:color="000000"/>
              <w:left w:val="single" w:sz="6" w:space="0" w:color="000000"/>
              <w:bottom w:val="nil" w:sz="6" w:space="0" w:color="auto"/>
              <w:right w:val="single" w:sz="6" w:space="0" w:color="000000"/>
            </w:tcBorders>
            <w:shd w:val="clear" w:color="auto" w:fill="D2D2D2"/>
          </w:tcPr>
          <w:p>
            <w:pPr/>
          </w:p>
        </w:tc>
        <w:tc>
          <w:tcPr>
            <w:tcW w:w="856" w:type="dxa"/>
            <w:tcBorders>
              <w:top w:val="single" w:sz="6" w:space="0" w:color="000000"/>
              <w:left w:val="single" w:sz="6" w:space="0" w:color="000000"/>
              <w:bottom w:val="nil" w:sz="6" w:space="0" w:color="auto"/>
              <w:right w:val="single" w:sz="6" w:space="0" w:color="000000"/>
            </w:tcBorders>
            <w:shd w:val="clear" w:color="auto" w:fill="D2D2D2"/>
          </w:tcPr>
          <w:p>
            <w:pPr/>
          </w:p>
        </w:tc>
        <w:tc>
          <w:tcPr>
            <w:tcW w:w="2839"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85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44"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26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39" w:type="dxa"/>
            <w:gridSpan w:val="3"/>
            <w:vMerge/>
            <w:tcBorders>
              <w:left w:val="single" w:sz="6" w:space="0" w:color="000000"/>
              <w:bottom w:val="single" w:sz="6" w:space="0" w:color="000000"/>
              <w:right w:val="single" w:sz="6" w:space="0" w:color="000000"/>
            </w:tcBorders>
            <w:shd w:val="clear" w:color="auto" w:fill="D2D2D2"/>
          </w:tcPr>
          <w:p>
            <w:pPr/>
          </w:p>
        </w:tc>
        <w:tc>
          <w:tcPr>
            <w:tcW w:w="3544" w:type="dxa"/>
            <w:gridSpan w:val="3"/>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88" w:hRule="exact"/>
        </w:trPr>
        <w:tc>
          <w:tcPr>
            <w:tcW w:w="1269"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val="restart"/>
            <w:tcBorders>
              <w:top w:val="single" w:sz="6" w:space="0" w:color="000000"/>
              <w:left w:val="single" w:sz="6" w:space="0" w:color="000000"/>
              <w:right w:val="single" w:sz="6" w:space="0" w:color="000000"/>
            </w:tcBorders>
            <w:shd w:val="clear" w:color="auto" w:fill="D2D2D2"/>
          </w:tcPr>
          <w:p>
            <w:pPr/>
          </w:p>
        </w:tc>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706" w:type="dxa"/>
            <w:vMerge w:val="restart"/>
            <w:tcBorders>
              <w:top w:val="single" w:sz="6" w:space="0" w:color="000000"/>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217" w:hRule="exact"/>
        </w:trPr>
        <w:tc>
          <w:tcPr>
            <w:tcW w:w="1269"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2"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1412" w:type="dxa"/>
            <w:vMerge/>
            <w:tcBorders>
              <w:left w:val="single" w:sz="6" w:space="0" w:color="000000"/>
              <w:bottom w:val="single" w:sz="6" w:space="0" w:color="000000"/>
              <w:right w:val="single" w:sz="6" w:space="0" w:color="000000"/>
            </w:tcBorders>
            <w:shd w:val="clear" w:color="auto" w:fill="D2D2D2"/>
          </w:tcPr>
          <w:p>
            <w:pPr/>
          </w:p>
        </w:tc>
        <w:tc>
          <w:tcPr>
            <w:tcW w:w="1426"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2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65"/>
              <w:jc w:val="left"/>
              <w:rPr>
                <w:rFonts w:ascii="宋体" w:hAnsi="宋体" w:cs="宋体" w:eastAsia="宋体" w:hint="default"/>
                <w:sz w:val="18"/>
                <w:szCs w:val="18"/>
              </w:rPr>
            </w:pPr>
            <w:r>
              <w:rPr>
                <w:rFonts w:ascii="宋体" w:hAnsi="宋体" w:cs="宋体" w:eastAsia="宋体" w:hint="default"/>
                <w:sz w:val="18"/>
                <w:szCs w:val="18"/>
              </w:rPr>
              <w:t>全网舆情实时 智能分拣系统</w:t>
            </w:r>
          </w:p>
        </w:tc>
        <w:tc>
          <w:tcPr>
            <w:tcW w:w="8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3,993,765.24</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3,993,765.24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2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7"/>
              <w:jc w:val="center"/>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3,993,765.24</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3,993,765.24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5"/>
        <w:ind w:right="0"/>
        <w:jc w:val="left"/>
      </w:pPr>
      <w:r>
        <w:rPr/>
        <w:t>其他说明</w:t>
      </w:r>
    </w:p>
    <w:p>
      <w:pPr>
        <w:pStyle w:val="BodyText"/>
        <w:spacing w:line="240" w:lineRule="auto" w:before="124"/>
        <w:ind w:right="0"/>
        <w:jc w:val="left"/>
      </w:pPr>
      <w:r>
        <w:rPr/>
        <w:t>（</w:t>
      </w:r>
      <w:r>
        <w:rPr>
          <w:rFonts w:ascii="Times New Roman" w:hAnsi="Times New Roman" w:cs="Times New Roman" w:eastAsia="Times New Roman" w:hint="default"/>
        </w:rPr>
        <w:t>1</w:t>
      </w:r>
      <w:r>
        <w:rPr/>
        <w:t>）资本化开始时点：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p>
    <w:p>
      <w:pPr>
        <w:pStyle w:val="BodyText"/>
        <w:spacing w:line="302" w:lineRule="auto" w:before="66"/>
        <w:ind w:right="0"/>
        <w:jc w:val="left"/>
      </w:pPr>
      <w:r>
        <w:rPr>
          <w:spacing w:val="-2"/>
        </w:rPr>
        <w:t>（</w:t>
      </w:r>
      <w:r>
        <w:rPr>
          <w:rFonts w:ascii="Times New Roman" w:hAnsi="Times New Roman" w:cs="Times New Roman" w:eastAsia="Times New Roman" w:hint="default"/>
          <w:spacing w:val="-2"/>
        </w:rPr>
        <w:t>2</w:t>
      </w:r>
      <w:r>
        <w:rPr>
          <w:spacing w:val="-2"/>
        </w:rPr>
        <w:t>）资本化具体依据：取得软著证书（云目未来科技视频分拣系统</w:t>
      </w:r>
      <w:r>
        <w:rPr>
          <w:rFonts w:ascii="Times New Roman" w:hAnsi="Times New Roman" w:cs="Times New Roman" w:eastAsia="Times New Roman" w:hint="default"/>
          <w:spacing w:val="-2"/>
        </w:rPr>
        <w:t>v1.0</w:t>
      </w:r>
      <w:r>
        <w:rPr>
          <w:spacing w:val="-2"/>
        </w:rPr>
        <w:t>、云目未来科技标注系统</w:t>
      </w:r>
      <w:r>
        <w:rPr>
          <w:rFonts w:ascii="Times New Roman" w:hAnsi="Times New Roman" w:cs="Times New Roman" w:eastAsia="Times New Roman" w:hint="default"/>
          <w:spacing w:val="-2"/>
        </w:rPr>
        <w:t>v1.0</w:t>
      </w:r>
      <w:r>
        <w:rPr>
          <w:spacing w:val="-2"/>
        </w:rPr>
        <w:t>、云目未来科技数据中</w:t>
      </w:r>
      <w:r>
        <w:rPr>
          <w:spacing w:val="-40"/>
        </w:rPr>
        <w:t> </w:t>
      </w:r>
      <w:r>
        <w:rPr>
          <w:spacing w:val="-40"/>
        </w:rPr>
      </w:r>
      <w:r>
        <w:rPr/>
        <w:t>心软件</w:t>
      </w:r>
      <w:r>
        <w:rPr>
          <w:rFonts w:ascii="Times New Roman" w:hAnsi="Times New Roman" w:cs="Times New Roman" w:eastAsia="Times New Roman" w:hint="default"/>
        </w:rPr>
        <w:t>v1.0</w:t>
      </w:r>
      <w:r>
        <w:rPr/>
        <w:t>、云目未来科技图片分拣系统</w:t>
      </w:r>
      <w:r>
        <w:rPr>
          <w:rFonts w:ascii="Times New Roman" w:hAnsi="Times New Roman" w:cs="Times New Roman" w:eastAsia="Times New Roman" w:hint="default"/>
        </w:rPr>
        <w:t>v1.0</w:t>
      </w:r>
      <w:r>
        <w:rPr/>
        <w:t>、云目未来科技文本分拣系统软件</w:t>
      </w:r>
      <w:r>
        <w:rPr>
          <w:rFonts w:ascii="Times New Roman" w:hAnsi="Times New Roman" w:cs="Times New Roman" w:eastAsia="Times New Roman" w:hint="default"/>
        </w:rPr>
        <w:t>v1.0</w:t>
      </w:r>
      <w:r>
        <w:rPr/>
        <w:t>、云目未来科技爬虫系统软件</w:t>
      </w:r>
      <w:r>
        <w:rPr>
          <w:rFonts w:ascii="Times New Roman" w:hAnsi="Times New Roman" w:cs="Times New Roman" w:eastAsia="Times New Roman" w:hint="default"/>
        </w:rPr>
        <w:t>v1.0</w:t>
      </w:r>
      <w:r>
        <w:rPr/>
        <w:t>）；</w:t>
      </w:r>
    </w:p>
    <w:p>
      <w:pPr>
        <w:pStyle w:val="BodyText"/>
        <w:spacing w:line="249" w:lineRule="exact"/>
        <w:ind w:right="0"/>
        <w:jc w:val="left"/>
      </w:pPr>
      <w:r>
        <w:rPr/>
        <w:t>（</w:t>
      </w:r>
      <w:r>
        <w:rPr>
          <w:rFonts w:ascii="Times New Roman" w:hAnsi="Times New Roman" w:cs="Times New Roman" w:eastAsia="Times New Roman" w:hint="default"/>
        </w:rPr>
        <w:t>3</w:t>
      </w:r>
      <w:r>
        <w:rPr/>
        <w:t>）截至期末研发进度：</w:t>
      </w:r>
      <w:r>
        <w:rPr>
          <w:rFonts w:ascii="Times New Roman" w:hAnsi="Times New Roman" w:cs="Times New Roman" w:eastAsia="Times New Roman" w:hint="default"/>
        </w:rPr>
        <w:t>100%</w:t>
      </w:r>
      <w:r>
        <w:rPr/>
        <w:t>全部完成。</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8、商誉" w:id="323"/>
      <w:bookmarkEnd w:id="323"/>
      <w:r>
        <w:rPr>
          <w:b w:val="0"/>
          <w:bCs w:val="0"/>
        </w:rPr>
      </w:r>
      <w:r>
        <w:rPr>
          <w:rFonts w:ascii="Times New Roman" w:hAnsi="Times New Roman" w:cs="Times New Roman" w:eastAsia="Times New Roman" w:hint="default"/>
        </w:rPr>
        <w:t>28</w:t>
      </w:r>
      <w:r>
        <w:rPr/>
        <w:t>、商誉</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324"/>
      <w:bookmarkEnd w:id="32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47"/>
        <w:gridCol w:w="1284"/>
        <w:gridCol w:w="1848"/>
        <w:gridCol w:w="796"/>
        <w:gridCol w:w="1366"/>
        <w:gridCol w:w="1367"/>
        <w:gridCol w:w="1367"/>
      </w:tblGrid>
      <w:tr>
        <w:trPr>
          <w:trHeight w:val="406" w:hRule="exact"/>
        </w:trPr>
        <w:tc>
          <w:tcPr>
            <w:tcW w:w="154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27" w:right="52"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2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4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47" w:type="dxa"/>
            <w:vMerge/>
            <w:tcBorders>
              <w:left w:val="single" w:sz="6" w:space="0" w:color="000000"/>
              <w:bottom w:val="single" w:sz="6" w:space="0" w:color="000000"/>
              <w:right w:val="single" w:sz="6" w:space="0" w:color="000000"/>
            </w:tcBorders>
            <w:shd w:val="clear" w:color="auto" w:fill="D2D2D2"/>
          </w:tcPr>
          <w:p>
            <w:pPr/>
          </w:p>
        </w:tc>
        <w:tc>
          <w:tcPr>
            <w:tcW w:w="1284" w:type="dxa"/>
            <w:vMerge/>
            <w:tcBorders>
              <w:left w:val="single" w:sz="6" w:space="0" w:color="000000"/>
              <w:bottom w:val="single" w:sz="6" w:space="0" w:color="000000"/>
              <w:right w:val="single" w:sz="6" w:space="0" w:color="000000"/>
            </w:tcBorders>
            <w:shd w:val="clear" w:color="auto" w:fill="D2D2D2"/>
          </w:tcPr>
          <w:p>
            <w:pPr/>
          </w:p>
        </w:tc>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2"/>
              <w:jc w:val="left"/>
              <w:rPr>
                <w:rFonts w:ascii="宋体" w:hAnsi="宋体" w:cs="宋体" w:eastAsia="宋体" w:hint="default"/>
                <w:sz w:val="18"/>
                <w:szCs w:val="18"/>
              </w:rPr>
            </w:pPr>
            <w:r>
              <w:rPr>
                <w:rFonts w:ascii="宋体" w:hAnsi="宋体" w:cs="宋体" w:eastAsia="宋体" w:hint="default"/>
                <w:sz w:val="18"/>
                <w:szCs w:val="18"/>
              </w:rPr>
              <w:t>天津星言云汇网络 有限公司</w:t>
            </w:r>
          </w:p>
        </w:tc>
        <w:tc>
          <w:tcPr>
            <w:tcW w:w="1284" w:type="dxa"/>
            <w:tcBorders>
              <w:top w:val="single" w:sz="6" w:space="0" w:color="000000"/>
              <w:left w:val="single" w:sz="12"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32,041,763.69</w:t>
            </w:r>
          </w:p>
        </w:tc>
        <w:tc>
          <w:tcPr>
            <w:tcW w:w="79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32,041,763.69</w:t>
            </w:r>
          </w:p>
        </w:tc>
      </w:tr>
      <w:tr>
        <w:trPr>
          <w:trHeight w:val="7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82"/>
              <w:jc w:val="left"/>
              <w:rPr>
                <w:rFonts w:ascii="宋体" w:hAnsi="宋体" w:cs="宋体" w:eastAsia="宋体" w:hint="default"/>
                <w:sz w:val="18"/>
                <w:szCs w:val="18"/>
              </w:rPr>
            </w:pPr>
            <w:r>
              <w:rPr>
                <w:rFonts w:ascii="宋体" w:hAnsi="宋体" w:cs="宋体" w:eastAsia="宋体" w:hint="default"/>
                <w:sz w:val="18"/>
                <w:szCs w:val="18"/>
              </w:rPr>
              <w:t>北京宣亚国际品牌 咨询有限公司</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663,918.71</w:t>
            </w:r>
          </w:p>
        </w:tc>
        <w:tc>
          <w:tcPr>
            <w:tcW w:w="1848"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663,918.71</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2"/>
              <w:jc w:val="left"/>
              <w:rPr>
                <w:rFonts w:ascii="宋体" w:hAnsi="宋体" w:cs="宋体" w:eastAsia="宋体" w:hint="default"/>
                <w:sz w:val="18"/>
                <w:szCs w:val="18"/>
              </w:rPr>
            </w:pPr>
            <w:r>
              <w:rPr>
                <w:rFonts w:ascii="宋体" w:hAnsi="宋体" w:cs="宋体" w:eastAsia="宋体" w:hint="default"/>
                <w:sz w:val="18"/>
                <w:szCs w:val="18"/>
              </w:rPr>
              <w:t>北京新兵连文化传 媒有限公司</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134,772.35</w:t>
            </w:r>
          </w:p>
        </w:tc>
        <w:tc>
          <w:tcPr>
            <w:tcW w:w="1848"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134,772.35</w:t>
            </w:r>
          </w:p>
        </w:tc>
      </w:tr>
      <w:tr>
        <w:trPr>
          <w:trHeight w:val="390"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798,691.06</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32,041,763.69</w:t>
            </w:r>
          </w:p>
        </w:tc>
        <w:tc>
          <w:tcPr>
            <w:tcW w:w="79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32,840,454.75</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商誉减值准备" w:id="325"/>
      <w:bookmarkEnd w:id="32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27"/>
              <w:ind w:right="2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2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36" w:lineRule="auto" w:before="45"/>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2"/>
        </w:rPr>
        <w:t> </w:t>
      </w:r>
      <w:r>
        <w:rPr>
          <w:spacing w:val="-72"/>
        </w:rPr>
      </w:r>
      <w:r>
        <w:rPr/>
        <w:t>等）及商誉减值损失的确认方法：</w:t>
      </w:r>
    </w:p>
    <w:p>
      <w:pPr>
        <w:pStyle w:val="BodyText"/>
        <w:spacing w:line="367" w:lineRule="auto" w:before="38"/>
        <w:ind w:right="9129"/>
        <w:jc w:val="left"/>
      </w:pPr>
      <w:r>
        <w:rPr/>
        <w:t>商誉减值测试的影响 其他说明</w:t>
      </w:r>
    </w:p>
    <w:p>
      <w:pPr>
        <w:pStyle w:val="BodyText"/>
        <w:spacing w:line="302" w:lineRule="auto" w:before="29"/>
        <w:ind w:right="1096" w:firstLine="330"/>
        <w:jc w:val="both"/>
      </w:pPr>
      <w:r>
        <w:rPr>
          <w:rFonts w:ascii="Times New Roman" w:hAnsi="Times New Roman" w:cs="Times New Roman" w:eastAsia="Times New Roman" w:hint="default"/>
          <w:spacing w:val="-2"/>
        </w:rPr>
        <w:t>1</w:t>
      </w:r>
      <w:r>
        <w:rPr>
          <w:spacing w:val="-2"/>
        </w:rPr>
        <w:t>、本公司通过增资和收购股权形式取得天津星言云汇网络科技有限公司（以下简称</w:t>
      </w:r>
      <w:r>
        <w:rPr>
          <w:rFonts w:ascii="Times New Roman" w:hAnsi="Times New Roman" w:cs="Times New Roman" w:eastAsia="Times New Roman" w:hint="default"/>
          <w:spacing w:val="-2"/>
        </w:rPr>
        <w:t>“</w:t>
      </w:r>
      <w:r>
        <w:rPr>
          <w:spacing w:val="-2"/>
        </w:rPr>
        <w:t>星言云汇</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40%</w:t>
      </w:r>
      <w:r>
        <w:rPr>
          <w:spacing w:val="-2"/>
        </w:rPr>
        <w:t>股权，总支付对价</w:t>
      </w:r>
      <w:r>
        <w:rPr/>
        <w:t> </w:t>
      </w:r>
      <w:r>
        <w:rPr>
          <w:spacing w:val="-1"/>
        </w:rPr>
        <w:t>为</w:t>
      </w:r>
      <w:r>
        <w:rPr>
          <w:rFonts w:ascii="Times New Roman" w:hAnsi="Times New Roman" w:cs="Times New Roman" w:eastAsia="Times New Roman" w:hint="default"/>
          <w:spacing w:val="-1"/>
        </w:rPr>
        <w:t>56,000,000.00</w:t>
      </w:r>
      <w:r>
        <w:rPr>
          <w:spacing w:val="-1"/>
        </w:rPr>
        <w:t>元，按照银信资产评估有限公司出具的银信评报字（</w:t>
      </w:r>
      <w:r>
        <w:rPr>
          <w:rFonts w:ascii="Times New Roman" w:hAnsi="Times New Roman" w:cs="Times New Roman" w:eastAsia="Times New Roman" w:hint="default"/>
          <w:spacing w:val="-1"/>
        </w:rPr>
        <w:t>2019</w:t>
      </w:r>
      <w:r>
        <w:rPr>
          <w:spacing w:val="-1"/>
        </w:rPr>
        <w:t>）沪第</w:t>
      </w:r>
      <w:r>
        <w:rPr>
          <w:rFonts w:ascii="Times New Roman" w:hAnsi="Times New Roman" w:cs="Times New Roman" w:eastAsia="Times New Roman" w:hint="default"/>
          <w:spacing w:val="-1"/>
        </w:rPr>
        <w:t>1871</w:t>
      </w:r>
      <w:r>
        <w:rPr>
          <w:spacing w:val="-1"/>
        </w:rPr>
        <w:t>号天津星言云汇网络科技有限公司可辨</w:t>
      </w:r>
      <w:r>
        <w:rPr>
          <w:spacing w:val="-64"/>
        </w:rPr>
        <w:t> </w:t>
      </w:r>
      <w:r>
        <w:rPr>
          <w:spacing w:val="-64"/>
        </w:rPr>
      </w:r>
      <w:r>
        <w:rPr/>
        <w:t>认净资产公允价值评估报告计算商誉为</w:t>
      </w:r>
      <w:r>
        <w:rPr>
          <w:rFonts w:ascii="Times New Roman" w:hAnsi="Times New Roman" w:cs="Times New Roman" w:eastAsia="Times New Roman" w:hint="default"/>
        </w:rPr>
        <w:t>32,041,763.69</w:t>
      </w:r>
      <w:r>
        <w:rPr/>
        <w:t>元。</w:t>
      </w:r>
    </w:p>
    <w:p>
      <w:pPr>
        <w:pStyle w:val="BodyText"/>
        <w:spacing w:line="288" w:lineRule="auto" w:before="14"/>
        <w:ind w:right="1134" w:firstLine="405"/>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日，企业合并取得的商誉已分配至相关资产组进行商誉减值测试。各资产组的可收回金额基于管理层</w:t>
      </w:r>
      <w:r>
        <w:rPr/>
        <w:t> 的经营计划和调整后的折现率计算。在预测期之后的现金流按照稳定的增长率和终值推算。</w:t>
      </w:r>
    </w:p>
    <w:p>
      <w:pPr>
        <w:pStyle w:val="BodyText"/>
        <w:spacing w:line="302" w:lineRule="auto" w:before="44"/>
        <w:ind w:right="1096" w:firstLine="405"/>
        <w:jc w:val="both"/>
      </w:pPr>
      <w:r>
        <w:rPr>
          <w:spacing w:val="-1"/>
        </w:rPr>
        <w:t>子公司星言云汇成立于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日，所属互联网营销行业，根据银信财报字（</w:t>
      </w:r>
      <w:r>
        <w:rPr>
          <w:rFonts w:ascii="Times New Roman" w:hAnsi="Times New Roman" w:cs="Times New Roman" w:eastAsia="Times New Roman" w:hint="default"/>
          <w:spacing w:val="-1"/>
        </w:rPr>
        <w:t>2020</w:t>
      </w:r>
      <w:r>
        <w:rPr>
          <w:spacing w:val="-1"/>
        </w:rPr>
        <w:t>）沪第</w:t>
      </w:r>
      <w:r>
        <w:rPr>
          <w:rFonts w:ascii="Times New Roman" w:hAnsi="Times New Roman" w:cs="Times New Roman" w:eastAsia="Times New Roman" w:hint="default"/>
          <w:spacing w:val="-1"/>
        </w:rPr>
        <w:t>292</w:t>
      </w:r>
      <w:r>
        <w:rPr>
          <w:spacing w:val="-1"/>
        </w:rPr>
        <w:t>号，星言云汇在</w:t>
      </w:r>
      <w:r>
        <w:rPr>
          <w:rFonts w:ascii="Times New Roman" w:hAnsi="Times New Roman" w:cs="Times New Roman" w:eastAsia="Times New Roman" w:hint="default"/>
          <w:spacing w:val="-1"/>
        </w:rPr>
        <w:t>2020</w:t>
      </w:r>
      <w:r>
        <w:rPr>
          <w:rFonts w:ascii="Times New Roman" w:hAnsi="Times New Roman" w:cs="Times New Roman" w:eastAsia="Times New Roman" w:hint="default"/>
        </w:rPr>
        <w:t> </w:t>
      </w:r>
      <w:r>
        <w:rPr/>
        <w:t>年度及预测期采用的折现率为</w:t>
      </w:r>
      <w:r>
        <w:rPr>
          <w:rFonts w:ascii="Times New Roman" w:hAnsi="Times New Roman" w:cs="Times New Roman" w:eastAsia="Times New Roman" w:hint="default"/>
        </w:rPr>
        <w:t>16.59%</w:t>
      </w:r>
      <w:r>
        <w:rPr/>
        <w:t>，预测期（</w:t>
      </w:r>
      <w:r>
        <w:rPr>
          <w:rFonts w:ascii="Times New Roman" w:hAnsi="Times New Roman" w:cs="Times New Roman" w:eastAsia="Times New Roman" w:hint="default"/>
        </w:rPr>
        <w:t>2020-2024</w:t>
      </w:r>
      <w:r>
        <w:rPr/>
        <w:t>年度）增长率范围为</w:t>
      </w:r>
      <w:r>
        <w:rPr>
          <w:rFonts w:ascii="Times New Roman" w:hAnsi="Times New Roman" w:cs="Times New Roman" w:eastAsia="Times New Roman" w:hint="default"/>
        </w:rPr>
        <w:t>189.95%</w:t>
      </w:r>
      <w:r>
        <w:rPr/>
        <w:t>到</w:t>
      </w:r>
      <w:r>
        <w:rPr>
          <w:rFonts w:ascii="Times New Roman" w:hAnsi="Times New Roman" w:cs="Times New Roman" w:eastAsia="Times New Roman" w:hint="default"/>
        </w:rPr>
        <w:t>0.20%</w:t>
      </w:r>
      <w:r>
        <w:rPr/>
        <w:t>，稳定期（</w:t>
      </w:r>
      <w:r>
        <w:rPr>
          <w:rFonts w:ascii="Times New Roman" w:hAnsi="Times New Roman" w:cs="Times New Roman" w:eastAsia="Times New Roman" w:hint="default"/>
        </w:rPr>
        <w:t>2025</w:t>
      </w:r>
      <w:r>
        <w:rPr/>
        <w:t>年及以后年</w:t>
      </w:r>
      <w:r>
        <w:rPr>
          <w:spacing w:val="-82"/>
        </w:rPr>
        <w:t> </w:t>
      </w:r>
      <w:r>
        <w:rPr/>
        <w:t>度）增长率</w:t>
      </w:r>
      <w:r>
        <w:rPr>
          <w:rFonts w:ascii="Times New Roman" w:hAnsi="Times New Roman" w:cs="Times New Roman" w:eastAsia="Times New Roman" w:hint="default"/>
        </w:rPr>
        <w:t>0%</w:t>
      </w:r>
      <w:r>
        <w:rPr/>
        <w:t>。</w:t>
      </w:r>
    </w:p>
    <w:p>
      <w:pPr>
        <w:pStyle w:val="BodyText"/>
        <w:spacing w:line="290" w:lineRule="auto" w:before="14"/>
        <w:ind w:right="1134" w:firstLine="405"/>
        <w:jc w:val="both"/>
      </w:pPr>
      <w:r>
        <w:rPr/>
        <w:t>计算星言云汇于</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日的预计未来现金流量现值采用了关键假设。以下详述了管理层为进行商誉的减值测 试，在确定现金流量预测时作出的关键假设：</w:t>
      </w:r>
    </w:p>
    <w:p>
      <w:pPr>
        <w:pStyle w:val="BodyText"/>
        <w:spacing w:line="309" w:lineRule="auto" w:before="41"/>
        <w:ind w:left="546" w:right="0"/>
        <w:jc w:val="left"/>
      </w:pPr>
      <w:r>
        <w:rPr/>
        <w:t>增长率</w:t>
      </w:r>
      <w:r>
        <w:rPr>
          <w:rFonts w:ascii="Times New Roman" w:hAnsi="Times New Roman" w:cs="Times New Roman" w:eastAsia="Times New Roman" w:hint="default"/>
        </w:rPr>
        <w:t>—</w:t>
      </w:r>
      <w:r>
        <w:rPr/>
        <w:t>确定基础是在历史经营成果的平均增长率及对市场发展的预期基础上制定。 折现率</w:t>
      </w:r>
      <w:r>
        <w:rPr>
          <w:rFonts w:ascii="Times New Roman" w:hAnsi="Times New Roman" w:cs="Times New Roman" w:eastAsia="Times New Roman" w:hint="default"/>
        </w:rPr>
        <w:t>—</w:t>
      </w:r>
      <w:r>
        <w:rPr/>
        <w:t>所采用的折现率是反映互联网营销行业特定风险的税前折现率。 分配至上述资产组的关键假设的金额与本公司历史经验及外部信息一致。 管理层根据上述假设分析各资产组的可收回金额，本年度未计提商誉减值。</w:t>
      </w:r>
      <w:r>
        <w:rPr>
          <w:spacing w:val="-83"/>
        </w:rPr>
        <w:t> </w:t>
      </w:r>
      <w:r>
        <w:rPr>
          <w:spacing w:val="-83"/>
        </w:rPr>
      </w:r>
      <w:r>
        <w:rPr/>
        <w:t>目前，现金流预测结果超过相关资产组或资产组组合的账面价值，但后续的现金流预测结果可能会根据未来现金流和</w:t>
      </w:r>
    </w:p>
    <w:p>
      <w:pPr>
        <w:pStyle w:val="BodyText"/>
        <w:spacing w:line="240" w:lineRule="auto" w:before="12"/>
        <w:ind w:right="0"/>
        <w:jc w:val="left"/>
      </w:pPr>
      <w:r>
        <w:rPr/>
        <w:t>假设的不同而变化。</w:t>
      </w:r>
    </w:p>
    <w:p>
      <w:pPr>
        <w:pStyle w:val="BodyText"/>
        <w:spacing w:line="304" w:lineRule="auto" w:before="95"/>
        <w:ind w:right="1136" w:firstLine="480"/>
        <w:jc w:val="both"/>
      </w:pPr>
      <w:r>
        <w:rPr>
          <w:rFonts w:ascii="Times New Roman" w:hAnsi="Times New Roman" w:cs="Times New Roman" w:eastAsia="Times New Roman" w:hint="default"/>
        </w:rPr>
        <w:t>3</w:t>
      </w:r>
      <w:r>
        <w:rPr/>
        <w:t>、根据北京宣亚国际品牌咨询有限公司和北京新兵连文化传媒有限公司两家公司的经营情况、公司管理层近年对公 </w:t>
      </w:r>
      <w:r>
        <w:rPr>
          <w:spacing w:val="-2"/>
        </w:rPr>
        <w:t>司市场发展的开拓及预测假设，上述两家公司未来现金流量预计高于资产组和资产组组合的可收回金额，基于上述原因商誉</w:t>
      </w:r>
      <w:r>
        <w:rPr>
          <w:spacing w:val="-72"/>
        </w:rPr>
        <w:t> </w:t>
      </w:r>
      <w:r>
        <w:rPr>
          <w:spacing w:val="-72"/>
        </w:rPr>
      </w:r>
      <w:r>
        <w:rPr/>
        <w:t>未计提减值准备。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5"/>
        <w:ind w:right="0"/>
        <w:jc w:val="left"/>
        <w:rPr>
          <w:b w:val="0"/>
          <w:bCs w:val="0"/>
        </w:rPr>
      </w:pPr>
      <w:bookmarkStart w:name="29、长期待摊费用" w:id="326"/>
      <w:bookmarkEnd w:id="326"/>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615"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814,507.12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591,693.34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332,009.51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1,074,190.95</w:t>
            </w: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814,507.12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591,693.34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332,009.51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1,074,190.95</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30、递延所得税资产/递延所得税负债" w:id="327"/>
      <w:bookmarkEnd w:id="32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328"/>
      <w:bookmarkEnd w:id="32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8"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8,588,672.51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2,146,974.39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6,913,465.51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1,728,366.38</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1,555,188.31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388,797.07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2,430,341.68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607,585.42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1,140,670.47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285,167.63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1,140,670.47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285,167.63</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11,284,531.29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2,820,939.09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10,484,477.66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2,621,119.43</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329"/>
      <w:bookmarkEnd w:id="32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1570"/>
        <w:gridCol w:w="1562"/>
        <w:gridCol w:w="1562"/>
        <w:gridCol w:w="1922"/>
      </w:tblGrid>
      <w:tr>
        <w:trPr>
          <w:trHeight w:val="203" w:hRule="exact"/>
        </w:trPr>
        <w:tc>
          <w:tcPr>
            <w:tcW w:w="2959" w:type="dxa"/>
            <w:tcBorders>
              <w:top w:val="single" w:sz="6" w:space="0" w:color="000000"/>
              <w:left w:val="single" w:sz="6" w:space="0" w:color="000000"/>
              <w:bottom w:val="nil" w:sz="6" w:space="0" w:color="auto"/>
              <w:right w:val="single" w:sz="6" w:space="0" w:color="000000"/>
            </w:tcBorders>
            <w:shd w:val="clear" w:color="auto" w:fill="D2D2D2"/>
          </w:tcPr>
          <w:p>
            <w:pPr/>
          </w:p>
        </w:tc>
        <w:tc>
          <w:tcPr>
            <w:tcW w:w="313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8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29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32" w:type="dxa"/>
            <w:gridSpan w:val="2"/>
            <w:vMerge/>
            <w:tcBorders>
              <w:left w:val="single" w:sz="6" w:space="0" w:color="000000"/>
              <w:bottom w:val="single" w:sz="6" w:space="0" w:color="000000"/>
              <w:right w:val="single" w:sz="6" w:space="0" w:color="000000"/>
            </w:tcBorders>
            <w:shd w:val="clear" w:color="auto" w:fill="D2D2D2"/>
          </w:tcPr>
          <w:p>
            <w:pPr/>
          </w:p>
        </w:tc>
        <w:tc>
          <w:tcPr>
            <w:tcW w:w="3484"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959" w:type="dxa"/>
            <w:vMerge/>
            <w:tcBorders>
              <w:left w:val="single" w:sz="6" w:space="0" w:color="000000"/>
              <w:bottom w:val="nil" w:sz="6" w:space="0" w:color="auto"/>
              <w:right w:val="single" w:sz="6" w:space="0" w:color="000000"/>
            </w:tcBorders>
            <w:shd w:val="clear" w:color="auto" w:fill="D2D2D2"/>
          </w:tcPr>
          <w:p>
            <w:pPr/>
          </w:p>
        </w:tc>
        <w:tc>
          <w:tcPr>
            <w:tcW w:w="157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18" w:hRule="exact"/>
        </w:trPr>
        <w:tc>
          <w:tcPr>
            <w:tcW w:w="2959" w:type="dxa"/>
            <w:tcBorders>
              <w:top w:val="nil" w:sz="6" w:space="0" w:color="auto"/>
              <w:left w:val="single" w:sz="6" w:space="0" w:color="000000"/>
              <w:bottom w:val="single" w:sz="6" w:space="0" w:color="000000"/>
              <w:right w:val="single" w:sz="6" w:space="0" w:color="000000"/>
            </w:tcBorders>
            <w:shd w:val="clear" w:color="auto" w:fill="D2D2D2"/>
          </w:tcPr>
          <w:p>
            <w:pPr/>
          </w:p>
        </w:tc>
        <w:tc>
          <w:tcPr>
            <w:tcW w:w="1570" w:type="dxa"/>
            <w:vMerge/>
            <w:tcBorders>
              <w:left w:val="single" w:sz="6" w:space="0" w:color="000000"/>
              <w:bottom w:val="single" w:sz="6" w:space="0" w:color="000000"/>
              <w:right w:val="single" w:sz="6" w:space="0" w:color="000000"/>
            </w:tcBorders>
            <w:shd w:val="clear" w:color="auto" w:fill="D2D2D2"/>
          </w:tcPr>
          <w:p>
            <w:pPr/>
          </w:p>
        </w:tc>
        <w:tc>
          <w:tcPr>
            <w:tcW w:w="1562" w:type="dxa"/>
            <w:vMerge/>
            <w:tcBorders>
              <w:left w:val="single" w:sz="6" w:space="0" w:color="000000"/>
              <w:bottom w:val="single" w:sz="6" w:space="0" w:color="000000"/>
              <w:right w:val="single" w:sz="6" w:space="0" w:color="000000"/>
            </w:tcBorders>
            <w:shd w:val="clear" w:color="auto" w:fill="D2D2D2"/>
          </w:tcPr>
          <w:p>
            <w:pPr/>
          </w:p>
        </w:tc>
        <w:tc>
          <w:tcPr>
            <w:tcW w:w="1562"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57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31,710,297.63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6,835,254.50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其他债权投资公允价值变动</w:t>
            </w:r>
          </w:p>
        </w:tc>
        <w:tc>
          <w:tcPr>
            <w:tcW w:w="1570" w:type="dxa"/>
            <w:tcBorders>
              <w:top w:val="single" w:sz="6" w:space="0" w:color="000000"/>
              <w:left w:val="single" w:sz="12" w:space="0" w:color="D2D2D2"/>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其他权益工具投资公允价值变动</w:t>
            </w:r>
          </w:p>
        </w:tc>
        <w:tc>
          <w:tcPr>
            <w:tcW w:w="157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525,000.00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33,810,297.63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7,360,254.50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以抵销后净额列示的递延所得税资产或负债" w:id="330"/>
      <w:bookmarkEnd w:id="33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158"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0" w:hRule="exact"/>
        </w:trPr>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58"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2,820,939.09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2,621,119.43</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7,360,254.50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331"/>
      <w:bookmarkEnd w:id="33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838,221.00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11,455,154.04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852,438.37</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12,293,375.04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852,438.37</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5）未确认递延所得税资产的可抵扣亏损将于以下年度到期" w:id="332"/>
      <w:bookmarkEnd w:id="33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11" w:type="dxa"/>
            <w:tcBorders>
              <w:top w:val="single" w:sz="6" w:space="0" w:color="000000"/>
              <w:left w:val="single" w:sz="12" w:space="0" w:color="D9D9D9"/>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152,974.22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11" w:type="dxa"/>
            <w:tcBorders>
              <w:top w:val="single" w:sz="6" w:space="0" w:color="000000"/>
              <w:left w:val="single" w:sz="12" w:space="0" w:color="D9D9D9"/>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228,937.45</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228,937.45</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11" w:type="dxa"/>
            <w:tcBorders>
              <w:top w:val="single" w:sz="6" w:space="0" w:color="000000"/>
              <w:left w:val="single" w:sz="12" w:space="0" w:color="D9D9D9"/>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470,526.70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470,526.70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10,755,689.89</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11,455,154.04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852,438.37</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1、其他非流动资产" w:id="333"/>
      <w:bookmarkEnd w:id="333"/>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2、短期借款" w:id="334"/>
      <w:bookmarkEnd w:id="334"/>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33、交易性金融负债" w:id="335"/>
      <w:bookmarkEnd w:id="335"/>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5"/>
        <w:ind w:right="0"/>
        <w:jc w:val="left"/>
        <w:rPr>
          <w:b w:val="0"/>
          <w:bCs w:val="0"/>
        </w:rPr>
      </w:pPr>
      <w:bookmarkStart w:name="34、衍生金融负债" w:id="336"/>
      <w:bookmarkEnd w:id="336"/>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5、应付票据" w:id="337"/>
      <w:bookmarkEnd w:id="337"/>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0"/>
        <w:jc w:val="left"/>
        <w:rPr>
          <w:b w:val="0"/>
          <w:bCs w:val="0"/>
        </w:rPr>
      </w:pPr>
      <w:bookmarkStart w:name="36、应付账款" w:id="338"/>
      <w:bookmarkEnd w:id="338"/>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应付账款列示" w:id="339"/>
      <w:bookmarkEnd w:id="33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92,965,556.82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40,936,657.15</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1,825,036.20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204,581.83</w:t>
            </w: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47,354.73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322,575.00</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488,757.30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213,405.30</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95,326,705.05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41,677,219.28</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340"/>
      <w:bookmarkEnd w:id="340"/>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南昌迈杰文化传媒有限公司</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631,631.00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631,631.00</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7、预收款项" w:id="341"/>
      <w:bookmarkEnd w:id="341"/>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1）预收款项列示" w:id="342"/>
      <w:bookmarkEnd w:id="34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13,381,379.11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12,024,673.90</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13,163.51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13,163.51</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13,394,542.62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12,037,837.41</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343"/>
      <w:bookmarkEnd w:id="343"/>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bookmarkStart w:name="本公司无账龄超过一年的重要预收款项。" w:id="344"/>
      <w:bookmarkEnd w:id="344"/>
      <w:r>
        <w:rPr/>
      </w:r>
      <w:r>
        <w:rPr/>
        <w:t>本公司无账龄超过一年的重要预收款项。</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期末建造合同形成的已结算未完工项目情况" w:id="345"/>
      <w:bookmarkEnd w:id="34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r>
        <w:rPr/>
        <w:t>无</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0"/>
        <w:jc w:val="left"/>
        <w:rPr>
          <w:b w:val="0"/>
          <w:bCs w:val="0"/>
        </w:rPr>
      </w:pPr>
      <w:bookmarkStart w:name="38、合同负债" w:id="346"/>
      <w:bookmarkEnd w:id="346"/>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9、应付职工薪酬" w:id="347"/>
      <w:bookmarkEnd w:id="347"/>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348"/>
      <w:bookmarkEnd w:id="34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538"/>
        <w:gridCol w:w="1720"/>
        <w:gridCol w:w="1487"/>
        <w:gridCol w:w="1907"/>
        <w:gridCol w:w="1922"/>
      </w:tblGrid>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6,784,237.48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80,448,607.41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81,165,207.85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6,067,637.04</w:t>
            </w:r>
          </w:p>
        </w:tc>
      </w:tr>
      <w:tr>
        <w:trPr>
          <w:trHeight w:val="391"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694,198.16</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7,908,586.83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7,788,955.03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813,829.96</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7,478,435.64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88,357,194.24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88,954,162.88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6,881,467.00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349"/>
      <w:bookmarkEnd w:id="34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03"/>
        <w:gridCol w:w="1426"/>
        <w:gridCol w:w="1923"/>
        <w:gridCol w:w="1907"/>
        <w:gridCol w:w="1922"/>
      </w:tblGrid>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2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6,097,784.33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68,229,433.77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69,163,405.82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5,163,812.28</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26"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1,013,403.00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1,013,110.00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293.00</w:t>
            </w: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2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331,808.48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5,002,507.91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4,885,464.09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448,852.30</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2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304,154.88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4,485,127.97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4,377,663.98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411,618.87</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2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7,662.57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133,578.02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129,771.61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11,060.26</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2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19,991.03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384,210.64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378,028.50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26,173.17</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2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67,064.00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5,125,546.60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5,114,714.60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77,896.00</w:t>
            </w:r>
          </w:p>
        </w:tc>
      </w:tr>
      <w:tr>
        <w:trPr>
          <w:trHeight w:val="391"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2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287,580.67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1,077,716.13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988,513.34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376,783.46</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6,784,237.48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80,448,607.41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81,165,207.85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6,067,637.04</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3）设定提存计划列示" w:id="350"/>
      <w:bookmarkEnd w:id="35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669,898.24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7,569,382.22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7,456,961.18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782,319.28</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24,299.92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339,204.61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331,993.85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31,510.68</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694,198.16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7,908,586.83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7,788,955.03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813,829.96</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0、应交税费" w:id="351"/>
      <w:bookmarkEnd w:id="351"/>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1,158,813.57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2,900,242.27</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17,438,067.11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13,833,842.45</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1,051,622.19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263,958.80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80,778.49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203,036.65</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369,176.64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386,402.34</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教育税附加</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91,926.50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176,495.73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320.76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2,032.56</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20,190,730.26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17,766,010.80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1、其他应付款" w:id="352"/>
      <w:bookmarkEnd w:id="35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1,891,128.74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1,809,106.51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9,717,840.41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615,162.01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11,608,969.15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2,424,268.52</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1）应付利息" w:id="353"/>
      <w:bookmarkEnd w:id="35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r>
        <w:rPr/>
        <w:t>无</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right="0"/>
        <w:jc w:val="left"/>
        <w:rPr>
          <w:b w:val="0"/>
          <w:bCs w:val="0"/>
        </w:rPr>
      </w:pPr>
      <w:bookmarkStart w:name="（2）应付股利" w:id="354"/>
      <w:bookmarkEnd w:id="354"/>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1,891,128.74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1,809,106.51</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1,891,128.74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1,809,106.51</w:t>
            </w:r>
          </w:p>
        </w:tc>
      </w:tr>
    </w:tbl>
    <w:p>
      <w:pPr>
        <w:spacing w:line="240" w:lineRule="auto" w:before="11"/>
        <w:rPr>
          <w:rFonts w:ascii="宋体" w:hAnsi="宋体" w:cs="宋体" w:eastAsia="宋体" w:hint="default"/>
          <w:sz w:val="19"/>
          <w:szCs w:val="19"/>
        </w:rPr>
      </w:pPr>
    </w:p>
    <w:p>
      <w:pPr>
        <w:pStyle w:val="Heading5"/>
        <w:spacing w:line="508" w:lineRule="auto" w:before="35"/>
        <w:ind w:right="7903"/>
        <w:jc w:val="left"/>
        <w:rPr>
          <w:b w:val="0"/>
          <w:bCs w:val="0"/>
        </w:rPr>
      </w:pPr>
      <w:bookmarkStart w:name="（3）其他应付款" w:id="355"/>
      <w:bookmarkEnd w:id="355"/>
      <w:r>
        <w:rPr>
          <w:b w:val="0"/>
          <w:bCs w:val="0"/>
        </w:rPr>
      </w:r>
      <w:r>
        <w:rPr/>
        <w:t>（</w:t>
      </w:r>
      <w:r>
        <w:rPr>
          <w:rFonts w:ascii="Times New Roman" w:hAnsi="Times New Roman" w:cs="Times New Roman" w:eastAsia="Times New Roman" w:hint="default"/>
        </w:rPr>
        <w:t>3</w:t>
      </w:r>
      <w:r>
        <w:rPr/>
        <w:t>）其他应付款</w:t>
      </w:r>
      <w:r>
        <w:rPr>
          <w:w w:val="99"/>
        </w:rPr>
        <w:t> </w:t>
      </w:r>
      <w:bookmarkStart w:name="1）按款项性质列示其他应付款" w:id="356"/>
      <w:bookmarkEnd w:id="356"/>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应付单位款项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应付个人款项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1,535,479.00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费用报销款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682,361.41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615,162.01</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9,717,840.41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615,162.01</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其他应付款" w:id="357"/>
      <w:bookmarkEnd w:id="357"/>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3"/>
        <w:rPr>
          <w:rFonts w:ascii="宋体" w:hAnsi="宋体" w:cs="宋体" w:eastAsia="宋体" w:hint="default"/>
          <w:b/>
          <w:bCs/>
          <w:sz w:val="25"/>
          <w:szCs w:val="25"/>
        </w:rPr>
      </w:pPr>
    </w:p>
    <w:p>
      <w:pPr>
        <w:pStyle w:val="BodyText"/>
        <w:spacing w:line="350" w:lineRule="auto"/>
        <w:ind w:right="7689"/>
        <w:jc w:val="left"/>
      </w:pPr>
      <w:r>
        <w:rPr/>
        <w:t>公司无账龄超过一年的重要其他应付款 其他说明</w:t>
      </w:r>
    </w:p>
    <w:p>
      <w:pPr>
        <w:pStyle w:val="BodyText"/>
        <w:spacing w:line="240" w:lineRule="auto" w:before="42"/>
        <w:ind w:left="441" w:right="0"/>
        <w:jc w:val="left"/>
      </w:pPr>
      <w:r>
        <w:rPr/>
        <w:t>应付单位款项</w:t>
      </w:r>
      <w:r>
        <w:rPr>
          <w:rFonts w:ascii="Times New Roman" w:hAnsi="Times New Roman" w:cs="Times New Roman" w:eastAsia="Times New Roman" w:hint="default"/>
        </w:rPr>
        <w:t>750</w:t>
      </w:r>
      <w:r>
        <w:rPr/>
        <w:t>万元为本公司之子公司云目未来科技（北京）有限公司股东投入借款。</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42、持有待售负债" w:id="358"/>
      <w:bookmarkEnd w:id="358"/>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43、一年内到期的非流动负债" w:id="359"/>
      <w:bookmarkEnd w:id="359"/>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4、其他流动负债" w:id="360"/>
      <w:bookmarkEnd w:id="360"/>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5、长期借款" w:id="361"/>
      <w:bookmarkEnd w:id="361"/>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0"/>
        <w:jc w:val="left"/>
        <w:rPr>
          <w:b w:val="0"/>
          <w:bCs w:val="0"/>
        </w:rPr>
      </w:pPr>
      <w:bookmarkStart w:name="46、应付债券" w:id="362"/>
      <w:bookmarkEnd w:id="362"/>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7、租赁负债" w:id="363"/>
      <w:bookmarkEnd w:id="363"/>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8、长期应付款" w:id="364"/>
      <w:bookmarkEnd w:id="364"/>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49、长期应付职工薪酬" w:id="365"/>
      <w:bookmarkEnd w:id="365"/>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50、预计负债" w:id="366"/>
      <w:bookmarkEnd w:id="36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1、递延收益" w:id="367"/>
      <w:bookmarkEnd w:id="36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52、其他非流动负债" w:id="368"/>
      <w:bookmarkEnd w:id="36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3、股本" w:id="369"/>
      <w:bookmarkEnd w:id="369"/>
      <w:r>
        <w:rPr>
          <w:b w:val="0"/>
          <w:bCs w:val="0"/>
        </w:rPr>
      </w: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1194"/>
        <w:gridCol w:w="1194"/>
        <w:gridCol w:w="1202"/>
        <w:gridCol w:w="1201"/>
        <w:gridCol w:w="1186"/>
        <w:gridCol w:w="1194"/>
        <w:gridCol w:w="1209"/>
      </w:tblGrid>
      <w:tr>
        <w:trPr>
          <w:trHeight w:val="203"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162,000,000.00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 w:right="0"/>
              <w:jc w:val="left"/>
              <w:rPr>
                <w:rFonts w:ascii="Times New Roman" w:hAnsi="Times New Roman" w:cs="Times New Roman" w:eastAsia="Times New Roman" w:hint="default"/>
                <w:sz w:val="18"/>
                <w:szCs w:val="18"/>
              </w:rPr>
            </w:pPr>
            <w:r>
              <w:rPr>
                <w:rFonts w:ascii="Times New Roman"/>
                <w:sz w:val="18"/>
              </w:rPr>
              <w:t>162,000,000.00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4、其他权益工具" w:id="370"/>
      <w:bookmarkEnd w:id="37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left="481" w:right="799"/>
        <w:jc w:val="left"/>
        <w:rPr>
          <w:b w:val="0"/>
          <w:bCs w:val="0"/>
        </w:rPr>
      </w:pPr>
      <w:bookmarkStart w:name="55、资本公积" w:id="371"/>
      <w:bookmarkEnd w:id="371"/>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474"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200,205,305.28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35,225.64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328,911.96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199,911,618.96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120,443.29</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120,443.29</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200,205,305.28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155,668.93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328,911.96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200,032,062.25</w:t>
            </w:r>
          </w:p>
        </w:tc>
      </w:tr>
    </w:tbl>
    <w:p>
      <w:pPr>
        <w:pStyle w:val="BodyText"/>
        <w:spacing w:line="328" w:lineRule="auto" w:before="44"/>
        <w:ind w:left="481" w:right="799"/>
        <w:jc w:val="left"/>
      </w:pPr>
      <w:r>
        <w:rPr/>
        <w:t>其他说明，包括本期增减变动情况、变动原因说明：</w:t>
      </w:r>
      <w:r>
        <w:rPr>
          <w:spacing w:val="-86"/>
        </w:rPr>
        <w:t> </w:t>
      </w:r>
      <w:r>
        <w:rPr>
          <w:spacing w:val="-86"/>
        </w:rPr>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月，本公司之子公司云目未来科技（北京）有限公司（以下简称“云目未来北京”）少数股东增资</w:t>
      </w:r>
      <w:r>
        <w:rPr>
          <w:rFonts w:ascii="宋体" w:hAnsi="宋体" w:cs="宋体" w:eastAsia="宋体" w:hint="default"/>
          <w:spacing w:val="-2"/>
        </w:rPr>
        <w:t>2,500,000.00</w:t>
      </w:r>
      <w:r>
        <w:rPr>
          <w:rFonts w:ascii="宋体" w:hAnsi="宋体" w:cs="宋体" w:eastAsia="宋体" w:hint="default"/>
          <w:spacing w:val="-47"/>
        </w:rPr>
        <w:t> </w:t>
      </w:r>
      <w:r>
        <w:rPr/>
        <w:t>元，导致公司对云目未来北京股权被动稀释，增加资本公积</w:t>
      </w:r>
      <w:r>
        <w:rPr>
          <w:rFonts w:ascii="宋体" w:hAnsi="宋体" w:cs="宋体" w:eastAsia="宋体" w:hint="default"/>
        </w:rPr>
        <w:t>35,225.64</w:t>
      </w:r>
      <w:r>
        <w:rPr>
          <w:rFonts w:ascii="宋体" w:hAnsi="宋体" w:cs="宋体" w:eastAsia="宋体" w:hint="default"/>
          <w:spacing w:val="6"/>
        </w:rPr>
        <w:t> </w:t>
      </w:r>
      <w:r>
        <w:rPr/>
        <w:t>元。</w:t>
      </w:r>
    </w:p>
    <w:p>
      <w:pPr>
        <w:pStyle w:val="BodyText"/>
        <w:spacing w:line="321" w:lineRule="auto" w:before="13"/>
        <w:ind w:left="481" w:right="799"/>
        <w:jc w:val="left"/>
      </w:pPr>
      <w:r>
        <w:rPr>
          <w:rFonts w:ascii="宋体" w:hAnsi="宋体" w:cs="宋体" w:eastAsia="宋体" w:hint="default"/>
          <w:spacing w:val="-3"/>
        </w:rPr>
        <w:t>2</w:t>
      </w:r>
      <w:r>
        <w:rPr>
          <w:spacing w:val="-3"/>
        </w:rPr>
        <w:t>、本公司所属子公司云目未来科技（湖南）有限公司本年级次调整，本公司持有其股权被动稀释，减少资本公积</w:t>
      </w:r>
      <w:r>
        <w:rPr>
          <w:rFonts w:ascii="宋体" w:hAnsi="宋体" w:cs="宋体" w:eastAsia="宋体" w:hint="default"/>
          <w:spacing w:val="-3"/>
        </w:rPr>
        <w:t>328,911.96</w:t>
      </w:r>
      <w:r>
        <w:rPr>
          <w:rFonts w:ascii="宋体" w:hAnsi="宋体" w:cs="宋体" w:eastAsia="宋体" w:hint="default"/>
          <w:spacing w:val="-54"/>
        </w:rPr>
        <w:t> </w:t>
      </w:r>
      <w:r>
        <w:rPr/>
        <w:t>元。</w:t>
      </w:r>
    </w:p>
    <w:p>
      <w:pPr>
        <w:pStyle w:val="BodyText"/>
        <w:spacing w:line="240" w:lineRule="auto" w:before="19"/>
        <w:ind w:left="481" w:right="799"/>
        <w:jc w:val="left"/>
      </w:pPr>
      <w:r>
        <w:rPr>
          <w:rFonts w:ascii="宋体" w:hAnsi="宋体" w:cs="宋体" w:eastAsia="宋体" w:hint="default"/>
        </w:rPr>
        <w:t>3</w:t>
      </w:r>
      <w:r>
        <w:rPr/>
        <w:t>、云目未来北京本期以权益结算的股份支付计入资本公积的金额</w:t>
      </w:r>
      <w:r>
        <w:rPr>
          <w:rFonts w:ascii="宋体" w:hAnsi="宋体" w:cs="宋体" w:eastAsia="宋体" w:hint="default"/>
        </w:rPr>
        <w:t>120,443.29</w:t>
      </w:r>
      <w:r>
        <w:rPr/>
        <w:t>元。</w:t>
      </w:r>
    </w:p>
    <w:p>
      <w:pPr>
        <w:spacing w:line="240" w:lineRule="auto" w:before="0"/>
        <w:rPr>
          <w:rFonts w:ascii="宋体" w:hAnsi="宋体" w:cs="宋体" w:eastAsia="宋体" w:hint="default"/>
          <w:sz w:val="18"/>
          <w:szCs w:val="18"/>
        </w:rPr>
      </w:pPr>
    </w:p>
    <w:p>
      <w:pPr>
        <w:pStyle w:val="Heading5"/>
        <w:spacing w:line="240" w:lineRule="auto" w:before="139"/>
        <w:ind w:left="481" w:right="799"/>
        <w:jc w:val="left"/>
        <w:rPr>
          <w:b w:val="0"/>
          <w:bCs w:val="0"/>
        </w:rPr>
      </w:pPr>
      <w:bookmarkStart w:name="56、库存股" w:id="372"/>
      <w:bookmarkEnd w:id="372"/>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46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39,999,113.66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8,876,105.82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48,875,219.48</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39,999,113.66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8,876,105.82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48,875,219.48</w:t>
            </w:r>
          </w:p>
        </w:tc>
      </w:tr>
    </w:tbl>
    <w:p>
      <w:pPr>
        <w:pStyle w:val="BodyText"/>
        <w:spacing w:line="367" w:lineRule="auto" w:before="45"/>
        <w:ind w:left="811" w:right="1120" w:hanging="331"/>
        <w:jc w:val="left"/>
      </w:pPr>
      <w:r>
        <w:rPr/>
        <w:t>其他说明，包括本期增减变动情况、变动原因说明： </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日，本公司通过股票回购专用证券账户以集中竞价交易方式累计回购公司股份数量为</w:t>
      </w:r>
      <w:r>
        <w:rPr>
          <w:rFonts w:ascii="Times New Roman" w:hAnsi="Times New Roman" w:cs="Times New Roman" w:eastAsia="Times New Roman" w:hint="default"/>
          <w:spacing w:val="-1"/>
        </w:rPr>
        <w:t>2,960,025</w:t>
      </w:r>
      <w:r>
        <w:rPr>
          <w:spacing w:val="-1"/>
        </w:rPr>
        <w:t>股，占</w:t>
      </w:r>
    </w:p>
    <w:p>
      <w:pPr>
        <w:pStyle w:val="BodyText"/>
        <w:spacing w:line="210" w:lineRule="exact"/>
        <w:ind w:left="481" w:right="799"/>
        <w:jc w:val="left"/>
      </w:pPr>
      <w:r>
        <w:rPr/>
        <w:t>公司目前总股本的比例为</w:t>
      </w:r>
      <w:r>
        <w:rPr>
          <w:rFonts w:ascii="Times New Roman" w:hAnsi="Times New Roman" w:cs="Times New Roman" w:eastAsia="Times New Roman" w:hint="default"/>
        </w:rPr>
        <w:t>1.83%</w:t>
      </w:r>
      <w:r>
        <w:rPr/>
        <w:t>，最高成交价为</w:t>
      </w:r>
      <w:r>
        <w:rPr>
          <w:rFonts w:ascii="Times New Roman" w:hAnsi="Times New Roman" w:cs="Times New Roman" w:eastAsia="Times New Roman" w:hint="default"/>
        </w:rPr>
        <w:t>18.50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14.93</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48,875,219.48</w:t>
      </w:r>
      <w:r>
        <w:rPr/>
        <w:t>元（含手</w:t>
      </w:r>
    </w:p>
    <w:p>
      <w:pPr>
        <w:pStyle w:val="BodyText"/>
        <w:spacing w:line="240" w:lineRule="auto" w:before="51"/>
        <w:ind w:left="481" w:right="799"/>
        <w:jc w:val="left"/>
      </w:pPr>
      <w:r>
        <w:rPr/>
        <w:t>续费）。</w:t>
      </w:r>
    </w:p>
    <w:p>
      <w:pPr>
        <w:spacing w:line="240" w:lineRule="auto" w:before="0"/>
        <w:rPr>
          <w:rFonts w:ascii="宋体" w:hAnsi="宋体" w:cs="宋体" w:eastAsia="宋体" w:hint="default"/>
          <w:sz w:val="18"/>
          <w:szCs w:val="18"/>
        </w:rPr>
      </w:pPr>
    </w:p>
    <w:p>
      <w:pPr>
        <w:pStyle w:val="Heading5"/>
        <w:spacing w:line="240" w:lineRule="auto" w:before="139"/>
        <w:ind w:left="481" w:right="799"/>
        <w:jc w:val="left"/>
        <w:rPr>
          <w:b w:val="0"/>
          <w:bCs w:val="0"/>
        </w:rPr>
      </w:pPr>
      <w:bookmarkStart w:name="57、其他综合收益" w:id="373"/>
      <w:bookmarkEnd w:id="373"/>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48"/>
        <w:gridCol w:w="1066"/>
        <w:gridCol w:w="1231"/>
        <w:gridCol w:w="1382"/>
        <w:gridCol w:w="1081"/>
        <w:gridCol w:w="916"/>
        <w:gridCol w:w="1127"/>
        <w:gridCol w:w="721"/>
        <w:gridCol w:w="1006"/>
      </w:tblGrid>
      <w:tr>
        <w:trPr>
          <w:trHeight w:val="406" w:hRule="exact"/>
        </w:trPr>
        <w:tc>
          <w:tcPr>
            <w:tcW w:w="1848" w:type="dxa"/>
            <w:vMerge w:val="restart"/>
            <w:tcBorders>
              <w:top w:val="single" w:sz="6" w:space="0" w:color="000000"/>
              <w:left w:val="single" w:sz="6" w:space="0" w:color="000000"/>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
        </w:tc>
        <w:tc>
          <w:tcPr>
            <w:tcW w:w="6458"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06" w:type="dxa"/>
            <w:vMerge w:val="restart"/>
            <w:tcBorders>
              <w:top w:val="single" w:sz="6" w:space="0" w:color="000000"/>
              <w:left w:val="single" w:sz="6" w:space="0" w:color="000000"/>
              <w:right w:val="single" w:sz="6" w:space="0" w:color="000000"/>
            </w:tcBorders>
            <w:shd w:val="clear" w:color="auto" w:fill="D2D2D2"/>
          </w:tcPr>
          <w:p>
            <w:pPr/>
          </w:p>
        </w:tc>
      </w:tr>
      <w:tr>
        <w:trPr>
          <w:trHeight w:val="157" w:hRule="exact"/>
        </w:trPr>
        <w:tc>
          <w:tcPr>
            <w:tcW w:w="1848"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231" w:type="dxa"/>
            <w:vMerge w:val="restart"/>
            <w:tcBorders>
              <w:top w:val="single" w:sz="6" w:space="0" w:color="000000"/>
              <w:left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9" w:right="13"/>
              <w:jc w:val="center"/>
              <w:rPr>
                <w:rFonts w:ascii="宋体" w:hAnsi="宋体" w:cs="宋体" w:eastAsia="宋体" w:hint="default"/>
                <w:sz w:val="18"/>
                <w:szCs w:val="18"/>
              </w:rPr>
            </w:pPr>
            <w:r>
              <w:rPr>
                <w:rFonts w:ascii="宋体" w:hAnsi="宋体" w:cs="宋体" w:eastAsia="宋体" w:hint="default"/>
                <w:spacing w:val="-10"/>
                <w:sz w:val="18"/>
                <w:szCs w:val="18"/>
              </w:rPr>
              <w:t>减：前期计入</w:t>
            </w:r>
            <w:r>
              <w:rPr>
                <w:rFonts w:ascii="宋体" w:hAnsi="宋体" w:cs="宋体" w:eastAsia="宋体" w:hint="default"/>
                <w:sz w:val="18"/>
                <w:szCs w:val="18"/>
              </w:rPr>
              <w:t> 其他综合收 益当期转入 留存收益</w:t>
            </w:r>
          </w:p>
        </w:tc>
        <w:tc>
          <w:tcPr>
            <w:tcW w:w="916"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shd w:val="clear" w:color="auto" w:fill="D2D2D2"/>
          </w:tcPr>
          <w:p>
            <w:pP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06" w:type="dxa"/>
            <w:vMerge/>
            <w:tcBorders>
              <w:left w:val="single" w:sz="6" w:space="0" w:color="000000"/>
              <w:right w:val="single" w:sz="6" w:space="0" w:color="000000"/>
            </w:tcBorders>
            <w:shd w:val="clear" w:color="auto" w:fill="D2D2D2"/>
          </w:tcPr>
          <w:p>
            <w:pPr/>
          </w:p>
        </w:tc>
      </w:tr>
      <w:tr>
        <w:trPr>
          <w:trHeight w:val="105" w:hRule="exact"/>
        </w:trPr>
        <w:tc>
          <w:tcPr>
            <w:tcW w:w="1848"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82"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60" w:right="46"/>
              <w:jc w:val="center"/>
              <w:rPr>
                <w:rFonts w:ascii="宋体" w:hAnsi="宋体" w:cs="宋体" w:eastAsia="宋体" w:hint="default"/>
                <w:sz w:val="18"/>
                <w:szCs w:val="18"/>
              </w:rPr>
            </w:pPr>
            <w:r>
              <w:rPr>
                <w:rFonts w:ascii="宋体" w:hAnsi="宋体" w:cs="宋体" w:eastAsia="宋体" w:hint="default"/>
                <w:sz w:val="18"/>
                <w:szCs w:val="18"/>
              </w:rPr>
              <w:t>减：前期计入其 他综合收益当期 转入损益</w:t>
            </w:r>
          </w:p>
        </w:tc>
        <w:tc>
          <w:tcPr>
            <w:tcW w:w="1081" w:type="dxa"/>
            <w:vMerge/>
            <w:tcBorders>
              <w:left w:val="single" w:sz="6" w:space="0" w:color="000000"/>
              <w:right w:val="single" w:sz="6" w:space="0" w:color="000000"/>
            </w:tcBorders>
            <w:shd w:val="clear" w:color="auto" w:fill="D2D2D2"/>
          </w:tcPr>
          <w:p>
            <w:pPr/>
          </w:p>
        </w:tc>
        <w:tc>
          <w:tcPr>
            <w:tcW w:w="916" w:type="dxa"/>
            <w:vMerge/>
            <w:tcBorders>
              <w:left w:val="single" w:sz="6" w:space="0" w:color="000000"/>
              <w:bottom w:val="nil" w:sz="6" w:space="0" w:color="auto"/>
              <w:right w:val="single" w:sz="6" w:space="0" w:color="000000"/>
            </w:tcBorders>
            <w:shd w:val="clear" w:color="auto" w:fill="D2D2D2"/>
          </w:tcPr>
          <w:p>
            <w:pPr/>
          </w:p>
        </w:tc>
        <w:tc>
          <w:tcPr>
            <w:tcW w:w="1127" w:type="dxa"/>
            <w:vMerge/>
            <w:tcBorders>
              <w:left w:val="single" w:sz="6" w:space="0" w:color="000000"/>
              <w:bottom w:val="nil" w:sz="6" w:space="0" w:color="auto"/>
              <w:right w:val="single" w:sz="6" w:space="0" w:color="000000"/>
            </w:tcBorders>
            <w:shd w:val="clear" w:color="auto" w:fill="D2D2D2"/>
          </w:tcPr>
          <w:p>
            <w:pPr/>
          </w:p>
        </w:tc>
        <w:tc>
          <w:tcPr>
            <w:tcW w:w="72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75" w:right="8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06" w:type="dxa"/>
            <w:vMerge/>
            <w:tcBorders>
              <w:left w:val="single" w:sz="6" w:space="0" w:color="000000"/>
              <w:bottom w:val="nil" w:sz="6" w:space="0" w:color="auto"/>
              <w:right w:val="single" w:sz="6" w:space="0" w:color="000000"/>
            </w:tcBorders>
            <w:shd w:val="clear" w:color="auto" w:fill="D2D2D2"/>
          </w:tcPr>
          <w:p>
            <w:pPr/>
          </w:p>
        </w:tc>
      </w:tr>
      <w:tr>
        <w:trPr>
          <w:trHeight w:val="368" w:hRule="exact"/>
        </w:trPr>
        <w:tc>
          <w:tcPr>
            <w:tcW w:w="184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90"/>
              <w:ind w:left="345" w:right="59" w:hanging="271"/>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382"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1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255" w:right="28" w:hanging="240"/>
              <w:jc w:val="left"/>
              <w:rPr>
                <w:rFonts w:ascii="宋体" w:hAnsi="宋体" w:cs="宋体" w:eastAsia="宋体" w:hint="default"/>
                <w:sz w:val="18"/>
                <w:szCs w:val="18"/>
              </w:rPr>
            </w:pPr>
            <w:r>
              <w:rPr>
                <w:rFonts w:ascii="宋体" w:hAnsi="宋体" w:cs="宋体" w:eastAsia="宋体" w:hint="default"/>
                <w:spacing w:val="-9"/>
                <w:sz w:val="18"/>
                <w:szCs w:val="18"/>
              </w:rPr>
              <w:t>减：所得税</w:t>
            </w:r>
            <w:r>
              <w:rPr>
                <w:rFonts w:ascii="宋体" w:hAnsi="宋体" w:cs="宋体" w:eastAsia="宋体" w:hint="default"/>
                <w:sz w:val="18"/>
                <w:szCs w:val="18"/>
              </w:rPr>
              <w:t> 费用</w:t>
            </w:r>
          </w:p>
        </w:tc>
        <w:tc>
          <w:tcPr>
            <w:tcW w:w="1127"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375" w:right="14" w:hanging="361"/>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21" w:type="dxa"/>
            <w:vMerge/>
            <w:tcBorders>
              <w:left w:val="single" w:sz="6" w:space="0" w:color="000000"/>
              <w:right w:val="single" w:sz="6" w:space="0" w:color="000000"/>
            </w:tcBorders>
            <w:shd w:val="clear" w:color="auto" w:fill="D2D2D2"/>
          </w:tcPr>
          <w:p>
            <w:pPr/>
          </w:p>
        </w:tc>
        <w:tc>
          <w:tcPr>
            <w:tcW w:w="100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2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1848"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82"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16" w:type="dxa"/>
            <w:vMerge/>
            <w:tcBorders>
              <w:left w:val="single" w:sz="6" w:space="0" w:color="000000"/>
              <w:bottom w:val="nil" w:sz="6" w:space="0" w:color="auto"/>
              <w:right w:val="single" w:sz="6" w:space="0" w:color="000000"/>
            </w:tcBorders>
            <w:shd w:val="clear" w:color="auto" w:fill="D2D2D2"/>
          </w:tcPr>
          <w:p>
            <w:pPr/>
          </w:p>
        </w:tc>
        <w:tc>
          <w:tcPr>
            <w:tcW w:w="1127"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006" w:type="dxa"/>
            <w:vMerge w:val="restart"/>
            <w:tcBorders>
              <w:top w:val="nil" w:sz="6" w:space="0" w:color="auto"/>
              <w:left w:val="single" w:sz="6" w:space="0" w:color="000000"/>
              <w:right w:val="single" w:sz="6" w:space="0" w:color="000000"/>
            </w:tcBorders>
            <w:shd w:val="clear" w:color="auto" w:fill="D2D2D2"/>
          </w:tcPr>
          <w:p>
            <w:pPr/>
          </w:p>
        </w:tc>
      </w:tr>
      <w:tr>
        <w:trPr>
          <w:trHeight w:val="166" w:hRule="exact"/>
        </w:trPr>
        <w:tc>
          <w:tcPr>
            <w:tcW w:w="1848"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231" w:type="dxa"/>
            <w:vMerge w:val="restart"/>
            <w:tcBorders>
              <w:top w:val="nil" w:sz="6" w:space="0" w:color="auto"/>
              <w:left w:val="single" w:sz="6" w:space="0" w:color="000000"/>
              <w:right w:val="single" w:sz="6" w:space="0" w:color="000000"/>
            </w:tcBorders>
            <w:shd w:val="clear" w:color="auto" w:fill="D2D2D2"/>
          </w:tcPr>
          <w:p>
            <w:pPr/>
          </w:p>
        </w:tc>
        <w:tc>
          <w:tcPr>
            <w:tcW w:w="1382" w:type="dxa"/>
            <w:vMerge/>
            <w:tcBorders>
              <w:left w:val="single" w:sz="6" w:space="0" w:color="000000"/>
              <w:bottom w:val="nil" w:sz="6" w:space="0" w:color="auto"/>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16" w:type="dxa"/>
            <w:vMerge w:val="restart"/>
            <w:tcBorders>
              <w:top w:val="nil" w:sz="6" w:space="0" w:color="auto"/>
              <w:left w:val="single" w:sz="6" w:space="0" w:color="000000"/>
              <w:right w:val="single" w:sz="6" w:space="0" w:color="000000"/>
            </w:tcBorders>
            <w:shd w:val="clear" w:color="auto" w:fill="D2D2D2"/>
          </w:tcPr>
          <w:p>
            <w:pPr/>
          </w:p>
        </w:tc>
        <w:tc>
          <w:tcPr>
            <w:tcW w:w="1127" w:type="dxa"/>
            <w:vMerge w:val="restart"/>
            <w:tcBorders>
              <w:top w:val="nil" w:sz="6" w:space="0" w:color="auto"/>
              <w:left w:val="single" w:sz="6" w:space="0" w:color="000000"/>
              <w:right w:val="single" w:sz="6" w:space="0" w:color="000000"/>
            </w:tcBorders>
            <w:shd w:val="clear" w:color="auto" w:fill="D2D2D2"/>
          </w:tcPr>
          <w:p>
            <w:pPr/>
          </w:p>
        </w:tc>
        <w:tc>
          <w:tcPr>
            <w:tcW w:w="721" w:type="dxa"/>
            <w:vMerge/>
            <w:tcBorders>
              <w:left w:val="single" w:sz="6" w:space="0" w:color="000000"/>
              <w:bottom w:val="nil" w:sz="6" w:space="0" w:color="auto"/>
              <w:right w:val="single" w:sz="6" w:space="0" w:color="000000"/>
            </w:tcBorders>
            <w:shd w:val="clear" w:color="auto" w:fill="D2D2D2"/>
          </w:tcPr>
          <w:p>
            <w:pPr/>
          </w:p>
        </w:tc>
        <w:tc>
          <w:tcPr>
            <w:tcW w:w="1006" w:type="dxa"/>
            <w:vMerge/>
            <w:tcBorders>
              <w:left w:val="single" w:sz="6" w:space="0" w:color="000000"/>
              <w:right w:val="single" w:sz="6" w:space="0" w:color="000000"/>
            </w:tcBorders>
            <w:shd w:val="clear" w:color="auto" w:fill="D2D2D2"/>
          </w:tcPr>
          <w:p>
            <w:pPr/>
          </w:p>
        </w:tc>
      </w:tr>
      <w:tr>
        <w:trPr>
          <w:trHeight w:val="158" w:hRule="exact"/>
        </w:trPr>
        <w:tc>
          <w:tcPr>
            <w:tcW w:w="1848"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231"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1" w:type="dxa"/>
            <w:vMerge/>
            <w:tcBorders>
              <w:left w:val="single" w:sz="6" w:space="0" w:color="000000"/>
              <w:bottom w:val="single" w:sz="6" w:space="0" w:color="000000"/>
              <w:right w:val="single" w:sz="6" w:space="0" w:color="000000"/>
            </w:tcBorders>
            <w:shd w:val="clear" w:color="auto" w:fill="D2D2D2"/>
          </w:tcPr>
          <w:p>
            <w:pPr/>
          </w:p>
        </w:tc>
        <w:tc>
          <w:tcPr>
            <w:tcW w:w="916"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shd w:val="clear" w:color="auto" w:fill="D2D2D2"/>
          </w:tcPr>
          <w:p>
            <w:pPr/>
          </w:p>
        </w:tc>
        <w:tc>
          <w:tcPr>
            <w:tcW w:w="72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06"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的其他综合收益</w:t>
            </w:r>
          </w:p>
        </w:tc>
        <w:tc>
          <w:tcPr>
            <w:tcW w:w="1066" w:type="dxa"/>
            <w:tcBorders>
              <w:top w:val="single" w:sz="6" w:space="0" w:color="000000"/>
              <w:left w:val="single" w:sz="18" w:space="0" w:color="D2D2D2"/>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2,100,000.00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525,000.00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1,575,000.00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1,575,000.00</w:t>
            </w:r>
          </w:p>
        </w:tc>
      </w:tr>
      <w:tr>
        <w:trPr>
          <w:trHeight w:val="706" w:hRule="exact"/>
        </w:trPr>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95" w:firstLine="540"/>
              <w:jc w:val="left"/>
              <w:rPr>
                <w:rFonts w:ascii="宋体" w:hAnsi="宋体" w:cs="宋体" w:eastAsia="宋体" w:hint="default"/>
                <w:sz w:val="18"/>
                <w:szCs w:val="18"/>
              </w:rPr>
            </w:pPr>
            <w:r>
              <w:rPr>
                <w:rFonts w:ascii="宋体" w:hAnsi="宋体" w:cs="宋体" w:eastAsia="宋体" w:hint="default"/>
                <w:sz w:val="18"/>
                <w:szCs w:val="18"/>
              </w:rPr>
              <w:t>其他权益工具 投资公允价值变动</w:t>
            </w:r>
          </w:p>
        </w:tc>
        <w:tc>
          <w:tcPr>
            <w:tcW w:w="1066" w:type="dxa"/>
            <w:tcBorders>
              <w:top w:val="single" w:sz="6" w:space="0" w:color="000000"/>
              <w:left w:val="single" w:sz="18" w:space="0" w:color="D2D2D2"/>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2,100,000.00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525,000.00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1,575,000.00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1,575,000.00</w:t>
            </w:r>
          </w:p>
        </w:tc>
      </w:tr>
      <w:tr>
        <w:trPr>
          <w:trHeight w:val="721" w:hRule="exact"/>
        </w:trPr>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3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其他综合收益</w:t>
            </w:r>
          </w:p>
        </w:tc>
        <w:tc>
          <w:tcPr>
            <w:tcW w:w="106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3,456,934.40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739,712.42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739,712.42</w:t>
            </w:r>
          </w:p>
        </w:tc>
        <w:tc>
          <w:tcPr>
            <w:tcW w:w="72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4,196,646.82</w:t>
            </w:r>
          </w:p>
        </w:tc>
      </w:tr>
    </w:tbl>
    <w:p>
      <w:pPr>
        <w:spacing w:after="0" w:line="240" w:lineRule="auto"/>
        <w:jc w:val="center"/>
        <w:rPr>
          <w:rFonts w:ascii="Times New Roman" w:hAnsi="Times New Roman" w:cs="Times New Roman" w:eastAsia="Times New Roman" w:hint="default"/>
          <w:sz w:val="18"/>
          <w:szCs w:val="18"/>
        </w:rPr>
        <w:sectPr>
          <w:pgSz w:w="11910" w:h="16850"/>
          <w:pgMar w:header="866" w:footer="981" w:top="1120" w:bottom="1180" w:left="660" w:right="0"/>
        </w:sectPr>
      </w:pPr>
    </w:p>
    <w:p>
      <w:pPr>
        <w:spacing w:line="240" w:lineRule="auto" w:before="2"/>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840"/>
        <w:gridCol w:w="1066"/>
        <w:gridCol w:w="1231"/>
        <w:gridCol w:w="1382"/>
        <w:gridCol w:w="1081"/>
        <w:gridCol w:w="916"/>
        <w:gridCol w:w="1127"/>
        <w:gridCol w:w="721"/>
        <w:gridCol w:w="1006"/>
      </w:tblGrid>
      <w:tr>
        <w:trPr>
          <w:trHeight w:val="405" w:hRule="exact"/>
        </w:trPr>
        <w:tc>
          <w:tcPr>
            <w:tcW w:w="1840" w:type="dxa"/>
            <w:vMerge w:val="restart"/>
            <w:tcBorders>
              <w:top w:val="single" w:sz="6" w:space="0" w:color="000000"/>
              <w:left w:val="single" w:sz="6" w:space="0" w:color="000000"/>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
        </w:tc>
        <w:tc>
          <w:tcPr>
            <w:tcW w:w="6458"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06" w:type="dxa"/>
            <w:vMerge w:val="restart"/>
            <w:tcBorders>
              <w:top w:val="single" w:sz="6" w:space="0" w:color="000000"/>
              <w:left w:val="single" w:sz="6" w:space="0" w:color="000000"/>
              <w:right w:val="single" w:sz="6" w:space="0" w:color="000000"/>
            </w:tcBorders>
            <w:shd w:val="clear" w:color="auto" w:fill="D2D2D2"/>
          </w:tcPr>
          <w:p>
            <w:pPr/>
          </w:p>
        </w:tc>
      </w:tr>
      <w:tr>
        <w:trPr>
          <w:trHeight w:val="158" w:hRule="exact"/>
        </w:trPr>
        <w:tc>
          <w:tcPr>
            <w:tcW w:w="1840"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231" w:type="dxa"/>
            <w:vMerge w:val="restart"/>
            <w:tcBorders>
              <w:top w:val="single" w:sz="6" w:space="0" w:color="000000"/>
              <w:left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9" w:right="13"/>
              <w:jc w:val="center"/>
              <w:rPr>
                <w:rFonts w:ascii="宋体" w:hAnsi="宋体" w:cs="宋体" w:eastAsia="宋体" w:hint="default"/>
                <w:sz w:val="18"/>
                <w:szCs w:val="18"/>
              </w:rPr>
            </w:pPr>
            <w:r>
              <w:rPr>
                <w:rFonts w:ascii="宋体" w:hAnsi="宋体" w:cs="宋体" w:eastAsia="宋体" w:hint="default"/>
                <w:spacing w:val="-10"/>
                <w:sz w:val="18"/>
                <w:szCs w:val="18"/>
              </w:rPr>
              <w:t>减：前期计入</w:t>
            </w:r>
            <w:r>
              <w:rPr>
                <w:rFonts w:ascii="宋体" w:hAnsi="宋体" w:cs="宋体" w:eastAsia="宋体" w:hint="default"/>
                <w:sz w:val="18"/>
                <w:szCs w:val="18"/>
              </w:rPr>
              <w:t> 其他综合收 益当期转入 留存收益</w:t>
            </w:r>
          </w:p>
        </w:tc>
        <w:tc>
          <w:tcPr>
            <w:tcW w:w="916"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shd w:val="clear" w:color="auto" w:fill="D2D2D2"/>
          </w:tcPr>
          <w:p>
            <w:pP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06" w:type="dxa"/>
            <w:vMerge/>
            <w:tcBorders>
              <w:left w:val="single" w:sz="6" w:space="0" w:color="000000"/>
              <w:right w:val="single" w:sz="6" w:space="0" w:color="000000"/>
            </w:tcBorders>
            <w:shd w:val="clear" w:color="auto" w:fill="D2D2D2"/>
          </w:tcPr>
          <w:p>
            <w:pPr/>
          </w:p>
        </w:tc>
      </w:tr>
      <w:tr>
        <w:trPr>
          <w:trHeight w:val="105" w:hRule="exact"/>
        </w:trPr>
        <w:tc>
          <w:tcPr>
            <w:tcW w:w="1840"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82"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0" w:right="46"/>
              <w:jc w:val="center"/>
              <w:rPr>
                <w:rFonts w:ascii="宋体" w:hAnsi="宋体" w:cs="宋体" w:eastAsia="宋体" w:hint="default"/>
                <w:sz w:val="18"/>
                <w:szCs w:val="18"/>
              </w:rPr>
            </w:pPr>
            <w:r>
              <w:rPr>
                <w:rFonts w:ascii="宋体" w:hAnsi="宋体" w:cs="宋体" w:eastAsia="宋体" w:hint="default"/>
                <w:sz w:val="18"/>
                <w:szCs w:val="18"/>
              </w:rPr>
              <w:t>减：前期计入其 他综合收益当期 转入损益</w:t>
            </w:r>
          </w:p>
        </w:tc>
        <w:tc>
          <w:tcPr>
            <w:tcW w:w="1081" w:type="dxa"/>
            <w:vMerge/>
            <w:tcBorders>
              <w:left w:val="single" w:sz="6" w:space="0" w:color="000000"/>
              <w:right w:val="single" w:sz="6" w:space="0" w:color="000000"/>
            </w:tcBorders>
            <w:shd w:val="clear" w:color="auto" w:fill="D2D2D2"/>
          </w:tcPr>
          <w:p>
            <w:pPr/>
          </w:p>
        </w:tc>
        <w:tc>
          <w:tcPr>
            <w:tcW w:w="916" w:type="dxa"/>
            <w:vMerge/>
            <w:tcBorders>
              <w:left w:val="single" w:sz="6" w:space="0" w:color="000000"/>
              <w:bottom w:val="nil" w:sz="6" w:space="0" w:color="auto"/>
              <w:right w:val="single" w:sz="6" w:space="0" w:color="000000"/>
            </w:tcBorders>
            <w:shd w:val="clear" w:color="auto" w:fill="D2D2D2"/>
          </w:tcPr>
          <w:p>
            <w:pPr/>
          </w:p>
        </w:tc>
        <w:tc>
          <w:tcPr>
            <w:tcW w:w="1127" w:type="dxa"/>
            <w:vMerge/>
            <w:tcBorders>
              <w:left w:val="single" w:sz="6" w:space="0" w:color="000000"/>
              <w:bottom w:val="nil" w:sz="6" w:space="0" w:color="auto"/>
              <w:right w:val="single" w:sz="6" w:space="0" w:color="000000"/>
            </w:tcBorders>
            <w:shd w:val="clear" w:color="auto" w:fill="D2D2D2"/>
          </w:tcPr>
          <w:p>
            <w:pPr/>
          </w:p>
        </w:tc>
        <w:tc>
          <w:tcPr>
            <w:tcW w:w="72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75" w:right="8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06" w:type="dxa"/>
            <w:vMerge/>
            <w:tcBorders>
              <w:left w:val="single" w:sz="6" w:space="0" w:color="000000"/>
              <w:bottom w:val="nil" w:sz="6" w:space="0" w:color="auto"/>
              <w:right w:val="single" w:sz="6" w:space="0" w:color="000000"/>
            </w:tcBorders>
            <w:shd w:val="clear" w:color="auto" w:fill="D2D2D2"/>
          </w:tcPr>
          <w:p>
            <w:pPr/>
          </w:p>
        </w:tc>
      </w:tr>
      <w:tr>
        <w:trPr>
          <w:trHeight w:val="367" w:hRule="exact"/>
        </w:trPr>
        <w:tc>
          <w:tcPr>
            <w:tcW w:w="184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36"/>
              <w:jc w:val="center"/>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89"/>
              <w:ind w:left="345" w:right="59" w:hanging="271"/>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382"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1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255" w:right="28" w:hanging="240"/>
              <w:jc w:val="left"/>
              <w:rPr>
                <w:rFonts w:ascii="宋体" w:hAnsi="宋体" w:cs="宋体" w:eastAsia="宋体" w:hint="default"/>
                <w:sz w:val="18"/>
                <w:szCs w:val="18"/>
              </w:rPr>
            </w:pPr>
            <w:r>
              <w:rPr>
                <w:rFonts w:ascii="宋体" w:hAnsi="宋体" w:cs="宋体" w:eastAsia="宋体" w:hint="default"/>
                <w:spacing w:val="-9"/>
                <w:sz w:val="18"/>
                <w:szCs w:val="18"/>
              </w:rPr>
              <w:t>减：所得税</w:t>
            </w:r>
            <w:r>
              <w:rPr>
                <w:rFonts w:ascii="宋体" w:hAnsi="宋体" w:cs="宋体" w:eastAsia="宋体" w:hint="default"/>
                <w:sz w:val="18"/>
                <w:szCs w:val="18"/>
              </w:rPr>
              <w:t> 费用</w:t>
            </w:r>
          </w:p>
        </w:tc>
        <w:tc>
          <w:tcPr>
            <w:tcW w:w="1127"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375" w:right="14" w:hanging="361"/>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21" w:type="dxa"/>
            <w:vMerge/>
            <w:tcBorders>
              <w:left w:val="single" w:sz="6" w:space="0" w:color="000000"/>
              <w:right w:val="single" w:sz="6" w:space="0" w:color="000000"/>
            </w:tcBorders>
            <w:shd w:val="clear" w:color="auto" w:fill="D2D2D2"/>
          </w:tcPr>
          <w:p>
            <w:pPr/>
          </w:p>
        </w:tc>
        <w:tc>
          <w:tcPr>
            <w:tcW w:w="100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2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1840"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231" w:type="dxa"/>
            <w:vMerge/>
            <w:tcBorders>
              <w:left w:val="single" w:sz="6" w:space="0" w:color="000000"/>
              <w:bottom w:val="nil" w:sz="6" w:space="0" w:color="auto"/>
              <w:right w:val="single" w:sz="6" w:space="0" w:color="000000"/>
            </w:tcBorders>
            <w:shd w:val="clear" w:color="auto" w:fill="D2D2D2"/>
          </w:tcPr>
          <w:p>
            <w:pPr/>
          </w:p>
        </w:tc>
        <w:tc>
          <w:tcPr>
            <w:tcW w:w="1382"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16" w:type="dxa"/>
            <w:vMerge/>
            <w:tcBorders>
              <w:left w:val="single" w:sz="6" w:space="0" w:color="000000"/>
              <w:bottom w:val="nil" w:sz="6" w:space="0" w:color="auto"/>
              <w:right w:val="single" w:sz="6" w:space="0" w:color="000000"/>
            </w:tcBorders>
            <w:shd w:val="clear" w:color="auto" w:fill="D2D2D2"/>
          </w:tcPr>
          <w:p>
            <w:pPr/>
          </w:p>
        </w:tc>
        <w:tc>
          <w:tcPr>
            <w:tcW w:w="1127" w:type="dxa"/>
            <w:vMerge/>
            <w:tcBorders>
              <w:left w:val="single" w:sz="6" w:space="0" w:color="000000"/>
              <w:bottom w:val="nil" w:sz="6" w:space="0" w:color="auto"/>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1006" w:type="dxa"/>
            <w:vMerge w:val="restart"/>
            <w:tcBorders>
              <w:top w:val="nil" w:sz="6" w:space="0" w:color="auto"/>
              <w:left w:val="single" w:sz="6" w:space="0" w:color="000000"/>
              <w:right w:val="single" w:sz="6" w:space="0" w:color="000000"/>
            </w:tcBorders>
            <w:shd w:val="clear" w:color="auto" w:fill="D2D2D2"/>
          </w:tcPr>
          <w:p>
            <w:pPr/>
          </w:p>
        </w:tc>
      </w:tr>
      <w:tr>
        <w:trPr>
          <w:trHeight w:val="165" w:hRule="exact"/>
        </w:trPr>
        <w:tc>
          <w:tcPr>
            <w:tcW w:w="1840"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231" w:type="dxa"/>
            <w:vMerge w:val="restart"/>
            <w:tcBorders>
              <w:top w:val="nil" w:sz="6" w:space="0" w:color="auto"/>
              <w:left w:val="single" w:sz="6" w:space="0" w:color="000000"/>
              <w:right w:val="single" w:sz="6" w:space="0" w:color="000000"/>
            </w:tcBorders>
            <w:shd w:val="clear" w:color="auto" w:fill="D2D2D2"/>
          </w:tcPr>
          <w:p>
            <w:pPr/>
          </w:p>
        </w:tc>
        <w:tc>
          <w:tcPr>
            <w:tcW w:w="1382" w:type="dxa"/>
            <w:vMerge/>
            <w:tcBorders>
              <w:left w:val="single" w:sz="6" w:space="0" w:color="000000"/>
              <w:bottom w:val="nil" w:sz="6" w:space="0" w:color="auto"/>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16" w:type="dxa"/>
            <w:vMerge w:val="restart"/>
            <w:tcBorders>
              <w:top w:val="nil" w:sz="6" w:space="0" w:color="auto"/>
              <w:left w:val="single" w:sz="6" w:space="0" w:color="000000"/>
              <w:right w:val="single" w:sz="6" w:space="0" w:color="000000"/>
            </w:tcBorders>
            <w:shd w:val="clear" w:color="auto" w:fill="D2D2D2"/>
          </w:tcPr>
          <w:p>
            <w:pPr/>
          </w:p>
        </w:tc>
        <w:tc>
          <w:tcPr>
            <w:tcW w:w="1127" w:type="dxa"/>
            <w:vMerge w:val="restart"/>
            <w:tcBorders>
              <w:top w:val="nil" w:sz="6" w:space="0" w:color="auto"/>
              <w:left w:val="single" w:sz="6" w:space="0" w:color="000000"/>
              <w:right w:val="single" w:sz="6" w:space="0" w:color="000000"/>
            </w:tcBorders>
            <w:shd w:val="clear" w:color="auto" w:fill="D2D2D2"/>
          </w:tcPr>
          <w:p>
            <w:pPr/>
          </w:p>
        </w:tc>
        <w:tc>
          <w:tcPr>
            <w:tcW w:w="721" w:type="dxa"/>
            <w:vMerge/>
            <w:tcBorders>
              <w:left w:val="single" w:sz="6" w:space="0" w:color="000000"/>
              <w:bottom w:val="nil" w:sz="6" w:space="0" w:color="auto"/>
              <w:right w:val="single" w:sz="6" w:space="0" w:color="000000"/>
            </w:tcBorders>
            <w:shd w:val="clear" w:color="auto" w:fill="D2D2D2"/>
          </w:tcPr>
          <w:p>
            <w:pPr/>
          </w:p>
        </w:tc>
        <w:tc>
          <w:tcPr>
            <w:tcW w:w="1006" w:type="dxa"/>
            <w:vMerge/>
            <w:tcBorders>
              <w:left w:val="single" w:sz="6" w:space="0" w:color="000000"/>
              <w:right w:val="single" w:sz="6" w:space="0" w:color="000000"/>
            </w:tcBorders>
            <w:shd w:val="clear" w:color="auto" w:fill="D2D2D2"/>
          </w:tcPr>
          <w:p>
            <w:pPr/>
          </w:p>
        </w:tc>
      </w:tr>
      <w:tr>
        <w:trPr>
          <w:trHeight w:val="158" w:hRule="exact"/>
        </w:trPr>
        <w:tc>
          <w:tcPr>
            <w:tcW w:w="1840"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231"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1" w:type="dxa"/>
            <w:vMerge/>
            <w:tcBorders>
              <w:left w:val="single" w:sz="6" w:space="0" w:color="000000"/>
              <w:bottom w:val="single" w:sz="6" w:space="0" w:color="000000"/>
              <w:right w:val="single" w:sz="6" w:space="0" w:color="000000"/>
            </w:tcBorders>
            <w:shd w:val="clear" w:color="auto" w:fill="D2D2D2"/>
          </w:tcPr>
          <w:p>
            <w:pPr/>
          </w:p>
        </w:tc>
        <w:tc>
          <w:tcPr>
            <w:tcW w:w="916"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shd w:val="clear" w:color="auto" w:fill="D2D2D2"/>
          </w:tcPr>
          <w:p>
            <w:pPr/>
          </w:p>
        </w:tc>
        <w:tc>
          <w:tcPr>
            <w:tcW w:w="72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06"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8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95" w:firstLine="540"/>
              <w:jc w:val="left"/>
              <w:rPr>
                <w:rFonts w:ascii="宋体" w:hAnsi="宋体" w:cs="宋体" w:eastAsia="宋体" w:hint="default"/>
                <w:sz w:val="18"/>
                <w:szCs w:val="18"/>
              </w:rPr>
            </w:pPr>
            <w:r>
              <w:rPr>
                <w:rFonts w:ascii="宋体" w:hAnsi="宋体" w:cs="宋体" w:eastAsia="宋体" w:hint="default"/>
                <w:sz w:val="18"/>
                <w:szCs w:val="18"/>
              </w:rPr>
              <w:t>外币财务报表 折算差额</w:t>
            </w:r>
          </w:p>
        </w:tc>
        <w:tc>
          <w:tcPr>
            <w:tcW w:w="106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3,456,934.40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739,712.42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739,712.42</w:t>
            </w:r>
          </w:p>
        </w:tc>
        <w:tc>
          <w:tcPr>
            <w:tcW w:w="72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4,196,646.82</w:t>
            </w:r>
          </w:p>
        </w:tc>
      </w:tr>
      <w:tr>
        <w:trPr>
          <w:trHeight w:val="143" w:hRule="exact"/>
        </w:trPr>
        <w:tc>
          <w:tcPr>
            <w:tcW w:w="1840"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18" w:space="0" w:color="D2D2D2"/>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3,456,934.40</w:t>
            </w:r>
          </w:p>
        </w:tc>
        <w:tc>
          <w:tcPr>
            <w:tcW w:w="123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2,839,712.42</w:t>
            </w:r>
          </w:p>
        </w:tc>
        <w:tc>
          <w:tcPr>
            <w:tcW w:w="1382" w:type="dxa"/>
            <w:vMerge w:val="restart"/>
            <w:tcBorders>
              <w:top w:val="single" w:sz="6" w:space="0" w:color="000000"/>
              <w:left w:val="single" w:sz="6" w:space="0" w:color="000000"/>
              <w:right w:val="single" w:sz="6" w:space="0" w:color="000000"/>
            </w:tcBorders>
          </w:tcPr>
          <w:p>
            <w:pPr/>
          </w:p>
        </w:tc>
        <w:tc>
          <w:tcPr>
            <w:tcW w:w="1081" w:type="dxa"/>
            <w:vMerge w:val="restart"/>
            <w:tcBorders>
              <w:top w:val="single" w:sz="6" w:space="0" w:color="000000"/>
              <w:left w:val="single" w:sz="6" w:space="0" w:color="000000"/>
              <w:right w:val="single" w:sz="6" w:space="0" w:color="000000"/>
            </w:tcBorders>
          </w:tcPr>
          <w:p>
            <w:pPr/>
          </w:p>
        </w:tc>
        <w:tc>
          <w:tcPr>
            <w:tcW w:w="91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525,000.00</w:t>
            </w:r>
          </w:p>
        </w:tc>
        <w:tc>
          <w:tcPr>
            <w:tcW w:w="112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2,314,712.42</w:t>
            </w:r>
          </w:p>
        </w:tc>
        <w:tc>
          <w:tcPr>
            <w:tcW w:w="721" w:type="dxa"/>
            <w:vMerge w:val="restart"/>
            <w:tcBorders>
              <w:top w:val="single" w:sz="6" w:space="0" w:color="000000"/>
              <w:left w:val="single" w:sz="6" w:space="0" w:color="000000"/>
              <w:right w:val="single" w:sz="6" w:space="0" w:color="000000"/>
            </w:tcBorders>
          </w:tcPr>
          <w:p>
            <w:pPr/>
          </w:p>
        </w:tc>
        <w:tc>
          <w:tcPr>
            <w:tcW w:w="100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5,771,646.82</w:t>
            </w:r>
          </w:p>
        </w:tc>
      </w:tr>
      <w:tr>
        <w:trPr>
          <w:trHeight w:val="391" w:hRule="exact"/>
        </w:trPr>
        <w:tc>
          <w:tcPr>
            <w:tcW w:w="184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6" w:type="dxa"/>
            <w:vMerge/>
            <w:tcBorders>
              <w:left w:val="single" w:sz="18" w:space="0" w:color="D2D2D2"/>
              <w:right w:val="single" w:sz="6" w:space="0" w:color="000000"/>
            </w:tcBorders>
          </w:tcPr>
          <w:p>
            <w:pPr/>
          </w:p>
        </w:tc>
        <w:tc>
          <w:tcPr>
            <w:tcW w:w="1231" w:type="dxa"/>
            <w:vMerge/>
            <w:tcBorders>
              <w:left w:val="single" w:sz="6" w:space="0" w:color="000000"/>
              <w:right w:val="single" w:sz="6" w:space="0" w:color="000000"/>
            </w:tcBorders>
          </w:tcPr>
          <w:p>
            <w:pPr/>
          </w:p>
        </w:tc>
        <w:tc>
          <w:tcPr>
            <w:tcW w:w="1382" w:type="dxa"/>
            <w:vMerge/>
            <w:tcBorders>
              <w:left w:val="single" w:sz="6" w:space="0" w:color="000000"/>
              <w:right w:val="single" w:sz="6" w:space="0" w:color="000000"/>
            </w:tcBorders>
          </w:tcPr>
          <w:p>
            <w:pPr/>
          </w:p>
        </w:tc>
        <w:tc>
          <w:tcPr>
            <w:tcW w:w="1081" w:type="dxa"/>
            <w:vMerge/>
            <w:tcBorders>
              <w:left w:val="single" w:sz="6" w:space="0" w:color="000000"/>
              <w:right w:val="single" w:sz="6" w:space="0" w:color="000000"/>
            </w:tcBorders>
          </w:tcPr>
          <w:p>
            <w:pPr/>
          </w:p>
        </w:tc>
        <w:tc>
          <w:tcPr>
            <w:tcW w:w="91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721" w:type="dxa"/>
            <w:vMerge/>
            <w:tcBorders>
              <w:left w:val="single" w:sz="6" w:space="0" w:color="000000"/>
              <w:right w:val="single" w:sz="6" w:space="0" w:color="000000"/>
            </w:tcBorders>
          </w:tcPr>
          <w:p>
            <w:pPr/>
          </w:p>
        </w:tc>
        <w:tc>
          <w:tcPr>
            <w:tcW w:w="1006" w:type="dxa"/>
            <w:vMerge/>
            <w:tcBorders>
              <w:left w:val="single" w:sz="6" w:space="0" w:color="000000"/>
              <w:right w:val="single" w:sz="6" w:space="0" w:color="000000"/>
            </w:tcBorders>
          </w:tcPr>
          <w:p>
            <w:pPr/>
          </w:p>
        </w:tc>
      </w:tr>
      <w:tr>
        <w:trPr>
          <w:trHeight w:val="158" w:hRule="exact"/>
        </w:trPr>
        <w:tc>
          <w:tcPr>
            <w:tcW w:w="1840"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18" w:space="0" w:color="D2D2D2"/>
              <w:bottom w:val="single" w:sz="6" w:space="0" w:color="000000"/>
              <w:right w:val="single" w:sz="6" w:space="0" w:color="000000"/>
            </w:tcBorders>
          </w:tcPr>
          <w:p>
            <w:pPr/>
          </w:p>
        </w:tc>
        <w:tc>
          <w:tcPr>
            <w:tcW w:w="1231" w:type="dxa"/>
            <w:vMerge/>
            <w:tcBorders>
              <w:left w:val="single" w:sz="6" w:space="0" w:color="000000"/>
              <w:bottom w:val="single" w:sz="6" w:space="0" w:color="000000"/>
              <w:right w:val="single" w:sz="6" w:space="0" w:color="000000"/>
            </w:tcBorders>
          </w:tcPr>
          <w:p>
            <w:pPr/>
          </w:p>
        </w:tc>
        <w:tc>
          <w:tcPr>
            <w:tcW w:w="1382" w:type="dxa"/>
            <w:vMerge/>
            <w:tcBorders>
              <w:left w:val="single" w:sz="6" w:space="0" w:color="000000"/>
              <w:bottom w:val="single" w:sz="6" w:space="0" w:color="000000"/>
              <w:right w:val="single" w:sz="6" w:space="0" w:color="000000"/>
            </w:tcBorders>
          </w:tcPr>
          <w:p>
            <w:pPr/>
          </w:p>
        </w:tc>
        <w:tc>
          <w:tcPr>
            <w:tcW w:w="1081" w:type="dxa"/>
            <w:vMerge/>
            <w:tcBorders>
              <w:left w:val="single" w:sz="6" w:space="0" w:color="000000"/>
              <w:bottom w:val="single" w:sz="6" w:space="0" w:color="000000"/>
              <w:right w:val="single" w:sz="6" w:space="0" w:color="000000"/>
            </w:tcBorders>
          </w:tcPr>
          <w:p>
            <w:pPr/>
          </w:p>
        </w:tc>
        <w:tc>
          <w:tcPr>
            <w:tcW w:w="91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721" w:type="dxa"/>
            <w:vMerge/>
            <w:tcBorders>
              <w:left w:val="single" w:sz="6" w:space="0" w:color="000000"/>
              <w:bottom w:val="single" w:sz="6" w:space="0" w:color="000000"/>
              <w:right w:val="single" w:sz="6" w:space="0" w:color="000000"/>
            </w:tcBorders>
          </w:tcPr>
          <w:p>
            <w:pPr/>
          </w:p>
        </w:tc>
        <w:tc>
          <w:tcPr>
            <w:tcW w:w="1006" w:type="dxa"/>
            <w:vMerge/>
            <w:tcBorders>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left="481" w:right="799"/>
        <w:jc w:val="left"/>
        <w:rPr>
          <w:b w:val="0"/>
          <w:bCs w:val="0"/>
        </w:rPr>
      </w:pPr>
      <w:bookmarkStart w:name="58、专项储备" w:id="374"/>
      <w:bookmarkEnd w:id="374"/>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481" w:right="799"/>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left="481" w:right="799"/>
        <w:jc w:val="left"/>
        <w:rPr>
          <w:b w:val="0"/>
          <w:bCs w:val="0"/>
        </w:rPr>
      </w:pPr>
      <w:bookmarkStart w:name="59、盈余公积" w:id="375"/>
      <w:bookmarkEnd w:id="375"/>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474"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24,042,896.64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2,918,103.26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26,960,999.90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428,814.07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428,814.07</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434,825.95</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434,825.95</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853,966.34</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853,966.34</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25,760,503.00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2,918,103.26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28,678,606.26</w:t>
            </w:r>
          </w:p>
        </w:tc>
      </w:tr>
    </w:tbl>
    <w:p>
      <w:pPr>
        <w:pStyle w:val="BodyText"/>
        <w:spacing w:line="367" w:lineRule="auto" w:before="44"/>
        <w:ind w:left="631" w:right="5229" w:hanging="150"/>
        <w:jc w:val="left"/>
      </w:pPr>
      <w:r>
        <w:rPr/>
        <w:t>盈余公积说明，包括本期增减变动情况、变动原因说明： 根据公司章程规定，按公司当期净利润的</w:t>
      </w:r>
      <w:r>
        <w:rPr>
          <w:rFonts w:ascii="Times New Roman" w:hAnsi="Times New Roman" w:cs="Times New Roman" w:eastAsia="Times New Roman" w:hint="default"/>
        </w:rPr>
        <w:t>10%</w:t>
      </w:r>
      <w:r>
        <w:rPr/>
        <w:t>提取法定盈余公积金。</w:t>
      </w:r>
    </w:p>
    <w:p>
      <w:pPr>
        <w:spacing w:line="240" w:lineRule="auto" w:before="5"/>
        <w:rPr>
          <w:rFonts w:ascii="宋体" w:hAnsi="宋体" w:cs="宋体" w:eastAsia="宋体" w:hint="default"/>
          <w:sz w:val="18"/>
          <w:szCs w:val="18"/>
        </w:rPr>
      </w:pPr>
    </w:p>
    <w:p>
      <w:pPr>
        <w:pStyle w:val="Heading5"/>
        <w:spacing w:line="240" w:lineRule="auto"/>
        <w:ind w:left="481" w:right="799"/>
        <w:jc w:val="left"/>
        <w:rPr>
          <w:b w:val="0"/>
          <w:bCs w:val="0"/>
        </w:rPr>
      </w:pPr>
      <w:bookmarkStart w:name="60、未分配利润" w:id="376"/>
      <w:bookmarkEnd w:id="376"/>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474" w:type="dxa"/>
        <w:tblLayout w:type="fixed"/>
        <w:tblCellMar>
          <w:top w:w="0" w:type="dxa"/>
          <w:left w:w="0" w:type="dxa"/>
          <w:bottom w:w="0" w:type="dxa"/>
          <w:right w:w="0" w:type="dxa"/>
        </w:tblCellMar>
        <w:tblLook w:val="01E0"/>
      </w:tblPr>
      <w:tblGrid>
        <w:gridCol w:w="3710"/>
        <w:gridCol w:w="2936"/>
        <w:gridCol w:w="2929"/>
      </w:tblGrid>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57,911,271.76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93,952,015.24</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57,911,271.76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93,952,015.24</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10,349,912.85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21,062,083.21</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2,918,103.26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3,102,826.69</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54,000,000.00</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65,343,081.35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57,911,271.76</w:t>
            </w:r>
          </w:p>
        </w:tc>
      </w:tr>
    </w:tbl>
    <w:p>
      <w:pPr>
        <w:pStyle w:val="BodyText"/>
        <w:spacing w:line="240" w:lineRule="auto" w:before="45"/>
        <w:ind w:left="481" w:right="799"/>
        <w:jc w:val="left"/>
      </w:pPr>
      <w:r>
        <w:rPr/>
        <w:t>调整期初未分配利润明细：</w:t>
      </w:r>
    </w:p>
    <w:p>
      <w:pPr>
        <w:pStyle w:val="BodyText"/>
        <w:spacing w:line="240" w:lineRule="auto" w:before="124"/>
        <w:ind w:left="481" w:right="799"/>
        <w:jc w:val="left"/>
      </w:pPr>
      <w:r>
        <w:rPr>
          <w:rFonts w:ascii="Times New Roman" w:hAnsi="Times New Roman" w:cs="Times New Roman" w:eastAsia="Times New Roman" w:hint="default"/>
        </w:rPr>
        <w:t>1)</w:t>
      </w:r>
      <w:r>
        <w:rPr/>
        <w:t>、由于《企业会计准则》及其相关新规定进行追溯调整，影响期初未分配利润</w:t>
      </w:r>
      <w:r>
        <w:rPr>
          <w:spacing w:val="-3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11"/>
        <w:ind w:left="481" w:right="799"/>
        <w:jc w:val="left"/>
      </w:pPr>
      <w:r>
        <w:rPr>
          <w:rFonts w:ascii="Times New Roman" w:hAnsi="Times New Roman" w:cs="Times New Roman" w:eastAsia="Times New Roman" w:hint="default"/>
        </w:rPr>
        <w:t>2)</w:t>
      </w:r>
      <w:r>
        <w:rPr/>
        <w:t>、由于会计政策变更，影响期初未分配利润</w:t>
      </w:r>
      <w:r>
        <w:rPr>
          <w:spacing w:val="-4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50"/>
          <w:pgMar w:header="866" w:footer="981" w:top="1120" w:bottom="1180" w:left="66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3)</w:t>
      </w:r>
      <w:r>
        <w:rPr/>
        <w:t>、由于重大会计差错更正，影响期初未分配利润</w:t>
      </w:r>
      <w:r>
        <w:rPr>
          <w:spacing w:val="-4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96"/>
        <w:ind w:right="0"/>
        <w:jc w:val="left"/>
      </w:pPr>
      <w:r>
        <w:rPr>
          <w:rFonts w:ascii="Times New Roman" w:hAnsi="Times New Roman" w:cs="Times New Roman" w:eastAsia="Times New Roman" w:hint="default"/>
        </w:rPr>
        <w:t>4)</w:t>
      </w:r>
      <w:r>
        <w:rPr/>
        <w:t>、由于同一控制导致的合并范围变更，影响期初未分配利润</w:t>
      </w:r>
      <w:r>
        <w:rPr>
          <w:spacing w:val="-3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11"/>
        <w:ind w:right="0"/>
        <w:jc w:val="left"/>
      </w:pPr>
      <w:r>
        <w:rPr>
          <w:rFonts w:ascii="Times New Roman" w:hAnsi="Times New Roman" w:cs="Times New Roman" w:eastAsia="Times New Roman" w:hint="default"/>
        </w:rPr>
        <w:t>5)</w:t>
      </w:r>
      <w:r>
        <w:rPr/>
        <w:t>、其他调整合计影响期初未分配利润</w:t>
      </w:r>
      <w:r>
        <w:rPr>
          <w:spacing w:val="-42"/>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61、营业收入和营业成本" w:id="377"/>
      <w:bookmarkEnd w:id="377"/>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3"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8"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354,228,722.98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210,800,520.81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369,281,216.23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221,176,989.52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354,228,722.98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210,800,520.81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369,281,216.23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221,176,989.52</w:t>
            </w:r>
          </w:p>
        </w:tc>
      </w:tr>
    </w:tbl>
    <w:p>
      <w:pPr>
        <w:pStyle w:val="BodyText"/>
        <w:spacing w:line="240" w:lineRule="auto" w:before="45"/>
        <w:ind w:right="0"/>
        <w:jc w:val="left"/>
      </w:pPr>
      <w:r>
        <w:rPr/>
        <w:t>是否已执行新收入准则</w:t>
      </w:r>
    </w:p>
    <w:p>
      <w:pPr>
        <w:pStyle w:val="BodyText"/>
        <w:spacing w:line="240" w:lineRule="auto" w:before="12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62、税金及附加" w:id="378"/>
      <w:bookmarkEnd w:id="378"/>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567,714.17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691,609.66</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404,746.95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488,623.82</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33,103.24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13,916.70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854.08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393.25</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15,240.00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15,900.00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208,748.65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290,621.30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610,267.02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757,617.20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14,274.27</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5,515.52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10,043.61</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1,848,382.63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2,282,999.81</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3、销售费用" w:id="379"/>
      <w:bookmarkEnd w:id="379"/>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52,826,146.05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60,787,799.85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6,647,843.60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6,361,212.85</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2,345,198.53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2,658,377.65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1,510,008.66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2,246,872.67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1,297,030.03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1,204,651.94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915,151.56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1,492,249.39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483,831.26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584,591.22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305,618.42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464,254.72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588,948.00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2,109,349.96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66,919,776.11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77,909,360.25</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4、管理费用" w:id="380"/>
      <w:bookmarkEnd w:id="380"/>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11,402,999.04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14,895,395.90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1,512,990.36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1,995,769.06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1,209,503.64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1,165,181.49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1,038,679.53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1,683,486.20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372,292.00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1,242,418.81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375,467.46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1,389,072.96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1,423,481.61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697,927.18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342,689.18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405,808.44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287,937.25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387,748.65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4,309,597.56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1,981,026.74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22,275,637.63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25,843,835.43</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5、研发费用" w:id="381"/>
      <w:bookmarkEnd w:id="381"/>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21,237,751.42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12,351,974.67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2,176,797.55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1,784,726.40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873,786.41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445,697.61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219,691.01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359,065.82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62,881.10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275,189.04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229,170.72</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186,581.81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33,083.82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5,361.39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25,560,231.05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14,684,127.72</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6、财务费用" w:id="382"/>
      <w:bookmarkEnd w:id="382"/>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9" w:type="dxa"/>
            <w:tcBorders>
              <w:top w:val="single" w:sz="6" w:space="0" w:color="000000"/>
              <w:left w:val="single" w:sz="18" w:space="0" w:color="D9D9D9"/>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1,307,177.78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1,685,129.37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1,587,048.66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9" w:type="dxa"/>
            <w:tcBorders>
              <w:top w:val="single" w:sz="6" w:space="0" w:color="000000"/>
              <w:left w:val="single" w:sz="18" w:space="0" w:color="D9D9D9"/>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32,331.91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101,880.50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-1,652,797.46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-177,990.38</w:t>
            </w:r>
            <w:r>
              <w:rPr>
                <w:rFonts w:ascii="Times New Roman"/>
                <w:sz w:val="18"/>
              </w:rPr>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7、其他收益" w:id="383"/>
      <w:bookmarkEnd w:id="383"/>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986,662.86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5,271,339.28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521,849.91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35,936.53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137,044.16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1,544,449.30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5,408,383.44</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8、投资收益" w:id="384"/>
      <w:bookmarkEnd w:id="384"/>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69"/>
        <w:gridCol w:w="3184"/>
        <w:gridCol w:w="2929"/>
      </w:tblGrid>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-8,341,577.65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1,635.42</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3184"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-250,891.31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-8,590,833.54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9、净敞口套期收益" w:id="385"/>
      <w:bookmarkEnd w:id="385"/>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0"/>
        <w:jc w:val="left"/>
        <w:rPr>
          <w:b w:val="0"/>
          <w:bCs w:val="0"/>
        </w:rPr>
      </w:pPr>
      <w:bookmarkStart w:name="70、公允价值变动收益" w:id="386"/>
      <w:bookmarkEnd w:id="386"/>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71、信用减值损失" w:id="387"/>
      <w:bookmarkEnd w:id="387"/>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其他债权投资减值损失</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合同资产减值损失</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-6,664,246.93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-6,664,246.93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2、资产减值损失" w:id="388"/>
      <w:bookmarkEnd w:id="388"/>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12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-1,015,471.55</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-80,000.00</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-1,095,471.55</w:t>
            </w:r>
            <w:r>
              <w:rPr>
                <w:rFonts w:ascii="Times New Roman"/>
                <w:sz w:val="18"/>
              </w:rPr>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3、资产处置收益" w:id="389"/>
      <w:bookmarkEnd w:id="389"/>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-26,333.00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78,260.19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-26,333.00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78,260.19</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74、营业外收入" w:id="390"/>
      <w:bookmarkEnd w:id="390"/>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12" w:space="0" w:color="D9D9D9"/>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200.00</w:t>
            </w: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before="44"/>
        <w:ind w:right="8589"/>
        <w:jc w:val="left"/>
      </w:pPr>
      <w:r>
        <w:rPr/>
        <w:t>计入当期损益的政府补助： 无</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bookmarkStart w:name="75、营业外支出" w:id="391"/>
      <w:bookmarkEnd w:id="391"/>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158" w:hRule="exact"/>
        </w:trPr>
        <w:tc>
          <w:tcPr>
            <w:tcW w:w="2381" w:type="dxa"/>
            <w:tcBorders>
              <w:top w:val="single" w:sz="6" w:space="0" w:color="000000"/>
              <w:left w:val="single" w:sz="6" w:space="0" w:color="000000"/>
              <w:bottom w:val="nil" w:sz="6" w:space="0" w:color="auto"/>
              <w:right w:val="single" w:sz="6" w:space="0" w:color="000000"/>
            </w:tcBorders>
            <w:shd w:val="clear" w:color="auto" w:fill="D2D2D2"/>
          </w:tcPr>
          <w:p>
            <w:pPr/>
          </w:p>
        </w:tc>
        <w:tc>
          <w:tcPr>
            <w:tcW w:w="2411"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1" w:type="dxa"/>
            <w:tcBorders>
              <w:top w:val="nil" w:sz="6" w:space="0" w:color="auto"/>
              <w:left w:val="single" w:sz="6" w:space="0" w:color="000000"/>
              <w:bottom w:val="single" w:sz="6" w:space="0" w:color="000000"/>
              <w:right w:val="single" w:sz="6" w:space="0" w:color="000000"/>
            </w:tcBorders>
            <w:shd w:val="clear" w:color="auto" w:fill="D2D2D2"/>
          </w:tcPr>
          <w:p>
            <w:pPr/>
          </w:p>
        </w:tc>
        <w:tc>
          <w:tcPr>
            <w:tcW w:w="2411"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11" w:type="dxa"/>
            <w:tcBorders>
              <w:top w:val="single" w:sz="6" w:space="0" w:color="000000"/>
              <w:left w:val="single" w:sz="12" w:space="0" w:color="D2D2D2"/>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66,338.00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445.86</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445.86</w:t>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1" w:type="dxa"/>
            <w:tcBorders>
              <w:top w:val="single" w:sz="6" w:space="0" w:color="000000"/>
              <w:left w:val="single" w:sz="12" w:space="0" w:color="D9D9D9"/>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445.86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70,338.00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445.86</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6、所得税费用" w:id="392"/>
      <w:bookmarkEnd w:id="392"/>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93"/>
      <w:bookmarkEnd w:id="39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8,580,860.56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9,182,083.55</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-389,627.66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264,491.76</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8,191,232.90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9,446,575.31</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394"/>
      <w:bookmarkEnd w:id="39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14,739,562.18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3,684,890.55</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-167,607.66</w:t>
            </w:r>
            <w:r>
              <w:rPr>
                <w:rFonts w:ascii="Times New Roman"/>
                <w:sz w:val="18"/>
              </w:rPr>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3,111,998.60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1,561,951.41</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8,191,232.90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7、其他综合收益" w:id="395"/>
      <w:bookmarkEnd w:id="395"/>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详见附注</w:t>
      </w:r>
      <w:r>
        <w:rPr>
          <w:spacing w:val="-45"/>
        </w:rPr>
        <w:t> </w:t>
      </w:r>
      <w:r>
        <w:rPr>
          <w:rFonts w:ascii="Times New Roman" w:hAnsi="Times New Roman" w:cs="Times New Roman" w:eastAsia="Times New Roman" w:hint="default"/>
        </w:rPr>
        <w:t>57</w:t>
      </w:r>
      <w:r>
        <w:rPr/>
        <w:t>。</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78、现金流量表项目" w:id="396"/>
      <w:bookmarkEnd w:id="396"/>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收到的其他与经营活动有关的现金" w:id="397"/>
      <w:bookmarkEnd w:id="39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收到的押金与借支款项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15,605,330.86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46,596,340.38</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收到的补贴款项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1,022,599.39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5,408,383.44</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零星其他收款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3,766,074.13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4,963,082.05</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收到的利息</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1,685,129.37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1,587,048.66</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22,079,133.75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58,554,854.53</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支付的其他与经营活动有关的现金" w:id="398"/>
      <w:bookmarkEnd w:id="39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支付的押金与借支款项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16,665,511.83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47,171,095.93</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支付的费用性支出</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45,313,397.70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36,422,269.13</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32,331.91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107,296.52</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62,011,241.44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83,700,661.58</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收到的其他与投资活动有关的现金" w:id="399"/>
      <w:bookmarkEnd w:id="39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32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4）支付的其他与投资活动有关的现金" w:id="400"/>
      <w:bookmarkEnd w:id="40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支付装修款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14,102,000.00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10,256,000.00</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收购致维科技（北京）有限公司顾问费</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1,650,000.00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15,752,000.00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10,256,000.00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收到的其他与筹资活动有关的现金" w:id="401"/>
      <w:bookmarkEnd w:id="40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1"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44"/>
              <w:ind w:left="15" w:right="82"/>
              <w:jc w:val="left"/>
              <w:rPr>
                <w:rFonts w:ascii="宋体" w:hAnsi="宋体" w:cs="宋体" w:eastAsia="宋体" w:hint="default"/>
                <w:sz w:val="18"/>
                <w:szCs w:val="18"/>
              </w:rPr>
            </w:pPr>
            <w:r>
              <w:rPr>
                <w:rFonts w:ascii="宋体" w:hAnsi="宋体" w:cs="宋体" w:eastAsia="宋体" w:hint="default"/>
                <w:sz w:val="18"/>
                <w:szCs w:val="18"/>
              </w:rPr>
              <w:t>子公司云目未来科技（北京）有限公司 股东借款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支付的其他与筹资活动有关的现金" w:id="402"/>
      <w:bookmarkEnd w:id="40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8,876,105.82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39,999,113.66</w:t>
            </w:r>
          </w:p>
        </w:tc>
      </w:tr>
      <w:tr>
        <w:trPr>
          <w:trHeight w:val="720"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44"/>
              <w:ind w:left="15" w:right="84"/>
              <w:jc w:val="left"/>
              <w:rPr>
                <w:rFonts w:ascii="宋体" w:hAnsi="宋体" w:cs="宋体" w:eastAsia="宋体" w:hint="default"/>
                <w:sz w:val="18"/>
                <w:szCs w:val="18"/>
              </w:rPr>
            </w:pPr>
            <w:r>
              <w:rPr>
                <w:rFonts w:ascii="宋体" w:hAnsi="宋体" w:cs="宋体" w:eastAsia="宋体" w:hint="default"/>
                <w:sz w:val="18"/>
                <w:szCs w:val="18"/>
              </w:rPr>
              <w:t>退回珠海宣亚互动数字营销有限公司少 数股东投资款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102,573.05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8,978,678.87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39,999,113.66</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9、现金流量表补充资料" w:id="403"/>
      <w:bookmarkEnd w:id="403"/>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现金流量表补充资料" w:id="404"/>
      <w:bookmarkEnd w:id="40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6,548,329.28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21,542,898.45</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1,095,471.55</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加：信用减值损失</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6,664,246.93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1,972,458.23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2,605,704.28</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1,609,306.48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706,497.30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332,009.51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1,494,004.01</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26,333.00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-78,260.19</w:t>
            </w:r>
            <w:r>
              <w:rPr>
                <w:rFonts w:ascii="Times New Roman"/>
                <w:sz w:val="18"/>
              </w:rPr>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1,307,177.78</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8,590,833.54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893,454.20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r>
        <w:rPr/>
        <w:pict>
          <v:group style="position:absolute;margin-left:224.529999pt;margin-top:164.399994pt;width:150.2pt;height:19.5pt;mso-position-horizontal-relative:page;mso-position-vertical-relative:page;z-index:-1196512" coordorigin="4491,3288" coordsize="3004,390">
            <v:shape style="position:absolute;left:4491;top:3288;width:3004;height:390" coordorigin="4491,3288" coordsize="3004,390" path="m4491,3678l7495,3678,7495,3288,4491,3288,4491,3678xe" filled="true" fillcolor="#ffffff" stroked="false">
              <v:path arrowok="t"/>
              <v:fill type="solid"/>
            </v:shape>
            <w10:wrap type="none"/>
          </v:group>
        </w:pict>
      </w: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-199,819.66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264,491.76</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-189,808.00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2147" w:val="left" w:leader="none"/>
              </w:tabs>
              <w:spacing w:line="240" w:lineRule="auto" w:before="59"/>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-916,431.88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-7,222,676.99</w:t>
            </w:r>
            <w:r>
              <w:rPr>
                <w:rFonts w:ascii="Times New Roman"/>
                <w:sz w:val="18"/>
              </w:rPr>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59,624,381.82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153,315,096.79</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-44,263,832.21</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-61,635,498.59</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3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39,798,007.04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114,288,360.35</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130,883,932.96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210,948,882.39</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210,948,882.39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259,040,480.88</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-80,064,949.43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-48,091,598.49</w:t>
            </w:r>
            <w:r>
              <w:rPr>
                <w:rFonts w:ascii="Times New Roman"/>
                <w:sz w:val="18"/>
              </w:rPr>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405"/>
      <w:bookmarkEnd w:id="40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391"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56,000,000.00</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天津星言云汇网络科技有限公司</w:t>
            </w:r>
          </w:p>
        </w:tc>
        <w:tc>
          <w:tcPr>
            <w:tcW w:w="4596"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56,000,000.00</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6"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4,575,465.20</w:t>
            </w:r>
          </w:p>
        </w:tc>
      </w:tr>
      <w:tr>
        <w:trPr>
          <w:trHeight w:val="390" w:hRule="exact"/>
        </w:trPr>
        <w:tc>
          <w:tcPr>
            <w:tcW w:w="4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6" w:type="dxa"/>
            <w:tcBorders>
              <w:top w:val="single" w:sz="6" w:space="0" w:color="000000"/>
              <w:left w:val="single" w:sz="18" w:space="0" w:color="D9D9D9"/>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天津星言云汇网络科技有限公司</w:t>
            </w:r>
          </w:p>
        </w:tc>
        <w:tc>
          <w:tcPr>
            <w:tcW w:w="4596"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4,575,465.20</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51,424,534.80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35"/>
        <w:ind w:right="0"/>
        <w:jc w:val="left"/>
        <w:rPr>
          <w:b w:val="0"/>
          <w:bCs w:val="0"/>
        </w:rPr>
      </w:pPr>
      <w:bookmarkStart w:name="（3）本期收到的处置子公司的现金净额" w:id="406"/>
      <w:bookmarkEnd w:id="40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979"/>
        <w:gridCol w:w="4596"/>
      </w:tblGrid>
      <w:tr>
        <w:trPr>
          <w:trHeight w:val="390"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106,759.70</w:t>
            </w:r>
          </w:p>
        </w:tc>
      </w:tr>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珠海宣亚互动数字营销有限公司</w:t>
            </w:r>
          </w:p>
        </w:tc>
        <w:tc>
          <w:tcPr>
            <w:tcW w:w="4596"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106,759.70</w:t>
            </w:r>
          </w:p>
        </w:tc>
      </w:tr>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106,759.70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before="35"/>
        <w:ind w:right="0"/>
        <w:jc w:val="left"/>
        <w:rPr>
          <w:b w:val="0"/>
          <w:bCs w:val="0"/>
        </w:rPr>
      </w:pPr>
      <w:bookmarkStart w:name="（4）现金和现金等价物的构成" w:id="407"/>
      <w:bookmarkEnd w:id="40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130,883,932.96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210,948,882.39</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196.90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130,883,932.96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210,948,685.49</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130,883,932.96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210,948,882.39</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80、所有者权益变动表项目注释" w:id="408"/>
      <w:bookmarkEnd w:id="408"/>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61" w:right="0"/>
        <w:jc w:val="left"/>
      </w:pPr>
      <w:r>
        <w:rPr/>
        <w:t>报告期不存在上年期末余额进行调整的“其他”项目情况。</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81、所有权或使用权受到限制的资产" w:id="409"/>
      <w:bookmarkEnd w:id="409"/>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91"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月到</w:t>
      </w:r>
      <w:r>
        <w:rPr>
          <w:rFonts w:ascii="Times New Roman" w:hAnsi="Times New Roman" w:cs="Times New Roman" w:eastAsia="Times New Roman" w:hint="default"/>
        </w:rPr>
        <w:t>12</w:t>
      </w:r>
      <w:r>
        <w:rPr/>
        <w:t>月无所有权受限制的资产。</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240" w:lineRule="auto" w:before="35"/>
        <w:ind w:right="0"/>
        <w:jc w:val="left"/>
        <w:rPr>
          <w:b w:val="0"/>
          <w:bCs w:val="0"/>
        </w:rPr>
      </w:pPr>
      <w:bookmarkStart w:name="82、外币货币性项目" w:id="410"/>
      <w:bookmarkEnd w:id="410"/>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411"/>
      <w:bookmarkEnd w:id="41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93"/>
        <w:gridCol w:w="2298"/>
        <w:gridCol w:w="2388"/>
        <w:gridCol w:w="2395"/>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8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95"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10,874,073.20</w:t>
            </w: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1306" w:right="0"/>
              <w:jc w:val="left"/>
              <w:rPr>
                <w:rFonts w:ascii="Times New Roman" w:hAnsi="Times New Roman" w:cs="Times New Roman" w:eastAsia="Times New Roman" w:hint="default"/>
                <w:sz w:val="18"/>
                <w:szCs w:val="18"/>
              </w:rPr>
            </w:pPr>
            <w:r>
              <w:rPr>
                <w:rFonts w:ascii="Times New Roman"/>
                <w:sz w:val="18"/>
              </w:rPr>
              <w:t>1,558,738.74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6.9762</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10,874,073.20</w:t>
            </w:r>
          </w:p>
        </w:tc>
      </w:tr>
    </w:tbl>
    <w:p>
      <w:pPr>
        <w:spacing w:line="240" w:lineRule="auto" w:before="11"/>
        <w:rPr>
          <w:rFonts w:ascii="宋体" w:hAnsi="宋体" w:cs="宋体" w:eastAsia="宋体" w:hint="default"/>
          <w:sz w:val="19"/>
          <w:szCs w:val="19"/>
        </w:rPr>
      </w:pPr>
    </w:p>
    <w:p>
      <w:pPr>
        <w:pStyle w:val="Heading5"/>
        <w:spacing w:line="247" w:lineRule="auto" w:before="35"/>
        <w:ind w:right="0"/>
        <w:jc w:val="left"/>
        <w:rPr>
          <w:b w:val="0"/>
          <w:bCs w:val="0"/>
        </w:rPr>
      </w:pPr>
      <w:bookmarkStart w:name="（2）境外经营实体说明，包括对于重要的境外经营实体，应披露其境外主要经营地、记账" w:id="412"/>
      <w:bookmarkEnd w:id="41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4"/>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bookmarkStart w:name="83、套期" w:id="413"/>
      <w:bookmarkEnd w:id="413"/>
      <w:r>
        <w:rPr>
          <w:b w:val="0"/>
          <w:bCs w:val="0"/>
        </w:rPr>
      </w:r>
      <w:r>
        <w:rPr>
          <w:rFonts w:ascii="Times New Roman" w:hAnsi="Times New Roman" w:cs="Times New Roman" w:eastAsia="Times New Roman" w:hint="default"/>
        </w:rPr>
        <w:t>83</w:t>
      </w:r>
      <w:r>
        <w:rPr/>
        <w:t>、套期</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84、政府补助" w:id="414"/>
      <w:bookmarkEnd w:id="414"/>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政府补助基本情况" w:id="415"/>
      <w:bookmarkEnd w:id="41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29"/>
              <w:ind w:left="15" w:right="188"/>
              <w:jc w:val="left"/>
              <w:rPr>
                <w:rFonts w:ascii="宋体" w:hAnsi="宋体" w:cs="宋体" w:eastAsia="宋体" w:hint="default"/>
                <w:sz w:val="18"/>
                <w:szCs w:val="18"/>
              </w:rPr>
            </w:pPr>
            <w:r>
              <w:rPr>
                <w:rFonts w:ascii="宋体" w:hAnsi="宋体" w:cs="宋体" w:eastAsia="宋体" w:hint="default"/>
                <w:sz w:val="18"/>
                <w:szCs w:val="18"/>
              </w:rPr>
              <w:t>北京朝阳区文化产业创新实 验区管理委员会补助资金</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785,000.00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785,000.00</w:t>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147,518.78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147,518.78</w:t>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残保金奖励费用</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50,370.50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50,370.50</w:t>
            </w:r>
          </w:p>
        </w:tc>
      </w:tr>
      <w:tr>
        <w:trPr>
          <w:trHeight w:val="7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0" w:lineRule="auto" w:before="44"/>
              <w:ind w:left="15" w:right="97"/>
              <w:jc w:val="left"/>
              <w:rPr>
                <w:rFonts w:ascii="宋体" w:hAnsi="宋体" w:cs="宋体" w:eastAsia="宋体" w:hint="default"/>
                <w:sz w:val="18"/>
                <w:szCs w:val="18"/>
              </w:rPr>
            </w:pPr>
            <w:r>
              <w:rPr>
                <w:rFonts w:ascii="宋体" w:hAnsi="宋体" w:cs="宋体" w:eastAsia="宋体" w:hint="default"/>
                <w:sz w:val="18"/>
                <w:szCs w:val="18"/>
              </w:rPr>
              <w:t>商务局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年统计监测补助资 金</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3,773.58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3,773.58</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政府补助退回情况" w:id="416"/>
      <w:bookmarkEnd w:id="41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85、其他" w:id="417"/>
      <w:bookmarkEnd w:id="417"/>
      <w:r>
        <w:rPr>
          <w:b w:val="0"/>
          <w:bCs w:val="0"/>
        </w:rPr>
      </w:r>
      <w:r>
        <w:rPr>
          <w:rFonts w:ascii="Times New Roman" w:hAnsi="Times New Roman" w:cs="Times New Roman" w:eastAsia="Times New Roman" w:hint="default"/>
        </w:rPr>
        <w:t>85</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after="0" w:line="240" w:lineRule="auto"/>
        <w:jc w:val="left"/>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left="501" w:right="6069"/>
        <w:jc w:val="left"/>
        <w:rPr>
          <w:b w:val="0"/>
          <w:bCs w:val="0"/>
        </w:rPr>
      </w:pPr>
      <w:bookmarkStart w:name="八、合并范围的变更" w:id="418"/>
      <w:bookmarkEnd w:id="418"/>
      <w:r>
        <w:rPr>
          <w:b w:val="0"/>
          <w:bCs w:val="0"/>
        </w:rPr>
      </w:r>
      <w:r>
        <w:rPr/>
        <w:t>八、合并范围的变更</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501" w:right="6069"/>
        <w:jc w:val="left"/>
        <w:rPr>
          <w:b w:val="0"/>
          <w:bCs w:val="0"/>
        </w:rPr>
      </w:pPr>
      <w:bookmarkStart w:name="1、非同一控制下企业合并" w:id="419"/>
      <w:bookmarkEnd w:id="41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left="501" w:right="6069"/>
        <w:jc w:val="left"/>
        <w:rPr>
          <w:b w:val="0"/>
          <w:bCs w:val="0"/>
        </w:rPr>
      </w:pPr>
      <w:bookmarkStart w:name="（1）本期发生的非同一控制下企业合并" w:id="420"/>
      <w:bookmarkEnd w:id="42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157"/>
        <w:gridCol w:w="1156"/>
        <w:gridCol w:w="1157"/>
        <w:gridCol w:w="1156"/>
        <w:gridCol w:w="1156"/>
        <w:gridCol w:w="1157"/>
        <w:gridCol w:w="1156"/>
        <w:gridCol w:w="1157"/>
        <w:gridCol w:w="1156"/>
      </w:tblGrid>
      <w:tr>
        <w:trPr>
          <w:trHeight w:val="1036" w:hRule="exact"/>
        </w:trPr>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9"/>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4"/>
              <w:jc w:val="right"/>
              <w:rPr>
                <w:rFonts w:ascii="宋体" w:hAnsi="宋体" w:cs="宋体" w:eastAsia="宋体" w:hint="default"/>
                <w:sz w:val="18"/>
                <w:szCs w:val="18"/>
              </w:rPr>
            </w:pPr>
            <w:r>
              <w:rPr>
                <w:rFonts w:ascii="宋体" w:hAnsi="宋体" w:cs="宋体" w:eastAsia="宋体" w:hint="default"/>
                <w:sz w:val="18"/>
                <w:szCs w:val="18"/>
              </w:rPr>
              <w:t>股权取得比例</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股权取得方式</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75" w:right="44" w:hanging="361"/>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44"/>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43" w:hanging="1"/>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021"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44"/>
              <w:jc w:val="both"/>
              <w:rPr>
                <w:rFonts w:ascii="宋体" w:hAnsi="宋体" w:cs="宋体" w:eastAsia="宋体" w:hint="default"/>
                <w:sz w:val="18"/>
                <w:szCs w:val="18"/>
              </w:rPr>
            </w:pPr>
            <w:r>
              <w:rPr>
                <w:rFonts w:ascii="宋体" w:hAnsi="宋体" w:cs="宋体" w:eastAsia="宋体" w:hint="default"/>
                <w:sz w:val="18"/>
                <w:szCs w:val="18"/>
              </w:rPr>
              <w:t>天津星言云汇 网络科技有限 公司</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56,000,000.00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44"/>
              <w:jc w:val="both"/>
              <w:rPr>
                <w:rFonts w:ascii="宋体" w:hAnsi="宋体" w:cs="宋体" w:eastAsia="宋体" w:hint="default"/>
                <w:sz w:val="18"/>
                <w:szCs w:val="18"/>
              </w:rPr>
            </w:pPr>
            <w:r>
              <w:rPr>
                <w:rFonts w:ascii="宋体" w:hAnsi="宋体" w:cs="宋体" w:eastAsia="宋体" w:hint="default"/>
                <w:sz w:val="18"/>
                <w:szCs w:val="18"/>
              </w:rPr>
              <w:t>新一届董事召 开第一次董事 会日期</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31,999,531.14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2,473,742.87</w:t>
            </w:r>
          </w:p>
        </w:tc>
      </w:tr>
    </w:tbl>
    <w:p>
      <w:pPr>
        <w:pStyle w:val="BodyText"/>
        <w:spacing w:line="240" w:lineRule="auto" w:before="44"/>
        <w:ind w:left="501" w:right="6069"/>
        <w:jc w:val="left"/>
      </w:pPr>
      <w:r>
        <w:rPr/>
        <w:t>其他说明：</w:t>
      </w:r>
    </w:p>
    <w:p>
      <w:pPr>
        <w:pStyle w:val="BodyText"/>
        <w:spacing w:line="319" w:lineRule="auto" w:before="110"/>
        <w:ind w:left="501" w:right="1126" w:firstLine="360"/>
        <w:jc w:val="both"/>
      </w:pPr>
      <w:r>
        <w:rPr>
          <w:spacing w:val="-2"/>
        </w:rPr>
        <w:t>本公司于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24</w:t>
      </w:r>
      <w:r>
        <w:rPr>
          <w:spacing w:val="-2"/>
        </w:rPr>
        <w:t>日，向天津星言云汇网络科技有限公司（以下简称“星言云汇”）增资人民币</w:t>
      </w:r>
      <w:r>
        <w:rPr>
          <w:rFonts w:ascii="宋体" w:hAnsi="宋体" w:cs="宋体" w:eastAsia="宋体" w:hint="default"/>
          <w:spacing w:val="-2"/>
        </w:rPr>
        <w:t>2,000</w:t>
      </w:r>
      <w:r>
        <w:rPr>
          <w:spacing w:val="-2"/>
        </w:rPr>
        <w:t>万元，增资完</w:t>
      </w:r>
      <w:r>
        <w:rPr/>
        <w:t> 成后持有星言云汇</w:t>
      </w:r>
      <w:r>
        <w:rPr>
          <w:rFonts w:ascii="宋体" w:hAnsi="宋体" w:cs="宋体" w:eastAsia="宋体" w:hint="default"/>
        </w:rPr>
        <w:t>20%</w:t>
      </w:r>
      <w:r>
        <w:rPr/>
        <w:t>的股权。</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29</w:t>
      </w:r>
      <w:r>
        <w:rPr/>
        <w:t>日经第三届董事会第十八次会议批准，以自有资金人民币</w:t>
      </w:r>
      <w:r>
        <w:rPr>
          <w:rFonts w:ascii="宋体" w:hAnsi="宋体" w:cs="宋体" w:eastAsia="宋体" w:hint="default"/>
        </w:rPr>
        <w:t>3,600</w:t>
      </w:r>
      <w:r>
        <w:rPr/>
        <w:t>万元购买星言云</w:t>
      </w:r>
      <w:r>
        <w:rPr>
          <w:spacing w:val="-82"/>
        </w:rPr>
        <w:t> </w:t>
      </w:r>
      <w:r>
        <w:rPr/>
        <w:t>汇股东菏泽众行企业管理咨询中心（有限合伙）（原名：天津众行有道企业管理咨询中心（有限合伙））持有的</w:t>
      </w:r>
      <w:r>
        <w:rPr>
          <w:rFonts w:ascii="宋体" w:hAnsi="宋体" w:cs="宋体" w:eastAsia="宋体" w:hint="default"/>
        </w:rPr>
        <w:t>20%</w:t>
      </w:r>
      <w:r>
        <w:rPr/>
        <w:t>股权。</w:t>
      </w:r>
      <w:r>
        <w:rPr>
          <w:spacing w:val="-80"/>
        </w:rPr>
        <w:t> </w:t>
      </w:r>
      <w:r>
        <w:rPr/>
        <w:t>星言云汇于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日召开股东大会，股东大会选举了新一届董事会成员，共有</w:t>
      </w:r>
      <w:r>
        <w:rPr>
          <w:rFonts w:ascii="宋体" w:hAnsi="宋体" w:cs="宋体" w:eastAsia="宋体" w:hint="default"/>
        </w:rPr>
        <w:t>3</w:t>
      </w:r>
      <w:r>
        <w:rPr/>
        <w:t>名董事，本公司派出</w:t>
      </w:r>
      <w:r>
        <w:rPr>
          <w:rFonts w:ascii="宋体" w:hAnsi="宋体" w:cs="宋体" w:eastAsia="宋体" w:hint="default"/>
        </w:rPr>
        <w:t>2</w:t>
      </w:r>
      <w:r>
        <w:rPr/>
        <w:t>名董事。同日，</w:t>
      </w:r>
      <w:r>
        <w:rPr>
          <w:spacing w:val="-83"/>
        </w:rPr>
        <w:t> </w:t>
      </w:r>
      <w:r>
        <w:rPr/>
        <w:t>召开第一届董事会会议，选举本公司委派的董事邬涛为新任董事长并派驻一名财务经理。综上所述：公司出资</w:t>
      </w:r>
      <w:r>
        <w:rPr>
          <w:rFonts w:ascii="宋体" w:hAnsi="宋体" w:cs="宋体" w:eastAsia="宋体" w:hint="default"/>
        </w:rPr>
        <w:t>5,600</w:t>
      </w:r>
      <w:r>
        <w:rPr/>
        <w:t>万元取</w:t>
      </w:r>
      <w:r>
        <w:rPr>
          <w:spacing w:val="-79"/>
        </w:rPr>
        <w:t> </w:t>
      </w:r>
      <w:r>
        <w:rPr/>
        <w:t>得星言云汇</w:t>
      </w:r>
      <w:r>
        <w:rPr>
          <w:rFonts w:ascii="宋体" w:hAnsi="宋体" w:cs="宋体" w:eastAsia="宋体" w:hint="default"/>
        </w:rPr>
        <w:t>40%</w:t>
      </w:r>
      <w:r>
        <w:rPr/>
        <w:t>的股权，由于在其董事会中占有多数席位，达到控制，故纳入合并范围，合并日为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w:t>
      </w:r>
    </w:p>
    <w:p>
      <w:pPr>
        <w:spacing w:line="240" w:lineRule="auto" w:before="1"/>
        <w:rPr>
          <w:rFonts w:ascii="宋体" w:hAnsi="宋体" w:cs="宋体" w:eastAsia="宋体" w:hint="default"/>
          <w:sz w:val="24"/>
          <w:szCs w:val="24"/>
        </w:rPr>
      </w:pPr>
    </w:p>
    <w:p>
      <w:pPr>
        <w:pStyle w:val="Heading5"/>
        <w:spacing w:line="240" w:lineRule="auto"/>
        <w:ind w:left="501" w:right="6069"/>
        <w:jc w:val="left"/>
        <w:rPr>
          <w:b w:val="0"/>
          <w:bCs w:val="0"/>
        </w:rPr>
      </w:pPr>
      <w:bookmarkStart w:name="（2）合并成本及商誉" w:id="421"/>
      <w:bookmarkEnd w:id="42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494" w:type="dxa"/>
        <w:tblLayout w:type="fixed"/>
        <w:tblCellMar>
          <w:top w:w="0" w:type="dxa"/>
          <w:left w:w="0" w:type="dxa"/>
          <w:bottom w:w="0" w:type="dxa"/>
          <w:right w:w="0" w:type="dxa"/>
        </w:tblCellMar>
        <w:tblLook w:val="01E0"/>
      </w:tblPr>
      <w:tblGrid>
        <w:gridCol w:w="5092"/>
        <w:gridCol w:w="4483"/>
      </w:tblGrid>
      <w:tr>
        <w:trPr>
          <w:trHeight w:val="406"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4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83" w:right="0"/>
              <w:jc w:val="left"/>
              <w:rPr>
                <w:rFonts w:ascii="宋体" w:hAnsi="宋体" w:cs="宋体" w:eastAsia="宋体" w:hint="default"/>
                <w:sz w:val="18"/>
                <w:szCs w:val="18"/>
              </w:rPr>
            </w:pPr>
            <w:r>
              <w:rPr>
                <w:rFonts w:ascii="宋体" w:hAnsi="宋体" w:cs="宋体" w:eastAsia="宋体" w:hint="default"/>
                <w:sz w:val="18"/>
                <w:szCs w:val="18"/>
              </w:rPr>
              <w:t>天津星言云汇网络科技有限公司</w:t>
            </w:r>
          </w:p>
        </w:tc>
      </w:tr>
      <w:tr>
        <w:trPr>
          <w:trHeight w:val="390"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56,000,000.00</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56,000,000.00</w:t>
            </w:r>
          </w:p>
        </w:tc>
      </w:tr>
      <w:tr>
        <w:trPr>
          <w:trHeight w:val="406"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23,958,236.31</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32,041,763.69</w:t>
            </w:r>
          </w:p>
        </w:tc>
      </w:tr>
    </w:tbl>
    <w:p>
      <w:pPr>
        <w:pStyle w:val="BodyText"/>
        <w:spacing w:line="352" w:lineRule="auto" w:before="44"/>
        <w:ind w:left="501" w:right="6069"/>
        <w:jc w:val="left"/>
      </w:pPr>
      <w:r>
        <w:rPr/>
        <w:t>合并成本公允价值的确定方法、或有对价及其变动的说明： 大额商誉形成的主要原因：</w:t>
      </w:r>
    </w:p>
    <w:p>
      <w:pPr>
        <w:pStyle w:val="BodyText"/>
        <w:spacing w:line="321" w:lineRule="auto" w:before="25"/>
        <w:ind w:left="501" w:right="999" w:firstLine="390"/>
        <w:jc w:val="left"/>
      </w:pPr>
      <w:r>
        <w:rPr/>
        <w:t>星言云汇是一家专业的数据驱动的精准营销与效果营销解决方案供应商。星言云汇借助优势移动平台资源（今日头条、 </w:t>
      </w:r>
      <w:r>
        <w:rPr>
          <w:spacing w:val="-2"/>
        </w:rPr>
        <w:t>抖音短视频、西瓜视频、火山小视频、懂车帝等），致力于为广告主提供以信息流广告与效果营销为主，策略创意、内容分</w:t>
      </w:r>
      <w:r>
        <w:rPr>
          <w:spacing w:val="-63"/>
        </w:rPr>
        <w:t> </w:t>
      </w:r>
      <w:r>
        <w:rPr>
          <w:spacing w:val="-63"/>
        </w:rPr>
      </w:r>
      <w:r>
        <w:rPr>
          <w:spacing w:val="-4"/>
        </w:rPr>
        <w:t>发、口碑与舆情管理、大数据分析、舆情监测为辅的互联网营销整合解决方案及服务。基于本公司战略规划及业务发展需要，</w:t>
      </w:r>
      <w:r>
        <w:rPr>
          <w:spacing w:val="-50"/>
        </w:rPr>
        <w:t> </w:t>
      </w:r>
      <w:r>
        <w:rPr>
          <w:spacing w:val="-50"/>
        </w:rPr>
      </w:r>
      <w:r>
        <w:rPr/>
        <w:t>收购星言云汇后，双方可利用各自优势和资源，共同创造和发展。</w:t>
      </w:r>
    </w:p>
    <w:p>
      <w:pPr>
        <w:pStyle w:val="BodyText"/>
        <w:spacing w:line="350" w:lineRule="auto" w:before="48"/>
        <w:ind w:left="501" w:right="9849"/>
        <w:jc w:val="left"/>
      </w:pPr>
      <w:r>
        <w:rPr/>
        <w:t>其他说明： 无</w:t>
      </w:r>
    </w:p>
    <w:p>
      <w:pPr>
        <w:spacing w:after="0" w:line="350" w:lineRule="auto"/>
        <w:jc w:val="left"/>
        <w:sectPr>
          <w:pgSz w:w="11910" w:h="16850"/>
          <w:pgMar w:header="866" w:footer="981" w:top="1120" w:bottom="1180" w:left="64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240" w:lineRule="auto" w:before="35"/>
        <w:ind w:right="0"/>
        <w:jc w:val="left"/>
        <w:rPr>
          <w:b w:val="0"/>
          <w:bCs w:val="0"/>
        </w:rPr>
      </w:pPr>
      <w:bookmarkStart w:name="（3）被购买方于购买日可辨认资产、负债" w:id="422"/>
      <w:bookmarkEnd w:id="42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17" w:right="0"/>
              <w:jc w:val="left"/>
              <w:rPr>
                <w:rFonts w:ascii="宋体" w:hAnsi="宋体" w:cs="宋体" w:eastAsia="宋体" w:hint="default"/>
                <w:sz w:val="18"/>
                <w:szCs w:val="18"/>
              </w:rPr>
            </w:pPr>
            <w:r>
              <w:rPr>
                <w:rFonts w:ascii="宋体" w:hAnsi="宋体" w:cs="宋体" w:eastAsia="宋体" w:hint="default"/>
                <w:sz w:val="18"/>
                <w:szCs w:val="18"/>
              </w:rPr>
              <w:t>天津星言云汇网络有限公司</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133,592,663.48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101,001,512.21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4,575,465.20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4,575,465.20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83,053,481.96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83,053,481.96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25,540.00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34,638.73</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32,614,000.00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13,750.00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66,604.64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66,604.64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677,056.14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677,056.14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2,259,515.54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2,259,515.54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10,321,000.00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10,321,000.00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73,697,072.70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66,672,010.20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64,385,477.17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64,385,477.17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7,025,062.50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141,450.00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141,450.00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1,047,088.04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1,047,088.04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1,097,994.99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1,097,994.99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59,895,590.78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34,329,502.01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35,937,354.47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20,597,701.21</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23,958,236.31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13,731,800.80</w:t>
            </w:r>
          </w:p>
        </w:tc>
      </w:tr>
    </w:tbl>
    <w:p>
      <w:pPr>
        <w:pStyle w:val="BodyText"/>
        <w:spacing w:line="240" w:lineRule="auto" w:before="44"/>
        <w:ind w:right="0"/>
        <w:jc w:val="left"/>
      </w:pPr>
      <w:r>
        <w:rPr/>
        <w:t>可辨认资产、负债公允价值的确定方法：</w:t>
      </w:r>
    </w:p>
    <w:p>
      <w:pPr>
        <w:pStyle w:val="BodyText"/>
        <w:spacing w:line="240" w:lineRule="auto" w:before="125"/>
        <w:ind w:left="561" w:right="0"/>
        <w:jc w:val="left"/>
      </w:pPr>
      <w:r>
        <w:rPr/>
        <w:t>公司聘请银信资产评估有限公司对星言云汇</w:t>
      </w:r>
      <w:r>
        <w:rPr>
          <w:spacing w:val="-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日可辨认净资产公允价值进行评估，并出具银信评报字</w:t>
      </w:r>
    </w:p>
    <w:p>
      <w:pPr>
        <w:pStyle w:val="BodyText"/>
        <w:spacing w:line="331" w:lineRule="auto" w:before="66"/>
        <w:ind w:right="1937"/>
        <w:jc w:val="left"/>
      </w:pPr>
      <w:r>
        <w:rPr/>
        <w:t>（</w:t>
      </w:r>
      <w:r>
        <w:rPr>
          <w:rFonts w:ascii="Times New Roman" w:hAnsi="Times New Roman" w:cs="Times New Roman" w:eastAsia="Times New Roman" w:hint="default"/>
        </w:rPr>
        <w:t>2019</w:t>
      </w:r>
      <w:r>
        <w:rPr/>
        <w:t>）沪第</w:t>
      </w:r>
      <w:r>
        <w:rPr>
          <w:rFonts w:ascii="Times New Roman" w:hAnsi="Times New Roman" w:cs="Times New Roman" w:eastAsia="Times New Roman" w:hint="default"/>
        </w:rPr>
        <w:t>1871</w:t>
      </w:r>
      <w:r>
        <w:rPr/>
        <w:t>号评估报告，按照评估结果星言云汇</w:t>
      </w:r>
      <w:r>
        <w:rPr>
          <w:rFonts w:ascii="Times New Roman" w:hAnsi="Times New Roman" w:cs="Times New Roman" w:eastAsia="Times New Roman" w:hint="default"/>
        </w:rPr>
        <w:t>2019</w:t>
      </w:r>
      <w:r>
        <w:rPr/>
        <w:t>年</w:t>
      </w:r>
      <w:r>
        <w:rPr>
          <w:spacing w:val="-8"/>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日可辨认净资产公允价值为</w:t>
      </w:r>
      <w:r>
        <w:rPr>
          <w:rFonts w:ascii="Times New Roman" w:hAnsi="Times New Roman" w:cs="Times New Roman" w:eastAsia="Times New Roman" w:hint="default"/>
        </w:rPr>
        <w:t>6,692.07</w:t>
      </w:r>
      <w:r>
        <w:rPr/>
        <w:t>万元。 企业合并中承担的被购买方的或有负债：</w:t>
      </w:r>
    </w:p>
    <w:p>
      <w:pPr>
        <w:pStyle w:val="BodyText"/>
        <w:spacing w:line="240" w:lineRule="auto" w:before="41"/>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购买日之前持有的股权按照公允价值重新计量产生的利得或损失" w:id="423"/>
      <w:bookmarkEnd w:id="42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5）购买日或合并当期期末无法合理确定合并对价或被购买方可辨认资产、负债公允价值" w:id="424"/>
      <w:bookmarkEnd w:id="42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31" w:right="0"/>
        <w:jc w:val="left"/>
      </w:pPr>
      <w:r>
        <w:rPr/>
        <w:t>无</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6）其他说明" w:id="425"/>
      <w:bookmarkEnd w:id="42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同一控制下企业合并" w:id="426"/>
      <w:bookmarkEnd w:id="42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本期发生的同一控制下企业合并" w:id="427"/>
      <w:bookmarkEnd w:id="42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91" w:right="0"/>
        <w:jc w:val="left"/>
      </w:pPr>
      <w:r>
        <w:rPr/>
        <w:t>本报告期未发生同一控制下企业合并</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合并成本" w:id="428"/>
      <w:bookmarkEnd w:id="42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3）合并日被合并方资产、负债的账面价值" w:id="429"/>
      <w:bookmarkEnd w:id="42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反向购买" w:id="430"/>
      <w:bookmarkEnd w:id="43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0"/>
        <w:jc w:val="left"/>
      </w:pPr>
      <w:r>
        <w:rPr>
          <w:spacing w:val="-2"/>
        </w:rPr>
        <w:t>交易基本信息、交易构成反向购买的依据、上市公司保留的资产、负债是否构成业务及其依据、合并成本的确定、按照权益</w:t>
      </w:r>
      <w:r>
        <w:rPr>
          <w:spacing w:val="-57"/>
        </w:rPr>
        <w:t> </w:t>
      </w:r>
      <w:r>
        <w:rPr>
          <w:spacing w:val="-57"/>
        </w:rPr>
      </w:r>
      <w:r>
        <w:rPr/>
        <w:t>性交易处理时调整权益的金额及其计算：</w:t>
      </w:r>
    </w:p>
    <w:p>
      <w:pPr>
        <w:pStyle w:val="BodyText"/>
        <w:spacing w:line="240" w:lineRule="auto" w:before="76"/>
        <w:ind w:left="38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处置子公司" w:id="431"/>
      <w:bookmarkEnd w:id="43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是否存在单次处置对子公司投资即丧失控制权的情形</w:t>
      </w:r>
    </w:p>
    <w:p>
      <w:pPr>
        <w:pStyle w:val="BodyText"/>
        <w:spacing w:line="316" w:lineRule="auto" w:before="140"/>
        <w:ind w:right="4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是否存在通过多次交易分步处置对子公司投资且在本期丧失控制权的情形</w:t>
      </w:r>
    </w:p>
    <w:p>
      <w:pPr>
        <w:pStyle w:val="BodyText"/>
        <w:spacing w:line="240" w:lineRule="auto" w:before="8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5、其他原因的合并范围变动" w:id="432"/>
      <w:bookmarkEnd w:id="43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left="501" w:right="0" w:hanging="361"/>
        <w:jc w:val="left"/>
      </w:pPr>
      <w:r>
        <w:rPr/>
        <w:t>说明其他原因导致的合并范围变动（如，新设子公司、清算子公司等）及其相关情况： </w:t>
      </w:r>
      <w:r>
        <w:rPr>
          <w:rFonts w:ascii="宋体" w:hAnsi="宋体" w:cs="宋体" w:eastAsia="宋体" w:hint="default"/>
          <w:spacing w:val="-2"/>
        </w:rPr>
        <w:t>1</w:t>
      </w:r>
      <w:r>
        <w:rPr>
          <w:spacing w:val="-2"/>
        </w:rPr>
        <w:t>、本公司之全资子公司北京品推宝移动科技有限公司（以下简称“品推宝”）于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日与上海聚虎信息科技有</w:t>
      </w:r>
    </w:p>
    <w:p>
      <w:pPr>
        <w:pStyle w:val="BodyText"/>
        <w:spacing w:line="321" w:lineRule="auto"/>
        <w:ind w:right="1119"/>
        <w:jc w:val="left"/>
      </w:pPr>
      <w:r>
        <w:rPr/>
        <w:t>限公司共同成立上海宣亚人工智能科技有限公司。品推宝认缴出资</w:t>
      </w:r>
      <w:r>
        <w:rPr>
          <w:rFonts w:ascii="宋体" w:hAnsi="宋体" w:cs="宋体" w:eastAsia="宋体" w:hint="default"/>
        </w:rPr>
        <w:t>102</w:t>
      </w:r>
      <w:r>
        <w:rPr/>
        <w:t>万元，持股</w:t>
      </w:r>
      <w:r>
        <w:rPr>
          <w:rFonts w:ascii="宋体" w:hAnsi="宋体" w:cs="宋体" w:eastAsia="宋体" w:hint="default"/>
        </w:rPr>
        <w:t>51%</w:t>
      </w:r>
      <w:r>
        <w:rPr/>
        <w:t>，已于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27</w:t>
      </w:r>
      <w:r>
        <w:rPr/>
        <w:t>日支付首笔入资款</w:t>
      </w:r>
      <w:r>
        <w:rPr>
          <w:spacing w:val="-83"/>
        </w:rPr>
        <w:t> </w:t>
      </w:r>
      <w:r>
        <w:rPr>
          <w:rFonts w:ascii="宋体" w:hAnsi="宋体" w:cs="宋体" w:eastAsia="宋体" w:hint="default"/>
        </w:rPr>
        <w:t>25.50</w:t>
      </w:r>
      <w:r>
        <w:rPr/>
        <w:t>万元。公司本期将上海宣亚人工智能科技有限公司纳入合并范围。</w:t>
      </w:r>
    </w:p>
    <w:p>
      <w:pPr>
        <w:pStyle w:val="BodyText"/>
        <w:spacing w:line="321" w:lineRule="auto" w:before="3"/>
        <w:ind w:right="1113" w:firstLine="360"/>
        <w:jc w:val="left"/>
      </w:pPr>
      <w:r>
        <w:rPr>
          <w:rFonts w:ascii="宋体" w:hAnsi="宋体" w:cs="宋体" w:eastAsia="宋体" w:hint="default"/>
          <w:spacing w:val="-3"/>
        </w:rPr>
        <w:t>2</w:t>
      </w:r>
      <w:r>
        <w:rPr>
          <w:spacing w:val="-3"/>
        </w:rPr>
        <w:t>、品推宝于</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21</w:t>
      </w:r>
      <w:r>
        <w:rPr>
          <w:spacing w:val="-3"/>
        </w:rPr>
        <w:t>日与北京清博大数据科技有限公司共同成立上海至深大数据科技有限公司。品推宝认缴出资</w:t>
      </w:r>
      <w:r>
        <w:rPr>
          <w:rFonts w:ascii="宋体" w:hAnsi="宋体" w:cs="宋体" w:eastAsia="宋体" w:hint="default"/>
          <w:spacing w:val="-3"/>
        </w:rPr>
        <w:t>102</w:t>
      </w:r>
      <w:r>
        <w:rPr>
          <w:rFonts w:ascii="宋体" w:hAnsi="宋体" w:cs="宋体" w:eastAsia="宋体" w:hint="default"/>
        </w:rPr>
        <w:t> </w:t>
      </w:r>
      <w:r>
        <w:rPr/>
        <w:t>万元，持股</w:t>
      </w:r>
      <w:r>
        <w:rPr>
          <w:rFonts w:ascii="宋体" w:hAnsi="宋体" w:cs="宋体" w:eastAsia="宋体" w:hint="default"/>
        </w:rPr>
        <w:t>51%</w:t>
      </w:r>
      <w:r>
        <w:rPr/>
        <w:t>，已于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26</w:t>
      </w:r>
      <w:r>
        <w:rPr/>
        <w:t>日支付首笔入资款</w:t>
      </w:r>
      <w:r>
        <w:rPr>
          <w:rFonts w:ascii="宋体" w:hAnsi="宋体" w:cs="宋体" w:eastAsia="宋体" w:hint="default"/>
        </w:rPr>
        <w:t>51</w:t>
      </w:r>
      <w:r>
        <w:rPr/>
        <w:t>万元。公司将上海至深大数据科技有限公司纳入合并范围。</w:t>
      </w:r>
    </w:p>
    <w:p>
      <w:pPr>
        <w:pStyle w:val="BodyText"/>
        <w:spacing w:line="240" w:lineRule="auto" w:before="18"/>
        <w:ind w:left="501" w:right="0"/>
        <w:jc w:val="left"/>
      </w:pPr>
      <w:r>
        <w:rPr>
          <w:rFonts w:ascii="宋体" w:hAnsi="宋体" w:cs="宋体" w:eastAsia="宋体" w:hint="default"/>
        </w:rPr>
        <w:t>3</w:t>
      </w:r>
      <w:r>
        <w:rPr/>
        <w:t>、本公司之控股子公司珠海宣亚互动数字营销有限公司本年度注销。</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6、其他" w:id="433"/>
      <w:bookmarkEnd w:id="433"/>
      <w:r>
        <w:rPr>
          <w:b w:val="0"/>
          <w:bCs w:val="0"/>
        </w:rPr>
      </w:r>
      <w:r>
        <w:rPr>
          <w:rFonts w:ascii="Times New Roman" w:hAnsi="Times New Roman" w:cs="Times New Roman" w:eastAsia="Times New Roman" w:hint="default"/>
        </w:rPr>
        <w:t>6</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after="0" w:line="240" w:lineRule="auto"/>
        <w:jc w:val="left"/>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left="761" w:right="6969"/>
        <w:jc w:val="left"/>
        <w:rPr>
          <w:b w:val="0"/>
          <w:bCs w:val="0"/>
        </w:rPr>
      </w:pPr>
      <w:bookmarkStart w:name="九、在其他主体中的权益" w:id="434"/>
      <w:bookmarkEnd w:id="434"/>
      <w:r>
        <w:rPr>
          <w:b w:val="0"/>
          <w:bCs w:val="0"/>
        </w:rPr>
      </w:r>
      <w:r>
        <w:rPr/>
        <w:t>九、在其他主体中的权益</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761" w:right="6969"/>
        <w:jc w:val="left"/>
        <w:rPr>
          <w:b w:val="0"/>
          <w:bCs w:val="0"/>
        </w:rPr>
      </w:pPr>
      <w:bookmarkStart w:name="1、在子公司中的权益" w:id="435"/>
      <w:bookmarkEnd w:id="43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left="761" w:right="6969"/>
        <w:jc w:val="left"/>
        <w:rPr>
          <w:b w:val="0"/>
          <w:bCs w:val="0"/>
        </w:rPr>
      </w:pPr>
      <w:bookmarkStart w:name="（1）企业集团的构成" w:id="436"/>
      <w:bookmarkEnd w:id="43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2778"/>
        <w:gridCol w:w="1983"/>
        <w:gridCol w:w="1982"/>
        <w:gridCol w:w="1006"/>
        <w:gridCol w:w="706"/>
        <w:gridCol w:w="556"/>
        <w:gridCol w:w="1923"/>
      </w:tblGrid>
      <w:tr>
        <w:trPr>
          <w:trHeight w:val="390" w:hRule="exact"/>
        </w:trPr>
        <w:tc>
          <w:tcPr>
            <w:tcW w:w="27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9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6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20" w:hRule="exact"/>
        </w:trPr>
        <w:tc>
          <w:tcPr>
            <w:tcW w:w="2778" w:type="dxa"/>
            <w:vMerge/>
            <w:tcBorders>
              <w:left w:val="single" w:sz="6" w:space="0" w:color="000000"/>
              <w:bottom w:val="single" w:sz="6" w:space="0" w:color="000000"/>
              <w:right w:val="single" w:sz="6" w:space="0" w:color="000000"/>
            </w:tcBorders>
            <w:shd w:val="clear" w:color="auto" w:fill="D2D2D2"/>
          </w:tcPr>
          <w:p>
            <w:pPr/>
          </w:p>
        </w:tc>
        <w:tc>
          <w:tcPr>
            <w:tcW w:w="1983" w:type="dxa"/>
            <w:vMerge/>
            <w:tcBorders>
              <w:left w:val="single" w:sz="6" w:space="0" w:color="000000"/>
              <w:bottom w:val="single" w:sz="6" w:space="0" w:color="000000"/>
              <w:right w:val="single" w:sz="6" w:space="0" w:color="000000"/>
            </w:tcBorders>
            <w:shd w:val="clear" w:color="auto" w:fill="D2D2D2"/>
          </w:tcPr>
          <w:p>
            <w:pPr/>
          </w:p>
        </w:tc>
        <w:tc>
          <w:tcPr>
            <w:tcW w:w="1982" w:type="dxa"/>
            <w:vMerge/>
            <w:tcBorders>
              <w:left w:val="single" w:sz="6" w:space="0" w:color="000000"/>
              <w:bottom w:val="single" w:sz="6" w:space="0" w:color="000000"/>
              <w:right w:val="single" w:sz="6" w:space="0" w:color="000000"/>
            </w:tcBorders>
            <w:shd w:val="clear" w:color="auto" w:fill="D2D2D2"/>
          </w:tcPr>
          <w:p>
            <w:pPr/>
          </w:p>
        </w:tc>
        <w:tc>
          <w:tcPr>
            <w:tcW w:w="100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6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23"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北京品推宝移动科技有限公司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65"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30" w:right="0"/>
              <w:jc w:val="left"/>
              <w:rPr>
                <w:rFonts w:ascii="宋体" w:hAnsi="宋体" w:cs="宋体" w:eastAsia="宋体" w:hint="default"/>
                <w:sz w:val="18"/>
                <w:szCs w:val="18"/>
              </w:rPr>
            </w:pPr>
            <w:r>
              <w:rPr>
                <w:rFonts w:ascii="宋体" w:hAnsi="宋体" w:cs="宋体" w:eastAsia="宋体" w:hint="default"/>
                <w:sz w:val="18"/>
                <w:szCs w:val="18"/>
              </w:rPr>
              <w:t>秦皇岛宣亚公共关系顾问有限公司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z w:val="18"/>
                <w:szCs w:val="18"/>
              </w:rPr>
              <w:t>河北省秦皇岛市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30"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3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51"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云目未来科技（北京）有限公司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40.80%</w:t>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41"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北京宣亚国际品牌咨询有限公司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51.00%</w:t>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35"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广州宣亚品牌管理有限公司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51.00%</w:t>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36"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北京新兵连文化传媒有限公司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文化艺术等</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20"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宣亚国际有限公司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美国加利福尼亚洲尔湾</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美国加利福尼亚洲尔湾</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59"/>
              <w:jc w:val="left"/>
              <w:rPr>
                <w:rFonts w:ascii="宋体" w:hAnsi="宋体" w:cs="宋体" w:eastAsia="宋体" w:hint="default"/>
                <w:sz w:val="18"/>
                <w:szCs w:val="18"/>
              </w:rPr>
            </w:pPr>
            <w:r>
              <w:rPr>
                <w:rFonts w:ascii="宋体" w:hAnsi="宋体" w:cs="宋体" w:eastAsia="宋体" w:hint="default"/>
                <w:sz w:val="18"/>
                <w:szCs w:val="18"/>
              </w:rPr>
              <w:t>管理、策划 等</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0"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北京金色区块网络科技有限公司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35.70%</w:t>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71" w:hRule="exact"/>
        </w:trPr>
        <w:tc>
          <w:tcPr>
            <w:tcW w:w="2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天津星言云汇网络科技有限公司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556"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352" w:lineRule="auto" w:before="44"/>
        <w:ind w:left="911" w:right="6969" w:hanging="150"/>
        <w:jc w:val="left"/>
      </w:pPr>
      <w:r>
        <w:rPr/>
        <w:t>在子公司的持股比例不同于表决权比例的说明： 无</w:t>
      </w:r>
    </w:p>
    <w:p>
      <w:pPr>
        <w:pStyle w:val="BodyText"/>
        <w:spacing w:line="352" w:lineRule="auto" w:before="40"/>
        <w:ind w:left="911" w:right="2829" w:hanging="150"/>
        <w:jc w:val="left"/>
      </w:pPr>
      <w:r>
        <w:rPr/>
        <w:t>持有半数或以下表决权但仍控制被投资单位、以及持有半数以上表决权但不控制被投资单位的依据： 无</w:t>
      </w:r>
    </w:p>
    <w:p>
      <w:pPr>
        <w:pStyle w:val="BodyText"/>
        <w:spacing w:line="352" w:lineRule="auto" w:before="40"/>
        <w:ind w:left="911" w:right="6429" w:hanging="150"/>
        <w:jc w:val="left"/>
      </w:pPr>
      <w:r>
        <w:rPr/>
        <w:t>对于纳入合并范围的重要的结构化主体，控制的依据： 无</w:t>
      </w:r>
    </w:p>
    <w:p>
      <w:pPr>
        <w:pStyle w:val="BodyText"/>
        <w:spacing w:line="367" w:lineRule="auto" w:before="25"/>
        <w:ind w:left="911" w:right="7689" w:hanging="150"/>
        <w:jc w:val="left"/>
      </w:pPr>
      <w:r>
        <w:rPr/>
        <w:t>确定公司是代理人还是委托人的依据： 无</w:t>
      </w:r>
    </w:p>
    <w:p>
      <w:pPr>
        <w:spacing w:line="240" w:lineRule="auto" w:before="3"/>
        <w:rPr>
          <w:rFonts w:ascii="宋体" w:hAnsi="宋体" w:cs="宋体" w:eastAsia="宋体" w:hint="default"/>
          <w:sz w:val="20"/>
          <w:szCs w:val="20"/>
        </w:rPr>
      </w:pPr>
    </w:p>
    <w:p>
      <w:pPr>
        <w:pStyle w:val="Heading5"/>
        <w:spacing w:line="240" w:lineRule="auto"/>
        <w:ind w:left="761" w:right="6969"/>
        <w:jc w:val="left"/>
        <w:rPr>
          <w:b w:val="0"/>
          <w:bCs w:val="0"/>
        </w:rPr>
      </w:pPr>
      <w:bookmarkStart w:name="（2）重要的非全资子公司" w:id="437"/>
      <w:bookmarkEnd w:id="43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74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6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586" w:right="44"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天津星言云汇网络科技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1,069,618.34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37,016,006.33</w:t>
            </w:r>
          </w:p>
        </w:tc>
      </w:tr>
    </w:tbl>
    <w:p>
      <w:pPr>
        <w:pStyle w:val="BodyText"/>
        <w:spacing w:line="350" w:lineRule="auto" w:before="45"/>
        <w:ind w:left="911" w:right="6429" w:hanging="150"/>
        <w:jc w:val="left"/>
      </w:pPr>
      <w:r>
        <w:rPr/>
        <w:t>子公司少数股东的持股比例不同于表决权比例的说明： 无</w:t>
      </w:r>
    </w:p>
    <w:p>
      <w:pPr>
        <w:spacing w:after="0" w:line="350" w:lineRule="auto"/>
        <w:jc w:val="left"/>
        <w:sectPr>
          <w:pgSz w:w="11910" w:h="16850"/>
          <w:pgMar w:header="866" w:footer="981" w:top="1120" w:bottom="1180" w:left="380" w:right="0"/>
        </w:sectPr>
      </w:pPr>
    </w:p>
    <w:p>
      <w:pPr>
        <w:pStyle w:val="BodyText"/>
        <w:spacing w:line="240" w:lineRule="auto" w:before="21"/>
        <w:ind w:left="9164"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p>
      <w:pPr>
        <w:spacing w:line="240" w:lineRule="auto" w:before="12"/>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5"/>
        <w:spacing w:line="240" w:lineRule="auto" w:before="35"/>
        <w:ind w:right="0"/>
        <w:jc w:val="left"/>
        <w:rPr>
          <w:b w:val="0"/>
          <w:bCs w:val="0"/>
        </w:rPr>
      </w:pPr>
      <w:bookmarkStart w:name="（3）重要非全资子公司的主要财务信息" w:id="438"/>
      <w:bookmarkEnd w:id="43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484"/>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26"/>
        <w:gridCol w:w="1126"/>
        <w:gridCol w:w="1141"/>
        <w:gridCol w:w="1126"/>
        <w:gridCol w:w="1141"/>
        <w:gridCol w:w="1141"/>
        <w:gridCol w:w="1126"/>
        <w:gridCol w:w="991"/>
        <w:gridCol w:w="991"/>
        <w:gridCol w:w="826"/>
        <w:gridCol w:w="1096"/>
        <w:gridCol w:w="1111"/>
        <w:gridCol w:w="1096"/>
      </w:tblGrid>
      <w:tr>
        <w:trPr>
          <w:trHeight w:val="406" w:hRule="exact"/>
        </w:trPr>
        <w:tc>
          <w:tcPr>
            <w:tcW w:w="14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801"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1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6" w:hRule="exact"/>
        </w:trPr>
        <w:tc>
          <w:tcPr>
            <w:tcW w:w="1426"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12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29"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13"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12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13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4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4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18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0"/>
              <w:ind w:left="18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291" w:hRule="exact"/>
        </w:trPr>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304" w:lineRule="auto"/>
              <w:ind w:left="30" w:right="119"/>
              <w:jc w:val="left"/>
              <w:rPr>
                <w:rFonts w:ascii="宋体" w:hAnsi="宋体" w:cs="宋体" w:eastAsia="宋体" w:hint="default"/>
                <w:sz w:val="18"/>
                <w:szCs w:val="18"/>
              </w:rPr>
            </w:pPr>
            <w:r>
              <w:rPr>
                <w:rFonts w:ascii="宋体" w:hAnsi="宋体" w:cs="宋体" w:eastAsia="宋体" w:hint="default"/>
                <w:sz w:val="18"/>
                <w:szCs w:val="18"/>
              </w:rPr>
              <w:t>天津星言云汇网 络科技有限公司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63,249,570.65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31,814,108.10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95,063,678.75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26,541,102.72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6,835,254.50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33,376,357.22</w:t>
            </w:r>
          </w:p>
        </w:tc>
        <w:tc>
          <w:tcPr>
            <w:tcW w:w="99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left="0" w:right="484"/>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1"/>
        <w:gridCol w:w="1591"/>
        <w:gridCol w:w="1591"/>
        <w:gridCol w:w="1592"/>
        <w:gridCol w:w="1607"/>
        <w:gridCol w:w="1591"/>
        <w:gridCol w:w="1591"/>
        <w:gridCol w:w="1592"/>
        <w:gridCol w:w="1606"/>
      </w:tblGrid>
      <w:tr>
        <w:trPr>
          <w:trHeight w:val="390" w:hRule="exact"/>
        </w:trPr>
        <w:tc>
          <w:tcPr>
            <w:tcW w:w="15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4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38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38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6" w:hRule="exact"/>
        </w:trPr>
        <w:tc>
          <w:tcPr>
            <w:tcW w:w="1591" w:type="dxa"/>
            <w:vMerge/>
            <w:tcBorders>
              <w:left w:val="single" w:sz="6" w:space="0" w:color="000000"/>
              <w:bottom w:val="single" w:sz="6" w:space="0" w:color="000000"/>
              <w:right w:val="single" w:sz="6" w:space="0" w:color="000000"/>
            </w:tcBorders>
            <w:shd w:val="clear" w:color="auto" w:fill="D2D2D2"/>
          </w:tcPr>
          <w:p>
            <w:pPr/>
          </w:p>
        </w:tc>
        <w:tc>
          <w:tcPr>
            <w:tcW w:w="15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931" w:hRule="exact"/>
        </w:trPr>
        <w:tc>
          <w:tcPr>
            <w:tcW w:w="15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150"/>
              <w:ind w:left="30" w:right="104"/>
              <w:jc w:val="left"/>
              <w:rPr>
                <w:rFonts w:ascii="宋体" w:hAnsi="宋体" w:cs="宋体" w:eastAsia="宋体" w:hint="default"/>
                <w:sz w:val="18"/>
                <w:szCs w:val="18"/>
              </w:rPr>
            </w:pPr>
            <w:r>
              <w:rPr>
                <w:rFonts w:ascii="宋体" w:hAnsi="宋体" w:cs="宋体" w:eastAsia="宋体" w:hint="default"/>
                <w:sz w:val="18"/>
                <w:szCs w:val="18"/>
              </w:rPr>
              <w:t>天津星言云汇网络 科技有限公司</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25" w:right="0"/>
              <w:jc w:val="left"/>
              <w:rPr>
                <w:rFonts w:ascii="Times New Roman" w:hAnsi="Times New Roman" w:cs="Times New Roman" w:eastAsia="Times New Roman" w:hint="default"/>
                <w:sz w:val="18"/>
                <w:szCs w:val="18"/>
              </w:rPr>
            </w:pPr>
            <w:r>
              <w:rPr>
                <w:rFonts w:ascii="Times New Roman"/>
                <w:sz w:val="18"/>
              </w:rPr>
              <w:t>32,924,059.44</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15" w:right="0"/>
              <w:jc w:val="left"/>
              <w:rPr>
                <w:rFonts w:ascii="Times New Roman" w:hAnsi="Times New Roman" w:cs="Times New Roman" w:eastAsia="Times New Roman" w:hint="default"/>
                <w:sz w:val="18"/>
                <w:szCs w:val="18"/>
              </w:rPr>
            </w:pPr>
            <w:r>
              <w:rPr>
                <w:rFonts w:ascii="Times New Roman"/>
                <w:sz w:val="18"/>
              </w:rPr>
              <w:t>1,782,697.23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30" w:right="0"/>
              <w:jc w:val="left"/>
              <w:rPr>
                <w:rFonts w:ascii="Times New Roman" w:hAnsi="Times New Roman" w:cs="Times New Roman" w:eastAsia="Times New Roman" w:hint="default"/>
                <w:sz w:val="18"/>
                <w:szCs w:val="18"/>
              </w:rPr>
            </w:pPr>
            <w:r>
              <w:rPr>
                <w:rFonts w:ascii="Times New Roman"/>
                <w:sz w:val="18"/>
              </w:rPr>
              <w:t>1,782,697.23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5"/>
              <w:jc w:val="right"/>
              <w:rPr>
                <w:rFonts w:ascii="Times New Roman" w:hAnsi="Times New Roman" w:cs="Times New Roman" w:eastAsia="Times New Roman" w:hint="default"/>
                <w:sz w:val="18"/>
                <w:szCs w:val="18"/>
              </w:rPr>
            </w:pPr>
            <w:r>
              <w:rPr>
                <w:rFonts w:ascii="Times New Roman"/>
                <w:sz w:val="18"/>
              </w:rPr>
              <w:t>7,536,562.02</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使用企业集团资产和清偿企业集团债务的重大限制" w:id="439"/>
      <w:bookmarkEnd w:id="43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5）向纳入合并财务报表范围的结构化主体提供的财务支持或其他支持" w:id="440"/>
      <w:bookmarkEnd w:id="44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76"/>
        <w:ind w:left="0" w:right="484"/>
        <w:jc w:val="right"/>
        <w:rPr>
          <w:rFonts w:ascii="Times New Roman" w:hAnsi="Times New Roman" w:cs="Times New Roman" w:eastAsia="Times New Roman" w:hint="default"/>
        </w:rPr>
      </w:pPr>
      <w:r>
        <w:rPr>
          <w:rFonts w:ascii="Times New Roman"/>
        </w:rPr>
        <w:t>191</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371" w:lineRule="exact"/>
        <w:ind w:left="104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41"/>
          <w:footerReference w:type="default" r:id="rId42"/>
          <w:pgSz w:w="16850" w:h="11910" w:orient="landscape"/>
          <w:pgMar w:header="0" w:footer="0" w:top="780" w:bottom="0" w:left="130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Heading5"/>
        <w:spacing w:line="240" w:lineRule="auto" w:before="35"/>
        <w:ind w:right="0"/>
        <w:jc w:val="left"/>
        <w:rPr>
          <w:b w:val="0"/>
          <w:bCs w:val="0"/>
        </w:rPr>
      </w:pPr>
      <w:bookmarkStart w:name="2、在子公司的所有者权益份额发生变化且仍控制子公司的交易" w:id="441"/>
      <w:bookmarkEnd w:id="44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442"/>
      <w:bookmarkEnd w:id="44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2）交易对于少数股东权益及归属于母公司所有者权益的影响" w:id="443"/>
      <w:bookmarkEnd w:id="44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在合营安排或联营企业中的权益" w:id="444"/>
      <w:bookmarkEnd w:id="44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445"/>
      <w:bookmarkEnd w:id="44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25"/>
          <w:szCs w:val="25"/>
        </w:rPr>
      </w:pPr>
    </w:p>
    <w:p>
      <w:pPr>
        <w:pStyle w:val="BodyText"/>
        <w:spacing w:line="350" w:lineRule="auto"/>
        <w:ind w:left="291" w:right="5889" w:hanging="150"/>
        <w:jc w:val="left"/>
      </w:pPr>
      <w:r>
        <w:rPr/>
        <w:t>在合营企业或联营企业的持股比例不同于表决权比例的说明： 无</w:t>
      </w:r>
    </w:p>
    <w:p>
      <w:pPr>
        <w:pStyle w:val="BodyText"/>
        <w:spacing w:line="316" w:lineRule="auto" w:before="57"/>
        <w:ind w:left="291" w:right="3336" w:hanging="150"/>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4"/>
          <w:szCs w:val="24"/>
        </w:rPr>
      </w:pPr>
    </w:p>
    <w:p>
      <w:pPr>
        <w:pStyle w:val="Heading5"/>
        <w:spacing w:line="240" w:lineRule="auto"/>
        <w:ind w:right="0"/>
        <w:jc w:val="left"/>
        <w:rPr>
          <w:b w:val="0"/>
          <w:bCs w:val="0"/>
        </w:rPr>
      </w:pPr>
      <w:bookmarkStart w:name="（2）重要合营企业的主要财务信息" w:id="446"/>
      <w:bookmarkEnd w:id="44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重要联营企业的主要财务信息" w:id="447"/>
      <w:bookmarkEnd w:id="44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4）不重要的合营企业和联营企业的汇总财务信息" w:id="448"/>
      <w:bookmarkEnd w:id="44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49,177,119.17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36,590,096.82</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-8,341,577.65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-8,341,577.65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43"/>
          <w:pgSz w:w="11910" w:h="16850"/>
          <w:pgMar w:footer="981" w:header="0" w:top="1120" w:bottom="1180" w:left="1000" w:right="0"/>
          <w:pgNumType w:start="192"/>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5）合营企业或联营企业向本公司转移资金的能力存在重大限制的说明" w:id="449"/>
      <w:bookmarkEnd w:id="44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合营企业或联营企业发生的超额亏损" w:id="450"/>
      <w:bookmarkEnd w:id="45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7）与合营企业投资相关的未确认承诺" w:id="451"/>
      <w:bookmarkEnd w:id="45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8）与合营企业或联营企业投资相关的或有负债" w:id="452"/>
      <w:bookmarkEnd w:id="45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4、重要的共同经营" w:id="453"/>
      <w:bookmarkEnd w:id="45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本公司不存在重大的共同经营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Heading5"/>
        <w:spacing w:line="240" w:lineRule="auto"/>
        <w:ind w:right="0"/>
        <w:jc w:val="left"/>
        <w:rPr>
          <w:b w:val="0"/>
          <w:bCs w:val="0"/>
        </w:rPr>
      </w:pPr>
      <w:bookmarkStart w:name="5、在未纳入合并财务报表范围的结构化主体中的权益" w:id="454"/>
      <w:bookmarkEnd w:id="45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本公司不存在未纳入合并财务报表范围的结构化主体中的权益。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5"/>
        <w:spacing w:line="240" w:lineRule="auto"/>
        <w:ind w:right="0"/>
        <w:jc w:val="left"/>
        <w:rPr>
          <w:b w:val="0"/>
          <w:bCs w:val="0"/>
        </w:rPr>
      </w:pPr>
      <w:bookmarkStart w:name="6、其他" w:id="455"/>
      <w:bookmarkEnd w:id="455"/>
      <w:r>
        <w:rPr>
          <w:b w:val="0"/>
          <w:bCs w:val="0"/>
        </w:rPr>
      </w:r>
      <w:r>
        <w:rPr>
          <w:rFonts w:ascii="Times New Roman" w:hAnsi="Times New Roman" w:cs="Times New Roman" w:eastAsia="Times New Roman" w:hint="default"/>
        </w:rPr>
        <w:t>6</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十、与金融工具相关的风险" w:id="456"/>
      <w:bookmarkEnd w:id="456"/>
      <w:r>
        <w:rPr>
          <w:b w:val="0"/>
          <w:bCs w:val="0"/>
        </w:rPr>
      </w: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290" w:lineRule="auto"/>
        <w:ind w:left="456" w:right="0" w:hanging="45"/>
        <w:jc w:val="left"/>
      </w:pPr>
      <w:r>
        <w:rPr>
          <w:rFonts w:ascii="Times New Roman" w:hAnsi="Times New Roman" w:cs="Times New Roman" w:eastAsia="Times New Roman" w:hint="default"/>
          <w:b/>
          <w:bCs/>
        </w:rPr>
        <w:t>(</w:t>
      </w:r>
      <w:r>
        <w:rPr>
          <w:rFonts w:ascii="宋体" w:hAnsi="宋体" w:cs="宋体" w:eastAsia="宋体" w:hint="default"/>
          <w:b/>
          <w:bCs/>
        </w:rPr>
        <w:t>一）、信用风险</w:t>
      </w:r>
      <w:r>
        <w:rPr>
          <w:rFonts w:ascii="宋体" w:hAnsi="宋体" w:cs="宋体" w:eastAsia="宋体" w:hint="default"/>
          <w:b/>
          <w:bCs/>
          <w:w w:val="99"/>
        </w:rPr>
        <w:t> </w:t>
      </w:r>
      <w:r>
        <w:rPr>
          <w:spacing w:val="-3"/>
        </w:rPr>
        <w:t>信用风险是指金融工具的一方不履行义务，造成另一方发生财务损失的风险。本公司主要面临赊销导致的客户信用风险。</w:t>
      </w:r>
    </w:p>
    <w:p>
      <w:pPr>
        <w:pStyle w:val="BodyText"/>
        <w:spacing w:line="321" w:lineRule="auto" w:before="41"/>
        <w:ind w:right="0"/>
        <w:jc w:val="left"/>
      </w:pPr>
      <w:r>
        <w:rPr>
          <w:spacing w:val="-2"/>
        </w:rPr>
        <w:t>在签订新合同之前，本公司会对新客户的信用风险进行评估，包括外部信用评级和在某些情况下的银行资信证明（当此信息</w:t>
      </w:r>
      <w:r>
        <w:rPr>
          <w:spacing w:val="-75"/>
        </w:rPr>
        <w:t> </w:t>
      </w:r>
      <w:r>
        <w:rPr>
          <w:spacing w:val="-75"/>
        </w:rPr>
      </w:r>
      <w:r>
        <w:rPr/>
        <w:t>可获取时）。公司对每一客户均设置了赊销限额，该限额为无需获得额外批准的最大额度。</w:t>
      </w:r>
    </w:p>
    <w:p>
      <w:pPr>
        <w:pStyle w:val="BodyText"/>
        <w:spacing w:line="312" w:lineRule="auto" w:before="3"/>
        <w:ind w:right="1113" w:firstLine="330"/>
        <w:jc w:val="both"/>
      </w:pPr>
      <w:r>
        <w:rPr>
          <w:spacing w:val="2"/>
        </w:rPr>
        <w:t>公司通过对已有客户信用评级的季度监控以及应收账款账龄分析的月度审核来确保公司的整体信用风险在可控的范围</w:t>
      </w:r>
      <w:r>
        <w:rPr/>
        <w:t> </w:t>
      </w:r>
      <w:r>
        <w:rPr>
          <w:spacing w:val="-1"/>
        </w:rPr>
        <w:t>内。在监控客户的信用风险时，按照客户的信用特征对其分组。被评为</w:t>
      </w:r>
      <w:r>
        <w:rPr>
          <w:rFonts w:ascii="Times New Roman" w:hAnsi="Times New Roman" w:cs="Times New Roman" w:eastAsia="Times New Roman" w:hint="default"/>
          <w:spacing w:val="-1"/>
        </w:rPr>
        <w:t>“</w:t>
      </w:r>
      <w:r>
        <w:rPr>
          <w:spacing w:val="-1"/>
        </w:rPr>
        <w:t>高风险</w:t>
      </w:r>
      <w:r>
        <w:rPr>
          <w:rFonts w:ascii="Times New Roman" w:hAnsi="Times New Roman" w:cs="Times New Roman" w:eastAsia="Times New Roman" w:hint="default"/>
          <w:spacing w:val="-1"/>
        </w:rPr>
        <w:t>”</w:t>
      </w:r>
      <w:r>
        <w:rPr>
          <w:spacing w:val="-1"/>
        </w:rPr>
        <w:t>级别的客户会放在受限制客户名单里，并且</w:t>
      </w:r>
      <w:r>
        <w:rPr>
          <w:spacing w:val="-84"/>
        </w:rPr>
        <w:t> </w:t>
      </w:r>
      <w:r>
        <w:rPr>
          <w:spacing w:val="-84"/>
        </w:rPr>
      </w:r>
      <w:r>
        <w:rPr/>
        <w:t>只有在额外批准的前提下，公司才可在未来期间内对其赊销，否则必须要求其提前支付相应款项。</w:t>
      </w:r>
    </w:p>
    <w:p>
      <w:pPr>
        <w:pStyle w:val="BodyText"/>
        <w:spacing w:line="321" w:lineRule="auto" w:before="26"/>
        <w:ind w:left="471" w:right="1111" w:hanging="151"/>
        <w:jc w:val="left"/>
      </w:pPr>
      <w:r>
        <w:rPr>
          <w:rFonts w:ascii="宋体" w:hAnsi="宋体" w:cs="宋体" w:eastAsia="宋体" w:hint="default"/>
          <w:b/>
          <w:bCs/>
        </w:rPr>
        <w:t>（二）、市场风险</w:t>
      </w:r>
      <w:r>
        <w:rPr>
          <w:rFonts w:ascii="宋体" w:hAnsi="宋体" w:cs="宋体" w:eastAsia="宋体" w:hint="default"/>
          <w:b/>
          <w:bCs/>
          <w:w w:val="99"/>
        </w:rPr>
        <w:t> </w:t>
      </w:r>
      <w:r>
        <w:rPr>
          <w:spacing w:val="-1"/>
        </w:rPr>
        <w:t>金融工具的市场风险，是指金融工具的公允价值或未来现金流量因市场价格变动而发生波动的风险，包括汇率风险、利</w:t>
      </w:r>
    </w:p>
    <w:p>
      <w:pPr>
        <w:pStyle w:val="BodyText"/>
        <w:spacing w:line="240" w:lineRule="auto" w:before="3"/>
        <w:ind w:right="0"/>
        <w:jc w:val="left"/>
      </w:pPr>
      <w:r>
        <w:rPr/>
        <w:t>率风险和其他价格风险。</w:t>
      </w:r>
    </w:p>
    <w:p>
      <w:pPr>
        <w:pStyle w:val="BodyText"/>
        <w:spacing w:line="321" w:lineRule="auto" w:before="80"/>
        <w:ind w:left="501" w:right="1133" w:hanging="90"/>
        <w:jc w:val="left"/>
      </w:pPr>
      <w:r>
        <w:rPr/>
        <w:t>（</w:t>
      </w:r>
      <w:r>
        <w:rPr>
          <w:rFonts w:ascii="宋体" w:hAnsi="宋体" w:cs="宋体" w:eastAsia="宋体" w:hint="default"/>
        </w:rPr>
        <w:t>1</w:t>
      </w:r>
      <w:r>
        <w:rPr/>
        <w:t>）汇率风险 </w:t>
      </w:r>
      <w:r>
        <w:rPr>
          <w:spacing w:val="-2"/>
        </w:rPr>
        <w:t>汇率风险，是指金融工具的公允价值或未来现金流量因外汇汇率变动而发生波动的风险。本公司尽可能将外币收入与外</w:t>
      </w:r>
    </w:p>
    <w:p>
      <w:pPr>
        <w:pStyle w:val="BodyText"/>
        <w:spacing w:line="240" w:lineRule="auto" w:before="18"/>
        <w:ind w:right="0"/>
        <w:jc w:val="left"/>
      </w:pPr>
      <w:r>
        <w:rPr/>
        <w:t>币支出相匹配以降低汇率风险。此外，公司还可能签署远期外汇合约或货币互换合约以达到规避汇率风险的目的。于本期及</w:t>
      </w:r>
    </w:p>
    <w:p>
      <w:pPr>
        <w:spacing w:after="0" w:line="240" w:lineRule="auto"/>
        <w:jc w:val="left"/>
        <w:sectPr>
          <w:pgSz w:w="11910" w:h="16850"/>
          <w:pgMar w:header="0" w:footer="981" w:top="1120" w:bottom="1180" w:left="1000" w:right="0"/>
        </w:sectPr>
      </w:pPr>
    </w:p>
    <w:p>
      <w:pPr>
        <w:spacing w:line="240" w:lineRule="auto" w:before="9"/>
        <w:rPr>
          <w:rFonts w:ascii="宋体" w:hAnsi="宋体" w:cs="宋体" w:eastAsia="宋体" w:hint="default"/>
          <w:sz w:val="20"/>
          <w:szCs w:val="20"/>
        </w:rPr>
      </w:pPr>
    </w:p>
    <w:p>
      <w:pPr>
        <w:pStyle w:val="BodyText"/>
        <w:spacing w:line="321" w:lineRule="auto" w:before="44"/>
        <w:ind w:left="501" w:right="0" w:hanging="361"/>
        <w:jc w:val="left"/>
      </w:pPr>
      <w:r>
        <w:rPr/>
        <w:t>上期，本公司未签署任何远期外汇合约或货币互换合约。 </w:t>
      </w:r>
      <w:r>
        <w:rPr>
          <w:spacing w:val="-2"/>
        </w:rPr>
        <w:t>本公司面临的汇率风险主要来源于以美元计价的金融资产和金融负债，外币金融资产和外币金融负债折算成人民币的金</w:t>
      </w:r>
    </w:p>
    <w:p>
      <w:pPr>
        <w:pStyle w:val="BodyText"/>
        <w:spacing w:line="240" w:lineRule="auto" w:before="18"/>
        <w:ind w:right="0"/>
        <w:jc w:val="left"/>
      </w:pPr>
      <w:r>
        <w:rPr/>
        <w:t>额列示如下：</w:t>
      </w:r>
    </w:p>
    <w:p>
      <w:pPr>
        <w:spacing w:line="240" w:lineRule="auto" w:before="1"/>
        <w:rPr>
          <w:rFonts w:ascii="宋体" w:hAnsi="宋体" w:cs="宋体" w:eastAsia="宋体" w:hint="default"/>
          <w:sz w:val="29"/>
          <w:szCs w:val="29"/>
        </w:rPr>
      </w:pPr>
    </w:p>
    <w:tbl>
      <w:tblPr>
        <w:tblW w:w="0" w:type="auto"/>
        <w:jc w:val="left"/>
        <w:tblInd w:w="726" w:type="dxa"/>
        <w:tblLayout w:type="fixed"/>
        <w:tblCellMar>
          <w:top w:w="0" w:type="dxa"/>
          <w:left w:w="0" w:type="dxa"/>
          <w:bottom w:w="0" w:type="dxa"/>
          <w:right w:w="0" w:type="dxa"/>
        </w:tblCellMar>
        <w:tblLook w:val="01E0"/>
      </w:tblPr>
      <w:tblGrid>
        <w:gridCol w:w="1547"/>
        <w:gridCol w:w="1292"/>
        <w:gridCol w:w="1021"/>
        <w:gridCol w:w="1292"/>
        <w:gridCol w:w="1216"/>
        <w:gridCol w:w="1037"/>
        <w:gridCol w:w="1216"/>
      </w:tblGrid>
      <w:tr>
        <w:trPr>
          <w:trHeight w:val="481" w:hRule="exact"/>
        </w:trPr>
        <w:tc>
          <w:tcPr>
            <w:tcW w:w="154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6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65" w:hRule="exact"/>
        </w:trPr>
        <w:tc>
          <w:tcPr>
            <w:tcW w:w="1547" w:type="dxa"/>
            <w:vMerge/>
            <w:tcBorders>
              <w:left w:val="single" w:sz="6" w:space="0" w:color="000000"/>
              <w:bottom w:val="single" w:sz="6" w:space="0" w:color="000000"/>
              <w:right w:val="single" w:sz="6" w:space="0" w:color="000000"/>
            </w:tcBorders>
            <w:shd w:val="clear" w:color="auto" w:fill="D9D9D9"/>
          </w:tcPr>
          <w:p>
            <w:pP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35"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35"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0" w:hRule="exact"/>
        </w:trPr>
        <w:tc>
          <w:tcPr>
            <w:tcW w:w="15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center"/>
              <w:rPr>
                <w:rFonts w:ascii="宋体" w:hAnsi="宋体" w:cs="宋体" w:eastAsia="宋体" w:hint="default"/>
                <w:sz w:val="18"/>
                <w:szCs w:val="18"/>
              </w:rPr>
            </w:pPr>
            <w:r>
              <w:rPr>
                <w:rFonts w:ascii="宋体"/>
                <w:sz w:val="18"/>
              </w:rPr>
              <w:t>10,874,073.20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center"/>
              <w:rPr>
                <w:rFonts w:ascii="宋体" w:hAnsi="宋体" w:cs="宋体" w:eastAsia="宋体" w:hint="default"/>
                <w:sz w:val="18"/>
                <w:szCs w:val="18"/>
              </w:rPr>
            </w:pPr>
            <w:r>
              <w:rPr>
                <w:rFonts w:ascii="宋体"/>
                <w:sz w:val="18"/>
              </w:rPr>
              <w:t>10,874,073.20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8" w:right="0"/>
              <w:jc w:val="center"/>
              <w:rPr>
                <w:rFonts w:ascii="宋体" w:hAnsi="宋体" w:cs="宋体" w:eastAsia="宋体" w:hint="default"/>
                <w:sz w:val="18"/>
                <w:szCs w:val="18"/>
              </w:rPr>
            </w:pPr>
            <w:r>
              <w:rPr>
                <w:rFonts w:ascii="宋体"/>
                <w:sz w:val="18"/>
              </w:rPr>
              <w:t>40,124,971.23</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8" w:right="0"/>
              <w:jc w:val="center"/>
              <w:rPr>
                <w:rFonts w:ascii="宋体" w:hAnsi="宋体" w:cs="宋体" w:eastAsia="宋体" w:hint="default"/>
                <w:sz w:val="18"/>
                <w:szCs w:val="18"/>
              </w:rPr>
            </w:pPr>
            <w:r>
              <w:rPr>
                <w:rFonts w:ascii="宋体"/>
                <w:sz w:val="18"/>
              </w:rPr>
              <w:t>40,124,971.23</w:t>
            </w:r>
          </w:p>
        </w:tc>
      </w:tr>
      <w:tr>
        <w:trPr>
          <w:trHeight w:val="466" w:hRule="exact"/>
        </w:trPr>
        <w:tc>
          <w:tcPr>
            <w:tcW w:w="15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3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3" w:right="0"/>
              <w:jc w:val="center"/>
              <w:rPr>
                <w:rFonts w:ascii="宋体" w:hAnsi="宋体" w:cs="宋体" w:eastAsia="宋体" w:hint="default"/>
                <w:sz w:val="18"/>
                <w:szCs w:val="18"/>
              </w:rPr>
            </w:pPr>
            <w:r>
              <w:rPr>
                <w:rFonts w:ascii="宋体"/>
                <w:sz w:val="18"/>
              </w:rPr>
              <w:t>10,874,073.20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3" w:right="0"/>
              <w:jc w:val="center"/>
              <w:rPr>
                <w:rFonts w:ascii="宋体" w:hAnsi="宋体" w:cs="宋体" w:eastAsia="宋体" w:hint="default"/>
                <w:sz w:val="18"/>
                <w:szCs w:val="18"/>
              </w:rPr>
            </w:pPr>
            <w:r>
              <w:rPr>
                <w:rFonts w:ascii="宋体"/>
                <w:sz w:val="18"/>
              </w:rPr>
              <w:t>10,874,073.20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8" w:right="0"/>
              <w:jc w:val="center"/>
              <w:rPr>
                <w:rFonts w:ascii="宋体" w:hAnsi="宋体" w:cs="宋体" w:eastAsia="宋体" w:hint="default"/>
                <w:sz w:val="18"/>
                <w:szCs w:val="18"/>
              </w:rPr>
            </w:pPr>
            <w:r>
              <w:rPr>
                <w:rFonts w:ascii="宋体"/>
                <w:sz w:val="18"/>
              </w:rPr>
              <w:t>40,124,971.23</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8" w:right="0"/>
              <w:jc w:val="center"/>
              <w:rPr>
                <w:rFonts w:ascii="宋体" w:hAnsi="宋体" w:cs="宋体" w:eastAsia="宋体" w:hint="default"/>
                <w:sz w:val="18"/>
                <w:szCs w:val="18"/>
              </w:rPr>
            </w:pPr>
            <w:r>
              <w:rPr>
                <w:rFonts w:ascii="宋体"/>
                <w:sz w:val="18"/>
              </w:rPr>
              <w:t>40,124,971.23</w:t>
            </w:r>
          </w:p>
        </w:tc>
      </w:tr>
    </w:tbl>
    <w:p>
      <w:pPr>
        <w:spacing w:line="240" w:lineRule="auto" w:before="11"/>
        <w:rPr>
          <w:rFonts w:ascii="宋体" w:hAnsi="宋体" w:cs="宋体" w:eastAsia="宋体" w:hint="default"/>
          <w:sz w:val="21"/>
          <w:szCs w:val="21"/>
        </w:rPr>
      </w:pPr>
    </w:p>
    <w:p>
      <w:pPr>
        <w:pStyle w:val="BodyText"/>
        <w:spacing w:line="276" w:lineRule="auto" w:before="44"/>
        <w:ind w:left="561" w:right="2229" w:hanging="226"/>
        <w:jc w:val="left"/>
      </w:pPr>
      <w:r>
        <w:rPr/>
        <w:t>（</w:t>
      </w:r>
      <w:r>
        <w:rPr>
          <w:rFonts w:ascii="Times New Roman" w:hAnsi="Times New Roman" w:cs="Times New Roman" w:eastAsia="Times New Roman" w:hint="default"/>
        </w:rPr>
        <w:t>2</w:t>
      </w:r>
      <w:r>
        <w:rPr/>
        <w:t>）其他价格风险 本公司持有其他非上市公司的权益投资，管理层认为这些投资活动面临的市场价格风险是可以接受的。</w:t>
      </w:r>
    </w:p>
    <w:p>
      <w:pPr>
        <w:spacing w:line="240" w:lineRule="auto" w:before="0"/>
        <w:rPr>
          <w:rFonts w:ascii="宋体" w:hAnsi="宋体" w:cs="宋体" w:eastAsia="宋体" w:hint="default"/>
          <w:sz w:val="18"/>
          <w:szCs w:val="18"/>
        </w:rPr>
      </w:pPr>
    </w:p>
    <w:p>
      <w:pPr>
        <w:pStyle w:val="BodyText"/>
        <w:spacing w:line="321" w:lineRule="auto" w:before="132"/>
        <w:ind w:left="456" w:right="0" w:hanging="316"/>
        <w:jc w:val="left"/>
      </w:pPr>
      <w:r>
        <w:rPr>
          <w:rFonts w:ascii="宋体" w:hAnsi="宋体" w:cs="宋体" w:eastAsia="宋体" w:hint="default"/>
          <w:b/>
          <w:bCs/>
        </w:rPr>
        <w:t>（三）、流动性风险</w:t>
      </w:r>
      <w:r>
        <w:rPr>
          <w:rFonts w:ascii="宋体" w:hAnsi="宋体" w:cs="宋体" w:eastAsia="宋体" w:hint="default"/>
          <w:b/>
          <w:bCs/>
          <w:w w:val="99"/>
        </w:rPr>
        <w:t> </w:t>
      </w:r>
      <w:r>
        <w:rPr>
          <w:spacing w:val="-1"/>
        </w:rPr>
        <w:t>流动性风险，是指企业在履行以交付现金或其他金融资产的方式结算的义务时发生资金短缺的风险。本公司的政策是确</w:t>
      </w:r>
    </w:p>
    <w:p>
      <w:pPr>
        <w:pStyle w:val="BodyText"/>
        <w:spacing w:line="304" w:lineRule="auto" w:before="18"/>
        <w:ind w:right="0"/>
        <w:jc w:val="left"/>
      </w:pPr>
      <w:r>
        <w:rPr>
          <w:spacing w:val="-2"/>
        </w:rPr>
        <w:t>保拥有充足的现金以偿还到期债务。流动性风险由本公司的财务部门集中控制。财务部门通过监控现金余额、可随时变现的</w:t>
      </w:r>
      <w:r>
        <w:rPr>
          <w:spacing w:val="-74"/>
        </w:rPr>
        <w:t> </w:t>
      </w:r>
      <w:r>
        <w:rPr>
          <w:spacing w:val="-74"/>
        </w:rPr>
      </w:r>
      <w:r>
        <w:rPr/>
        <w:t>有价证券以及对未来</w:t>
      </w:r>
      <w:r>
        <w:rPr>
          <w:rFonts w:ascii="宋体" w:hAnsi="宋体" w:cs="宋体" w:eastAsia="宋体" w:hint="default"/>
        </w:rPr>
        <w:t>12</w:t>
      </w:r>
      <w:r>
        <w:rPr/>
        <w:t>个月现金流量的滚动预测，确保公司在所有合理预测的情况下拥有充足的资金偿还债务。</w:t>
      </w:r>
    </w:p>
    <w:p>
      <w:pPr>
        <w:pStyle w:val="BodyText"/>
        <w:spacing w:line="240" w:lineRule="auto" w:before="31"/>
        <w:ind w:left="501" w:right="0"/>
        <w:jc w:val="left"/>
      </w:pPr>
      <w:r>
        <w:rPr/>
        <w:t>本公司各项金融负债以未折现的合同现金流量按到期日列示如下：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870"/>
        <w:gridCol w:w="2350"/>
        <w:gridCol w:w="2148"/>
        <w:gridCol w:w="1426"/>
        <w:gridCol w:w="2208"/>
      </w:tblGrid>
      <w:tr>
        <w:trPr>
          <w:trHeight w:val="330" w:hRule="exact"/>
        </w:trPr>
        <w:tc>
          <w:tcPr>
            <w:tcW w:w="187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7"/>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8" w:lineRule="exact"/>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8" w:hRule="exact"/>
        </w:trPr>
        <w:tc>
          <w:tcPr>
            <w:tcW w:w="1870" w:type="dxa"/>
            <w:vMerge/>
            <w:tcBorders>
              <w:left w:val="single" w:sz="6" w:space="0" w:color="000000"/>
              <w:bottom w:val="single" w:sz="6" w:space="0" w:color="000000"/>
              <w:right w:val="single" w:sz="6" w:space="0" w:color="000000"/>
            </w:tcBorders>
            <w:shd w:val="clear" w:color="auto" w:fill="D9D9D9"/>
          </w:tcPr>
          <w:p>
            <w:pPr/>
          </w:p>
        </w:tc>
        <w:tc>
          <w:tcPr>
            <w:tcW w:w="23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7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21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2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5" w:hRule="exact"/>
        </w:trPr>
        <w:tc>
          <w:tcPr>
            <w:tcW w:w="18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z w:val="18"/>
              </w:rPr>
              <w:t>95,326,705.05</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95,326,705.05</w:t>
            </w:r>
          </w:p>
        </w:tc>
      </w:tr>
      <w:tr>
        <w:trPr>
          <w:trHeight w:val="346" w:hRule="exact"/>
        </w:trPr>
        <w:tc>
          <w:tcPr>
            <w:tcW w:w="18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6,881,467.00</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6,881,467.00</w:t>
            </w:r>
          </w:p>
        </w:tc>
      </w:tr>
      <w:tr>
        <w:trPr>
          <w:trHeight w:val="346" w:hRule="exact"/>
        </w:trPr>
        <w:tc>
          <w:tcPr>
            <w:tcW w:w="18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20,190,730.26</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20,190,730.26</w:t>
            </w:r>
          </w:p>
        </w:tc>
      </w:tr>
      <w:tr>
        <w:trPr>
          <w:trHeight w:val="345" w:hRule="exact"/>
        </w:trPr>
        <w:tc>
          <w:tcPr>
            <w:tcW w:w="18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11,608,969.15</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11,608,969.15</w:t>
            </w:r>
          </w:p>
        </w:tc>
      </w:tr>
      <w:tr>
        <w:trPr>
          <w:trHeight w:val="330" w:hRule="exact"/>
        </w:trPr>
        <w:tc>
          <w:tcPr>
            <w:tcW w:w="18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134,007,871.46</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134,007,871.46</w:t>
            </w:r>
          </w:p>
        </w:tc>
      </w:tr>
    </w:tbl>
    <w:p>
      <w:pPr>
        <w:spacing w:line="240" w:lineRule="auto" w:before="8"/>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862"/>
        <w:gridCol w:w="2358"/>
        <w:gridCol w:w="2148"/>
        <w:gridCol w:w="1411"/>
        <w:gridCol w:w="2208"/>
      </w:tblGrid>
      <w:tr>
        <w:trPr>
          <w:trHeight w:val="331" w:hRule="exact"/>
        </w:trPr>
        <w:tc>
          <w:tcPr>
            <w:tcW w:w="186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8125"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8" w:lineRule="exact"/>
              <w:ind w:right="3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5" w:hRule="exact"/>
        </w:trPr>
        <w:tc>
          <w:tcPr>
            <w:tcW w:w="1862" w:type="dxa"/>
            <w:vMerge/>
            <w:tcBorders>
              <w:left w:val="single" w:sz="6" w:space="0" w:color="000000"/>
              <w:bottom w:val="single" w:sz="6" w:space="0" w:color="000000"/>
              <w:right w:val="single" w:sz="6" w:space="0" w:color="000000"/>
            </w:tcBorders>
            <w:shd w:val="clear" w:color="auto" w:fill="D9D9D9"/>
          </w:tcPr>
          <w:p>
            <w:pPr/>
          </w:p>
        </w:tc>
        <w:tc>
          <w:tcPr>
            <w:tcW w:w="23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21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2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8"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41,677,219.28</w:t>
            </w:r>
          </w:p>
        </w:tc>
        <w:tc>
          <w:tcPr>
            <w:tcW w:w="2148" w:type="dxa"/>
            <w:tcBorders>
              <w:top w:val="single" w:sz="12"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z w:val="18"/>
              </w:rPr>
              <w:t>41,677,219.28</w:t>
            </w:r>
          </w:p>
        </w:tc>
      </w:tr>
      <w:tr>
        <w:trPr>
          <w:trHeight w:val="34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7,478,435.64</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7,478,435.64</w:t>
            </w:r>
          </w:p>
        </w:tc>
      </w:tr>
      <w:tr>
        <w:trPr>
          <w:trHeight w:val="345"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17,766,010.80</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17,766,010.80</w:t>
            </w:r>
          </w:p>
        </w:tc>
      </w:tr>
      <w:tr>
        <w:trPr>
          <w:trHeight w:val="345"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2,424,268.52</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2,424,268.52</w:t>
            </w:r>
          </w:p>
        </w:tc>
      </w:tr>
      <w:tr>
        <w:trPr>
          <w:trHeight w:val="331"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69,345,934.24</w:t>
            </w:r>
          </w:p>
        </w:tc>
        <w:tc>
          <w:tcPr>
            <w:tcW w:w="2148"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69,345,934.24</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981" w:top="1120" w:bottom="1180" w:left="100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before="26"/>
        <w:ind w:right="0"/>
        <w:jc w:val="left"/>
        <w:rPr>
          <w:b w:val="0"/>
          <w:bCs w:val="0"/>
        </w:rPr>
      </w:pPr>
      <w:bookmarkStart w:name="十一、公允价值的披露" w:id="457"/>
      <w:bookmarkEnd w:id="457"/>
      <w:r>
        <w:rPr>
          <w:b w:val="0"/>
          <w:bCs w:val="0"/>
        </w:rPr>
      </w:r>
      <w:r>
        <w:rPr/>
        <w:t>十一、公允价值的披露</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以公允价值计量的资产和负债的期末公允价值" w:id="458"/>
      <w:bookmarkEnd w:id="45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25"/>
        <w:gridCol w:w="1983"/>
        <w:gridCol w:w="2268"/>
        <w:gridCol w:w="1997"/>
        <w:gridCol w:w="1201"/>
      </w:tblGrid>
      <w:tr>
        <w:trPr>
          <w:trHeight w:val="405" w:hRule="exact"/>
        </w:trPr>
        <w:tc>
          <w:tcPr>
            <w:tcW w:w="212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744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5" w:hRule="exact"/>
        </w:trPr>
        <w:tc>
          <w:tcPr>
            <w:tcW w:w="2125" w:type="dxa"/>
            <w:vMerge/>
            <w:tcBorders>
              <w:left w:val="single" w:sz="6" w:space="0" w:color="000000"/>
              <w:bottom w:val="single" w:sz="6" w:space="0" w:color="000000"/>
              <w:right w:val="single" w:sz="6" w:space="0" w:color="000000"/>
            </w:tcBorders>
            <w:shd w:val="clear" w:color="auto" w:fill="D2D2D2"/>
          </w:tcPr>
          <w:p>
            <w:pP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21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21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983" w:type="dxa"/>
            <w:tcBorders>
              <w:top w:val="single" w:sz="6" w:space="0" w:color="000000"/>
              <w:left w:val="single" w:sz="12"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400,000.00</w:t>
            </w:r>
          </w:p>
        </w:tc>
      </w:tr>
      <w:tr>
        <w:trPr>
          <w:trHeight w:val="405" w:hRule="exact"/>
        </w:trPr>
        <w:tc>
          <w:tcPr>
            <w:tcW w:w="21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983" w:type="dxa"/>
            <w:tcBorders>
              <w:top w:val="single" w:sz="6" w:space="0" w:color="000000"/>
              <w:left w:val="single" w:sz="12"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15,397,080.00</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57,887,571.36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73,284,651.36</w:t>
            </w:r>
          </w:p>
        </w:tc>
      </w:tr>
      <w:tr>
        <w:trPr>
          <w:trHeight w:val="721" w:hRule="exact"/>
        </w:trPr>
        <w:tc>
          <w:tcPr>
            <w:tcW w:w="21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20"/>
              <w:jc w:val="left"/>
              <w:rPr>
                <w:rFonts w:ascii="宋体" w:hAnsi="宋体" w:cs="宋体" w:eastAsia="宋体" w:hint="default"/>
                <w:sz w:val="18"/>
                <w:szCs w:val="18"/>
              </w:rPr>
            </w:pPr>
            <w:r>
              <w:rPr>
                <w:rFonts w:ascii="宋体" w:hAnsi="宋体" w:cs="宋体" w:eastAsia="宋体" w:hint="default"/>
                <w:sz w:val="18"/>
                <w:szCs w:val="18"/>
              </w:rPr>
              <w:t>持续以公允价值计量的资 产总额</w:t>
            </w:r>
          </w:p>
        </w:tc>
        <w:tc>
          <w:tcPr>
            <w:tcW w:w="1983" w:type="dxa"/>
            <w:tcBorders>
              <w:top w:val="single" w:sz="6" w:space="0" w:color="000000"/>
              <w:left w:val="single" w:sz="12"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15,397,080.00</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58,287,571.36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73,684,651.36</w:t>
            </w:r>
          </w:p>
        </w:tc>
      </w:tr>
      <w:tr>
        <w:trPr>
          <w:trHeight w:val="390" w:hRule="exact"/>
        </w:trPr>
        <w:tc>
          <w:tcPr>
            <w:tcW w:w="21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非持续的公允价值计量</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持续和非持续第一层次公允价值计量项目市价的确定依据" w:id="459"/>
      <w:bookmarkEnd w:id="45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持续和非持续第二层次公允价值计量项目，采用的估值技术和重要参数的定性及定量信" w:id="460"/>
      <w:bookmarkEnd w:id="46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持续和非持续第三层次公允价值计量项目，采用的估值技术和重要参数的定性及定量信" w:id="461"/>
      <w:bookmarkEnd w:id="46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1132" w:firstLine="345"/>
        <w:jc w:val="both"/>
      </w:pPr>
      <w:r>
        <w:rPr>
          <w:rFonts w:ascii="宋体" w:hAnsi="宋体" w:cs="宋体" w:eastAsia="宋体" w:hint="default"/>
        </w:rPr>
        <w:t>1</w:t>
      </w:r>
      <w:r>
        <w:rPr/>
        <w:t>、本公司持有第三层次公允价值计量的交易性金融资产为北京米和花影业有限公司项目投资款，由于剩余期限较短， 账面价值等同于公允价值。</w:t>
      </w:r>
    </w:p>
    <w:p>
      <w:pPr>
        <w:pStyle w:val="BodyText"/>
        <w:spacing w:line="321" w:lineRule="auto" w:before="31"/>
        <w:ind w:right="1126" w:firstLine="360"/>
        <w:jc w:val="both"/>
      </w:pPr>
      <w:r>
        <w:rPr>
          <w:rFonts w:ascii="宋体" w:hAnsi="宋体" w:cs="宋体" w:eastAsia="宋体" w:hint="default"/>
        </w:rPr>
        <w:t>2</w:t>
      </w:r>
      <w:r>
        <w:rPr/>
        <w:t>、本公司持有第三层次公允价值计量的其他权益工具投资为北京周同科技有限公司</w:t>
      </w:r>
      <w:r>
        <w:rPr>
          <w:rFonts w:ascii="宋体" w:hAnsi="宋体" w:cs="宋体" w:eastAsia="宋体" w:hint="default"/>
        </w:rPr>
        <w:t>3%</w:t>
      </w:r>
      <w:r>
        <w:rPr/>
        <w:t>股权、</w:t>
      </w:r>
      <w:r>
        <w:rPr>
          <w:rFonts w:ascii="宋体" w:hAnsi="宋体" w:cs="宋体" w:eastAsia="宋体" w:hint="default"/>
        </w:rPr>
        <w:t>Sunshine</w:t>
      </w:r>
      <w:r>
        <w:rPr>
          <w:rFonts w:ascii="宋体" w:hAnsi="宋体" w:cs="宋体" w:eastAsia="宋体" w:hint="default"/>
          <w:spacing w:val="-42"/>
        </w:rPr>
        <w:t> </w:t>
      </w:r>
      <w:r>
        <w:rPr>
          <w:rFonts w:ascii="宋体" w:hAnsi="宋体" w:cs="宋体" w:eastAsia="宋体" w:hint="default"/>
        </w:rPr>
        <w:t>Partners</w:t>
      </w:r>
      <w:r>
        <w:rPr>
          <w:rFonts w:ascii="宋体" w:hAnsi="宋体" w:cs="宋体" w:eastAsia="宋体" w:hint="default"/>
          <w:spacing w:val="-42"/>
        </w:rPr>
        <w:t> </w:t>
      </w:r>
      <w:r>
        <w:rPr>
          <w:rFonts w:ascii="宋体" w:hAnsi="宋体" w:cs="宋体" w:eastAsia="宋体" w:hint="default"/>
        </w:rPr>
        <w:t>Group</w:t>
      </w:r>
      <w:r>
        <w:rPr>
          <w:rFonts w:ascii="宋体" w:hAnsi="宋体" w:cs="宋体" w:eastAsia="宋体" w:hint="default"/>
        </w:rPr>
        <w:t> </w:t>
      </w:r>
      <w:r>
        <w:rPr>
          <w:rFonts w:ascii="宋体" w:hAnsi="宋体" w:cs="宋体" w:eastAsia="宋体" w:hint="default"/>
          <w:spacing w:val="-2"/>
        </w:rPr>
        <w:t>Limited6.41%</w:t>
      </w:r>
      <w:r>
        <w:rPr>
          <w:spacing w:val="-2"/>
        </w:rPr>
        <w:t>股权、北京群创天杰科技发展有限责任公司</w:t>
      </w:r>
      <w:r>
        <w:rPr>
          <w:rFonts w:ascii="宋体" w:hAnsi="宋体" w:cs="宋体" w:eastAsia="宋体" w:hint="default"/>
          <w:spacing w:val="-2"/>
        </w:rPr>
        <w:t>10%</w:t>
      </w:r>
      <w:r>
        <w:rPr>
          <w:spacing w:val="-2"/>
        </w:rPr>
        <w:t>股权、北京睿链通证网络科技有限公司</w:t>
      </w:r>
      <w:r>
        <w:rPr>
          <w:rFonts w:ascii="宋体" w:hAnsi="宋体" w:cs="宋体" w:eastAsia="宋体" w:hint="default"/>
          <w:spacing w:val="-2"/>
        </w:rPr>
        <w:t>20%</w:t>
      </w:r>
      <w:r>
        <w:rPr>
          <w:spacing w:val="-2"/>
        </w:rPr>
        <w:t>股权、北京爱点互动</w:t>
      </w:r>
      <w:r>
        <w:rPr>
          <w:spacing w:val="-49"/>
        </w:rPr>
        <w:t> </w:t>
      </w:r>
      <w:r>
        <w:rPr>
          <w:spacing w:val="-49"/>
        </w:rPr>
      </w:r>
      <w:r>
        <w:rPr>
          <w:spacing w:val="-1"/>
        </w:rPr>
        <w:t>科技有限公司</w:t>
      </w:r>
      <w:r>
        <w:rPr>
          <w:rFonts w:ascii="宋体" w:hAnsi="宋体" w:cs="宋体" w:eastAsia="宋体" w:hint="default"/>
          <w:spacing w:val="-1"/>
        </w:rPr>
        <w:t>5%</w:t>
      </w:r>
      <w:r>
        <w:rPr>
          <w:spacing w:val="-1"/>
        </w:rPr>
        <w:t>股权、</w:t>
      </w:r>
      <w:r>
        <w:rPr>
          <w:rFonts w:ascii="宋体" w:hAnsi="宋体" w:cs="宋体" w:eastAsia="宋体" w:hint="default"/>
          <w:spacing w:val="-1"/>
        </w:rPr>
        <w:t>MUHO</w:t>
      </w:r>
      <w:r>
        <w:rPr>
          <w:rFonts w:ascii="宋体" w:hAnsi="宋体" w:cs="宋体" w:eastAsia="宋体" w:hint="default"/>
          <w:spacing w:val="-25"/>
        </w:rPr>
        <w:t> </w:t>
      </w:r>
      <w:r>
        <w:rPr>
          <w:rFonts w:ascii="宋体" w:hAnsi="宋体" w:cs="宋体" w:eastAsia="宋体" w:hint="default"/>
          <w:spacing w:val="-1"/>
        </w:rPr>
        <w:t>LIMITED6.75%</w:t>
      </w:r>
      <w:r>
        <w:rPr>
          <w:spacing w:val="-1"/>
        </w:rPr>
        <w:t>股权以及星智云创网络科技（北京）有限公司</w:t>
      </w:r>
      <w:r>
        <w:rPr>
          <w:rFonts w:ascii="宋体" w:hAnsi="宋体" w:cs="宋体" w:eastAsia="宋体" w:hint="default"/>
          <w:spacing w:val="-1"/>
        </w:rPr>
        <w:t>20%</w:t>
      </w:r>
      <w:r>
        <w:rPr>
          <w:spacing w:val="-1"/>
        </w:rPr>
        <w:t>股权，由于上述非上市公司公允</w:t>
      </w:r>
      <w:r>
        <w:rPr>
          <w:spacing w:val="-87"/>
        </w:rPr>
        <w:t> </w:t>
      </w:r>
      <w:r>
        <w:rPr>
          <w:spacing w:val="-87"/>
        </w:rPr>
      </w:r>
      <w:r>
        <w:rPr/>
        <w:t>价值的可能估计金额分布范围较广，故成本代表了该范围内对公允价值的最佳估计。</w:t>
      </w:r>
    </w:p>
    <w:p>
      <w:pPr>
        <w:spacing w:after="0" w:line="321" w:lineRule="auto"/>
        <w:jc w:val="both"/>
        <w:sectPr>
          <w:pgSz w:w="11910" w:h="16850"/>
          <w:pgMar w:header="0" w:footer="981" w:top="1120" w:bottom="1180" w:left="10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240" w:lineRule="auto" w:before="35"/>
        <w:ind w:left="741" w:right="0"/>
        <w:jc w:val="left"/>
        <w:rPr>
          <w:b w:val="0"/>
          <w:bCs w:val="0"/>
        </w:rPr>
      </w:pPr>
      <w:bookmarkStart w:name="5、持续的第三层次公允价值计量项目，期初与期末账面价值间的调节信息及不可观察参数" w:id="462"/>
      <w:bookmarkEnd w:id="46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766"/>
        <w:gridCol w:w="1322"/>
        <w:gridCol w:w="1126"/>
        <w:gridCol w:w="616"/>
        <w:gridCol w:w="570"/>
        <w:gridCol w:w="616"/>
        <w:gridCol w:w="1322"/>
        <w:gridCol w:w="541"/>
        <w:gridCol w:w="1322"/>
        <w:gridCol w:w="541"/>
        <w:gridCol w:w="1382"/>
        <w:gridCol w:w="766"/>
      </w:tblGrid>
      <w:tr>
        <w:trPr>
          <w:trHeight w:val="555" w:hRule="exact"/>
        </w:trPr>
        <w:tc>
          <w:tcPr>
            <w:tcW w:w="76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left="210" w:right="0"/>
              <w:jc w:val="left"/>
              <w:rPr>
                <w:rFonts w:ascii="宋体" w:hAnsi="宋体" w:cs="宋体" w:eastAsia="宋体" w:hint="default"/>
                <w:sz w:val="16"/>
                <w:szCs w:val="16"/>
              </w:rPr>
            </w:pPr>
            <w:r>
              <w:rPr>
                <w:rFonts w:ascii="宋体" w:hAnsi="宋体" w:cs="宋体" w:eastAsia="宋体" w:hint="default"/>
                <w:w w:val="105"/>
                <w:sz w:val="16"/>
                <w:szCs w:val="16"/>
              </w:rPr>
              <w:t>项目</w:t>
            </w:r>
            <w:r>
              <w:rPr>
                <w:rFonts w:ascii="宋体" w:hAnsi="宋体" w:cs="宋体" w:eastAsia="宋体" w:hint="default"/>
                <w:sz w:val="16"/>
                <w:szCs w:val="16"/>
              </w:rPr>
            </w:r>
          </w:p>
        </w:tc>
        <w:tc>
          <w:tcPr>
            <w:tcW w:w="132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left="315" w:right="0"/>
              <w:jc w:val="left"/>
              <w:rPr>
                <w:rFonts w:ascii="宋体" w:hAnsi="宋体" w:cs="宋体" w:eastAsia="宋体" w:hint="default"/>
                <w:sz w:val="16"/>
                <w:szCs w:val="16"/>
              </w:rPr>
            </w:pPr>
            <w:r>
              <w:rPr>
                <w:rFonts w:ascii="宋体" w:hAnsi="宋体" w:cs="宋体" w:eastAsia="宋体" w:hint="default"/>
                <w:w w:val="105"/>
                <w:sz w:val="16"/>
                <w:szCs w:val="16"/>
              </w:rPr>
              <w:t>年初余额</w:t>
            </w:r>
            <w:r>
              <w:rPr>
                <w:rFonts w:ascii="宋体" w:hAnsi="宋体" w:cs="宋体" w:eastAsia="宋体" w:hint="default"/>
                <w:sz w:val="16"/>
                <w:szCs w:val="16"/>
              </w:rPr>
            </w:r>
          </w:p>
        </w:tc>
        <w:tc>
          <w:tcPr>
            <w:tcW w:w="11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196" w:lineRule="exact"/>
              <w:ind w:left="465" w:right="149" w:hanging="316"/>
              <w:jc w:val="left"/>
              <w:rPr>
                <w:rFonts w:ascii="宋体" w:hAnsi="宋体" w:cs="宋体" w:eastAsia="宋体" w:hint="default"/>
                <w:sz w:val="16"/>
                <w:szCs w:val="16"/>
              </w:rPr>
            </w:pPr>
            <w:r>
              <w:rPr>
                <w:rFonts w:ascii="宋体" w:hAnsi="宋体" w:cs="宋体" w:eastAsia="宋体" w:hint="default"/>
                <w:spacing w:val="-3"/>
                <w:sz w:val="16"/>
                <w:szCs w:val="16"/>
              </w:rPr>
              <w:t>转入第三层</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w w:val="105"/>
                <w:sz w:val="16"/>
                <w:szCs w:val="16"/>
              </w:rPr>
              <w:t>次</w:t>
            </w:r>
            <w:r>
              <w:rPr>
                <w:rFonts w:ascii="宋体" w:hAnsi="宋体" w:cs="宋体" w:eastAsia="宋体" w:hint="default"/>
                <w:sz w:val="16"/>
                <w:szCs w:val="16"/>
              </w:rPr>
            </w:r>
          </w:p>
        </w:tc>
        <w:tc>
          <w:tcPr>
            <w:tcW w:w="61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32" w:lineRule="auto" w:before="121"/>
              <w:ind w:left="135" w:right="133"/>
              <w:jc w:val="both"/>
              <w:rPr>
                <w:rFonts w:ascii="宋体" w:hAnsi="宋体" w:cs="宋体" w:eastAsia="宋体" w:hint="default"/>
                <w:sz w:val="16"/>
                <w:szCs w:val="16"/>
              </w:rPr>
            </w:pPr>
            <w:r>
              <w:rPr>
                <w:rFonts w:ascii="宋体" w:hAnsi="宋体" w:cs="宋体" w:eastAsia="宋体" w:hint="default"/>
                <w:w w:val="105"/>
                <w:sz w:val="16"/>
                <w:szCs w:val="16"/>
              </w:rPr>
              <w:t>转出</w:t>
            </w:r>
            <w:r>
              <w:rPr>
                <w:rFonts w:ascii="宋体" w:hAnsi="宋体" w:cs="宋体" w:eastAsia="宋体" w:hint="default"/>
                <w:w w:val="103"/>
                <w:sz w:val="16"/>
                <w:szCs w:val="16"/>
              </w:rPr>
              <w:t> </w:t>
            </w:r>
            <w:r>
              <w:rPr>
                <w:rFonts w:ascii="宋体" w:hAnsi="宋体" w:cs="宋体" w:eastAsia="宋体" w:hint="default"/>
                <w:w w:val="105"/>
                <w:sz w:val="16"/>
                <w:szCs w:val="16"/>
              </w:rPr>
              <w:t>第三</w:t>
            </w:r>
            <w:r>
              <w:rPr>
                <w:rFonts w:ascii="宋体" w:hAnsi="宋体" w:cs="宋体" w:eastAsia="宋体" w:hint="default"/>
                <w:w w:val="103"/>
                <w:sz w:val="16"/>
                <w:szCs w:val="16"/>
              </w:rPr>
              <w:t> </w:t>
            </w:r>
            <w:r>
              <w:rPr>
                <w:rFonts w:ascii="宋体" w:hAnsi="宋体" w:cs="宋体" w:eastAsia="宋体" w:hint="default"/>
                <w:w w:val="105"/>
                <w:sz w:val="16"/>
                <w:szCs w:val="16"/>
              </w:rPr>
              <w:t>层次</w:t>
            </w:r>
            <w:r>
              <w:rPr>
                <w:rFonts w:ascii="宋体" w:hAnsi="宋体" w:cs="宋体" w:eastAsia="宋体" w:hint="default"/>
                <w:sz w:val="16"/>
                <w:szCs w:val="16"/>
              </w:rPr>
            </w:r>
          </w:p>
        </w:tc>
        <w:tc>
          <w:tcPr>
            <w:tcW w:w="118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30" w:right="104" w:hanging="241"/>
              <w:jc w:val="left"/>
              <w:rPr>
                <w:rFonts w:ascii="宋体" w:hAnsi="宋体" w:cs="宋体" w:eastAsia="宋体" w:hint="default"/>
                <w:sz w:val="16"/>
                <w:szCs w:val="16"/>
              </w:rPr>
            </w:pPr>
            <w:r>
              <w:rPr>
                <w:rFonts w:ascii="宋体" w:hAnsi="宋体" w:cs="宋体" w:eastAsia="宋体" w:hint="default"/>
                <w:spacing w:val="-3"/>
                <w:sz w:val="16"/>
                <w:szCs w:val="16"/>
              </w:rPr>
              <w:t>当期利得或损</w:t>
            </w:r>
            <w:r>
              <w:rPr>
                <w:rFonts w:ascii="宋体" w:hAnsi="宋体" w:cs="宋体" w:eastAsia="宋体" w:hint="default"/>
                <w:spacing w:val="-47"/>
                <w:sz w:val="16"/>
                <w:szCs w:val="16"/>
              </w:rPr>
              <w:t> </w:t>
            </w:r>
            <w:r>
              <w:rPr>
                <w:rFonts w:ascii="宋体" w:hAnsi="宋体" w:cs="宋体" w:eastAsia="宋体" w:hint="default"/>
                <w:spacing w:val="-47"/>
                <w:sz w:val="16"/>
                <w:szCs w:val="16"/>
              </w:rPr>
            </w:r>
            <w:r>
              <w:rPr>
                <w:rFonts w:ascii="宋体" w:hAnsi="宋体" w:cs="宋体" w:eastAsia="宋体" w:hint="default"/>
                <w:w w:val="105"/>
                <w:sz w:val="16"/>
                <w:szCs w:val="16"/>
              </w:rPr>
              <w:t>失总额</w:t>
            </w:r>
            <w:r>
              <w:rPr>
                <w:rFonts w:ascii="宋体" w:hAnsi="宋体" w:cs="宋体" w:eastAsia="宋体" w:hint="default"/>
                <w:sz w:val="16"/>
                <w:szCs w:val="16"/>
              </w:rPr>
            </w:r>
          </w:p>
        </w:tc>
        <w:tc>
          <w:tcPr>
            <w:tcW w:w="3725"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left="975" w:right="0"/>
              <w:jc w:val="left"/>
              <w:rPr>
                <w:rFonts w:ascii="宋体" w:hAnsi="宋体" w:cs="宋体" w:eastAsia="宋体" w:hint="default"/>
                <w:sz w:val="16"/>
                <w:szCs w:val="16"/>
              </w:rPr>
            </w:pPr>
            <w:r>
              <w:rPr>
                <w:rFonts w:ascii="宋体" w:hAnsi="宋体" w:cs="宋体" w:eastAsia="宋体" w:hint="default"/>
                <w:spacing w:val="-5"/>
                <w:w w:val="105"/>
                <w:sz w:val="16"/>
                <w:szCs w:val="16"/>
              </w:rPr>
              <w:t>购买、发行、出售和结算</w:t>
            </w:r>
            <w:r>
              <w:rPr>
                <w:rFonts w:ascii="宋体" w:hAnsi="宋体" w:cs="宋体" w:eastAsia="宋体" w:hint="default"/>
                <w:spacing w:val="-5"/>
                <w:sz w:val="16"/>
                <w:szCs w:val="16"/>
              </w:rPr>
            </w:r>
          </w:p>
        </w:tc>
        <w:tc>
          <w:tcPr>
            <w:tcW w:w="138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left="360" w:right="0"/>
              <w:jc w:val="left"/>
              <w:rPr>
                <w:rFonts w:ascii="宋体" w:hAnsi="宋体" w:cs="宋体" w:eastAsia="宋体" w:hint="default"/>
                <w:sz w:val="16"/>
                <w:szCs w:val="16"/>
              </w:rPr>
            </w:pPr>
            <w:r>
              <w:rPr>
                <w:rFonts w:ascii="宋体" w:hAnsi="宋体" w:cs="宋体" w:eastAsia="宋体" w:hint="default"/>
                <w:w w:val="105"/>
                <w:sz w:val="16"/>
                <w:szCs w:val="16"/>
              </w:rPr>
              <w:t>期末余额</w:t>
            </w:r>
            <w:r>
              <w:rPr>
                <w:rFonts w:ascii="宋体" w:hAnsi="宋体" w:cs="宋体" w:eastAsia="宋体" w:hint="default"/>
                <w:sz w:val="16"/>
                <w:szCs w:val="16"/>
              </w:rPr>
            </w:r>
          </w:p>
        </w:tc>
        <w:tc>
          <w:tcPr>
            <w:tcW w:w="76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left="135" w:right="118"/>
              <w:jc w:val="center"/>
              <w:rPr>
                <w:rFonts w:ascii="宋体" w:hAnsi="宋体" w:cs="宋体" w:eastAsia="宋体" w:hint="default"/>
                <w:sz w:val="16"/>
                <w:szCs w:val="16"/>
              </w:rPr>
            </w:pPr>
            <w:r>
              <w:rPr>
                <w:rFonts w:ascii="宋体" w:hAnsi="宋体" w:cs="宋体" w:eastAsia="宋体" w:hint="default"/>
                <w:sz w:val="16"/>
                <w:szCs w:val="16"/>
              </w:rPr>
              <w:t>对于在</w:t>
            </w:r>
            <w:r>
              <w:rPr>
                <w:rFonts w:ascii="宋体" w:hAnsi="宋体" w:cs="宋体" w:eastAsia="宋体" w:hint="default"/>
                <w:spacing w:val="-74"/>
                <w:sz w:val="16"/>
                <w:szCs w:val="16"/>
              </w:rPr>
              <w:t> </w:t>
            </w:r>
            <w:r>
              <w:rPr>
                <w:rFonts w:ascii="宋体" w:hAnsi="宋体" w:cs="宋体" w:eastAsia="宋体" w:hint="default"/>
                <w:sz w:val="16"/>
                <w:szCs w:val="16"/>
              </w:rPr>
              <w:t>报告期</w:t>
            </w:r>
            <w:r>
              <w:rPr>
                <w:rFonts w:ascii="宋体" w:hAnsi="宋体" w:cs="宋体" w:eastAsia="宋体" w:hint="default"/>
                <w:spacing w:val="-74"/>
                <w:sz w:val="16"/>
                <w:szCs w:val="16"/>
              </w:rPr>
              <w:t> </w:t>
            </w:r>
            <w:r>
              <w:rPr>
                <w:rFonts w:ascii="宋体" w:hAnsi="宋体" w:cs="宋体" w:eastAsia="宋体" w:hint="default"/>
                <w:sz w:val="16"/>
                <w:szCs w:val="16"/>
              </w:rPr>
              <w:t>末持有</w:t>
            </w:r>
            <w:r>
              <w:rPr>
                <w:rFonts w:ascii="宋体" w:hAnsi="宋体" w:cs="宋体" w:eastAsia="宋体" w:hint="default"/>
                <w:spacing w:val="-74"/>
                <w:sz w:val="16"/>
                <w:szCs w:val="16"/>
              </w:rPr>
              <w:t> </w:t>
            </w:r>
            <w:r>
              <w:rPr>
                <w:rFonts w:ascii="宋体" w:hAnsi="宋体" w:cs="宋体" w:eastAsia="宋体" w:hint="default"/>
                <w:w w:val="105"/>
                <w:sz w:val="16"/>
                <w:szCs w:val="16"/>
              </w:rPr>
              <w:t>的资</w:t>
            </w:r>
            <w:r>
              <w:rPr>
                <w:rFonts w:ascii="宋体" w:hAnsi="宋体" w:cs="宋体" w:eastAsia="宋体" w:hint="default"/>
                <w:w w:val="103"/>
                <w:sz w:val="16"/>
                <w:szCs w:val="16"/>
              </w:rPr>
              <w:t> </w:t>
            </w:r>
            <w:r>
              <w:rPr>
                <w:rFonts w:ascii="宋体" w:hAnsi="宋体" w:cs="宋体" w:eastAsia="宋体" w:hint="default"/>
                <w:sz w:val="16"/>
                <w:szCs w:val="16"/>
              </w:rPr>
              <w:t>产，计</w:t>
            </w:r>
            <w:r>
              <w:rPr>
                <w:rFonts w:ascii="宋体" w:hAnsi="宋体" w:cs="宋体" w:eastAsia="宋体" w:hint="default"/>
                <w:spacing w:val="-74"/>
                <w:sz w:val="16"/>
                <w:szCs w:val="16"/>
              </w:rPr>
              <w:t> </w:t>
            </w:r>
            <w:r>
              <w:rPr>
                <w:rFonts w:ascii="宋体" w:hAnsi="宋体" w:cs="宋体" w:eastAsia="宋体" w:hint="default"/>
                <w:sz w:val="16"/>
                <w:szCs w:val="16"/>
              </w:rPr>
              <w:t>入损益</w:t>
            </w:r>
            <w:r>
              <w:rPr>
                <w:rFonts w:ascii="宋体" w:hAnsi="宋体" w:cs="宋体" w:eastAsia="宋体" w:hint="default"/>
                <w:spacing w:val="-74"/>
                <w:sz w:val="16"/>
                <w:szCs w:val="16"/>
              </w:rPr>
              <w:t> </w:t>
            </w:r>
            <w:r>
              <w:rPr>
                <w:rFonts w:ascii="宋体" w:hAnsi="宋体" w:cs="宋体" w:eastAsia="宋体" w:hint="default"/>
                <w:sz w:val="16"/>
                <w:szCs w:val="16"/>
              </w:rPr>
              <w:t>的当期</w:t>
            </w:r>
            <w:r>
              <w:rPr>
                <w:rFonts w:ascii="宋体" w:hAnsi="宋体" w:cs="宋体" w:eastAsia="宋体" w:hint="default"/>
                <w:spacing w:val="-74"/>
                <w:sz w:val="16"/>
                <w:szCs w:val="16"/>
              </w:rPr>
              <w:t> </w:t>
            </w:r>
            <w:r>
              <w:rPr>
                <w:rFonts w:ascii="宋体" w:hAnsi="宋体" w:cs="宋体" w:eastAsia="宋体" w:hint="default"/>
                <w:sz w:val="16"/>
                <w:szCs w:val="16"/>
              </w:rPr>
              <w:t>未实现</w:t>
            </w:r>
            <w:r>
              <w:rPr>
                <w:rFonts w:ascii="宋体" w:hAnsi="宋体" w:cs="宋体" w:eastAsia="宋体" w:hint="default"/>
                <w:spacing w:val="-74"/>
                <w:sz w:val="16"/>
                <w:szCs w:val="16"/>
              </w:rPr>
              <w:t> </w:t>
            </w:r>
            <w:r>
              <w:rPr>
                <w:rFonts w:ascii="宋体" w:hAnsi="宋体" w:cs="宋体" w:eastAsia="宋体" w:hint="default"/>
                <w:sz w:val="16"/>
                <w:szCs w:val="16"/>
              </w:rPr>
              <w:t>利得或</w:t>
            </w:r>
            <w:r>
              <w:rPr>
                <w:rFonts w:ascii="宋体" w:hAnsi="宋体" w:cs="宋体" w:eastAsia="宋体" w:hint="default"/>
                <w:spacing w:val="-74"/>
                <w:sz w:val="16"/>
                <w:szCs w:val="16"/>
              </w:rPr>
              <w:t> </w:t>
            </w:r>
            <w:r>
              <w:rPr>
                <w:rFonts w:ascii="宋体" w:hAnsi="宋体" w:cs="宋体" w:eastAsia="宋体" w:hint="default"/>
                <w:w w:val="105"/>
                <w:sz w:val="16"/>
                <w:szCs w:val="16"/>
              </w:rPr>
              <w:t>变动</w:t>
            </w:r>
            <w:r>
              <w:rPr>
                <w:rFonts w:ascii="宋体" w:hAnsi="宋体" w:cs="宋体" w:eastAsia="宋体" w:hint="default"/>
                <w:sz w:val="16"/>
                <w:szCs w:val="16"/>
              </w:rPr>
            </w:r>
          </w:p>
        </w:tc>
      </w:tr>
      <w:tr>
        <w:trPr>
          <w:trHeight w:val="1667" w:hRule="exact"/>
        </w:trPr>
        <w:tc>
          <w:tcPr>
            <w:tcW w:w="766" w:type="dxa"/>
            <w:vMerge/>
            <w:tcBorders>
              <w:left w:val="single" w:sz="6" w:space="0" w:color="000000"/>
              <w:bottom w:val="single" w:sz="6" w:space="0" w:color="000000"/>
              <w:right w:val="single" w:sz="6" w:space="0" w:color="000000"/>
            </w:tcBorders>
            <w:shd w:val="clear" w:color="auto" w:fill="D9D9D9"/>
          </w:tcPr>
          <w:p>
            <w:pPr/>
          </w:p>
        </w:tc>
        <w:tc>
          <w:tcPr>
            <w:tcW w:w="1322" w:type="dxa"/>
            <w:vMerge/>
            <w:tcBorders>
              <w:left w:val="single" w:sz="6" w:space="0" w:color="000000"/>
              <w:bottom w:val="single" w:sz="6" w:space="0" w:color="000000"/>
              <w:right w:val="single" w:sz="6" w:space="0" w:color="000000"/>
            </w:tcBorders>
            <w:shd w:val="clear" w:color="auto" w:fill="D9D9D9"/>
          </w:tcPr>
          <w:p>
            <w:pPr/>
          </w:p>
        </w:tc>
        <w:tc>
          <w:tcPr>
            <w:tcW w:w="1126" w:type="dxa"/>
            <w:vMerge/>
            <w:tcBorders>
              <w:left w:val="single" w:sz="6" w:space="0" w:color="000000"/>
              <w:bottom w:val="single" w:sz="6" w:space="0" w:color="000000"/>
              <w:right w:val="single" w:sz="6" w:space="0" w:color="000000"/>
            </w:tcBorders>
            <w:shd w:val="clear" w:color="auto" w:fill="D9D9D9"/>
          </w:tcPr>
          <w:p>
            <w:pPr/>
          </w:p>
        </w:tc>
        <w:tc>
          <w:tcPr>
            <w:tcW w:w="616" w:type="dxa"/>
            <w:vMerge/>
            <w:tcBorders>
              <w:left w:val="single" w:sz="6" w:space="0" w:color="000000"/>
              <w:bottom w:val="single" w:sz="6" w:space="0" w:color="000000"/>
              <w:right w:val="single" w:sz="6" w:space="0" w:color="000000"/>
            </w:tcBorders>
            <w:shd w:val="clear" w:color="auto" w:fill="D9D9D9"/>
          </w:tcPr>
          <w:p>
            <w:pPr/>
          </w:p>
        </w:tc>
        <w:tc>
          <w:tcPr>
            <w:tcW w:w="5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104" w:right="118"/>
              <w:jc w:val="left"/>
              <w:rPr>
                <w:rFonts w:ascii="宋体" w:hAnsi="宋体" w:cs="宋体" w:eastAsia="宋体" w:hint="default"/>
                <w:sz w:val="16"/>
                <w:szCs w:val="16"/>
              </w:rPr>
            </w:pPr>
            <w:r>
              <w:rPr>
                <w:rFonts w:ascii="宋体" w:hAnsi="宋体" w:cs="宋体" w:eastAsia="宋体" w:hint="default"/>
                <w:w w:val="105"/>
                <w:sz w:val="16"/>
                <w:szCs w:val="16"/>
              </w:rPr>
              <w:t>计入</w:t>
            </w:r>
            <w:r>
              <w:rPr>
                <w:rFonts w:ascii="宋体" w:hAnsi="宋体" w:cs="宋体" w:eastAsia="宋体" w:hint="default"/>
                <w:w w:val="103"/>
                <w:sz w:val="16"/>
                <w:szCs w:val="16"/>
              </w:rPr>
              <w:t> </w:t>
            </w:r>
            <w:r>
              <w:rPr>
                <w:rFonts w:ascii="宋体" w:hAnsi="宋体" w:cs="宋体" w:eastAsia="宋体" w:hint="default"/>
                <w:w w:val="105"/>
                <w:sz w:val="16"/>
                <w:szCs w:val="16"/>
              </w:rPr>
              <w:t>损益</w:t>
            </w:r>
            <w:r>
              <w:rPr>
                <w:rFonts w:ascii="宋体" w:hAnsi="宋体" w:cs="宋体" w:eastAsia="宋体" w:hint="default"/>
                <w:sz w:val="16"/>
                <w:szCs w:val="16"/>
              </w:rPr>
            </w:r>
          </w:p>
        </w:tc>
        <w:tc>
          <w:tcPr>
            <w:tcW w:w="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35" w:lineRule="auto"/>
              <w:ind w:left="135" w:right="133"/>
              <w:jc w:val="both"/>
              <w:rPr>
                <w:rFonts w:ascii="宋体" w:hAnsi="宋体" w:cs="宋体" w:eastAsia="宋体" w:hint="default"/>
                <w:sz w:val="16"/>
                <w:szCs w:val="16"/>
              </w:rPr>
            </w:pPr>
            <w:r>
              <w:rPr>
                <w:rFonts w:ascii="宋体" w:hAnsi="宋体" w:cs="宋体" w:eastAsia="宋体" w:hint="default"/>
                <w:w w:val="105"/>
                <w:sz w:val="16"/>
                <w:szCs w:val="16"/>
              </w:rPr>
              <w:t>计入</w:t>
            </w:r>
            <w:r>
              <w:rPr>
                <w:rFonts w:ascii="宋体" w:hAnsi="宋体" w:cs="宋体" w:eastAsia="宋体" w:hint="default"/>
                <w:w w:val="103"/>
                <w:sz w:val="16"/>
                <w:szCs w:val="16"/>
              </w:rPr>
              <w:t> </w:t>
            </w:r>
            <w:r>
              <w:rPr>
                <w:rFonts w:ascii="宋体" w:hAnsi="宋体" w:cs="宋体" w:eastAsia="宋体" w:hint="default"/>
                <w:w w:val="105"/>
                <w:sz w:val="16"/>
                <w:szCs w:val="16"/>
              </w:rPr>
              <w:t>其他</w:t>
            </w:r>
            <w:r>
              <w:rPr>
                <w:rFonts w:ascii="宋体" w:hAnsi="宋体" w:cs="宋体" w:eastAsia="宋体" w:hint="default"/>
                <w:w w:val="103"/>
                <w:sz w:val="16"/>
                <w:szCs w:val="16"/>
              </w:rPr>
              <w:t> </w:t>
            </w:r>
            <w:r>
              <w:rPr>
                <w:rFonts w:ascii="宋体" w:hAnsi="宋体" w:cs="宋体" w:eastAsia="宋体" w:hint="default"/>
                <w:w w:val="105"/>
                <w:sz w:val="16"/>
                <w:szCs w:val="16"/>
              </w:rPr>
              <w:t>综合</w:t>
            </w:r>
            <w:r>
              <w:rPr>
                <w:rFonts w:ascii="宋体" w:hAnsi="宋体" w:cs="宋体" w:eastAsia="宋体" w:hint="default"/>
                <w:w w:val="103"/>
                <w:sz w:val="16"/>
                <w:szCs w:val="16"/>
              </w:rPr>
              <w:t> </w:t>
            </w:r>
            <w:r>
              <w:rPr>
                <w:rFonts w:ascii="宋体" w:hAnsi="宋体" w:cs="宋体" w:eastAsia="宋体" w:hint="default"/>
                <w:w w:val="105"/>
                <w:sz w:val="16"/>
                <w:szCs w:val="16"/>
              </w:rPr>
              <w:t>收益</w:t>
            </w:r>
            <w:r>
              <w:rPr>
                <w:rFonts w:ascii="宋体" w:hAnsi="宋体" w:cs="宋体" w:eastAsia="宋体" w:hint="default"/>
                <w:sz w:val="16"/>
                <w:szCs w:val="16"/>
              </w:rPr>
            </w:r>
          </w:p>
        </w:tc>
        <w:tc>
          <w:tcPr>
            <w:tcW w:w="13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w w:val="105"/>
                <w:sz w:val="16"/>
                <w:szCs w:val="16"/>
              </w:rPr>
              <w:t>购买</w:t>
            </w:r>
            <w:r>
              <w:rPr>
                <w:rFonts w:ascii="宋体" w:hAnsi="宋体" w:cs="宋体" w:eastAsia="宋体" w:hint="default"/>
                <w:sz w:val="16"/>
                <w:szCs w:val="16"/>
              </w:rPr>
            </w:r>
          </w:p>
        </w:tc>
        <w:tc>
          <w:tcPr>
            <w:tcW w:w="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9" w:right="0"/>
              <w:jc w:val="left"/>
              <w:rPr>
                <w:rFonts w:ascii="宋体" w:hAnsi="宋体" w:cs="宋体" w:eastAsia="宋体" w:hint="default"/>
                <w:sz w:val="16"/>
                <w:szCs w:val="16"/>
              </w:rPr>
            </w:pPr>
            <w:r>
              <w:rPr>
                <w:rFonts w:ascii="宋体" w:hAnsi="宋体" w:cs="宋体" w:eastAsia="宋体" w:hint="default"/>
                <w:w w:val="105"/>
                <w:sz w:val="16"/>
                <w:szCs w:val="16"/>
              </w:rPr>
              <w:t>发行</w:t>
            </w:r>
            <w:r>
              <w:rPr>
                <w:rFonts w:ascii="宋体" w:hAnsi="宋体" w:cs="宋体" w:eastAsia="宋体" w:hint="default"/>
                <w:sz w:val="16"/>
                <w:szCs w:val="16"/>
              </w:rPr>
            </w:r>
          </w:p>
        </w:tc>
        <w:tc>
          <w:tcPr>
            <w:tcW w:w="13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w w:val="105"/>
                <w:sz w:val="16"/>
                <w:szCs w:val="16"/>
              </w:rPr>
              <w:t>出售</w:t>
            </w:r>
            <w:r>
              <w:rPr>
                <w:rFonts w:ascii="宋体" w:hAnsi="宋体" w:cs="宋体" w:eastAsia="宋体" w:hint="default"/>
                <w:sz w:val="16"/>
                <w:szCs w:val="16"/>
              </w:rPr>
            </w:r>
          </w:p>
        </w:tc>
        <w:tc>
          <w:tcPr>
            <w:tcW w:w="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w w:val="105"/>
                <w:sz w:val="16"/>
                <w:szCs w:val="16"/>
              </w:rPr>
              <w:t>结算</w:t>
            </w:r>
            <w:r>
              <w:rPr>
                <w:rFonts w:ascii="宋体" w:hAnsi="宋体" w:cs="宋体" w:eastAsia="宋体" w:hint="default"/>
                <w:sz w:val="16"/>
                <w:szCs w:val="16"/>
              </w:rPr>
            </w:r>
          </w:p>
        </w:tc>
        <w:tc>
          <w:tcPr>
            <w:tcW w:w="1382" w:type="dxa"/>
            <w:vMerge/>
            <w:tcBorders>
              <w:left w:val="single" w:sz="6" w:space="0" w:color="000000"/>
              <w:bottom w:val="single" w:sz="6" w:space="0" w:color="000000"/>
              <w:right w:val="single" w:sz="6" w:space="0" w:color="000000"/>
            </w:tcBorders>
            <w:shd w:val="clear" w:color="auto" w:fill="D9D9D9"/>
          </w:tcPr>
          <w:p>
            <w:pPr/>
          </w:p>
        </w:tc>
        <w:tc>
          <w:tcPr>
            <w:tcW w:w="766" w:type="dxa"/>
            <w:vMerge/>
            <w:tcBorders>
              <w:left w:val="single" w:sz="6" w:space="0" w:color="000000"/>
              <w:bottom w:val="single" w:sz="6" w:space="0" w:color="000000"/>
              <w:right w:val="single" w:sz="6" w:space="0" w:color="000000"/>
            </w:tcBorders>
            <w:shd w:val="clear" w:color="auto" w:fill="D9D9D9"/>
          </w:tcPr>
          <w:p>
            <w:pPr/>
          </w:p>
        </w:tc>
      </w:tr>
      <w:tr>
        <w:trPr>
          <w:trHeight w:val="765" w:hRule="exact"/>
        </w:trPr>
        <w:tc>
          <w:tcPr>
            <w:tcW w:w="7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90" w:right="73"/>
              <w:jc w:val="both"/>
              <w:rPr>
                <w:rFonts w:ascii="宋体" w:hAnsi="宋体" w:cs="宋体" w:eastAsia="宋体" w:hint="default"/>
                <w:sz w:val="16"/>
                <w:szCs w:val="16"/>
              </w:rPr>
            </w:pPr>
            <w:r>
              <w:rPr>
                <w:rFonts w:ascii="宋体" w:hAnsi="宋体" w:cs="宋体" w:eastAsia="宋体" w:hint="default"/>
                <w:spacing w:val="19"/>
                <w:w w:val="105"/>
                <w:sz w:val="16"/>
                <w:szCs w:val="16"/>
              </w:rPr>
              <w:t>交易性</w:t>
            </w:r>
            <w:r>
              <w:rPr>
                <w:rFonts w:ascii="宋体" w:hAnsi="宋体" w:cs="宋体" w:eastAsia="宋体" w:hint="default"/>
                <w:spacing w:val="-50"/>
                <w:sz w:val="16"/>
                <w:szCs w:val="16"/>
              </w:rPr>
              <w:t> </w:t>
            </w:r>
            <w:r>
              <w:rPr>
                <w:rFonts w:ascii="宋体" w:hAnsi="宋体" w:cs="宋体" w:eastAsia="宋体" w:hint="default"/>
                <w:spacing w:val="19"/>
                <w:w w:val="105"/>
                <w:sz w:val="16"/>
                <w:szCs w:val="16"/>
              </w:rPr>
              <w:t>金融资</w:t>
            </w:r>
            <w:r>
              <w:rPr>
                <w:rFonts w:ascii="宋体" w:hAnsi="宋体" w:cs="宋体" w:eastAsia="宋体" w:hint="default"/>
                <w:spacing w:val="-50"/>
                <w:sz w:val="16"/>
                <w:szCs w:val="16"/>
              </w:rPr>
              <w:t> </w:t>
            </w:r>
            <w:r>
              <w:rPr>
                <w:rFonts w:ascii="宋体" w:hAnsi="宋体" w:cs="宋体" w:eastAsia="宋体" w:hint="default"/>
                <w:w w:val="105"/>
                <w:sz w:val="16"/>
                <w:szCs w:val="16"/>
              </w:rPr>
              <w:t>产</w:t>
            </w:r>
            <w:r>
              <w:rPr>
                <w:rFonts w:ascii="宋体" w:hAnsi="宋体" w:cs="宋体" w:eastAsia="宋体" w:hint="default"/>
                <w:sz w:val="16"/>
                <w:szCs w:val="16"/>
              </w:rPr>
            </w:r>
          </w:p>
        </w:tc>
        <w:tc>
          <w:tcPr>
            <w:tcW w:w="132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11" w:right="0"/>
              <w:jc w:val="center"/>
              <w:rPr>
                <w:rFonts w:ascii="宋体" w:hAnsi="宋体" w:cs="宋体" w:eastAsia="宋体" w:hint="default"/>
                <w:sz w:val="16"/>
                <w:szCs w:val="16"/>
              </w:rPr>
            </w:pPr>
            <w:r>
              <w:rPr>
                <w:rFonts w:ascii="宋体"/>
                <w:spacing w:val="-3"/>
                <w:w w:val="105"/>
                <w:sz w:val="16"/>
              </w:rPr>
              <w:t>400,000.00</w:t>
            </w:r>
            <w:r>
              <w:rPr>
                <w:rFonts w:ascii="宋体"/>
                <w:spacing w:val="-3"/>
                <w:sz w:val="16"/>
              </w:rPr>
            </w:r>
          </w:p>
        </w:tc>
        <w:tc>
          <w:tcPr>
            <w:tcW w:w="61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82"/>
              <w:jc w:val="right"/>
              <w:rPr>
                <w:rFonts w:ascii="宋体" w:hAnsi="宋体" w:cs="宋体" w:eastAsia="宋体" w:hint="default"/>
                <w:sz w:val="16"/>
                <w:szCs w:val="16"/>
              </w:rPr>
            </w:pPr>
            <w:r>
              <w:rPr>
                <w:rFonts w:ascii="宋体"/>
                <w:spacing w:val="-3"/>
                <w:sz w:val="16"/>
              </w:rPr>
              <w:t>400,000.00</w:t>
            </w:r>
          </w:p>
        </w:tc>
        <w:tc>
          <w:tcPr>
            <w:tcW w:w="766" w:type="dxa"/>
            <w:tcBorders>
              <w:top w:val="single" w:sz="18" w:space="0" w:color="D9D9D9"/>
              <w:left w:val="single" w:sz="6" w:space="0" w:color="000000"/>
              <w:bottom w:val="single" w:sz="6" w:space="0" w:color="000000"/>
              <w:right w:val="single" w:sz="6" w:space="0" w:color="000000"/>
            </w:tcBorders>
          </w:tcPr>
          <w:p>
            <w:pPr/>
          </w:p>
        </w:tc>
      </w:tr>
      <w:tr>
        <w:trPr>
          <w:trHeight w:val="766" w:hRule="exact"/>
        </w:trPr>
        <w:tc>
          <w:tcPr>
            <w:tcW w:w="7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auto" w:before="29"/>
              <w:ind w:left="90" w:right="163"/>
              <w:jc w:val="both"/>
              <w:rPr>
                <w:rFonts w:ascii="宋体" w:hAnsi="宋体" w:cs="宋体" w:eastAsia="宋体" w:hint="default"/>
                <w:sz w:val="16"/>
                <w:szCs w:val="16"/>
              </w:rPr>
            </w:pPr>
            <w:r>
              <w:rPr>
                <w:rFonts w:ascii="宋体" w:hAnsi="宋体" w:cs="宋体" w:eastAsia="宋体" w:hint="default"/>
                <w:w w:val="105"/>
                <w:sz w:val="16"/>
                <w:szCs w:val="16"/>
              </w:rPr>
              <w:t>其他权</w:t>
            </w:r>
            <w:r>
              <w:rPr>
                <w:rFonts w:ascii="宋体" w:hAnsi="宋体" w:cs="宋体" w:eastAsia="宋体" w:hint="default"/>
                <w:w w:val="103"/>
                <w:sz w:val="16"/>
                <w:szCs w:val="16"/>
              </w:rPr>
              <w:t> </w:t>
            </w:r>
            <w:r>
              <w:rPr>
                <w:rFonts w:ascii="宋体" w:hAnsi="宋体" w:cs="宋体" w:eastAsia="宋体" w:hint="default"/>
                <w:w w:val="105"/>
                <w:sz w:val="16"/>
                <w:szCs w:val="16"/>
              </w:rPr>
              <w:t>益工具</w:t>
            </w:r>
            <w:r>
              <w:rPr>
                <w:rFonts w:ascii="宋体" w:hAnsi="宋体" w:cs="宋体" w:eastAsia="宋体" w:hint="default"/>
                <w:w w:val="103"/>
                <w:sz w:val="16"/>
                <w:szCs w:val="16"/>
              </w:rPr>
              <w:t> </w:t>
            </w:r>
            <w:r>
              <w:rPr>
                <w:rFonts w:ascii="宋体" w:hAnsi="宋体" w:cs="宋体" w:eastAsia="宋体" w:hint="default"/>
                <w:w w:val="105"/>
                <w:sz w:val="16"/>
                <w:szCs w:val="16"/>
              </w:rPr>
              <w:t>投资</w:t>
            </w:r>
            <w:r>
              <w:rPr>
                <w:rFonts w:ascii="宋体" w:hAnsi="宋体" w:cs="宋体" w:eastAsia="宋体" w:hint="default"/>
                <w:sz w:val="16"/>
                <w:szCs w:val="16"/>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6" w:right="0"/>
              <w:jc w:val="center"/>
              <w:rPr>
                <w:rFonts w:ascii="宋体" w:hAnsi="宋体" w:cs="宋体" w:eastAsia="宋体" w:hint="default"/>
                <w:sz w:val="16"/>
                <w:szCs w:val="16"/>
              </w:rPr>
            </w:pPr>
            <w:r>
              <w:rPr>
                <w:rFonts w:ascii="宋体"/>
                <w:spacing w:val="-4"/>
                <w:w w:val="105"/>
                <w:sz w:val="16"/>
              </w:rPr>
              <w:t>50,233,669.58</w:t>
            </w:r>
            <w:r>
              <w:rPr>
                <w:rFonts w:ascii="宋体"/>
                <w:spacing w:val="-4"/>
                <w:sz w:val="16"/>
              </w:rPr>
            </w:r>
          </w:p>
        </w:tc>
        <w:tc>
          <w:tcPr>
            <w:tcW w:w="112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65" w:right="0"/>
              <w:jc w:val="center"/>
              <w:rPr>
                <w:rFonts w:ascii="宋体" w:hAnsi="宋体" w:cs="宋体" w:eastAsia="宋体" w:hint="default"/>
                <w:sz w:val="16"/>
                <w:szCs w:val="16"/>
              </w:rPr>
            </w:pPr>
            <w:r>
              <w:rPr>
                <w:rFonts w:ascii="宋体"/>
                <w:spacing w:val="-4"/>
                <w:w w:val="105"/>
                <w:sz w:val="16"/>
              </w:rPr>
              <w:t>25,153,901.78</w:t>
            </w:r>
            <w:r>
              <w:rPr>
                <w:rFonts w:ascii="宋体"/>
                <w:spacing w:val="-4"/>
                <w:sz w:val="16"/>
              </w:rPr>
            </w:r>
          </w:p>
        </w:tc>
        <w:tc>
          <w:tcPr>
            <w:tcW w:w="541"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65" w:right="0"/>
              <w:jc w:val="center"/>
              <w:rPr>
                <w:rFonts w:ascii="宋体" w:hAnsi="宋体" w:cs="宋体" w:eastAsia="宋体" w:hint="default"/>
                <w:sz w:val="16"/>
                <w:szCs w:val="16"/>
              </w:rPr>
            </w:pPr>
            <w:r>
              <w:rPr>
                <w:rFonts w:ascii="宋体"/>
                <w:spacing w:val="-4"/>
                <w:w w:val="105"/>
                <w:sz w:val="16"/>
              </w:rPr>
              <w:t>17,500,000.00</w:t>
            </w:r>
            <w:r>
              <w:rPr>
                <w:rFonts w:ascii="宋体"/>
                <w:spacing w:val="-4"/>
                <w:sz w:val="16"/>
              </w:rPr>
            </w:r>
          </w:p>
        </w:tc>
        <w:tc>
          <w:tcPr>
            <w:tcW w:w="541"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82"/>
              <w:jc w:val="right"/>
              <w:rPr>
                <w:rFonts w:ascii="宋体" w:hAnsi="宋体" w:cs="宋体" w:eastAsia="宋体" w:hint="default"/>
                <w:sz w:val="16"/>
                <w:szCs w:val="16"/>
              </w:rPr>
            </w:pPr>
            <w:r>
              <w:rPr>
                <w:rFonts w:ascii="宋体"/>
                <w:spacing w:val="-4"/>
                <w:sz w:val="16"/>
              </w:rPr>
              <w:t>57,887,571.36</w:t>
            </w: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7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3"/>
              <w:ind w:left="210" w:right="0"/>
              <w:jc w:val="left"/>
              <w:rPr>
                <w:rFonts w:ascii="宋体" w:hAnsi="宋体" w:cs="宋体" w:eastAsia="宋体" w:hint="default"/>
                <w:sz w:val="16"/>
                <w:szCs w:val="16"/>
              </w:rPr>
            </w:pPr>
            <w:r>
              <w:rPr>
                <w:rFonts w:ascii="宋体" w:hAnsi="宋体" w:cs="宋体" w:eastAsia="宋体" w:hint="default"/>
                <w:w w:val="105"/>
                <w:sz w:val="16"/>
                <w:szCs w:val="16"/>
              </w:rPr>
              <w:t>合计</w:t>
            </w:r>
            <w:r>
              <w:rPr>
                <w:rFonts w:ascii="宋体" w:hAnsi="宋体" w:cs="宋体" w:eastAsia="宋体" w:hint="default"/>
                <w:sz w:val="16"/>
                <w:szCs w:val="16"/>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6" w:right="0"/>
              <w:jc w:val="center"/>
              <w:rPr>
                <w:rFonts w:ascii="宋体" w:hAnsi="宋体" w:cs="宋体" w:eastAsia="宋体" w:hint="default"/>
                <w:sz w:val="16"/>
                <w:szCs w:val="16"/>
              </w:rPr>
            </w:pPr>
            <w:r>
              <w:rPr>
                <w:rFonts w:ascii="宋体"/>
                <w:spacing w:val="-4"/>
                <w:w w:val="105"/>
                <w:sz w:val="16"/>
              </w:rPr>
              <w:t>50,233,669.58</w:t>
            </w:r>
            <w:r>
              <w:rPr>
                <w:rFonts w:ascii="宋体"/>
                <w:spacing w:val="-4"/>
                <w:sz w:val="16"/>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11" w:right="0"/>
              <w:jc w:val="center"/>
              <w:rPr>
                <w:rFonts w:ascii="宋体" w:hAnsi="宋体" w:cs="宋体" w:eastAsia="宋体" w:hint="default"/>
                <w:sz w:val="16"/>
                <w:szCs w:val="16"/>
              </w:rPr>
            </w:pPr>
            <w:r>
              <w:rPr>
                <w:rFonts w:ascii="宋体"/>
                <w:spacing w:val="-3"/>
                <w:w w:val="105"/>
                <w:sz w:val="16"/>
              </w:rPr>
              <w:t>400,000.00</w:t>
            </w:r>
            <w:r>
              <w:rPr>
                <w:rFonts w:ascii="宋体"/>
                <w:spacing w:val="-3"/>
                <w:sz w:val="16"/>
              </w:rPr>
            </w:r>
          </w:p>
        </w:tc>
        <w:tc>
          <w:tcPr>
            <w:tcW w:w="61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5" w:right="0"/>
              <w:jc w:val="center"/>
              <w:rPr>
                <w:rFonts w:ascii="宋体" w:hAnsi="宋体" w:cs="宋体" w:eastAsia="宋体" w:hint="default"/>
                <w:sz w:val="16"/>
                <w:szCs w:val="16"/>
              </w:rPr>
            </w:pPr>
            <w:r>
              <w:rPr>
                <w:rFonts w:ascii="宋体"/>
                <w:spacing w:val="-4"/>
                <w:w w:val="105"/>
                <w:sz w:val="16"/>
              </w:rPr>
              <w:t>25,153,901.78</w:t>
            </w:r>
            <w:r>
              <w:rPr>
                <w:rFonts w:ascii="宋体"/>
                <w:spacing w:val="-4"/>
                <w:sz w:val="16"/>
              </w:rPr>
            </w:r>
          </w:p>
        </w:tc>
        <w:tc>
          <w:tcPr>
            <w:tcW w:w="541"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5" w:right="0"/>
              <w:jc w:val="center"/>
              <w:rPr>
                <w:rFonts w:ascii="宋体" w:hAnsi="宋体" w:cs="宋体" w:eastAsia="宋体" w:hint="default"/>
                <w:sz w:val="16"/>
                <w:szCs w:val="16"/>
              </w:rPr>
            </w:pPr>
            <w:r>
              <w:rPr>
                <w:rFonts w:ascii="宋体"/>
                <w:spacing w:val="-4"/>
                <w:w w:val="105"/>
                <w:sz w:val="16"/>
              </w:rPr>
              <w:t>17,500,000.00</w:t>
            </w:r>
            <w:r>
              <w:rPr>
                <w:rFonts w:ascii="宋体"/>
                <w:spacing w:val="-4"/>
                <w:sz w:val="16"/>
              </w:rPr>
            </w:r>
          </w:p>
        </w:tc>
        <w:tc>
          <w:tcPr>
            <w:tcW w:w="541"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82"/>
              <w:jc w:val="right"/>
              <w:rPr>
                <w:rFonts w:ascii="宋体" w:hAnsi="宋体" w:cs="宋体" w:eastAsia="宋体" w:hint="default"/>
                <w:sz w:val="16"/>
                <w:szCs w:val="16"/>
              </w:rPr>
            </w:pPr>
            <w:r>
              <w:rPr>
                <w:rFonts w:ascii="宋体"/>
                <w:spacing w:val="-4"/>
                <w:sz w:val="16"/>
              </w:rPr>
              <w:t>58,287,571.36</w:t>
            </w:r>
          </w:p>
        </w:tc>
        <w:tc>
          <w:tcPr>
            <w:tcW w:w="7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5"/>
        <w:spacing w:line="240" w:lineRule="auto" w:before="35"/>
        <w:ind w:left="741" w:right="0"/>
        <w:jc w:val="left"/>
        <w:rPr>
          <w:b w:val="0"/>
          <w:bCs w:val="0"/>
        </w:rPr>
      </w:pPr>
      <w:bookmarkStart w:name="6、持续的公允价值计量项目，本期内发生各层级之间转换的，转换的原因及确定转换时点" w:id="463"/>
      <w:bookmarkEnd w:id="46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8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left="741" w:right="0"/>
        <w:jc w:val="left"/>
        <w:rPr>
          <w:b w:val="0"/>
          <w:bCs w:val="0"/>
        </w:rPr>
      </w:pPr>
      <w:bookmarkStart w:name="7、本期内发生的估值技术变更及变更原因" w:id="464"/>
      <w:bookmarkEnd w:id="46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8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left="741" w:right="0"/>
        <w:jc w:val="left"/>
        <w:rPr>
          <w:b w:val="0"/>
          <w:bCs w:val="0"/>
        </w:rPr>
      </w:pPr>
      <w:bookmarkStart w:name="8、不以公允价值计量的金融资产和金融负债的公允价值情况" w:id="465"/>
      <w:bookmarkEnd w:id="46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8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left="741" w:right="0"/>
        <w:jc w:val="left"/>
        <w:rPr>
          <w:b w:val="0"/>
          <w:bCs w:val="0"/>
        </w:rPr>
      </w:pPr>
      <w:bookmarkStart w:name="9、其他" w:id="466"/>
      <w:bookmarkEnd w:id="466"/>
      <w:r>
        <w:rPr>
          <w:b w:val="0"/>
          <w:bCs w:val="0"/>
        </w:rPr>
      </w:r>
      <w:r>
        <w:rPr>
          <w:rFonts w:ascii="Times New Roman" w:hAnsi="Times New Roman" w:cs="Times New Roman" w:eastAsia="Times New Roman" w:hint="default"/>
        </w:rPr>
        <w:t>9</w:t>
      </w:r>
      <w:r>
        <w:rPr/>
        <w:t>、其他</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891" w:right="0"/>
        <w:jc w:val="left"/>
      </w:pPr>
      <w:r>
        <w:rPr/>
        <w:t>无</w:t>
      </w:r>
    </w:p>
    <w:p>
      <w:pPr>
        <w:spacing w:line="240" w:lineRule="auto" w:before="0"/>
        <w:rPr>
          <w:rFonts w:ascii="宋体" w:hAnsi="宋体" w:cs="宋体" w:eastAsia="宋体" w:hint="default"/>
          <w:sz w:val="26"/>
          <w:szCs w:val="26"/>
        </w:rPr>
      </w:pPr>
    </w:p>
    <w:p>
      <w:pPr>
        <w:pStyle w:val="Heading3"/>
        <w:spacing w:line="240" w:lineRule="auto"/>
        <w:ind w:left="741" w:right="0"/>
        <w:jc w:val="left"/>
        <w:rPr>
          <w:b w:val="0"/>
          <w:bCs w:val="0"/>
        </w:rPr>
      </w:pPr>
      <w:bookmarkStart w:name="十二、关联方及关联交易" w:id="467"/>
      <w:bookmarkEnd w:id="467"/>
      <w:r>
        <w:rPr>
          <w:b w:val="0"/>
          <w:bCs w:val="0"/>
        </w:rPr>
      </w:r>
      <w:r>
        <w:rPr/>
        <w:t>十二、关联方及关联交易</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left="741" w:right="0"/>
        <w:jc w:val="left"/>
        <w:rPr>
          <w:b w:val="0"/>
          <w:bCs w:val="0"/>
        </w:rPr>
      </w:pPr>
      <w:bookmarkStart w:name="1、本企业的母公司情况" w:id="468"/>
      <w:bookmarkEnd w:id="46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5"/>
          <w:szCs w:val="25"/>
        </w:rPr>
      </w:pPr>
    </w:p>
    <w:tbl>
      <w:tblPr>
        <w:tblW w:w="0" w:type="auto"/>
        <w:jc w:val="left"/>
        <w:tblInd w:w="726" w:type="dxa"/>
        <w:tblLayout w:type="fixed"/>
        <w:tblCellMar>
          <w:top w:w="0" w:type="dxa"/>
          <w:left w:w="0" w:type="dxa"/>
          <w:bottom w:w="0" w:type="dxa"/>
          <w:right w:w="0" w:type="dxa"/>
        </w:tblCellMar>
        <w:tblLook w:val="01E0"/>
      </w:tblPr>
      <w:tblGrid>
        <w:gridCol w:w="2268"/>
        <w:gridCol w:w="931"/>
        <w:gridCol w:w="1592"/>
        <w:gridCol w:w="1592"/>
        <w:gridCol w:w="1592"/>
        <w:gridCol w:w="1607"/>
      </w:tblGrid>
      <w:tr>
        <w:trPr>
          <w:trHeight w:val="721"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390"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right="60"/>
              <w:jc w:val="center"/>
              <w:rPr>
                <w:rFonts w:ascii="宋体" w:hAnsi="宋体" w:cs="宋体" w:eastAsia="宋体" w:hint="default"/>
                <w:sz w:val="18"/>
                <w:szCs w:val="18"/>
              </w:rPr>
            </w:pPr>
            <w:r>
              <w:rPr>
                <w:rFonts w:ascii="宋体" w:hAnsi="宋体" w:cs="宋体" w:eastAsia="宋体" w:hint="default"/>
                <w:sz w:val="18"/>
                <w:szCs w:val="18"/>
              </w:rPr>
              <w:t>北京宣亚国际投资有限公司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20" w:right="0"/>
              <w:jc w:val="left"/>
              <w:rPr>
                <w:rFonts w:ascii="Times New Roman" w:hAnsi="Times New Roman" w:cs="Times New Roman" w:eastAsia="Times New Roman" w:hint="default"/>
                <w:sz w:val="18"/>
                <w:szCs w:val="18"/>
              </w:rPr>
            </w:pPr>
            <w:r>
              <w:rPr>
                <w:rFonts w:ascii="Times New Roman"/>
                <w:sz w:val="18"/>
              </w:rPr>
              <w:t>37.50%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21" w:right="0"/>
              <w:jc w:val="left"/>
              <w:rPr>
                <w:rFonts w:ascii="Times New Roman" w:hAnsi="Times New Roman" w:cs="Times New Roman" w:eastAsia="Times New Roman" w:hint="default"/>
                <w:sz w:val="18"/>
                <w:szCs w:val="18"/>
              </w:rPr>
            </w:pPr>
            <w:r>
              <w:rPr>
                <w:rFonts w:ascii="Times New Roman"/>
                <w:sz w:val="18"/>
              </w:rPr>
              <w:t>37.50%</w:t>
            </w:r>
          </w:p>
        </w:tc>
      </w:tr>
    </w:tbl>
    <w:p>
      <w:pPr>
        <w:pStyle w:val="BodyText"/>
        <w:spacing w:line="350" w:lineRule="auto" w:before="45"/>
        <w:ind w:left="741" w:right="7689"/>
        <w:jc w:val="left"/>
      </w:pPr>
      <w:r>
        <w:rPr/>
        <w:t>本企业的母公司情况的说明 本公司实际控制人：张秀兵、万丽莉。</w:t>
      </w:r>
    </w:p>
    <w:p>
      <w:pPr>
        <w:spacing w:after="0" w:line="350" w:lineRule="auto"/>
        <w:jc w:val="left"/>
        <w:sectPr>
          <w:pgSz w:w="11910" w:h="16850"/>
          <w:pgMar w:header="0" w:footer="981" w:top="1120" w:bottom="1180" w:left="400" w:right="0"/>
        </w:sect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t>本企业最终控制方是张秀兵、万丽莉。</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本企业的子公司情况" w:id="469"/>
      <w:bookmarkEnd w:id="46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本企业合营和联营企业情况" w:id="470"/>
      <w:bookmarkEnd w:id="47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11"/>
        <w:jc w:val="left"/>
      </w:pPr>
      <w:r>
        <w:rPr/>
        <w:t>本公司联营企业包括北京威维体育文化有限公司、链极智能科技</w:t>
      </w:r>
      <w:r>
        <w:rPr>
          <w:rFonts w:ascii="宋体" w:hAnsi="宋体" w:cs="宋体" w:eastAsia="宋体" w:hint="default"/>
        </w:rPr>
        <w:t>(</w:t>
      </w:r>
      <w:r>
        <w:rPr/>
        <w:t>上海</w:t>
      </w:r>
      <w:r>
        <w:rPr>
          <w:rFonts w:ascii="宋体" w:hAnsi="宋体" w:cs="宋体" w:eastAsia="宋体" w:hint="default"/>
        </w:rPr>
        <w:t>)</w:t>
      </w:r>
      <w:r>
        <w:rPr/>
        <w:t>有限公司和</w:t>
      </w:r>
      <w:r>
        <w:rPr>
          <w:rFonts w:ascii="宋体" w:hAnsi="宋体" w:cs="宋体" w:eastAsia="宋体" w:hint="default"/>
        </w:rPr>
        <w:t>RMDS Lab</w:t>
      </w:r>
      <w:r>
        <w:rPr>
          <w:rFonts w:ascii="宋体" w:hAnsi="宋体" w:cs="宋体" w:eastAsia="宋体" w:hint="default"/>
          <w:spacing w:val="8"/>
        </w:rPr>
        <w:t> </w:t>
      </w:r>
      <w:r>
        <w:rPr>
          <w:rFonts w:ascii="宋体" w:hAnsi="宋体" w:cs="宋体" w:eastAsia="宋体" w:hint="default"/>
        </w:rPr>
        <w:t>Inc.</w:t>
      </w:r>
      <w:r>
        <w:rPr/>
        <w:t>，详见本附注“九、在其 他主体中的权益”。</w:t>
      </w:r>
    </w:p>
    <w:p>
      <w:pPr>
        <w:spacing w:line="240" w:lineRule="auto" w:before="13"/>
        <w:rPr>
          <w:rFonts w:ascii="宋体" w:hAnsi="宋体" w:cs="宋体" w:eastAsia="宋体" w:hint="default"/>
          <w:sz w:val="23"/>
          <w:szCs w:val="23"/>
        </w:rPr>
      </w:pPr>
    </w:p>
    <w:p>
      <w:pPr>
        <w:pStyle w:val="Heading5"/>
        <w:spacing w:line="240" w:lineRule="auto"/>
        <w:ind w:right="0"/>
        <w:jc w:val="left"/>
        <w:rPr>
          <w:b w:val="0"/>
          <w:bCs w:val="0"/>
        </w:rPr>
      </w:pPr>
      <w:bookmarkStart w:name="4、其他关联方情况" w:id="471"/>
      <w:bookmarkEnd w:id="47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北京斯普汇德文化发展有限公司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8"/>
              <w:jc w:val="left"/>
              <w:rPr>
                <w:rFonts w:ascii="宋体" w:hAnsi="宋体" w:cs="宋体" w:eastAsia="宋体" w:hint="default"/>
                <w:sz w:val="18"/>
                <w:szCs w:val="18"/>
              </w:rPr>
            </w:pPr>
            <w:r>
              <w:rPr>
                <w:rFonts w:ascii="宋体" w:hAnsi="宋体" w:cs="宋体" w:eastAsia="宋体" w:hint="default"/>
                <w:sz w:val="18"/>
                <w:szCs w:val="18"/>
              </w:rPr>
              <w:t>与上市公司有特殊关系，可能造成上市公司对其利益倾斜的 法人与其他组织</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品推宝（深圳）商业保理有限公司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青之白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母公司之联营企业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汤斯</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重要子公司星言云汇持股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以上股东</w:t>
            </w:r>
          </w:p>
        </w:tc>
      </w:tr>
    </w:tbl>
    <w:p>
      <w:pPr>
        <w:pStyle w:val="BodyText"/>
        <w:spacing w:line="240" w:lineRule="auto" w:before="44"/>
        <w:ind w:right="0"/>
        <w:jc w:val="left"/>
      </w:pPr>
      <w:r>
        <w:rPr/>
        <w:t>其他说明</w:t>
      </w:r>
    </w:p>
    <w:p>
      <w:pPr>
        <w:pStyle w:val="BodyText"/>
        <w:spacing w:line="319" w:lineRule="auto" w:before="110"/>
        <w:ind w:right="1029" w:firstLine="330"/>
        <w:jc w:val="left"/>
      </w:pPr>
      <w:r>
        <w:rPr/>
        <w:t>公司控股股东宣亚投资作为北京斯普汇德文化发展有限公司（以下简称“斯普汇德”，【原名：北京斯普汇德文化中心 </w:t>
      </w:r>
      <w:r>
        <w:rPr>
          <w:rFonts w:ascii="宋体" w:hAnsi="宋体" w:cs="宋体" w:eastAsia="宋体" w:hint="default"/>
          <w:spacing w:val="-2"/>
        </w:rPr>
        <w:t>(</w:t>
      </w:r>
      <w:r>
        <w:rPr>
          <w:spacing w:val="-2"/>
        </w:rPr>
        <w:t>有限合伙）】）有限合伙人，持有斯普汇德</w:t>
      </w:r>
      <w:r>
        <w:rPr>
          <w:rFonts w:ascii="宋体" w:hAnsi="宋体" w:cs="宋体" w:eastAsia="宋体" w:hint="default"/>
          <w:spacing w:val="-2"/>
        </w:rPr>
        <w:t>40%</w:t>
      </w:r>
      <w:r>
        <w:rPr>
          <w:spacing w:val="-2"/>
        </w:rPr>
        <w:t>财产份额；张秀兵先生、万丽莉女士合计持有宣亚投资</w:t>
      </w:r>
      <w:r>
        <w:rPr>
          <w:rFonts w:ascii="宋体" w:hAnsi="宋体" w:cs="宋体" w:eastAsia="宋体" w:hint="default"/>
          <w:spacing w:val="-2"/>
        </w:rPr>
        <w:t>100%</w:t>
      </w:r>
      <w:r>
        <w:rPr>
          <w:spacing w:val="-2"/>
        </w:rPr>
        <w:t>股权，系宣亚国</w:t>
      </w:r>
      <w:r>
        <w:rPr>
          <w:spacing w:val="-56"/>
        </w:rPr>
        <w:t> </w:t>
      </w:r>
      <w:r>
        <w:rPr>
          <w:spacing w:val="-56"/>
        </w:rPr>
      </w:r>
      <w:r>
        <w:rPr/>
        <w:t>际实际控制人，未在斯普汇德任职。宣亚投资作为斯普汇德第二大合伙人且持有</w:t>
      </w:r>
      <w:r>
        <w:rPr>
          <w:rFonts w:ascii="宋体" w:hAnsi="宋体" w:cs="宋体" w:eastAsia="宋体" w:hint="default"/>
        </w:rPr>
        <w:t>40%</w:t>
      </w:r>
      <w:r>
        <w:rPr/>
        <w:t>的财产份额，虽然在财产份额占比上不</w:t>
      </w:r>
      <w:r>
        <w:rPr>
          <w:spacing w:val="-82"/>
        </w:rPr>
        <w:t> </w:t>
      </w:r>
      <w:r>
        <w:rPr/>
        <w:t>能控制或者对斯普汇德产生重大影响，但仍能产生较大影响。按照《深圳证券交易所创业板股票上市规则》</w:t>
      </w:r>
      <w:r>
        <w:rPr>
          <w:rFonts w:ascii="宋体" w:hAnsi="宋体" w:cs="宋体" w:eastAsia="宋体" w:hint="default"/>
        </w:rPr>
        <w:t>10.1.3</w:t>
      </w:r>
      <w:r>
        <w:rPr/>
        <w:t>第（五）</w:t>
      </w:r>
      <w:r>
        <w:rPr>
          <w:spacing w:val="-81"/>
        </w:rPr>
        <w:t> </w:t>
      </w:r>
      <w:r>
        <w:rPr>
          <w:spacing w:val="-2"/>
        </w:rPr>
        <w:t>条“上市公司根据实质重于形式的原则认定的其他与上市公司有特殊关系，可能造成上市公司对其利益倾斜的法人与其他组</w:t>
      </w:r>
      <w:r>
        <w:rPr>
          <w:spacing w:val="-72"/>
        </w:rPr>
        <w:t> </w:t>
      </w:r>
      <w:r>
        <w:rPr>
          <w:spacing w:val="-72"/>
        </w:rPr>
      </w:r>
      <w:r>
        <w:rPr/>
        <w:t>织”的规定，依据审慎原则，斯普汇德被公司认定为关联法人。</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bookmarkStart w:name="5、关联交易情况" w:id="472"/>
      <w:bookmarkEnd w:id="47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473"/>
      <w:bookmarkEnd w:id="47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5"/>
        <w:rPr>
          <w:rFonts w:ascii="宋体" w:hAnsi="宋体" w:cs="宋体" w:eastAsia="宋体" w:hint="default"/>
          <w:b/>
          <w:bCs/>
          <w:sz w:val="26"/>
          <w:szCs w:val="26"/>
        </w:rPr>
      </w:pPr>
    </w:p>
    <w:p>
      <w:pPr>
        <w:pStyle w:val="BodyText"/>
        <w:spacing w:line="292" w:lineRule="auto"/>
        <w:ind w:right="1096" w:firstLine="300"/>
        <w:jc w:val="both"/>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10</w:t>
      </w:r>
      <w:r>
        <w:rPr>
          <w:spacing w:val="-5"/>
        </w:rPr>
        <w:t>日，宣亚国际营销科技（北京）股份有限公司（买方，以下简称</w:t>
      </w:r>
      <w:r>
        <w:rPr>
          <w:rFonts w:ascii="Times New Roman" w:hAnsi="Times New Roman" w:cs="Times New Roman" w:eastAsia="Times New Roman" w:hint="default"/>
          <w:spacing w:val="-5"/>
        </w:rPr>
        <w:t>“</w:t>
      </w:r>
      <w:r>
        <w:rPr>
          <w:spacing w:val="-5"/>
        </w:rPr>
        <w:t>本公司</w:t>
      </w:r>
      <w:r>
        <w:rPr>
          <w:rFonts w:ascii="Times New Roman" w:hAnsi="Times New Roman" w:cs="Times New Roman" w:eastAsia="Times New Roman" w:hint="default"/>
          <w:spacing w:val="-5"/>
        </w:rPr>
        <w:t>”</w:t>
      </w:r>
      <w:r>
        <w:rPr>
          <w:spacing w:val="-5"/>
        </w:rPr>
        <w:t>）、上海言澈文化传播有限公司（卖</w:t>
      </w:r>
      <w:r>
        <w:rPr/>
        <w:t> </w:t>
      </w:r>
      <w:r>
        <w:rPr>
          <w:spacing w:val="-1"/>
        </w:rPr>
        <w:t>方，以下简称</w:t>
      </w:r>
      <w:r>
        <w:rPr>
          <w:rFonts w:ascii="Times New Roman" w:hAnsi="Times New Roman" w:cs="Times New Roman" w:eastAsia="Times New Roman" w:hint="default"/>
          <w:spacing w:val="-1"/>
        </w:rPr>
        <w:t>“</w:t>
      </w:r>
      <w:r>
        <w:rPr>
          <w:spacing w:val="-1"/>
        </w:rPr>
        <w:t>上海言澈</w:t>
      </w:r>
      <w:r>
        <w:rPr>
          <w:rFonts w:ascii="Times New Roman" w:hAnsi="Times New Roman" w:cs="Times New Roman" w:eastAsia="Times New Roman" w:hint="default"/>
          <w:spacing w:val="-1"/>
        </w:rPr>
        <w:t>”</w:t>
      </w:r>
      <w:r>
        <w:rPr>
          <w:spacing w:val="-1"/>
        </w:rPr>
        <w:t>）与品推宝（深圳）商业保理有限公司（保理商，以下简称</w:t>
      </w:r>
      <w:r>
        <w:rPr>
          <w:rFonts w:ascii="Times New Roman" w:hAnsi="Times New Roman" w:cs="Times New Roman" w:eastAsia="Times New Roman" w:hint="default"/>
          <w:spacing w:val="-1"/>
        </w:rPr>
        <w:t>“</w:t>
      </w:r>
      <w:r>
        <w:rPr>
          <w:spacing w:val="-1"/>
        </w:rPr>
        <w:t>品推宝保理公司</w:t>
      </w:r>
      <w:r>
        <w:rPr>
          <w:rFonts w:ascii="Times New Roman" w:hAnsi="Times New Roman" w:cs="Times New Roman" w:eastAsia="Times New Roman" w:hint="default"/>
          <w:spacing w:val="-1"/>
        </w:rPr>
        <w:t>”</w:t>
      </w:r>
      <w:r>
        <w:rPr>
          <w:spacing w:val="-1"/>
        </w:rPr>
        <w:t>）签订《国内商业保</w:t>
      </w:r>
      <w:r>
        <w:rPr>
          <w:spacing w:val="-46"/>
        </w:rPr>
        <w:t> </w:t>
      </w:r>
      <w:r>
        <w:rPr>
          <w:spacing w:val="-1"/>
        </w:rPr>
        <w:t>理合同》，合同约定上海言澈将应收本公司的</w:t>
      </w:r>
      <w:r>
        <w:rPr>
          <w:rFonts w:ascii="Times New Roman" w:hAnsi="Times New Roman" w:cs="Times New Roman" w:eastAsia="Times New Roman" w:hint="default"/>
          <w:spacing w:val="-1"/>
        </w:rPr>
        <w:t>2,812,900.00</w:t>
      </w:r>
      <w:r>
        <w:rPr>
          <w:spacing w:val="-1"/>
        </w:rPr>
        <w:t>元货款，出售给品推宝保理公司，并获取</w:t>
      </w:r>
      <w:r>
        <w:rPr>
          <w:rFonts w:ascii="Times New Roman" w:hAnsi="Times New Roman" w:cs="Times New Roman" w:eastAsia="Times New Roman" w:hint="default"/>
          <w:spacing w:val="-1"/>
        </w:rPr>
        <w:t>200</w:t>
      </w:r>
      <w:r>
        <w:rPr>
          <w:spacing w:val="-1"/>
        </w:rPr>
        <w:t>万元的可循环融资额</w:t>
      </w:r>
      <w:r>
        <w:rPr>
          <w:spacing w:val="-66"/>
        </w:rPr>
        <w:t> </w:t>
      </w:r>
      <w:r>
        <w:rPr>
          <w:spacing w:val="-2"/>
        </w:rPr>
        <w:t>度。根据合同约定，本公司应付上海言澈的货款将直接回款至以品推宝保理公司的名义开立的保理回款专户中，因此本公司</w:t>
      </w:r>
    </w:p>
    <w:p>
      <w:pPr>
        <w:pStyle w:val="BodyText"/>
        <w:spacing w:line="240" w:lineRule="auto" w:before="40"/>
        <w:ind w:right="0"/>
        <w:jc w:val="left"/>
      </w:pPr>
      <w:r>
        <w:rPr/>
        <w:t>债权人由上海言澈变更为品推宝保理公司。</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关联受托管理/承包及委托管理/出包情况" w:id="474"/>
      <w:bookmarkEnd w:id="47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after="0" w:line="240" w:lineRule="auto"/>
        <w:jc w:val="left"/>
        <w:sectPr>
          <w:pgSz w:w="11910" w:h="16850"/>
          <w:pgMar w:header="0"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3）关联租赁情况" w:id="475"/>
      <w:bookmarkEnd w:id="47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关联担保情况" w:id="476"/>
      <w:bookmarkEnd w:id="47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5）关联方资金拆借" w:id="477"/>
      <w:bookmarkEnd w:id="47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32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6）关联方资产转让、债务重组情况" w:id="478"/>
      <w:bookmarkEnd w:id="47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32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7）关键管理人员报酬" w:id="479"/>
      <w:bookmarkEnd w:id="47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5,584,646.90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7,156,432.55</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8）其他关联交易" w:id="480"/>
      <w:bookmarkEnd w:id="48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095" w:firstLine="165"/>
        <w:jc w:val="both"/>
      </w:pPr>
      <w:r>
        <w:rPr/>
        <w:t>（</w:t>
      </w:r>
      <w:r>
        <w:rPr>
          <w:rFonts w:ascii="宋体" w:hAnsi="宋体" w:cs="宋体" w:eastAsia="宋体" w:hint="default"/>
        </w:rPr>
        <w:t>1</w:t>
      </w:r>
      <w:r>
        <w:rPr/>
        <w:t>）本公司于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24</w:t>
      </w:r>
      <w:r>
        <w:rPr/>
        <w:t>日召开的第三届董事会第十九次会议、第四届监事会第十六次会议通过《关于签订“房屋租 赁合同补充协议二”暨关联交易的议案》，公司租用北京斯普汇德文化发展有限公司【原名：北京斯普汇德文化中心</w:t>
      </w:r>
      <w:r>
        <w:rPr>
          <w:rFonts w:ascii="宋体" w:hAnsi="宋体" w:cs="宋体" w:eastAsia="宋体" w:hint="default"/>
        </w:rPr>
        <w:t>(</w:t>
      </w:r>
      <w:r>
        <w:rPr/>
        <w:t>有限</w:t>
      </w:r>
      <w:r>
        <w:rPr>
          <w:spacing w:val="-79"/>
        </w:rPr>
        <w:t> </w:t>
      </w:r>
      <w:r>
        <w:rPr/>
        <w:t>合伙）】，以下简称“斯普汇德”）承租的位于北京市朝阳区双桥街</w:t>
      </w:r>
      <w:r>
        <w:rPr>
          <w:rFonts w:ascii="宋体" w:hAnsi="宋体" w:cs="宋体" w:eastAsia="宋体" w:hint="default"/>
        </w:rPr>
        <w:t>12</w:t>
      </w:r>
      <w:r>
        <w:rPr/>
        <w:t>号院</w:t>
      </w:r>
      <w:r>
        <w:rPr>
          <w:rFonts w:ascii="宋体" w:hAnsi="宋体" w:cs="宋体" w:eastAsia="宋体" w:hint="default"/>
        </w:rPr>
        <w:t>39#</w:t>
      </w:r>
      <w:r>
        <w:rPr/>
        <w:t>、</w:t>
      </w:r>
      <w:r>
        <w:rPr>
          <w:rFonts w:ascii="宋体" w:hAnsi="宋体" w:cs="宋体" w:eastAsia="宋体" w:hint="default"/>
        </w:rPr>
        <w:t>41#-45#</w:t>
      </w:r>
      <w:r>
        <w:rPr/>
        <w:t>办公楼，房屋建筑面积为</w:t>
      </w:r>
      <w:r>
        <w:rPr>
          <w:rFonts w:ascii="宋体" w:hAnsi="宋体" w:cs="宋体" w:eastAsia="宋体" w:hint="default"/>
        </w:rPr>
        <w:t>5048.49</w:t>
      </w:r>
      <w:r>
        <w:rPr>
          <w:rFonts w:ascii="宋体" w:hAnsi="宋体" w:cs="宋体" w:eastAsia="宋体" w:hint="default"/>
          <w:spacing w:val="-82"/>
        </w:rPr>
        <w:t> </w:t>
      </w:r>
      <w:r>
        <w:rPr>
          <w:spacing w:val="-4"/>
        </w:rPr>
        <w:t>平方米，租赁期自</w:t>
      </w:r>
      <w:r>
        <w:rPr>
          <w:rFonts w:ascii="宋体" w:hAnsi="宋体" w:cs="宋体" w:eastAsia="宋体" w:hint="default"/>
          <w:spacing w:val="-4"/>
        </w:rPr>
        <w:t>2020</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2028</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19</w:t>
      </w:r>
      <w:r>
        <w:rPr>
          <w:spacing w:val="-4"/>
        </w:rPr>
        <w:t>日止，公司以每半年为一期支付租金，租金为人民币</w:t>
      </w:r>
      <w:r>
        <w:rPr>
          <w:rFonts w:ascii="宋体" w:hAnsi="宋体" w:cs="宋体" w:eastAsia="宋体" w:hint="default"/>
          <w:spacing w:val="-4"/>
        </w:rPr>
        <w:t>4,163,865.03</w:t>
      </w:r>
      <w:r>
        <w:rPr>
          <w:spacing w:val="-4"/>
        </w:rPr>
        <w:t>元</w:t>
      </w:r>
      <w:r>
        <w:rPr>
          <w:rFonts w:ascii="宋体" w:hAnsi="宋体" w:cs="宋体" w:eastAsia="宋体" w:hint="default"/>
          <w:spacing w:val="-4"/>
        </w:rPr>
        <w:t>/</w:t>
      </w:r>
      <w:r>
        <w:rPr>
          <w:spacing w:val="-4"/>
        </w:rPr>
        <w:t>半年（含</w:t>
      </w:r>
      <w:r>
        <w:rPr>
          <w:spacing w:val="-53"/>
        </w:rPr>
        <w:t> </w:t>
      </w:r>
      <w:r>
        <w:rPr>
          <w:spacing w:val="-53"/>
        </w:rPr>
      </w:r>
      <w:r>
        <w:rPr/>
        <w:t>房屋租金、物业管理费及相关税费），租赁房屋价格参照市场租赁行情变化，每三年进行必要调整。</w:t>
      </w:r>
    </w:p>
    <w:p>
      <w:pPr>
        <w:spacing w:line="240" w:lineRule="auto" w:before="11"/>
        <w:rPr>
          <w:rFonts w:ascii="宋体" w:hAnsi="宋体" w:cs="宋体" w:eastAsia="宋体" w:hint="default"/>
          <w:sz w:val="25"/>
          <w:szCs w:val="25"/>
        </w:rPr>
      </w:pPr>
    </w:p>
    <w:p>
      <w:pPr>
        <w:pStyle w:val="BodyText"/>
        <w:spacing w:line="240" w:lineRule="auto"/>
        <w:ind w:left="321" w:right="0"/>
        <w:jc w:val="left"/>
      </w:pPr>
      <w:r>
        <w:rPr/>
        <w:t>（</w:t>
      </w:r>
      <w:r>
        <w:rPr>
          <w:rFonts w:ascii="宋体" w:hAnsi="宋体" w:cs="宋体" w:eastAsia="宋体" w:hint="default"/>
        </w:rPr>
        <w:t>2</w:t>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日，本公司子公司宣亚国际有限公司无偿使用万丽莉的房屋作为公司的办公场所。</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关联方应收应付款项" w:id="481"/>
      <w:bookmarkEnd w:id="48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应收项目" w:id="482"/>
      <w:bookmarkEnd w:id="48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2673"/>
        <w:gridCol w:w="1277"/>
        <w:gridCol w:w="841"/>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7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1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2673" w:type="dxa"/>
            <w:vMerge/>
            <w:tcBorders>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73"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4"/>
              <w:ind w:right="142"/>
              <w:jc w:val="center"/>
              <w:rPr>
                <w:rFonts w:ascii="宋体" w:hAnsi="宋体" w:cs="宋体" w:eastAsia="宋体" w:hint="default"/>
                <w:sz w:val="18"/>
                <w:szCs w:val="18"/>
              </w:rPr>
            </w:pPr>
            <w:r>
              <w:rPr>
                <w:rFonts w:ascii="宋体" w:hAnsi="宋体" w:cs="宋体" w:eastAsia="宋体" w:hint="default"/>
                <w:sz w:val="18"/>
                <w:szCs w:val="18"/>
              </w:rPr>
              <w:t>青之白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投资管理有限公司</w:t>
            </w:r>
          </w:p>
        </w:tc>
        <w:tc>
          <w:tcPr>
            <w:tcW w:w="1277"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3,600,000.00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673"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5"/>
              <w:ind w:right="83"/>
              <w:jc w:val="center"/>
              <w:rPr>
                <w:rFonts w:ascii="宋体" w:hAnsi="宋体" w:cs="宋体" w:eastAsia="宋体" w:hint="default"/>
                <w:sz w:val="18"/>
                <w:szCs w:val="18"/>
              </w:rPr>
            </w:pPr>
            <w:r>
              <w:rPr>
                <w:rFonts w:ascii="宋体" w:hAnsi="宋体" w:cs="宋体" w:eastAsia="宋体" w:hint="default"/>
                <w:sz w:val="18"/>
                <w:szCs w:val="18"/>
              </w:rPr>
              <w:t>北京斯普汇德文化发展有限公司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4,186,869.81</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73"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4"/>
              <w:ind w:right="83"/>
              <w:jc w:val="center"/>
              <w:rPr>
                <w:rFonts w:ascii="宋体" w:hAnsi="宋体" w:cs="宋体" w:eastAsia="宋体" w:hint="default"/>
                <w:sz w:val="18"/>
                <w:szCs w:val="18"/>
              </w:rPr>
            </w:pPr>
            <w:r>
              <w:rPr>
                <w:rFonts w:ascii="宋体" w:hAnsi="宋体" w:cs="宋体" w:eastAsia="宋体" w:hint="default"/>
                <w:sz w:val="18"/>
                <w:szCs w:val="18"/>
              </w:rPr>
              <w:t>北京斯普汇德文化发展有限公司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2,455,112.07</w:t>
            </w:r>
          </w:p>
        </w:tc>
        <w:tc>
          <w:tcPr>
            <w:tcW w:w="841"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2,117,942.52</w:t>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0"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应付项目" w:id="483"/>
      <w:bookmarkEnd w:id="48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3003"/>
        <w:gridCol w:w="1787"/>
        <w:gridCol w:w="2403"/>
      </w:tblGrid>
      <w:tr>
        <w:trPr>
          <w:trHeight w:val="60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0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5"/>
              <w:ind w:left="1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5"/>
              <w:ind w:left="36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5"/>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03"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品推宝（深圳）商业保理有限公司</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2,812,900.00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62" w:right="0"/>
              <w:jc w:val="left"/>
              <w:rPr>
                <w:rFonts w:ascii="Times New Roman" w:hAnsi="Times New Roman" w:cs="Times New Roman" w:eastAsia="Times New Roman" w:hint="default"/>
                <w:sz w:val="18"/>
                <w:szCs w:val="18"/>
              </w:rPr>
            </w:pPr>
            <w:r>
              <w:rPr>
                <w:rFonts w:ascii="Times New Roman"/>
                <w:sz w:val="18"/>
              </w:rPr>
              <w:t>291,500.00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03"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汤斯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1,535,479.00</w:t>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关联方承诺" w:id="484"/>
      <w:bookmarkEnd w:id="48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6"/>
          <w:szCs w:val="26"/>
        </w:rPr>
      </w:pPr>
    </w:p>
    <w:p>
      <w:pPr>
        <w:pStyle w:val="BodyText"/>
        <w:spacing w:line="312" w:lineRule="auto"/>
        <w:ind w:right="0" w:firstLine="315"/>
        <w:jc w:val="left"/>
      </w:pPr>
      <w:r>
        <w:rPr>
          <w:spacing w:val="-2"/>
        </w:rPr>
        <w:t>为进一步规范关联交易，公司的控股股东宣亚投资，实际控制人张秀兵、万丽莉夫妇，持有公司</w:t>
      </w:r>
      <w:r>
        <w:rPr>
          <w:rFonts w:ascii="Times New Roman" w:hAnsi="Times New Roman" w:cs="Times New Roman" w:eastAsia="Times New Roman" w:hint="default"/>
          <w:spacing w:val="-2"/>
        </w:rPr>
        <w:t>5%</w:t>
      </w:r>
      <w:r>
        <w:rPr>
          <w:spacing w:val="-2"/>
        </w:rPr>
        <w:t>以上股份的股东，公</w:t>
      </w:r>
      <w:r>
        <w:rPr/>
        <w:t> 司董事、监事、高级管理人员出具关于《关于规范和减少关联交易的承诺》，做出了如下承诺： </w:t>
      </w: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w:t>
      </w:r>
      <w:r>
        <w:rPr/>
        <w:t>本人与宣亚国际之间现时不存在其他任何依照法律法规和中国证监会的有关规定应披露而未披露的关联交易；</w:t>
      </w:r>
    </w:p>
    <w:p>
      <w:pPr>
        <w:pStyle w:val="BodyText"/>
        <w:spacing w:line="240" w:lineRule="auto" w:before="6"/>
        <w:ind w:left="231" w:right="0"/>
        <w:jc w:val="left"/>
      </w:pP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w:t>
      </w:r>
      <w:r>
        <w:rPr/>
        <w:t>本人不以任何方式违法违规占用宣亚国际资金或要求其违法违规为本公司</w:t>
      </w:r>
      <w:r>
        <w:rPr>
          <w:rFonts w:ascii="Times New Roman" w:hAnsi="Times New Roman" w:cs="Times New Roman" w:eastAsia="Times New Roman" w:hint="default"/>
        </w:rPr>
        <w:t>/</w:t>
      </w:r>
      <w:r>
        <w:rPr/>
        <w:t>本人提供担保；</w:t>
      </w:r>
    </w:p>
    <w:p>
      <w:pPr>
        <w:pStyle w:val="BodyText"/>
        <w:spacing w:line="295" w:lineRule="auto" w:before="51"/>
        <w:ind w:right="1034" w:firstLine="90"/>
        <w:jc w:val="left"/>
      </w:pPr>
      <w:r>
        <w:rPr>
          <w:rFonts w:ascii="Times New Roman" w:hAnsi="Times New Roman" w:cs="Times New Roman" w:eastAsia="Times New Roman" w:hint="default"/>
          <w:spacing w:val="-1"/>
        </w:rPr>
        <w:t>3</w:t>
      </w:r>
      <w:r>
        <w:rPr>
          <w:spacing w:val="-1"/>
        </w:rPr>
        <w:t>、本公司</w:t>
      </w:r>
      <w:r>
        <w:rPr>
          <w:rFonts w:ascii="Times New Roman" w:hAnsi="Times New Roman" w:cs="Times New Roman" w:eastAsia="Times New Roman" w:hint="default"/>
          <w:spacing w:val="-1"/>
        </w:rPr>
        <w:t>/</w:t>
      </w:r>
      <w:r>
        <w:rPr>
          <w:spacing w:val="-1"/>
        </w:rPr>
        <w:t>本人不通过非公允关联交易、利润分配、资产重组、对外投资等任何方式损害宣亚国际及其他股东的合法权益；</w:t>
      </w:r>
      <w:r>
        <w:rPr/>
        <w:t> 如在今后的经营活动中本公司</w:t>
      </w:r>
      <w:r>
        <w:rPr>
          <w:rFonts w:ascii="Times New Roman" w:hAnsi="Times New Roman" w:cs="Times New Roman" w:eastAsia="Times New Roman" w:hint="default"/>
        </w:rPr>
        <w:t>/</w:t>
      </w:r>
      <w:r>
        <w:rPr/>
        <w:t>本人与宣亚国际之间发生无法避免的关联交易，则此种关联交易的条件必须按正常的商业条</w:t>
      </w:r>
      <w:r>
        <w:rPr>
          <w:spacing w:val="-87"/>
        </w:rPr>
        <w:t> </w:t>
      </w:r>
      <w:r>
        <w:rPr>
          <w:spacing w:val="-87"/>
        </w:rPr>
      </w:r>
      <w:r>
        <w:rPr/>
        <w:t>件进行，并按国家法律、法规、规范性文件以及宣亚国际内部管理制度严格履行审批程序；</w:t>
      </w:r>
    </w:p>
    <w:p>
      <w:pPr>
        <w:pStyle w:val="BodyText"/>
        <w:spacing w:line="240" w:lineRule="auto" w:before="53"/>
        <w:ind w:left="231" w:right="0"/>
        <w:jc w:val="left"/>
      </w:pPr>
      <w:r>
        <w:rPr>
          <w:rFonts w:ascii="Times New Roman" w:hAnsi="Times New Roman" w:cs="Times New Roman" w:eastAsia="Times New Roman" w:hint="default"/>
        </w:rPr>
        <w:t>4</w:t>
      </w:r>
      <w:r>
        <w:rPr/>
        <w:t>、本公司</w:t>
      </w:r>
      <w:r>
        <w:rPr>
          <w:rFonts w:ascii="Times New Roman" w:hAnsi="Times New Roman" w:cs="Times New Roman" w:eastAsia="Times New Roman" w:hint="default"/>
        </w:rPr>
        <w:t>/</w:t>
      </w:r>
      <w:r>
        <w:rPr/>
        <w:t>本人不以任何方式影响宣亚国际的独立性，保证其资产完整、人员独立、财务独立、机构独立和业务独立。</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8、其他" w:id="485"/>
      <w:bookmarkEnd w:id="485"/>
      <w:r>
        <w:rPr>
          <w:b w:val="0"/>
          <w:bCs w:val="0"/>
        </w:rPr>
      </w:r>
      <w:r>
        <w:rPr>
          <w:rFonts w:ascii="Times New Roman" w:hAnsi="Times New Roman" w:cs="Times New Roman" w:eastAsia="Times New Roman" w:hint="default"/>
        </w:rPr>
        <w:t>8</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十三、股份支付" w:id="486"/>
      <w:bookmarkEnd w:id="486"/>
      <w:r>
        <w:rPr>
          <w:b w:val="0"/>
          <w:bCs w:val="0"/>
        </w:rPr>
      </w:r>
      <w:r>
        <w:rPr/>
        <w:t>十三、股份支付</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股份支付总体情况" w:id="487"/>
      <w:bookmarkEnd w:id="48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bookmarkStart w:name="2、以权益结算的股份支付情况" w:id="488"/>
      <w:bookmarkEnd w:id="48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以现金结算的股份支付情况" w:id="489"/>
      <w:bookmarkEnd w:id="48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4、股份支付的修改、终止情况" w:id="490"/>
      <w:bookmarkEnd w:id="49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5、其他" w:id="491"/>
      <w:bookmarkEnd w:id="491"/>
      <w:r>
        <w:rPr>
          <w:b w:val="0"/>
          <w:bCs w:val="0"/>
        </w:rPr>
      </w:r>
      <w:r>
        <w:rPr>
          <w:rFonts w:ascii="Times New Roman" w:hAnsi="Times New Roman" w:cs="Times New Roman" w:eastAsia="Times New Roman" w:hint="default"/>
        </w:rPr>
        <w:t>5</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0" w:footer="981" w:top="1120" w:bottom="1180" w:left="1000" w:right="0"/>
        </w:sectPr>
      </w:pPr>
    </w:p>
    <w:p>
      <w:pPr>
        <w:spacing w:line="240" w:lineRule="auto" w:before="1"/>
        <w:rPr>
          <w:rFonts w:ascii="宋体" w:hAnsi="宋体" w:cs="宋体" w:eastAsia="宋体" w:hint="default"/>
          <w:sz w:val="19"/>
          <w:szCs w:val="19"/>
        </w:rPr>
      </w:pPr>
    </w:p>
    <w:p>
      <w:pPr>
        <w:spacing w:line="504" w:lineRule="auto" w:before="26"/>
        <w:ind w:left="141" w:right="8339" w:firstLine="0"/>
        <w:jc w:val="left"/>
        <w:rPr>
          <w:rFonts w:ascii="宋体" w:hAnsi="宋体" w:cs="宋体" w:eastAsia="宋体" w:hint="default"/>
          <w:sz w:val="18"/>
          <w:szCs w:val="18"/>
        </w:rPr>
      </w:pPr>
      <w:bookmarkStart w:name="十四、承诺及或有事项" w:id="492"/>
      <w:bookmarkEnd w:id="492"/>
      <w:r>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493"/>
      <w:bookmarkEnd w:id="493"/>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Heading9"/>
        <w:spacing w:line="240" w:lineRule="auto" w:before="47"/>
        <w:ind w:left="441" w:right="0"/>
        <w:jc w:val="left"/>
        <w:rPr>
          <w:b w:val="0"/>
          <w:bCs w:val="0"/>
        </w:rPr>
      </w:pPr>
      <w:r>
        <w:rPr>
          <w:rFonts w:ascii="Times New Roman" w:hAnsi="Times New Roman" w:cs="Times New Roman" w:eastAsia="Times New Roman" w:hint="default"/>
        </w:rPr>
        <w:t>1</w:t>
      </w:r>
      <w:r>
        <w:rPr/>
        <w:t>、签署战略合作框架协议事项</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0"/>
        <w:ind w:right="1126" w:firstLine="240"/>
        <w:jc w:val="both"/>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16</w:t>
      </w:r>
      <w:r>
        <w:rPr/>
        <w:t>日，本公司子公司云目未来科技（湖南）有限公司（以下简称“云目未来湖南”）与湖南省互联网信 </w:t>
      </w:r>
      <w:r>
        <w:rPr>
          <w:spacing w:val="-2"/>
        </w:rPr>
        <w:t>息办公室（以下简称“湖南网信办”）签署《战略合作框架协议》。通过协议的签署，云目未来湖南与湖南网信办确立战略</w:t>
      </w:r>
      <w:r>
        <w:rPr>
          <w:spacing w:val="-70"/>
        </w:rPr>
        <w:t> </w:t>
      </w:r>
      <w:r>
        <w:rPr>
          <w:spacing w:val="-70"/>
        </w:rPr>
      </w:r>
      <w:r>
        <w:rPr>
          <w:spacing w:val="-2"/>
        </w:rPr>
        <w:t>合作关系，有利于双方优势互补、相互促进，符合公司发展战略。具体项目合作事宜将根据实际情况，在本协议基础上，另</w:t>
      </w:r>
      <w:r>
        <w:rPr>
          <w:spacing w:val="-72"/>
        </w:rPr>
        <w:t> </w:t>
      </w:r>
      <w:r>
        <w:rPr>
          <w:spacing w:val="-72"/>
        </w:rPr>
      </w:r>
      <w:r>
        <w:rPr/>
        <w:t>行签署具体项目合作协议。</w:t>
      </w:r>
    </w:p>
    <w:p>
      <w:pPr>
        <w:spacing w:line="240" w:lineRule="auto" w:before="10"/>
        <w:rPr>
          <w:rFonts w:ascii="宋体" w:hAnsi="宋体" w:cs="宋体" w:eastAsia="宋体" w:hint="default"/>
          <w:sz w:val="25"/>
          <w:szCs w:val="25"/>
        </w:rPr>
      </w:pPr>
    </w:p>
    <w:p>
      <w:pPr>
        <w:pStyle w:val="BodyText"/>
        <w:spacing w:line="316" w:lineRule="auto"/>
        <w:ind w:right="989" w:firstLine="27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16</w:t>
      </w:r>
      <w:r>
        <w:rPr>
          <w:spacing w:val="-3"/>
        </w:rPr>
        <w:t>日，本公司与中品世纪（北京）科技发展有限公司（以下简称“中品世纪”）签署《战略合作协议》。</w:t>
      </w:r>
      <w:r>
        <w:rPr/>
        <w:t> </w:t>
      </w:r>
      <w:r>
        <w:rPr>
          <w:spacing w:val="-2"/>
        </w:rPr>
        <w:t>双方共同推进企业标准‘领跑者’传播工程审核工作的智能化、系统化、信息化发展。通过技术赋能对企业产出的所有相关</w:t>
      </w:r>
      <w:r>
        <w:rPr>
          <w:spacing w:val="-73"/>
        </w:rPr>
        <w:t> </w:t>
      </w:r>
      <w:r>
        <w:rPr>
          <w:spacing w:val="-73"/>
        </w:rPr>
      </w:r>
      <w:r>
        <w:rPr/>
        <w:t>传播内容进行违规内容识别，并对企业在使用企业标准‘领跑者’ 称号及</w:t>
      </w:r>
      <w:r>
        <w:rPr>
          <w:rFonts w:ascii="宋体" w:hAnsi="宋体" w:cs="宋体" w:eastAsia="宋体" w:hint="default"/>
        </w:rPr>
        <w:t>LOGO</w:t>
      </w:r>
      <w:r>
        <w:rPr/>
        <w:t>对外传播时进行规范。具体项目合作协议尚</w:t>
      </w:r>
      <w:r>
        <w:rPr>
          <w:spacing w:val="-85"/>
        </w:rPr>
        <w:t> </w:t>
      </w:r>
      <w:r>
        <w:rPr/>
        <w:t>未签署。</w:t>
      </w:r>
    </w:p>
    <w:p>
      <w:pPr>
        <w:spacing w:line="240" w:lineRule="auto" w:before="10"/>
        <w:rPr>
          <w:rFonts w:ascii="宋体" w:hAnsi="宋体" w:cs="宋体" w:eastAsia="宋体" w:hint="default"/>
          <w:sz w:val="25"/>
          <w:szCs w:val="25"/>
        </w:rPr>
      </w:pPr>
    </w:p>
    <w:p>
      <w:pPr>
        <w:pStyle w:val="BodyText"/>
        <w:spacing w:line="314" w:lineRule="auto"/>
        <w:ind w:right="1128" w:firstLine="270"/>
        <w:jc w:val="both"/>
      </w:pPr>
      <w:r>
        <w:rPr/>
        <w:t>（</w:t>
      </w: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6</w:t>
      </w:r>
      <w:r>
        <w:rPr/>
        <w:t>日，本公司与中兴通讯股份有限公司（以下简称“中兴通讯”）签署《战略合作框架协议》，协议有 </w:t>
      </w:r>
      <w:r>
        <w:rPr>
          <w:spacing w:val="-2"/>
        </w:rPr>
        <w:t>效期为三年。双方同意将对方作为全球</w:t>
      </w:r>
      <w:r>
        <w:rPr>
          <w:rFonts w:ascii="宋体" w:hAnsi="宋体" w:cs="宋体" w:eastAsia="宋体" w:hint="default"/>
          <w:spacing w:val="-2"/>
        </w:rPr>
        <w:t>5G</w:t>
      </w:r>
      <w:r>
        <w:rPr>
          <w:spacing w:val="-2"/>
        </w:rPr>
        <w:t>战略发展合作伙伴，利用中兴通讯在</w:t>
      </w:r>
      <w:r>
        <w:rPr>
          <w:rFonts w:ascii="宋体" w:hAnsi="宋体" w:cs="宋体" w:eastAsia="宋体" w:hint="default"/>
          <w:spacing w:val="-2"/>
        </w:rPr>
        <w:t>5G</w:t>
      </w:r>
      <w:r>
        <w:rPr>
          <w:spacing w:val="-2"/>
        </w:rPr>
        <w:t>技术与产品方面的优势以及本公司在产业整</w:t>
      </w:r>
      <w:r>
        <w:rPr>
          <w:spacing w:val="-63"/>
        </w:rPr>
        <w:t> </w:t>
      </w:r>
      <w:r>
        <w:rPr/>
        <w:t>合营销策略上的优势，相互促进。具体项目合作事宜将根据实际情况，另行签署具体项目合作协议。</w:t>
      </w:r>
    </w:p>
    <w:p>
      <w:pPr>
        <w:pStyle w:val="BodyText"/>
        <w:spacing w:line="616" w:lineRule="exact" w:before="56"/>
        <w:ind w:left="576" w:right="1134" w:hanging="75"/>
        <w:jc w:val="left"/>
      </w:pPr>
      <w:r>
        <w:rPr>
          <w:rFonts w:ascii="宋体" w:hAnsi="宋体" w:cs="宋体" w:eastAsia="宋体" w:hint="default"/>
          <w:b/>
          <w:bCs/>
        </w:rPr>
        <w:t>2</w:t>
      </w:r>
      <w:r>
        <w:rPr>
          <w:rFonts w:ascii="宋体" w:hAnsi="宋体" w:cs="宋体" w:eastAsia="宋体" w:hint="default"/>
          <w:b/>
          <w:bCs/>
        </w:rPr>
        <w:t>、其他事项</w:t>
      </w:r>
      <w:r>
        <w:rPr>
          <w:rFonts w:ascii="宋体" w:hAnsi="宋体" w:cs="宋体" w:eastAsia="宋体" w:hint="default"/>
          <w:b/>
          <w:bCs/>
          <w:w w:val="99"/>
        </w:rPr>
        <w:t> </w:t>
      </w:r>
      <w:r>
        <w:rPr/>
        <w:t>本公司于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16</w:t>
      </w:r>
      <w:r>
        <w:rPr/>
        <w:t>日与北京市朝阳田华建筑集团公司第十二分公司签订《建筑工程施工承包合同》，承租房屋的</w:t>
      </w:r>
    </w:p>
    <w:p>
      <w:pPr>
        <w:pStyle w:val="BodyText"/>
        <w:spacing w:line="217" w:lineRule="exact"/>
        <w:ind w:left="216" w:right="0"/>
        <w:jc w:val="left"/>
      </w:pPr>
      <w:r>
        <w:rPr/>
        <w:t>外装修工程由该公司负责。工程总金额</w:t>
      </w:r>
      <w:r>
        <w:rPr>
          <w:rFonts w:ascii="宋体" w:hAnsi="宋体" w:cs="宋体" w:eastAsia="宋体" w:hint="default"/>
        </w:rPr>
        <w:t>2,564</w:t>
      </w:r>
      <w:r>
        <w:rPr/>
        <w:t>万元人民币，工期</w:t>
      </w:r>
      <w:r>
        <w:rPr>
          <w:rFonts w:ascii="宋体" w:hAnsi="宋体" w:cs="宋体" w:eastAsia="宋体" w:hint="default"/>
        </w:rPr>
        <w:t>180</w:t>
      </w:r>
      <w:r>
        <w:rPr/>
        <w:t>天，合同生效后向田华建筑支付合同价款</w:t>
      </w:r>
      <w:r>
        <w:rPr>
          <w:rFonts w:ascii="宋体" w:hAnsi="宋体" w:cs="宋体" w:eastAsia="宋体" w:hint="default"/>
        </w:rPr>
        <w:t>40%</w:t>
      </w:r>
      <w:r>
        <w:rPr/>
        <w:t>，金额为</w:t>
      </w:r>
    </w:p>
    <w:p>
      <w:pPr>
        <w:pStyle w:val="BodyText"/>
        <w:spacing w:line="240" w:lineRule="auto" w:before="80"/>
        <w:ind w:left="216" w:right="0"/>
        <w:jc w:val="left"/>
      </w:pPr>
      <w:r>
        <w:rPr>
          <w:rFonts w:ascii="宋体" w:hAnsi="宋体" w:cs="宋体" w:eastAsia="宋体" w:hint="default"/>
        </w:rPr>
        <w:t>1,025.60</w:t>
      </w:r>
      <w:r>
        <w:rPr/>
        <w:t>万元，本年度按工程进度支付后续款项</w:t>
      </w:r>
      <w:r>
        <w:rPr>
          <w:rFonts w:ascii="宋体" w:hAnsi="宋体" w:cs="宋体" w:eastAsia="宋体" w:hint="default"/>
        </w:rPr>
        <w:t>1,410.20</w:t>
      </w:r>
      <w:r>
        <w:rPr/>
        <w:t>万元，累计支付装修工程进度款</w:t>
      </w:r>
      <w:r>
        <w:rPr>
          <w:rFonts w:ascii="宋体" w:hAnsi="宋体" w:cs="宋体" w:eastAsia="宋体" w:hint="default"/>
        </w:rPr>
        <w:t>2,435.80</w:t>
      </w:r>
      <w:r>
        <w:rPr/>
        <w:t>万元。</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或有事项" w:id="494"/>
      <w:bookmarkEnd w:id="49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资产负债表日存在的重要或有事项" w:id="495"/>
      <w:bookmarkEnd w:id="49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公司报告期各资产负债表日不存在或有事项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2）公司没有需要披露的重要或有事项，也应予以说明" w:id="496"/>
      <w:bookmarkEnd w:id="49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3、其他" w:id="497"/>
      <w:bookmarkEnd w:id="497"/>
      <w:r>
        <w:rPr>
          <w:b w:val="0"/>
          <w:bCs w:val="0"/>
        </w:rPr>
      </w: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91" w:right="0"/>
        <w:jc w:val="left"/>
      </w:pPr>
      <w:r>
        <w:rPr/>
        <w:t>无</w:t>
      </w:r>
    </w:p>
    <w:p>
      <w:pPr>
        <w:spacing w:after="0" w:line="240" w:lineRule="auto"/>
        <w:jc w:val="left"/>
        <w:sectPr>
          <w:footerReference w:type="default" r:id="rId44"/>
          <w:pgSz w:w="11910" w:h="16850"/>
          <w:pgMar w:footer="981" w:header="0" w:top="112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right="0"/>
        <w:jc w:val="left"/>
        <w:rPr>
          <w:b w:val="0"/>
          <w:bCs w:val="0"/>
        </w:rPr>
      </w:pPr>
      <w:bookmarkStart w:name="十五、资产负债表日后事项" w:id="498"/>
      <w:bookmarkEnd w:id="498"/>
      <w:r>
        <w:rPr>
          <w:b w:val="0"/>
          <w:bCs w:val="0"/>
        </w:rPr>
      </w:r>
      <w:r>
        <w:rPr/>
        <w:t>十五、资产负债表日后事项</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重要的非调整事项" w:id="499"/>
      <w:bookmarkEnd w:id="49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利润分配情况" w:id="500"/>
      <w:bookmarkEnd w:id="50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销售退回" w:id="501"/>
      <w:bookmarkEnd w:id="50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公司报告期不存在销售退回情况</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其他资产负债表日后事项说明" w:id="502"/>
      <w:bookmarkEnd w:id="50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宋体" w:hAnsi="宋体" w:cs="宋体" w:eastAsia="宋体" w:hint="default"/>
          <w:b/>
          <w:bCs/>
          <w:sz w:val="25"/>
          <w:szCs w:val="25"/>
        </w:rPr>
      </w:pPr>
    </w:p>
    <w:p>
      <w:pPr>
        <w:pStyle w:val="Heading9"/>
        <w:spacing w:line="240" w:lineRule="auto"/>
        <w:ind w:left="231" w:right="0"/>
        <w:jc w:val="left"/>
        <w:rPr>
          <w:b w:val="0"/>
          <w:bCs w:val="0"/>
        </w:rPr>
      </w:pPr>
      <w:r>
        <w:rPr/>
        <w:t>（一）、签署战略合作框架协议事项</w:t>
      </w:r>
      <w:r>
        <w:rPr>
          <w:b w:val="0"/>
          <w:bCs w:val="0"/>
        </w:rPr>
      </w:r>
    </w:p>
    <w:p>
      <w:pPr>
        <w:pStyle w:val="BodyText"/>
        <w:spacing w:line="300" w:lineRule="auto" w:before="95"/>
        <w:ind w:right="1121" w:firstLine="315"/>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月，本公司与东华软件股份公司签署《战略合作框架协议》。通过协议的签署，鉴于双方共识，国家发布新基 建战略中的信息产业规划，将给未来中国的智慧城市、智慧行业、大数据、云计算、</w:t>
      </w:r>
      <w:r>
        <w:rPr>
          <w:rFonts w:ascii="Times New Roman" w:hAnsi="Times New Roman" w:cs="Times New Roman" w:eastAsia="Times New Roman" w:hint="default"/>
        </w:rPr>
        <w:t>5G</w:t>
      </w:r>
      <w:r>
        <w:rPr/>
        <w:t>技术应用带来深远的影响，为企业</w:t>
      </w:r>
      <w:r>
        <w:rPr>
          <w:spacing w:val="-36"/>
        </w:rPr>
        <w:t> </w:t>
      </w:r>
      <w:r>
        <w:rPr>
          <w:spacing w:val="-36"/>
        </w:rPr>
      </w:r>
      <w:r>
        <w:rPr>
          <w:spacing w:val="-2"/>
        </w:rPr>
        <w:t>的转型升级发展带来新的机遇。本协议有效期三年，具体项目合作事宜将根据实际情况，在本协议基础上，另行签署具体项</w:t>
      </w:r>
      <w:r>
        <w:rPr>
          <w:spacing w:val="-57"/>
        </w:rPr>
        <w:t> </w:t>
      </w:r>
      <w:r>
        <w:rPr>
          <w:spacing w:val="-57"/>
        </w:rPr>
      </w:r>
      <w:r>
        <w:rPr/>
        <w:t>目合作协议。</w:t>
      </w:r>
    </w:p>
    <w:p>
      <w:pPr>
        <w:spacing w:line="240" w:lineRule="auto" w:before="10"/>
        <w:rPr>
          <w:rFonts w:ascii="宋体" w:hAnsi="宋体" w:cs="宋体" w:eastAsia="宋体" w:hint="default"/>
          <w:sz w:val="26"/>
          <w:szCs w:val="26"/>
        </w:rPr>
      </w:pPr>
    </w:p>
    <w:p>
      <w:pPr>
        <w:spacing w:line="321" w:lineRule="auto" w:before="0"/>
        <w:ind w:left="471" w:right="1104" w:hanging="241"/>
        <w:jc w:val="left"/>
        <w:rPr>
          <w:rFonts w:ascii="宋体" w:hAnsi="宋体" w:cs="宋体" w:eastAsia="宋体" w:hint="default"/>
          <w:sz w:val="18"/>
          <w:szCs w:val="18"/>
        </w:rPr>
      </w:pPr>
      <w:r>
        <w:rPr>
          <w:rFonts w:ascii="宋体" w:hAnsi="宋体" w:cs="宋体" w:eastAsia="宋体" w:hint="default"/>
          <w:b/>
          <w:bCs/>
          <w:sz w:val="18"/>
          <w:szCs w:val="18"/>
        </w:rPr>
        <w:t>（二）、关于归还用于暂时补充流动资金闲置募集资金事项</w:t>
      </w:r>
      <w:r>
        <w:rPr>
          <w:rFonts w:ascii="宋体" w:hAnsi="宋体" w:cs="宋体" w:eastAsia="宋体" w:hint="default"/>
          <w:b/>
          <w:bCs/>
          <w:w w:val="99"/>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日，公司已将用于暂时补充流动资金的募集资金</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万元全部归还至募集资金专用账户，使用期限未</w:t>
      </w:r>
    </w:p>
    <w:p>
      <w:pPr>
        <w:pStyle w:val="BodyText"/>
        <w:spacing w:line="247" w:lineRule="exact"/>
        <w:ind w:right="0"/>
        <w:jc w:val="left"/>
      </w:pPr>
      <w:r>
        <w:rPr/>
        <w:t>超过</w:t>
      </w:r>
      <w:r>
        <w:rPr>
          <w:spacing w:val="-15"/>
        </w:rPr>
        <w:t> </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336" w:lineRule="auto" w:before="131"/>
        <w:ind w:left="471" w:right="0" w:hanging="241"/>
        <w:jc w:val="left"/>
        <w:rPr>
          <w:rFonts w:ascii="宋体" w:hAnsi="宋体" w:cs="宋体" w:eastAsia="宋体" w:hint="default"/>
          <w:sz w:val="18"/>
          <w:szCs w:val="18"/>
        </w:rPr>
      </w:pPr>
      <w:r>
        <w:rPr>
          <w:rFonts w:ascii="宋体" w:hAnsi="宋体" w:cs="宋体" w:eastAsia="宋体" w:hint="default"/>
          <w:b/>
          <w:bCs/>
          <w:sz w:val="18"/>
          <w:szCs w:val="18"/>
        </w:rPr>
        <w:t>（三）、关于使用部分闲置募集资金暂时补充流动资金事项</w:t>
      </w:r>
      <w:r>
        <w:rPr>
          <w:rFonts w:ascii="宋体" w:hAnsi="宋体" w:cs="宋体" w:eastAsia="宋体" w:hint="default"/>
          <w:b/>
          <w:bCs/>
          <w:w w:val="99"/>
          <w:sz w:val="18"/>
          <w:szCs w:val="18"/>
        </w:rPr>
        <w:t> </w:t>
      </w:r>
      <w:r>
        <w:rPr>
          <w:rFonts w:ascii="宋体" w:hAnsi="宋体" w:cs="宋体" w:eastAsia="宋体" w:hint="default"/>
          <w:sz w:val="18"/>
          <w:szCs w:val="18"/>
        </w:rPr>
        <w:t>本公司于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日召开第四届监事会第十九次会议审议通过了《关于使用部分闲置募集资金暂时补充流动资金的</w:t>
      </w:r>
    </w:p>
    <w:p>
      <w:pPr>
        <w:pStyle w:val="BodyText"/>
        <w:spacing w:line="221" w:lineRule="exact"/>
        <w:ind w:right="0"/>
        <w:jc w:val="left"/>
      </w:pPr>
      <w:r>
        <w:rPr/>
        <w:t>议案》，同意使用部分闲置募集资金</w:t>
      </w:r>
      <w:r>
        <w:rPr>
          <w:rFonts w:ascii="Times New Roman" w:hAnsi="Times New Roman" w:cs="Times New Roman" w:eastAsia="Times New Roman" w:hint="default"/>
        </w:rPr>
        <w:t>4,000</w:t>
      </w:r>
      <w:r>
        <w:rPr/>
        <w:t>万元暂时补充公司流动资金，使用期限为自董事会审议通过之日起不超过</w:t>
      </w:r>
      <w:r>
        <w:rPr>
          <w:rFonts w:ascii="Times New Roman" w:hAnsi="Times New Roman" w:cs="Times New Roman" w:eastAsia="Times New Roman" w:hint="default"/>
        </w:rPr>
        <w:t>12</w:t>
      </w:r>
      <w:r>
        <w:rPr/>
        <w:t>个月，</w:t>
      </w:r>
    </w:p>
    <w:p>
      <w:pPr>
        <w:pStyle w:val="BodyText"/>
        <w:spacing w:line="240" w:lineRule="auto" w:before="51"/>
        <w:ind w:right="0"/>
        <w:jc w:val="left"/>
      </w:pPr>
      <w:r>
        <w:rPr/>
        <w:t>到期归还至募集资金专用账户。</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9"/>
        <w:spacing w:line="240" w:lineRule="auto"/>
        <w:ind w:left="231" w:right="0"/>
        <w:jc w:val="left"/>
        <w:rPr>
          <w:b w:val="0"/>
          <w:bCs w:val="0"/>
        </w:rPr>
      </w:pPr>
      <w:r>
        <w:rPr>
          <w:w w:val="95"/>
        </w:rPr>
        <w:t>（四）、关于持股 </w:t>
      </w:r>
      <w:r>
        <w:rPr>
          <w:spacing w:val="6"/>
          <w:w w:val="95"/>
        </w:rPr>
        <w:t> </w:t>
      </w:r>
      <w:r>
        <w:rPr>
          <w:rFonts w:ascii="Times New Roman" w:hAnsi="Times New Roman" w:cs="Times New Roman" w:eastAsia="Times New Roman" w:hint="default"/>
          <w:w w:val="95"/>
        </w:rPr>
        <w:t>5%</w:t>
      </w:r>
      <w:r>
        <w:rPr>
          <w:w w:val="95"/>
        </w:rPr>
        <w:t>以上股东减持股份事项</w:t>
      </w:r>
      <w:r>
        <w:rPr>
          <w:b w:val="0"/>
          <w:bCs w:val="0"/>
        </w:rPr>
      </w:r>
    </w:p>
    <w:p>
      <w:pPr>
        <w:pStyle w:val="BodyText"/>
        <w:spacing w:line="288" w:lineRule="auto" w:before="66"/>
        <w:ind w:right="1115" w:firstLine="315"/>
        <w:jc w:val="both"/>
      </w:pPr>
      <w:r>
        <w:rPr>
          <w:spacing w:val="-1"/>
        </w:rPr>
        <w:t>本公司之股东北京金凤银凰咨询中心（有限合伙）（以下简称</w:t>
      </w:r>
      <w:r>
        <w:rPr>
          <w:rFonts w:ascii="Times New Roman" w:hAnsi="Times New Roman" w:cs="Times New Roman" w:eastAsia="Times New Roman" w:hint="default"/>
          <w:spacing w:val="-1"/>
        </w:rPr>
        <w:t>“</w:t>
      </w:r>
      <w:r>
        <w:rPr>
          <w:spacing w:val="-1"/>
        </w:rPr>
        <w:t>金凤银凰</w:t>
      </w:r>
      <w:r>
        <w:rPr>
          <w:rFonts w:ascii="Times New Roman" w:hAnsi="Times New Roman" w:cs="Times New Roman" w:eastAsia="Times New Roman" w:hint="default"/>
          <w:spacing w:val="-1"/>
        </w:rPr>
        <w:t>”</w:t>
      </w:r>
      <w:r>
        <w:rPr>
          <w:spacing w:val="-1"/>
        </w:rPr>
        <w:t>）因自身资金需求，计划以集中竞价及大宗交</w:t>
      </w:r>
      <w:r>
        <w:rPr/>
        <w:t> 易方式，按照市场价格每股价格不低于发行价减持股份，减持数量不超过</w:t>
      </w:r>
      <w:r>
        <w:rPr>
          <w:rFonts w:ascii="Times New Roman" w:hAnsi="Times New Roman" w:cs="Times New Roman" w:eastAsia="Times New Roman" w:hint="default"/>
        </w:rPr>
        <w:t>4,770,000</w:t>
      </w:r>
      <w:r>
        <w:rPr/>
        <w:t>股。</w:t>
      </w:r>
    </w:p>
    <w:p>
      <w:pPr>
        <w:pStyle w:val="BodyText"/>
        <w:spacing w:line="304" w:lineRule="auto" w:before="26"/>
        <w:ind w:right="1128" w:firstLine="270"/>
        <w:jc w:val="both"/>
      </w:pPr>
      <w:r>
        <w:rPr/>
        <w:t>本公司之股东南平伟岸仲合信息咨询中心（有限合伙）（以下简称</w:t>
      </w:r>
      <w:r>
        <w:rPr>
          <w:rFonts w:ascii="Times New Roman" w:hAnsi="Times New Roman" w:cs="Times New Roman" w:eastAsia="Times New Roman" w:hint="default"/>
        </w:rPr>
        <w:t>“</w:t>
      </w:r>
      <w:r>
        <w:rPr/>
        <w:t>伟岸仲合</w:t>
      </w:r>
      <w:r>
        <w:rPr>
          <w:rFonts w:ascii="Times New Roman" w:hAnsi="Times New Roman" w:cs="Times New Roman" w:eastAsia="Times New Roman" w:hint="default"/>
        </w:rPr>
        <w:t>”</w:t>
      </w:r>
      <w:r>
        <w:rPr/>
        <w:t>）因自身资金需求，计划以集中竞价及大 宗交易方式，按照市场价格每股价格不低于发行价减持股份，减持数量不超过</w:t>
      </w:r>
      <w:r>
        <w:rPr>
          <w:rFonts w:ascii="Times New Roman" w:hAnsi="Times New Roman" w:cs="Times New Roman" w:eastAsia="Times New Roman" w:hint="default"/>
        </w:rPr>
        <w:t>4,200,000</w:t>
      </w:r>
      <w:r>
        <w:rPr/>
        <w:t>股。</w:t>
      </w:r>
    </w:p>
    <w:p>
      <w:pPr>
        <w:spacing w:after="0" w:line="304" w:lineRule="auto"/>
        <w:jc w:val="both"/>
        <w:sectPr>
          <w:footerReference w:type="default" r:id="rId45"/>
          <w:pgSz w:w="11910" w:h="16850"/>
          <w:pgMar w:footer="981" w:header="0" w:top="1120" w:bottom="1180" w:left="1000" w:right="0"/>
          <w:pgNumType w:start="201"/>
        </w:sectPr>
      </w:pPr>
    </w:p>
    <w:p>
      <w:pPr>
        <w:spacing w:line="240" w:lineRule="auto" w:before="9"/>
        <w:rPr>
          <w:rFonts w:ascii="宋体" w:hAnsi="宋体" w:cs="宋体" w:eastAsia="宋体" w:hint="default"/>
          <w:sz w:val="20"/>
          <w:szCs w:val="20"/>
        </w:rPr>
      </w:pPr>
    </w:p>
    <w:p>
      <w:pPr>
        <w:spacing w:line="336" w:lineRule="auto" w:before="44"/>
        <w:ind w:left="916" w:right="1094" w:hanging="226"/>
        <w:jc w:val="left"/>
        <w:rPr>
          <w:rFonts w:ascii="宋体" w:hAnsi="宋体" w:cs="宋体" w:eastAsia="宋体" w:hint="default"/>
          <w:sz w:val="18"/>
          <w:szCs w:val="18"/>
        </w:rPr>
      </w:pPr>
      <w:r>
        <w:rPr>
          <w:rFonts w:ascii="宋体" w:hAnsi="宋体" w:cs="宋体" w:eastAsia="宋体" w:hint="default"/>
          <w:b/>
          <w:bCs/>
          <w:sz w:val="18"/>
          <w:szCs w:val="18"/>
        </w:rPr>
        <w:t>（五）、关于控股股东部分股份质押延期购回及补充质押事项</w:t>
      </w:r>
      <w:r>
        <w:rPr>
          <w:rFonts w:ascii="宋体" w:hAnsi="宋体" w:cs="宋体" w:eastAsia="宋体" w:hint="default"/>
          <w:b/>
          <w:bCs/>
          <w:w w:val="99"/>
          <w:sz w:val="18"/>
          <w:szCs w:val="18"/>
        </w:rPr>
        <w:t> </w:t>
      </w:r>
      <w:r>
        <w:rPr>
          <w:rFonts w:ascii="宋体" w:hAnsi="宋体" w:cs="宋体" w:eastAsia="宋体" w:hint="default"/>
          <w:sz w:val="18"/>
          <w:szCs w:val="18"/>
        </w:rPr>
        <w:t>本公司收到控股股东北京宣亚国际投资有限公司（以下简称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宣亚投资</w:t>
      </w:r>
      <w:r>
        <w:rPr>
          <w:rFonts w:ascii="Times New Roman" w:hAnsi="Times New Roman" w:cs="Times New Roman" w:eastAsia="Times New Roman" w:hint="default"/>
          <w:sz w:val="18"/>
          <w:szCs w:val="18"/>
        </w:rPr>
        <w:t>”</w:t>
      </w:r>
      <w:r>
        <w:rPr>
          <w:rFonts w:ascii="宋体" w:hAnsi="宋体" w:cs="宋体" w:eastAsia="宋体" w:hint="default"/>
          <w:sz w:val="18"/>
          <w:szCs w:val="18"/>
        </w:rPr>
        <w:t>）函告，宣亚投资将其所持有的公司部分股份办</w:t>
      </w:r>
    </w:p>
    <w:p>
      <w:pPr>
        <w:pStyle w:val="BodyText"/>
        <w:spacing w:line="207" w:lineRule="exact"/>
        <w:ind w:left="601" w:right="1094"/>
        <w:jc w:val="left"/>
      </w:pPr>
      <w:r>
        <w:rPr/>
        <w:t>理了质押延期购回及补充质押业务，事项如下：</w:t>
      </w:r>
    </w:p>
    <w:p>
      <w:pPr>
        <w:pStyle w:val="BodyText"/>
        <w:spacing w:line="240" w:lineRule="auto" w:before="80"/>
        <w:ind w:left="751" w:right="1094"/>
        <w:jc w:val="left"/>
      </w:pPr>
      <w:r>
        <w:rPr/>
        <w:t>（</w:t>
      </w:r>
      <w:r>
        <w:rPr>
          <w:rFonts w:ascii="Times New Roman" w:hAnsi="Times New Roman" w:cs="Times New Roman" w:eastAsia="Times New Roman" w:hint="default"/>
        </w:rPr>
        <w:t>1</w:t>
      </w:r>
      <w:r>
        <w:rPr/>
        <w:t>）、部分股份质押延期购回情况</w:t>
      </w:r>
    </w:p>
    <w:p>
      <w:pPr>
        <w:spacing w:line="240" w:lineRule="auto" w:before="12"/>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2508"/>
        <w:gridCol w:w="931"/>
        <w:gridCol w:w="1097"/>
        <w:gridCol w:w="1261"/>
        <w:gridCol w:w="1427"/>
        <w:gridCol w:w="1127"/>
        <w:gridCol w:w="991"/>
        <w:gridCol w:w="1111"/>
      </w:tblGrid>
      <w:tr>
        <w:trPr>
          <w:trHeight w:val="1396" w:hRule="exact"/>
        </w:trPr>
        <w:tc>
          <w:tcPr>
            <w:tcW w:w="2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right="15"/>
              <w:jc w:val="both"/>
              <w:rPr>
                <w:rFonts w:ascii="宋体" w:hAnsi="宋体" w:cs="宋体" w:eastAsia="宋体" w:hint="default"/>
                <w:sz w:val="18"/>
                <w:szCs w:val="18"/>
              </w:rPr>
            </w:pPr>
            <w:r>
              <w:rPr>
                <w:rFonts w:ascii="宋体" w:hAnsi="宋体" w:cs="宋体" w:eastAsia="宋体" w:hint="default"/>
                <w:sz w:val="18"/>
                <w:szCs w:val="18"/>
              </w:rPr>
              <w:t>是否为第一 大股东及一 致行动人</w:t>
            </w:r>
          </w:p>
        </w:tc>
        <w:tc>
          <w:tcPr>
            <w:tcW w:w="10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40"/>
              <w:ind w:left="75" w:right="104"/>
              <w:jc w:val="left"/>
              <w:rPr>
                <w:rFonts w:ascii="宋体" w:hAnsi="宋体" w:cs="宋体" w:eastAsia="宋体" w:hint="default"/>
                <w:sz w:val="18"/>
                <w:szCs w:val="18"/>
              </w:rPr>
            </w:pPr>
            <w:r>
              <w:rPr>
                <w:rFonts w:ascii="宋体" w:hAnsi="宋体" w:cs="宋体" w:eastAsia="宋体" w:hint="default"/>
                <w:sz w:val="18"/>
                <w:szCs w:val="18"/>
              </w:rPr>
              <w:t>本次质押延 期购回数量</w:t>
            </w:r>
          </w:p>
        </w:tc>
        <w:tc>
          <w:tcPr>
            <w:tcW w:w="1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40"/>
              <w:ind w:left="435" w:right="270" w:hanging="180"/>
              <w:jc w:val="left"/>
              <w:rPr>
                <w:rFonts w:ascii="宋体" w:hAnsi="宋体" w:cs="宋体" w:eastAsia="宋体" w:hint="default"/>
                <w:sz w:val="18"/>
                <w:szCs w:val="18"/>
              </w:rPr>
            </w:pPr>
            <w:r>
              <w:rPr>
                <w:rFonts w:ascii="宋体" w:hAnsi="宋体" w:cs="宋体" w:eastAsia="宋体" w:hint="default"/>
                <w:sz w:val="18"/>
                <w:szCs w:val="18"/>
              </w:rPr>
              <w:t>质押开始 日期</w:t>
            </w:r>
          </w:p>
        </w:tc>
        <w:tc>
          <w:tcPr>
            <w:tcW w:w="14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原质押到期日</w:t>
            </w:r>
          </w:p>
        </w:tc>
        <w:tc>
          <w:tcPr>
            <w:tcW w:w="1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延期回购日</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30" w:right="45"/>
              <w:jc w:val="both"/>
              <w:rPr>
                <w:rFonts w:ascii="宋体" w:hAnsi="宋体" w:cs="宋体" w:eastAsia="宋体" w:hint="default"/>
                <w:sz w:val="18"/>
                <w:szCs w:val="18"/>
              </w:rPr>
            </w:pPr>
            <w:r>
              <w:rPr>
                <w:rFonts w:ascii="宋体" w:hAnsi="宋体" w:cs="宋体" w:eastAsia="宋体" w:hint="default"/>
                <w:sz w:val="18"/>
                <w:szCs w:val="18"/>
              </w:rPr>
              <w:t>本次补充质 押占其所持 股份比例</w:t>
            </w:r>
          </w:p>
        </w:tc>
        <w:tc>
          <w:tcPr>
            <w:tcW w:w="11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721" w:hRule="exact"/>
        </w:trPr>
        <w:tc>
          <w:tcPr>
            <w:tcW w:w="2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北京宣亚国际投资有限公司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是</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宋体" w:hAnsi="宋体" w:cs="宋体" w:eastAsia="宋体" w:hint="default"/>
                <w:sz w:val="18"/>
                <w:szCs w:val="18"/>
              </w:rPr>
              <w:t>万股</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20.58%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经营资金周转</w:t>
            </w:r>
          </w:p>
        </w:tc>
      </w:tr>
    </w:tbl>
    <w:p>
      <w:pPr>
        <w:spacing w:line="240" w:lineRule="auto" w:before="9"/>
        <w:rPr>
          <w:rFonts w:ascii="宋体" w:hAnsi="宋体" w:cs="宋体" w:eastAsia="宋体" w:hint="default"/>
          <w:sz w:val="20"/>
          <w:szCs w:val="20"/>
        </w:rPr>
      </w:pPr>
    </w:p>
    <w:p>
      <w:pPr>
        <w:pStyle w:val="BodyText"/>
        <w:spacing w:line="240" w:lineRule="auto" w:before="44"/>
        <w:ind w:left="751" w:right="1094"/>
        <w:jc w:val="left"/>
      </w:pPr>
      <w:r>
        <w:rPr/>
        <w:t>（</w:t>
      </w:r>
      <w:r>
        <w:rPr>
          <w:rFonts w:ascii="Times New Roman" w:hAnsi="Times New Roman" w:cs="Times New Roman" w:eastAsia="Times New Roman" w:hint="default"/>
        </w:rPr>
        <w:t>2</w:t>
      </w:r>
      <w:r>
        <w:rPr/>
        <w:t>）、部分股份补充质押情况</w:t>
      </w:r>
    </w:p>
    <w:p>
      <w:pPr>
        <w:spacing w:line="240" w:lineRule="auto" w:before="12"/>
        <w:rPr>
          <w:rFonts w:ascii="宋体" w:hAnsi="宋体" w:cs="宋体" w:eastAsia="宋体"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2516"/>
        <w:gridCol w:w="1254"/>
        <w:gridCol w:w="1412"/>
        <w:gridCol w:w="1892"/>
        <w:gridCol w:w="1577"/>
        <w:gridCol w:w="1727"/>
      </w:tblGrid>
      <w:tr>
        <w:trPr>
          <w:trHeight w:val="1126" w:hRule="exact"/>
        </w:trPr>
        <w:tc>
          <w:tcPr>
            <w:tcW w:w="25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89"/>
              <w:ind w:left="82" w:right="74"/>
              <w:jc w:val="center"/>
              <w:rPr>
                <w:rFonts w:ascii="宋体" w:hAnsi="宋体" w:cs="宋体" w:eastAsia="宋体" w:hint="default"/>
                <w:sz w:val="18"/>
                <w:szCs w:val="18"/>
              </w:rPr>
            </w:pPr>
            <w:r>
              <w:rPr>
                <w:rFonts w:ascii="宋体" w:hAnsi="宋体" w:cs="宋体" w:eastAsia="宋体" w:hint="default"/>
                <w:sz w:val="18"/>
                <w:szCs w:val="18"/>
              </w:rPr>
              <w:t>是否为第一大 股东及一致行 动人</w:t>
            </w:r>
          </w:p>
        </w:tc>
        <w:tc>
          <w:tcPr>
            <w:tcW w:w="1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3" w:right="0"/>
              <w:jc w:val="center"/>
              <w:rPr>
                <w:rFonts w:ascii="宋体" w:hAnsi="宋体" w:cs="宋体" w:eastAsia="宋体" w:hint="default"/>
                <w:sz w:val="18"/>
                <w:szCs w:val="18"/>
              </w:rPr>
            </w:pPr>
            <w:r>
              <w:rPr>
                <w:rFonts w:ascii="宋体" w:hAnsi="宋体" w:cs="宋体" w:eastAsia="宋体" w:hint="default"/>
                <w:sz w:val="18"/>
                <w:szCs w:val="18"/>
              </w:rPr>
              <w:t>本次质押数量</w:t>
            </w:r>
          </w:p>
        </w:tc>
        <w:tc>
          <w:tcPr>
            <w:tcW w:w="18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321" w:lineRule="auto"/>
              <w:ind w:left="765" w:right="571" w:hanging="181"/>
              <w:jc w:val="left"/>
              <w:rPr>
                <w:rFonts w:ascii="宋体" w:hAnsi="宋体" w:cs="宋体" w:eastAsia="宋体" w:hint="default"/>
                <w:sz w:val="18"/>
                <w:szCs w:val="18"/>
              </w:rPr>
            </w:pPr>
            <w:r>
              <w:rPr>
                <w:rFonts w:ascii="宋体" w:hAnsi="宋体" w:cs="宋体" w:eastAsia="宋体" w:hint="default"/>
                <w:sz w:val="18"/>
                <w:szCs w:val="18"/>
              </w:rPr>
              <w:t>质押开始 日期</w:t>
            </w:r>
          </w:p>
        </w:tc>
        <w:tc>
          <w:tcPr>
            <w:tcW w:w="15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15" w:right="0"/>
              <w:jc w:val="left"/>
              <w:rPr>
                <w:rFonts w:ascii="宋体" w:hAnsi="宋体" w:cs="宋体" w:eastAsia="宋体" w:hint="default"/>
                <w:sz w:val="18"/>
                <w:szCs w:val="18"/>
              </w:rPr>
            </w:pPr>
            <w:r>
              <w:rPr>
                <w:rFonts w:ascii="宋体" w:hAnsi="宋体" w:cs="宋体" w:eastAsia="宋体" w:hint="default"/>
                <w:sz w:val="18"/>
                <w:szCs w:val="18"/>
              </w:rPr>
              <w:t>质押到期日</w:t>
            </w:r>
          </w:p>
        </w:tc>
        <w:tc>
          <w:tcPr>
            <w:tcW w:w="17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405" w:hRule="exact"/>
        </w:trPr>
        <w:tc>
          <w:tcPr>
            <w:tcW w:w="25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北京宣亚国际投资有限公司</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补充质押</w:t>
            </w:r>
          </w:p>
        </w:tc>
      </w:tr>
    </w:tbl>
    <w:p>
      <w:pPr>
        <w:spacing w:line="240" w:lineRule="auto" w:before="11"/>
        <w:rPr>
          <w:rFonts w:ascii="宋体" w:hAnsi="宋体" w:cs="宋体" w:eastAsia="宋体" w:hint="default"/>
          <w:sz w:val="21"/>
          <w:szCs w:val="21"/>
        </w:rPr>
      </w:pPr>
    </w:p>
    <w:p>
      <w:pPr>
        <w:pStyle w:val="BodyText"/>
        <w:spacing w:line="300" w:lineRule="auto" w:before="44"/>
        <w:ind w:left="721" w:right="1112" w:firstLine="360"/>
        <w:jc w:val="both"/>
      </w:pP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日，宣亚投资及其一致行动人累计质押公司股份</w:t>
      </w:r>
      <w:r>
        <w:rPr>
          <w:rFonts w:ascii="Times New Roman" w:hAnsi="Times New Roman" w:cs="Times New Roman" w:eastAsia="Times New Roman" w:hint="default"/>
        </w:rPr>
        <w:t>2,500</w:t>
      </w:r>
      <w:r>
        <w:rPr/>
        <w:t>万股，占其所持股份比例</w:t>
      </w:r>
      <w:r>
        <w:rPr>
          <w:rFonts w:ascii="Times New Roman" w:hAnsi="Times New Roman" w:cs="Times New Roman" w:eastAsia="Times New Roman" w:hint="default"/>
        </w:rPr>
        <w:t>41.1523%</w:t>
      </w:r>
      <w:r>
        <w:rPr/>
        <w:t>，占公司总 </w:t>
      </w:r>
      <w:r>
        <w:rPr>
          <w:spacing w:val="-1"/>
        </w:rPr>
        <w:t>股本比例</w:t>
      </w:r>
      <w:r>
        <w:rPr>
          <w:rFonts w:ascii="Times New Roman" w:hAnsi="Times New Roman" w:cs="Times New Roman" w:eastAsia="Times New Roman" w:hint="default"/>
          <w:spacing w:val="-1"/>
        </w:rPr>
        <w:t>15.4321%</w:t>
      </w:r>
      <w:r>
        <w:rPr>
          <w:spacing w:val="-1"/>
        </w:rPr>
        <w:t>。张秀兵先生及配偶万丽莉女士直接和间接控制上市公司合计</w:t>
      </w:r>
      <w:r>
        <w:rPr>
          <w:rFonts w:ascii="Times New Roman" w:hAnsi="Times New Roman" w:cs="Times New Roman" w:eastAsia="Times New Roman" w:hint="default"/>
          <w:spacing w:val="-1"/>
        </w:rPr>
        <w:t>38.9311%</w:t>
      </w:r>
      <w:r>
        <w:rPr>
          <w:spacing w:val="-1"/>
        </w:rPr>
        <w:t>的股份，为公司实际控制人，其</w:t>
      </w:r>
      <w:r>
        <w:rPr>
          <w:spacing w:val="-67"/>
        </w:rPr>
        <w:t> </w:t>
      </w:r>
      <w:r>
        <w:rPr>
          <w:spacing w:val="-67"/>
        </w:rPr>
      </w:r>
      <w:r>
        <w:rPr>
          <w:spacing w:val="4"/>
        </w:rPr>
        <w:t>中张秀兵先生直接持有公司股份</w:t>
      </w:r>
      <w:r>
        <w:rPr>
          <w:rFonts w:ascii="Times New Roman" w:hAnsi="Times New Roman" w:cs="Times New Roman" w:eastAsia="Times New Roman" w:hint="default"/>
          <w:spacing w:val="4"/>
        </w:rPr>
        <w:t>165.0075</w:t>
      </w:r>
      <w:r>
        <w:rPr>
          <w:spacing w:val="4"/>
        </w:rPr>
        <w:t>万股，占公司总股本的</w:t>
      </w:r>
      <w:r>
        <w:rPr>
          <w:rFonts w:ascii="Times New Roman" w:hAnsi="Times New Roman" w:cs="Times New Roman" w:eastAsia="Times New Roman" w:hint="default"/>
          <w:spacing w:val="4"/>
        </w:rPr>
        <w:t>1.0186%</w:t>
      </w:r>
      <w:r>
        <w:rPr>
          <w:spacing w:val="4"/>
        </w:rPr>
        <w:t>，全部冻结；通过宣亚投资间接持有公司股份</w:t>
      </w:r>
      <w:r>
        <w:rPr>
          <w:spacing w:val="-65"/>
        </w:rPr>
        <w:t> </w:t>
      </w:r>
      <w:r>
        <w:rPr>
          <w:spacing w:val="-65"/>
        </w:rPr>
      </w:r>
      <w:r>
        <w:rPr>
          <w:rFonts w:ascii="Times New Roman" w:hAnsi="Times New Roman" w:cs="Times New Roman" w:eastAsia="Times New Roman" w:hint="default"/>
          <w:spacing w:val="-1"/>
        </w:rPr>
        <w:t>5,467.5000</w:t>
      </w:r>
      <w:r>
        <w:rPr>
          <w:spacing w:val="-1"/>
        </w:rPr>
        <w:t>万股，占公司总股本的</w:t>
      </w:r>
      <w:r>
        <w:rPr>
          <w:rFonts w:ascii="Times New Roman" w:hAnsi="Times New Roman" w:cs="Times New Roman" w:eastAsia="Times New Roman" w:hint="default"/>
          <w:spacing w:val="-1"/>
        </w:rPr>
        <w:t>33.7500%</w:t>
      </w:r>
      <w:r>
        <w:rPr>
          <w:spacing w:val="-1"/>
        </w:rPr>
        <w:t>；通过橙色动力间接持有公司股份</w:t>
      </w:r>
      <w:r>
        <w:rPr>
          <w:rFonts w:ascii="Times New Roman" w:hAnsi="Times New Roman" w:cs="Times New Roman" w:eastAsia="Times New Roman" w:hint="default"/>
          <w:spacing w:val="-1"/>
        </w:rPr>
        <w:t>66.8250</w:t>
      </w:r>
      <w:r>
        <w:rPr>
          <w:spacing w:val="-1"/>
        </w:rPr>
        <w:t>万股（橙色动力所持公司股份</w:t>
      </w:r>
      <w:r>
        <w:rPr>
          <w:rFonts w:ascii="Times New Roman" w:hAnsi="Times New Roman" w:cs="Times New Roman" w:eastAsia="Times New Roman" w:hint="default"/>
          <w:spacing w:val="-1"/>
        </w:rPr>
        <w:t>2,200</w:t>
      </w:r>
      <w:r>
        <w:rPr>
          <w:spacing w:val="-1"/>
        </w:rPr>
        <w:t>万</w:t>
      </w:r>
      <w:r>
        <w:rPr>
          <w:spacing w:val="-59"/>
        </w:rPr>
        <w:t> </w:t>
      </w:r>
      <w:r>
        <w:rPr/>
        <w:t>股，占公司总股本的</w:t>
      </w:r>
      <w:r>
        <w:rPr>
          <w:rFonts w:ascii="Times New Roman" w:hAnsi="Times New Roman" w:cs="Times New Roman" w:eastAsia="Times New Roman" w:hint="default"/>
        </w:rPr>
        <w:t>12.5000%</w:t>
      </w:r>
      <w:r>
        <w:rPr/>
        <w:t>，目前均处于质押状态），占公司总股本的</w:t>
      </w:r>
      <w:r>
        <w:rPr>
          <w:rFonts w:ascii="Times New Roman" w:hAnsi="Times New Roman" w:cs="Times New Roman" w:eastAsia="Times New Roman" w:hint="default"/>
        </w:rPr>
        <w:t>0.4125%</w:t>
      </w:r>
      <w:r>
        <w:rPr/>
        <w:t>；万丽莉女士通过宣亚投资间接持有公</w:t>
      </w:r>
      <w:r>
        <w:rPr>
          <w:spacing w:val="-55"/>
        </w:rPr>
        <w:t> </w:t>
      </w:r>
      <w:r>
        <w:rPr>
          <w:spacing w:val="-55"/>
        </w:rPr>
      </w:r>
      <w:r>
        <w:rPr/>
        <w:t>司股份</w:t>
      </w:r>
      <w:r>
        <w:rPr>
          <w:rFonts w:ascii="Times New Roman" w:hAnsi="Times New Roman" w:cs="Times New Roman" w:eastAsia="Times New Roman" w:hint="default"/>
        </w:rPr>
        <w:t>607.5000</w:t>
      </w:r>
      <w:r>
        <w:rPr/>
        <w:t>万股，占公司总股本的</w:t>
      </w:r>
      <w:r>
        <w:rPr>
          <w:rFonts w:ascii="Times New Roman" w:hAnsi="Times New Roman" w:cs="Times New Roman" w:eastAsia="Times New Roman" w:hint="default"/>
        </w:rPr>
        <w:t>3.7500%</w:t>
      </w:r>
      <w:r>
        <w:rPr/>
        <w:t>。</w:t>
      </w:r>
    </w:p>
    <w:p>
      <w:pPr>
        <w:spacing w:line="430" w:lineRule="atLeast" w:before="150"/>
        <w:ind w:left="1051" w:right="1119" w:hanging="451"/>
        <w:jc w:val="left"/>
        <w:rPr>
          <w:rFonts w:ascii="宋体" w:hAnsi="宋体" w:cs="宋体" w:eastAsia="宋体" w:hint="default"/>
          <w:sz w:val="18"/>
          <w:szCs w:val="18"/>
        </w:rPr>
      </w:pPr>
      <w:r>
        <w:rPr>
          <w:rFonts w:ascii="宋体" w:hAnsi="宋体" w:cs="宋体" w:eastAsia="宋体" w:hint="default"/>
          <w:b/>
          <w:bCs/>
          <w:sz w:val="18"/>
          <w:szCs w:val="18"/>
        </w:rPr>
        <w:t>（六）、关于持股</w:t>
      </w:r>
      <w:r>
        <w:rPr>
          <w:rFonts w:ascii="宋体" w:hAnsi="宋体" w:cs="宋体" w:eastAsia="宋体" w:hint="default"/>
          <w:b/>
          <w:bCs/>
          <w:spacing w:val="-76"/>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以上股东部分股份解除质押及延期购回事项</w:t>
      </w:r>
      <w:r>
        <w:rPr>
          <w:rFonts w:ascii="宋体" w:hAnsi="宋体" w:cs="宋体" w:eastAsia="宋体" w:hint="default"/>
          <w:b/>
          <w:bCs/>
          <w:w w:val="99"/>
          <w:sz w:val="18"/>
          <w:szCs w:val="18"/>
        </w:rPr>
        <w:t> </w:t>
      </w:r>
      <w:r>
        <w:rPr>
          <w:rFonts w:ascii="宋体" w:hAnsi="宋体" w:cs="宋体" w:eastAsia="宋体" w:hint="default"/>
          <w:sz w:val="18"/>
          <w:szCs w:val="18"/>
        </w:rPr>
        <w:t>本公司收到持股</w:t>
      </w:r>
      <w:r>
        <w:rPr>
          <w:rFonts w:ascii="宋体" w:hAnsi="宋体" w:cs="宋体" w:eastAsia="宋体" w:hint="default"/>
          <w:sz w:val="18"/>
          <w:szCs w:val="18"/>
        </w:rPr>
        <w:t>5%</w:t>
      </w:r>
      <w:r>
        <w:rPr>
          <w:rFonts w:ascii="宋体" w:hAnsi="宋体" w:cs="宋体" w:eastAsia="宋体" w:hint="default"/>
          <w:sz w:val="18"/>
          <w:szCs w:val="18"/>
        </w:rPr>
        <w:t>以上股东南平伟岸仲合咨询中心（有限合伙）（原名为北京伟岸仲合咨询中心（有限合伙）（以下</w:t>
      </w:r>
    </w:p>
    <w:p>
      <w:pPr>
        <w:pStyle w:val="BodyText"/>
        <w:spacing w:line="240" w:lineRule="auto" w:before="79"/>
        <w:ind w:left="721" w:right="1094"/>
        <w:jc w:val="left"/>
      </w:pPr>
      <w:r>
        <w:rPr/>
        <w:t>简称“伟岸仲合”）函告，伟岸仲合将其所持有的公司部分股份办理了解除质押及延期购回业务，事项如下：</w:t>
      </w:r>
    </w:p>
    <w:p>
      <w:pPr>
        <w:spacing w:line="240" w:lineRule="auto" w:before="0"/>
        <w:rPr>
          <w:rFonts w:ascii="宋体" w:hAnsi="宋体" w:cs="宋体" w:eastAsia="宋体" w:hint="default"/>
          <w:sz w:val="18"/>
          <w:szCs w:val="18"/>
        </w:rPr>
      </w:pPr>
    </w:p>
    <w:p>
      <w:pPr>
        <w:pStyle w:val="Heading8"/>
        <w:spacing w:line="240" w:lineRule="auto" w:before="148"/>
        <w:ind w:left="781" w:right="1094"/>
        <w:jc w:val="left"/>
      </w:pPr>
      <w:r>
        <w:rPr>
          <w:spacing w:val="2"/>
          <w:w w:val="105"/>
        </w:rPr>
        <w:t>（</w:t>
      </w:r>
      <w:r>
        <w:rPr>
          <w:rFonts w:ascii="Times New Roman" w:hAnsi="Times New Roman" w:cs="Times New Roman" w:eastAsia="Times New Roman" w:hint="default"/>
          <w:spacing w:val="2"/>
          <w:w w:val="105"/>
        </w:rPr>
        <w:t>1</w:t>
      </w:r>
      <w:r>
        <w:rPr>
          <w:spacing w:val="2"/>
          <w:w w:val="105"/>
        </w:rPr>
        <w:t>）、部分股份解除质押情况</w:t>
      </w:r>
      <w:r>
        <w:rPr>
          <w:spacing w:val="2"/>
        </w:rPr>
      </w:r>
    </w:p>
    <w:p>
      <w:pPr>
        <w:spacing w:line="240" w:lineRule="auto" w:before="11"/>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157"/>
        <w:gridCol w:w="1486"/>
        <w:gridCol w:w="1067"/>
        <w:gridCol w:w="1442"/>
        <w:gridCol w:w="1457"/>
        <w:gridCol w:w="976"/>
        <w:gridCol w:w="1832"/>
        <w:gridCol w:w="1201"/>
      </w:tblGrid>
      <w:tr>
        <w:trPr>
          <w:trHeight w:val="173" w:hRule="exact"/>
        </w:trPr>
        <w:tc>
          <w:tcPr>
            <w:tcW w:w="115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6" w:type="dxa"/>
            <w:vMerge w:val="restart"/>
            <w:tcBorders>
              <w:top w:val="single" w:sz="6" w:space="0" w:color="000000"/>
              <w:left w:val="single" w:sz="6" w:space="0" w:color="000000"/>
              <w:right w:val="single" w:sz="6" w:space="0" w:color="000000"/>
            </w:tcBorders>
            <w:shd w:val="clear" w:color="auto" w:fill="D9D9D9"/>
          </w:tcPr>
          <w:p>
            <w:pPr>
              <w:pStyle w:val="TableParagraph"/>
              <w:spacing w:line="321" w:lineRule="auto"/>
              <w:ind w:left="194" w:right="14" w:hanging="180"/>
              <w:jc w:val="left"/>
              <w:rPr>
                <w:rFonts w:ascii="宋体" w:hAnsi="宋体" w:cs="宋体" w:eastAsia="宋体" w:hint="default"/>
                <w:sz w:val="18"/>
                <w:szCs w:val="18"/>
              </w:rPr>
            </w:pPr>
            <w:r>
              <w:rPr>
                <w:rFonts w:ascii="宋体" w:hAnsi="宋体" w:cs="宋体" w:eastAsia="宋体" w:hint="default"/>
                <w:sz w:val="18"/>
                <w:szCs w:val="18"/>
              </w:rPr>
              <w:t>是否为第一大股东 及一致行动人</w:t>
            </w:r>
          </w:p>
        </w:tc>
        <w:tc>
          <w:tcPr>
            <w:tcW w:w="1067" w:type="dxa"/>
            <w:vMerge w:val="restart"/>
            <w:tcBorders>
              <w:top w:val="single" w:sz="6" w:space="0" w:color="000000"/>
              <w:left w:val="single" w:sz="6" w:space="0" w:color="000000"/>
              <w:right w:val="single" w:sz="6" w:space="0" w:color="000000"/>
            </w:tcBorders>
            <w:shd w:val="clear" w:color="auto" w:fill="D9D9D9"/>
          </w:tcPr>
          <w:p>
            <w:pPr>
              <w:pStyle w:val="TableParagraph"/>
              <w:spacing w:line="321" w:lineRule="auto"/>
              <w:ind w:left="255" w:right="74" w:hanging="181"/>
              <w:jc w:val="left"/>
              <w:rPr>
                <w:rFonts w:ascii="宋体" w:hAnsi="宋体" w:cs="宋体" w:eastAsia="宋体" w:hint="default"/>
                <w:sz w:val="18"/>
                <w:szCs w:val="18"/>
              </w:rPr>
            </w:pPr>
            <w:r>
              <w:rPr>
                <w:rFonts w:ascii="宋体" w:hAnsi="宋体" w:cs="宋体" w:eastAsia="宋体" w:hint="default"/>
                <w:sz w:val="18"/>
                <w:szCs w:val="18"/>
              </w:rPr>
              <w:t>本次解除质 押股数</w:t>
            </w:r>
          </w:p>
        </w:tc>
        <w:tc>
          <w:tcPr>
            <w:tcW w:w="1442" w:type="dxa"/>
            <w:vMerge w:val="restart"/>
            <w:tcBorders>
              <w:top w:val="single" w:sz="6" w:space="0" w:color="000000"/>
              <w:left w:val="single" w:sz="6" w:space="0" w:color="000000"/>
              <w:right w:val="single" w:sz="6" w:space="0" w:color="000000"/>
            </w:tcBorders>
            <w:shd w:val="clear" w:color="auto" w:fill="D9D9D9"/>
          </w:tcPr>
          <w:p>
            <w:pPr>
              <w:pStyle w:val="TableParagraph"/>
              <w:spacing w:line="321" w:lineRule="auto"/>
              <w:ind w:left="390" w:right="89" w:hanging="316"/>
              <w:jc w:val="left"/>
              <w:rPr>
                <w:rFonts w:ascii="宋体" w:hAnsi="宋体" w:cs="宋体" w:eastAsia="宋体" w:hint="default"/>
                <w:sz w:val="18"/>
                <w:szCs w:val="18"/>
              </w:rPr>
            </w:pPr>
            <w:r>
              <w:rPr>
                <w:rFonts w:ascii="宋体" w:hAnsi="宋体" w:cs="宋体" w:eastAsia="宋体" w:hint="default"/>
                <w:sz w:val="18"/>
                <w:szCs w:val="18"/>
              </w:rPr>
              <w:t>占其所持股份比 例（</w:t>
            </w:r>
            <w:r>
              <w:rPr>
                <w:rFonts w:ascii="宋体" w:hAnsi="宋体" w:cs="宋体" w:eastAsia="宋体" w:hint="default"/>
                <w:sz w:val="18"/>
                <w:szCs w:val="18"/>
              </w:rPr>
              <w:t>%</w:t>
            </w:r>
            <w:r>
              <w:rPr>
                <w:rFonts w:ascii="宋体" w:hAnsi="宋体" w:cs="宋体" w:eastAsia="宋体" w:hint="default"/>
                <w:sz w:val="18"/>
                <w:szCs w:val="18"/>
              </w:rPr>
              <w:t>）</w:t>
            </w:r>
          </w:p>
        </w:tc>
        <w:tc>
          <w:tcPr>
            <w:tcW w:w="1457" w:type="dxa"/>
            <w:vMerge w:val="restart"/>
            <w:tcBorders>
              <w:top w:val="single" w:sz="6" w:space="0" w:color="000000"/>
              <w:left w:val="single" w:sz="6" w:space="0" w:color="000000"/>
              <w:right w:val="single" w:sz="6" w:space="0" w:color="000000"/>
            </w:tcBorders>
            <w:shd w:val="clear" w:color="auto" w:fill="D9D9D9"/>
          </w:tcPr>
          <w:p>
            <w:pPr>
              <w:pStyle w:val="TableParagraph"/>
              <w:spacing w:line="321" w:lineRule="auto"/>
              <w:ind w:left="405" w:right="89" w:hanging="316"/>
              <w:jc w:val="left"/>
              <w:rPr>
                <w:rFonts w:ascii="宋体" w:hAnsi="宋体" w:cs="宋体" w:eastAsia="宋体" w:hint="default"/>
                <w:sz w:val="18"/>
                <w:szCs w:val="18"/>
              </w:rPr>
            </w:pPr>
            <w:r>
              <w:rPr>
                <w:rFonts w:ascii="宋体" w:hAnsi="宋体" w:cs="宋体" w:eastAsia="宋体" w:hint="default"/>
                <w:sz w:val="18"/>
                <w:szCs w:val="18"/>
              </w:rPr>
              <w:t>占公司总股本比 例（</w:t>
            </w:r>
            <w:r>
              <w:rPr>
                <w:rFonts w:ascii="宋体" w:hAnsi="宋体" w:cs="宋体" w:eastAsia="宋体" w:hint="default"/>
                <w:sz w:val="18"/>
                <w:szCs w:val="18"/>
              </w:rPr>
              <w:t>%</w:t>
            </w:r>
            <w:r>
              <w:rPr>
                <w:rFonts w:ascii="宋体" w:hAnsi="宋体" w:cs="宋体" w:eastAsia="宋体" w:hint="default"/>
                <w:sz w:val="18"/>
                <w:szCs w:val="18"/>
              </w:rPr>
              <w:t>）</w:t>
            </w:r>
          </w:p>
        </w:tc>
        <w:tc>
          <w:tcPr>
            <w:tcW w:w="976" w:type="dxa"/>
            <w:vMerge w:val="restart"/>
            <w:tcBorders>
              <w:top w:val="single" w:sz="6" w:space="0" w:color="000000"/>
              <w:left w:val="single" w:sz="6" w:space="0" w:color="000000"/>
              <w:right w:val="single" w:sz="6" w:space="0" w:color="000000"/>
            </w:tcBorders>
            <w:shd w:val="clear" w:color="auto" w:fill="D9D9D9"/>
          </w:tcPr>
          <w:p>
            <w:pPr>
              <w:pStyle w:val="TableParagraph"/>
              <w:spacing w:line="321" w:lineRule="auto"/>
              <w:ind w:left="375" w:right="134" w:hanging="271"/>
              <w:jc w:val="left"/>
              <w:rPr>
                <w:rFonts w:ascii="宋体" w:hAnsi="宋体" w:cs="宋体" w:eastAsia="宋体" w:hint="default"/>
                <w:sz w:val="18"/>
                <w:szCs w:val="18"/>
              </w:rPr>
            </w:pPr>
            <w:r>
              <w:rPr>
                <w:rFonts w:ascii="宋体" w:hAnsi="宋体" w:cs="宋体" w:eastAsia="宋体" w:hint="default"/>
                <w:sz w:val="18"/>
                <w:szCs w:val="18"/>
              </w:rPr>
              <w:t>质押起始 日</w:t>
            </w:r>
          </w:p>
        </w:tc>
        <w:tc>
          <w:tcPr>
            <w:tcW w:w="1832" w:type="dxa"/>
            <w:tcBorders>
              <w:top w:val="single" w:sz="6" w:space="0" w:color="000000"/>
              <w:left w:val="single" w:sz="6" w:space="0" w:color="000000"/>
              <w:bottom w:val="nil" w:sz="6" w:space="0" w:color="auto"/>
              <w:right w:val="single" w:sz="6" w:space="0" w:color="000000"/>
            </w:tcBorders>
            <w:shd w:val="clear" w:color="auto" w:fill="D9D9D9"/>
          </w:tcPr>
          <w:p>
            <w:pPr/>
          </w:p>
        </w:tc>
        <w:tc>
          <w:tcPr>
            <w:tcW w:w="1201" w:type="dxa"/>
            <w:tcBorders>
              <w:top w:val="single" w:sz="6" w:space="0" w:color="000000"/>
              <w:left w:val="single" w:sz="6" w:space="0" w:color="000000"/>
              <w:bottom w:val="nil" w:sz="6" w:space="0" w:color="auto"/>
              <w:right w:val="single" w:sz="6" w:space="0" w:color="000000"/>
            </w:tcBorders>
            <w:shd w:val="clear" w:color="auto" w:fill="D9D9D9"/>
          </w:tcPr>
          <w:p>
            <w:pPr/>
          </w:p>
        </w:tc>
      </w:tr>
      <w:tr>
        <w:trPr>
          <w:trHeight w:val="473" w:hRule="exact"/>
        </w:trPr>
        <w:tc>
          <w:tcPr>
            <w:tcW w:w="1157" w:type="dxa"/>
            <w:vMerge/>
            <w:tcBorders>
              <w:left w:val="single" w:sz="6" w:space="0" w:color="000000"/>
              <w:bottom w:val="single" w:sz="6" w:space="0" w:color="000000"/>
              <w:right w:val="single" w:sz="6" w:space="0" w:color="000000"/>
            </w:tcBorders>
            <w:shd w:val="clear" w:color="auto" w:fill="D9D9D9"/>
          </w:tcPr>
          <w:p>
            <w:pPr/>
          </w:p>
        </w:tc>
        <w:tc>
          <w:tcPr>
            <w:tcW w:w="1486" w:type="dxa"/>
            <w:vMerge/>
            <w:tcBorders>
              <w:left w:val="single" w:sz="6" w:space="0" w:color="000000"/>
              <w:bottom w:val="single" w:sz="6" w:space="0" w:color="000000"/>
              <w:right w:val="single" w:sz="6" w:space="0" w:color="000000"/>
            </w:tcBorders>
            <w:shd w:val="clear" w:color="auto" w:fill="D9D9D9"/>
          </w:tcPr>
          <w:p>
            <w:pPr/>
          </w:p>
        </w:tc>
        <w:tc>
          <w:tcPr>
            <w:tcW w:w="1067" w:type="dxa"/>
            <w:vMerge/>
            <w:tcBorders>
              <w:left w:val="single" w:sz="6" w:space="0" w:color="000000"/>
              <w:bottom w:val="single" w:sz="6" w:space="0" w:color="000000"/>
              <w:right w:val="single" w:sz="6" w:space="0" w:color="000000"/>
            </w:tcBorders>
            <w:shd w:val="clear" w:color="auto" w:fill="D9D9D9"/>
          </w:tcPr>
          <w:p>
            <w:pPr/>
          </w:p>
        </w:tc>
        <w:tc>
          <w:tcPr>
            <w:tcW w:w="1442" w:type="dxa"/>
            <w:vMerge/>
            <w:tcBorders>
              <w:left w:val="single" w:sz="6" w:space="0" w:color="000000"/>
              <w:bottom w:val="single" w:sz="6" w:space="0" w:color="000000"/>
              <w:right w:val="single" w:sz="6" w:space="0" w:color="000000"/>
            </w:tcBorders>
            <w:shd w:val="clear" w:color="auto" w:fill="D9D9D9"/>
          </w:tcPr>
          <w:p>
            <w:pPr/>
          </w:p>
        </w:tc>
        <w:tc>
          <w:tcPr>
            <w:tcW w:w="1457" w:type="dxa"/>
            <w:vMerge/>
            <w:tcBorders>
              <w:left w:val="single" w:sz="6" w:space="0" w:color="000000"/>
              <w:bottom w:val="single" w:sz="6" w:space="0" w:color="000000"/>
              <w:right w:val="single" w:sz="6" w:space="0" w:color="000000"/>
            </w:tcBorders>
            <w:shd w:val="clear" w:color="auto" w:fill="D9D9D9"/>
          </w:tcPr>
          <w:p>
            <w:pPr/>
          </w:p>
        </w:tc>
        <w:tc>
          <w:tcPr>
            <w:tcW w:w="976" w:type="dxa"/>
            <w:vMerge/>
            <w:tcBorders>
              <w:left w:val="single" w:sz="6" w:space="0" w:color="000000"/>
              <w:bottom w:val="single" w:sz="6" w:space="0" w:color="000000"/>
              <w:right w:val="single" w:sz="6" w:space="0" w:color="000000"/>
            </w:tcBorders>
            <w:shd w:val="clear" w:color="auto" w:fill="D9D9D9"/>
          </w:tcPr>
          <w:p>
            <w:pPr/>
          </w:p>
        </w:tc>
        <w:tc>
          <w:tcPr>
            <w:tcW w:w="1832"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质押解除日</w:t>
            </w:r>
          </w:p>
        </w:tc>
        <w:tc>
          <w:tcPr>
            <w:tcW w:w="1201"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质权人</w:t>
            </w:r>
          </w:p>
        </w:tc>
      </w:tr>
      <w:tr>
        <w:trPr>
          <w:trHeight w:val="360" w:hRule="exact"/>
        </w:trPr>
        <w:tc>
          <w:tcPr>
            <w:tcW w:w="115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14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10" w:right="0"/>
              <w:jc w:val="left"/>
              <w:rPr>
                <w:rFonts w:ascii="宋体" w:hAnsi="宋体" w:cs="宋体" w:eastAsia="宋体" w:hint="default"/>
                <w:sz w:val="18"/>
                <w:szCs w:val="18"/>
              </w:rPr>
            </w:pPr>
            <w:r>
              <w:rPr>
                <w:rFonts w:ascii="宋体" w:hAnsi="宋体" w:cs="宋体" w:eastAsia="宋体" w:hint="default"/>
                <w:sz w:val="18"/>
                <w:szCs w:val="18"/>
              </w:rPr>
              <w:t>420</w:t>
            </w:r>
            <w:r>
              <w:rPr>
                <w:rFonts w:ascii="宋体" w:hAnsi="宋体" w:cs="宋体" w:eastAsia="宋体" w:hint="default"/>
                <w:sz w:val="18"/>
                <w:szCs w:val="18"/>
              </w:rPr>
              <w:t>万股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sz w:val="18"/>
              </w:rPr>
              <w:t>23.3333</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2.5926</w:t>
            </w:r>
          </w:p>
        </w:tc>
        <w:tc>
          <w:tcPr>
            <w:tcW w:w="97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40" w:lineRule="auto" w:before="79"/>
              <w:ind w:right="28"/>
              <w:jc w:val="center"/>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日</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21" w:lineRule="auto"/>
              <w:ind w:left="240" w:right="44" w:hanging="181"/>
              <w:jc w:val="left"/>
              <w:rPr>
                <w:rFonts w:ascii="宋体" w:hAnsi="宋体" w:cs="宋体" w:eastAsia="宋体" w:hint="default"/>
                <w:sz w:val="18"/>
                <w:szCs w:val="18"/>
              </w:rPr>
            </w:pPr>
            <w:r>
              <w:rPr>
                <w:rFonts w:ascii="宋体" w:hAnsi="宋体" w:cs="宋体" w:eastAsia="宋体" w:hint="default"/>
                <w:sz w:val="18"/>
                <w:szCs w:val="18"/>
              </w:rPr>
              <w:t>长江证券股份 有限公司</w:t>
            </w:r>
          </w:p>
        </w:tc>
      </w:tr>
      <w:tr>
        <w:trPr>
          <w:trHeight w:val="346" w:hRule="exact"/>
        </w:trPr>
        <w:tc>
          <w:tcPr>
            <w:tcW w:w="1157" w:type="dxa"/>
            <w:vMerge/>
            <w:tcBorders>
              <w:left w:val="single" w:sz="6" w:space="0" w:color="000000"/>
              <w:right w:val="single" w:sz="6" w:space="0" w:color="000000"/>
            </w:tcBorders>
            <w:shd w:val="clear" w:color="auto" w:fill="D9D9D9"/>
          </w:tcPr>
          <w:p>
            <w:pPr/>
          </w:p>
        </w:tc>
        <w:tc>
          <w:tcPr>
            <w:tcW w:w="1486" w:type="dxa"/>
            <w:vMerge/>
            <w:tcBorders>
              <w:left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55" w:right="0"/>
              <w:jc w:val="left"/>
              <w:rPr>
                <w:rFonts w:ascii="宋体" w:hAnsi="宋体" w:cs="宋体" w:eastAsia="宋体" w:hint="default"/>
                <w:sz w:val="18"/>
                <w:szCs w:val="18"/>
              </w:rPr>
            </w:pPr>
            <w:r>
              <w:rPr>
                <w:rFonts w:ascii="宋体" w:hAnsi="宋体" w:cs="宋体" w:eastAsia="宋体" w:hint="default"/>
                <w:sz w:val="18"/>
                <w:szCs w:val="18"/>
              </w:rPr>
              <w:t>70</w:t>
            </w:r>
            <w:r>
              <w:rPr>
                <w:rFonts w:ascii="宋体" w:hAnsi="宋体" w:cs="宋体" w:eastAsia="宋体" w:hint="default"/>
                <w:sz w:val="18"/>
                <w:szCs w:val="18"/>
              </w:rPr>
              <w:t>万股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4.19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sz w:val="18"/>
              </w:rPr>
              <w:t>0.43</w:t>
            </w:r>
          </w:p>
        </w:tc>
        <w:tc>
          <w:tcPr>
            <w:tcW w:w="976" w:type="dxa"/>
            <w:vMerge/>
            <w:tcBorders>
              <w:left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1201" w:type="dxa"/>
            <w:vMerge/>
            <w:tcBorders>
              <w:left w:val="single" w:sz="6" w:space="0" w:color="000000"/>
              <w:right w:val="single" w:sz="6" w:space="0" w:color="000000"/>
            </w:tcBorders>
          </w:tcPr>
          <w:p>
            <w:pPr/>
          </w:p>
        </w:tc>
      </w:tr>
      <w:tr>
        <w:trPr>
          <w:trHeight w:val="360" w:hRule="exact"/>
        </w:trPr>
        <w:tc>
          <w:tcPr>
            <w:tcW w:w="1157" w:type="dxa"/>
            <w:vMerge/>
            <w:tcBorders>
              <w:left w:val="single" w:sz="6" w:space="0" w:color="000000"/>
              <w:right w:val="single" w:sz="6" w:space="0" w:color="000000"/>
            </w:tcBorders>
            <w:shd w:val="clear" w:color="auto" w:fill="D9D9D9"/>
          </w:tcPr>
          <w:p>
            <w:pPr/>
          </w:p>
        </w:tc>
        <w:tc>
          <w:tcPr>
            <w:tcW w:w="1486" w:type="dxa"/>
            <w:vMerge/>
            <w:tcBorders>
              <w:left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0" w:right="0"/>
              <w:jc w:val="left"/>
              <w:rPr>
                <w:rFonts w:ascii="宋体" w:hAnsi="宋体" w:cs="宋体" w:eastAsia="宋体" w:hint="default"/>
                <w:sz w:val="18"/>
                <w:szCs w:val="18"/>
              </w:rPr>
            </w:pPr>
            <w:r>
              <w:rPr>
                <w:rFonts w:ascii="宋体" w:hAnsi="宋体" w:cs="宋体" w:eastAsia="宋体" w:hint="default"/>
                <w:sz w:val="18"/>
                <w:szCs w:val="18"/>
              </w:rPr>
              <w:t>130</w:t>
            </w:r>
            <w:r>
              <w:rPr>
                <w:rFonts w:ascii="宋体" w:hAnsi="宋体" w:cs="宋体" w:eastAsia="宋体" w:hint="default"/>
                <w:sz w:val="18"/>
                <w:szCs w:val="18"/>
              </w:rPr>
              <w:t>万股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sz w:val="18"/>
              </w:rPr>
              <w:t>7.84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0.80</w:t>
            </w:r>
          </w:p>
        </w:tc>
        <w:tc>
          <w:tcPr>
            <w:tcW w:w="976" w:type="dxa"/>
            <w:vMerge/>
            <w:tcBorders>
              <w:left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201" w:type="dxa"/>
            <w:vMerge/>
            <w:tcBorders>
              <w:left w:val="single" w:sz="6" w:space="0" w:color="000000"/>
              <w:right w:val="single" w:sz="6" w:space="0" w:color="000000"/>
            </w:tcBorders>
          </w:tcPr>
          <w:p>
            <w:pPr/>
          </w:p>
        </w:tc>
      </w:tr>
      <w:tr>
        <w:trPr>
          <w:trHeight w:val="345" w:hRule="exact"/>
        </w:trPr>
        <w:tc>
          <w:tcPr>
            <w:tcW w:w="1157" w:type="dxa"/>
            <w:vMerge/>
            <w:tcBorders>
              <w:left w:val="single" w:sz="6" w:space="0" w:color="000000"/>
              <w:right w:val="single" w:sz="6" w:space="0" w:color="000000"/>
            </w:tcBorders>
            <w:shd w:val="clear" w:color="auto" w:fill="D9D9D9"/>
          </w:tcPr>
          <w:p>
            <w:pPr/>
          </w:p>
        </w:tc>
        <w:tc>
          <w:tcPr>
            <w:tcW w:w="1486" w:type="dxa"/>
            <w:vMerge/>
            <w:tcBorders>
              <w:left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万股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2.42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sz w:val="18"/>
              </w:rPr>
              <w:t>0.25</w:t>
            </w:r>
          </w:p>
        </w:tc>
        <w:tc>
          <w:tcPr>
            <w:tcW w:w="976" w:type="dxa"/>
            <w:vMerge/>
            <w:tcBorders>
              <w:left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1201" w:type="dxa"/>
            <w:vMerge/>
            <w:tcBorders>
              <w:left w:val="single" w:sz="6" w:space="0" w:color="000000"/>
              <w:right w:val="single" w:sz="6" w:space="0" w:color="000000"/>
            </w:tcBorders>
          </w:tcPr>
          <w:p>
            <w:pPr/>
          </w:p>
        </w:tc>
      </w:tr>
      <w:tr>
        <w:trPr>
          <w:trHeight w:val="345" w:hRule="exact"/>
        </w:trPr>
        <w:tc>
          <w:tcPr>
            <w:tcW w:w="1157" w:type="dxa"/>
            <w:vMerge/>
            <w:tcBorders>
              <w:left w:val="single" w:sz="6" w:space="0" w:color="000000"/>
              <w:bottom w:val="single" w:sz="6" w:space="0" w:color="000000"/>
              <w:right w:val="single" w:sz="6" w:space="0" w:color="000000"/>
            </w:tcBorders>
            <w:shd w:val="clear" w:color="auto" w:fill="D9D9D9"/>
          </w:tcPr>
          <w:p>
            <w:pPr/>
          </w:p>
        </w:tc>
        <w:tc>
          <w:tcPr>
            <w:tcW w:w="1486" w:type="dxa"/>
            <w:vMerge/>
            <w:tcBorders>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55" w:right="0"/>
              <w:jc w:val="left"/>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z w:val="18"/>
                <w:szCs w:val="18"/>
              </w:rPr>
              <w:t>万股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sz w:val="18"/>
              </w:rPr>
              <w:t>2.85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0.29</w:t>
            </w:r>
          </w:p>
        </w:tc>
        <w:tc>
          <w:tcPr>
            <w:tcW w:w="976" w:type="dxa"/>
            <w:vMerge/>
            <w:tcBorders>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201" w:type="dxa"/>
            <w:vMerge/>
            <w:tcBorders>
              <w:left w:val="single" w:sz="6" w:space="0" w:color="000000"/>
              <w:bottom w:val="single" w:sz="6" w:space="0" w:color="000000"/>
              <w:right w:val="single" w:sz="6" w:space="0" w:color="000000"/>
            </w:tcBorders>
          </w:tcPr>
          <w:p>
            <w:pPr/>
          </w:p>
        </w:tc>
      </w:tr>
    </w:tbl>
    <w:p>
      <w:pPr>
        <w:spacing w:after="0"/>
        <w:sectPr>
          <w:pgSz w:w="11910" w:h="16850"/>
          <w:pgMar w:header="0" w:footer="981" w:top="1120" w:bottom="1180" w:left="540" w:right="0"/>
        </w:sectPr>
      </w:pPr>
    </w:p>
    <w:p>
      <w:pPr>
        <w:spacing w:line="240" w:lineRule="auto" w:before="11"/>
        <w:rPr>
          <w:rFonts w:ascii="宋体" w:hAnsi="宋体" w:cs="宋体" w:eastAsia="宋体" w:hint="default"/>
          <w:sz w:val="19"/>
          <w:szCs w:val="19"/>
        </w:rPr>
      </w:pPr>
    </w:p>
    <w:p>
      <w:pPr>
        <w:pStyle w:val="Heading6"/>
        <w:spacing w:line="240" w:lineRule="auto" w:before="35"/>
        <w:ind w:right="3413" w:firstLine="0"/>
        <w:jc w:val="left"/>
      </w:pPr>
      <w:r>
        <w:rPr/>
        <w:t>（</w:t>
      </w:r>
      <w:r>
        <w:rPr>
          <w:rFonts w:ascii="宋体" w:hAnsi="宋体" w:cs="宋体" w:eastAsia="宋体" w:hint="default"/>
        </w:rPr>
        <w:t>2</w:t>
      </w:r>
      <w:r>
        <w:rPr/>
        <w:t>）、部分股份延期购回情况</w:t>
      </w:r>
    </w:p>
    <w:p>
      <w:pPr>
        <w:spacing w:line="240" w:lineRule="auto" w:before="9"/>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232"/>
        <w:gridCol w:w="826"/>
        <w:gridCol w:w="1216"/>
        <w:gridCol w:w="796"/>
        <w:gridCol w:w="751"/>
        <w:gridCol w:w="766"/>
        <w:gridCol w:w="751"/>
        <w:gridCol w:w="886"/>
        <w:gridCol w:w="766"/>
        <w:gridCol w:w="781"/>
        <w:gridCol w:w="1066"/>
        <w:gridCol w:w="931"/>
      </w:tblGrid>
      <w:tr>
        <w:trPr>
          <w:trHeight w:val="322" w:hRule="exact"/>
        </w:trPr>
        <w:tc>
          <w:tcPr>
            <w:tcW w:w="123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26"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ind w:left="45" w:right="44"/>
              <w:jc w:val="center"/>
              <w:rPr>
                <w:rFonts w:ascii="宋体" w:hAnsi="宋体" w:cs="宋体" w:eastAsia="宋体" w:hint="default"/>
                <w:sz w:val="18"/>
                <w:szCs w:val="18"/>
              </w:rPr>
            </w:pPr>
            <w:r>
              <w:rPr>
                <w:rFonts w:ascii="宋体" w:hAnsi="宋体" w:cs="宋体" w:eastAsia="宋体" w:hint="default"/>
                <w:sz w:val="18"/>
                <w:szCs w:val="18"/>
              </w:rPr>
              <w:t>是否为第 一大股东 及一致行 动人</w:t>
            </w:r>
          </w:p>
        </w:tc>
        <w:tc>
          <w:tcPr>
            <w:tcW w:w="1216" w:type="dxa"/>
            <w:vMerge w:val="restart"/>
            <w:tcBorders>
              <w:top w:val="single" w:sz="6" w:space="0" w:color="000000"/>
              <w:left w:val="single" w:sz="6" w:space="0" w:color="000000"/>
              <w:right w:val="single" w:sz="6" w:space="0" w:color="000000"/>
            </w:tcBorders>
            <w:shd w:val="clear" w:color="auto" w:fill="D9D9D9"/>
          </w:tcPr>
          <w:p>
            <w:pPr>
              <w:pStyle w:val="TableParagraph"/>
              <w:spacing w:line="321" w:lineRule="auto" w:before="149"/>
              <w:ind w:left="45" w:right="74"/>
              <w:jc w:val="center"/>
              <w:rPr>
                <w:rFonts w:ascii="宋体" w:hAnsi="宋体" w:cs="宋体" w:eastAsia="宋体" w:hint="default"/>
                <w:sz w:val="18"/>
                <w:szCs w:val="18"/>
              </w:rPr>
            </w:pPr>
            <w:r>
              <w:rPr>
                <w:rFonts w:ascii="宋体" w:hAnsi="宋体" w:cs="宋体" w:eastAsia="宋体" w:hint="default"/>
                <w:sz w:val="18"/>
                <w:szCs w:val="18"/>
              </w:rPr>
              <w:t>本次质押延期 购回股数（万 股）</w:t>
            </w:r>
          </w:p>
        </w:tc>
        <w:tc>
          <w:tcPr>
            <w:tcW w:w="796" w:type="dxa"/>
            <w:vMerge w:val="restart"/>
            <w:tcBorders>
              <w:top w:val="single" w:sz="6" w:space="0" w:color="000000"/>
              <w:left w:val="single" w:sz="6" w:space="0" w:color="000000"/>
              <w:right w:val="single" w:sz="6" w:space="0" w:color="000000"/>
            </w:tcBorders>
            <w:shd w:val="clear" w:color="auto" w:fill="D9D9D9"/>
          </w:tcPr>
          <w:p>
            <w:pPr>
              <w:pStyle w:val="TableParagraph"/>
              <w:spacing w:line="321" w:lineRule="auto" w:before="149"/>
              <w:ind w:left="30" w:right="30"/>
              <w:jc w:val="center"/>
              <w:rPr>
                <w:rFonts w:ascii="宋体" w:hAnsi="宋体" w:cs="宋体" w:eastAsia="宋体" w:hint="default"/>
                <w:sz w:val="18"/>
                <w:szCs w:val="18"/>
              </w:rPr>
            </w:pPr>
            <w:r>
              <w:rPr>
                <w:rFonts w:ascii="宋体" w:hAnsi="宋体" w:cs="宋体" w:eastAsia="宋体" w:hint="default"/>
                <w:sz w:val="18"/>
                <w:szCs w:val="18"/>
              </w:rPr>
              <w:t>占其所持 股份比例</w:t>
            </w:r>
          </w:p>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51" w:type="dxa"/>
            <w:vMerge w:val="restart"/>
            <w:tcBorders>
              <w:top w:val="single" w:sz="6" w:space="0" w:color="000000"/>
              <w:left w:val="single" w:sz="6" w:space="0" w:color="000000"/>
              <w:right w:val="single" w:sz="6" w:space="0" w:color="000000"/>
            </w:tcBorders>
            <w:shd w:val="clear" w:color="auto" w:fill="D9D9D9"/>
          </w:tcPr>
          <w:p>
            <w:pPr>
              <w:pStyle w:val="TableParagraph"/>
              <w:spacing w:line="321" w:lineRule="auto" w:before="149"/>
              <w:ind w:right="13"/>
              <w:jc w:val="center"/>
              <w:rPr>
                <w:rFonts w:ascii="宋体" w:hAnsi="宋体" w:cs="宋体" w:eastAsia="宋体" w:hint="default"/>
                <w:sz w:val="18"/>
                <w:szCs w:val="18"/>
              </w:rPr>
            </w:pPr>
            <w:r>
              <w:rPr>
                <w:rFonts w:ascii="宋体" w:hAnsi="宋体" w:cs="宋体" w:eastAsia="宋体" w:hint="default"/>
                <w:sz w:val="18"/>
                <w:szCs w:val="18"/>
              </w:rPr>
              <w:t>占公司总 股本比例</w:t>
            </w:r>
          </w:p>
          <w:p>
            <w:pPr>
              <w:pStyle w:val="TableParagraph"/>
              <w:spacing w:line="240" w:lineRule="auto" w:before="18"/>
              <w:ind w:right="1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66" w:type="dxa"/>
            <w:tcBorders>
              <w:top w:val="single" w:sz="6" w:space="0" w:color="000000"/>
              <w:left w:val="single" w:sz="6" w:space="0" w:color="000000"/>
              <w:bottom w:val="nil" w:sz="6" w:space="0" w:color="auto"/>
              <w:right w:val="single" w:sz="6" w:space="0" w:color="000000"/>
            </w:tcBorders>
            <w:shd w:val="clear" w:color="auto" w:fill="D9D9D9"/>
          </w:tcPr>
          <w:p>
            <w:pPr/>
          </w:p>
        </w:tc>
        <w:tc>
          <w:tcPr>
            <w:tcW w:w="751" w:type="dxa"/>
            <w:tcBorders>
              <w:top w:val="single" w:sz="6" w:space="0" w:color="000000"/>
              <w:left w:val="single" w:sz="6" w:space="0" w:color="000000"/>
              <w:bottom w:val="nil" w:sz="6" w:space="0" w:color="auto"/>
              <w:right w:val="single" w:sz="6" w:space="0" w:color="000000"/>
            </w:tcBorders>
            <w:shd w:val="clear" w:color="auto" w:fill="D9D9D9"/>
          </w:tcPr>
          <w:p>
            <w:pPr/>
          </w:p>
        </w:tc>
        <w:tc>
          <w:tcPr>
            <w:tcW w:w="886" w:type="dxa"/>
            <w:tcBorders>
              <w:top w:val="single" w:sz="6" w:space="0" w:color="000000"/>
              <w:left w:val="single" w:sz="6" w:space="0" w:color="000000"/>
              <w:bottom w:val="nil" w:sz="6" w:space="0" w:color="auto"/>
              <w:right w:val="single" w:sz="6" w:space="0" w:color="000000"/>
            </w:tcBorders>
            <w:shd w:val="clear" w:color="auto" w:fill="D9D9D9"/>
          </w:tcPr>
          <w:p>
            <w:pPr/>
          </w:p>
        </w:tc>
        <w:tc>
          <w:tcPr>
            <w:tcW w:w="766" w:type="dxa"/>
            <w:tcBorders>
              <w:top w:val="single" w:sz="6" w:space="0" w:color="000000"/>
              <w:left w:val="single" w:sz="6" w:space="0" w:color="000000"/>
              <w:bottom w:val="nil" w:sz="6" w:space="0" w:color="auto"/>
              <w:right w:val="single" w:sz="6" w:space="0" w:color="000000"/>
            </w:tcBorders>
            <w:shd w:val="clear" w:color="auto" w:fill="D9D9D9"/>
          </w:tcPr>
          <w:p>
            <w:pPr/>
          </w:p>
        </w:tc>
        <w:tc>
          <w:tcPr>
            <w:tcW w:w="781" w:type="dxa"/>
            <w:tcBorders>
              <w:top w:val="single" w:sz="6" w:space="0" w:color="000000"/>
              <w:left w:val="single" w:sz="6" w:space="0" w:color="000000"/>
              <w:bottom w:val="nil" w:sz="6" w:space="0" w:color="auto"/>
              <w:right w:val="single" w:sz="6" w:space="0" w:color="000000"/>
            </w:tcBorders>
            <w:shd w:val="clear" w:color="auto" w:fill="D9D9D9"/>
          </w:tcPr>
          <w:p>
            <w:pPr/>
          </w:p>
        </w:tc>
        <w:tc>
          <w:tcPr>
            <w:tcW w:w="1066" w:type="dxa"/>
            <w:vMerge w:val="restart"/>
            <w:tcBorders>
              <w:top w:val="single" w:sz="6" w:space="0" w:color="000000"/>
              <w:left w:val="single" w:sz="6" w:space="0" w:color="000000"/>
              <w:right w:val="single" w:sz="6" w:space="0" w:color="000000"/>
            </w:tcBorders>
            <w:shd w:val="clear" w:color="auto" w:fill="D9D9D9"/>
          </w:tcPr>
          <w:p>
            <w:pPr/>
          </w:p>
        </w:tc>
        <w:tc>
          <w:tcPr>
            <w:tcW w:w="931" w:type="dxa"/>
            <w:vMerge w:val="restart"/>
            <w:tcBorders>
              <w:top w:val="single" w:sz="6" w:space="0" w:color="000000"/>
              <w:left w:val="single" w:sz="6" w:space="0" w:color="000000"/>
              <w:right w:val="single" w:sz="6" w:space="0" w:color="000000"/>
            </w:tcBorders>
            <w:shd w:val="clear" w:color="auto" w:fill="D9D9D9"/>
          </w:tcPr>
          <w:p>
            <w:pPr/>
          </w:p>
        </w:tc>
      </w:tr>
      <w:tr>
        <w:trPr>
          <w:trHeight w:val="150" w:hRule="exact"/>
        </w:trPr>
        <w:tc>
          <w:tcPr>
            <w:tcW w:w="1232" w:type="dxa"/>
            <w:vMerge/>
            <w:tcBorders>
              <w:left w:val="single" w:sz="6" w:space="0" w:color="000000"/>
              <w:right w:val="single" w:sz="6" w:space="0" w:color="000000"/>
            </w:tcBorders>
            <w:shd w:val="clear" w:color="auto" w:fill="D9D9D9"/>
          </w:tcPr>
          <w:p>
            <w:pPr/>
          </w:p>
        </w:tc>
        <w:tc>
          <w:tcPr>
            <w:tcW w:w="826" w:type="dxa"/>
            <w:vMerge/>
            <w:tcBorders>
              <w:left w:val="single" w:sz="6" w:space="0" w:color="000000"/>
              <w:right w:val="single" w:sz="6" w:space="0" w:color="000000"/>
            </w:tcBorders>
            <w:shd w:val="clear" w:color="auto" w:fill="D9D9D9"/>
          </w:tcPr>
          <w:p>
            <w:pPr/>
          </w:p>
        </w:tc>
        <w:tc>
          <w:tcPr>
            <w:tcW w:w="1216" w:type="dxa"/>
            <w:vMerge/>
            <w:tcBorders>
              <w:left w:val="single" w:sz="6" w:space="0" w:color="000000"/>
              <w:right w:val="single" w:sz="6" w:space="0" w:color="000000"/>
            </w:tcBorders>
            <w:shd w:val="clear" w:color="auto" w:fill="D9D9D9"/>
          </w:tcPr>
          <w:p>
            <w:pPr/>
          </w:p>
        </w:tc>
        <w:tc>
          <w:tcPr>
            <w:tcW w:w="796" w:type="dxa"/>
            <w:vMerge/>
            <w:tcBorders>
              <w:left w:val="single" w:sz="6" w:space="0" w:color="000000"/>
              <w:right w:val="single" w:sz="6" w:space="0" w:color="000000"/>
            </w:tcBorders>
            <w:shd w:val="clear" w:color="auto" w:fill="D9D9D9"/>
          </w:tcPr>
          <w:p>
            <w:pPr/>
          </w:p>
        </w:tc>
        <w:tc>
          <w:tcPr>
            <w:tcW w:w="751" w:type="dxa"/>
            <w:vMerge/>
            <w:tcBorders>
              <w:left w:val="single" w:sz="6" w:space="0" w:color="000000"/>
              <w:right w:val="single" w:sz="6" w:space="0" w:color="000000"/>
            </w:tcBorders>
            <w:shd w:val="clear" w:color="auto" w:fill="D9D9D9"/>
          </w:tcPr>
          <w:p>
            <w:pPr/>
          </w:p>
        </w:tc>
        <w:tc>
          <w:tcPr>
            <w:tcW w:w="766" w:type="dxa"/>
            <w:vMerge w:val="restart"/>
            <w:tcBorders>
              <w:top w:val="nil" w:sz="6" w:space="0" w:color="auto"/>
              <w:left w:val="single" w:sz="6" w:space="0" w:color="000000"/>
              <w:right w:val="single" w:sz="6" w:space="0" w:color="000000"/>
            </w:tcBorders>
            <w:shd w:val="clear" w:color="auto" w:fill="D9D9D9"/>
          </w:tcPr>
          <w:p>
            <w:pPr>
              <w:pStyle w:val="TableParagraph"/>
              <w:spacing w:line="321" w:lineRule="auto"/>
              <w:ind w:left="194" w:right="13" w:hanging="180"/>
              <w:jc w:val="left"/>
              <w:rPr>
                <w:rFonts w:ascii="宋体" w:hAnsi="宋体" w:cs="宋体" w:eastAsia="宋体" w:hint="default"/>
                <w:sz w:val="18"/>
                <w:szCs w:val="18"/>
              </w:rPr>
            </w:pPr>
            <w:r>
              <w:rPr>
                <w:rFonts w:ascii="宋体" w:hAnsi="宋体" w:cs="宋体" w:eastAsia="宋体" w:hint="default"/>
                <w:sz w:val="18"/>
                <w:szCs w:val="18"/>
              </w:rPr>
              <w:t>是否为限 售股</w:t>
            </w:r>
          </w:p>
        </w:tc>
        <w:tc>
          <w:tcPr>
            <w:tcW w:w="751" w:type="dxa"/>
            <w:vMerge w:val="restart"/>
            <w:tcBorders>
              <w:top w:val="nil" w:sz="6" w:space="0" w:color="auto"/>
              <w:left w:val="single" w:sz="6" w:space="0" w:color="000000"/>
              <w:right w:val="single" w:sz="6" w:space="0" w:color="000000"/>
            </w:tcBorders>
            <w:shd w:val="clear" w:color="auto" w:fill="D9D9D9"/>
          </w:tcPr>
          <w:p>
            <w:pPr>
              <w:pStyle w:val="TableParagraph"/>
              <w:spacing w:line="321" w:lineRule="auto"/>
              <w:ind w:left="90" w:right="15" w:hanging="91"/>
              <w:jc w:val="left"/>
              <w:rPr>
                <w:rFonts w:ascii="宋体" w:hAnsi="宋体" w:cs="宋体" w:eastAsia="宋体" w:hint="default"/>
                <w:sz w:val="18"/>
                <w:szCs w:val="18"/>
              </w:rPr>
            </w:pPr>
            <w:r>
              <w:rPr>
                <w:rFonts w:ascii="宋体" w:hAnsi="宋体" w:cs="宋体" w:eastAsia="宋体" w:hint="default"/>
                <w:sz w:val="18"/>
                <w:szCs w:val="18"/>
              </w:rPr>
              <w:t>是否为补 充质押</w:t>
            </w:r>
          </w:p>
        </w:tc>
        <w:tc>
          <w:tcPr>
            <w:tcW w:w="886" w:type="dxa"/>
            <w:vMerge w:val="restart"/>
            <w:tcBorders>
              <w:top w:val="nil" w:sz="6" w:space="0" w:color="auto"/>
              <w:left w:val="single" w:sz="6" w:space="0" w:color="000000"/>
              <w:right w:val="single" w:sz="6" w:space="0" w:color="000000"/>
            </w:tcBorders>
            <w:shd w:val="clear" w:color="auto" w:fill="D9D9D9"/>
          </w:tcPr>
          <w:p>
            <w:pPr>
              <w:pStyle w:val="TableParagraph"/>
              <w:spacing w:line="321" w:lineRule="auto"/>
              <w:ind w:left="255" w:right="74" w:hanging="181"/>
              <w:jc w:val="left"/>
              <w:rPr>
                <w:rFonts w:ascii="宋体" w:hAnsi="宋体" w:cs="宋体" w:eastAsia="宋体" w:hint="default"/>
                <w:sz w:val="18"/>
                <w:szCs w:val="18"/>
              </w:rPr>
            </w:pPr>
            <w:r>
              <w:rPr>
                <w:rFonts w:ascii="宋体" w:hAnsi="宋体" w:cs="宋体" w:eastAsia="宋体" w:hint="default"/>
                <w:sz w:val="18"/>
                <w:szCs w:val="18"/>
              </w:rPr>
              <w:t>质押开始 日期</w:t>
            </w:r>
          </w:p>
        </w:tc>
        <w:tc>
          <w:tcPr>
            <w:tcW w:w="766" w:type="dxa"/>
            <w:vMerge w:val="restart"/>
            <w:tcBorders>
              <w:top w:val="nil" w:sz="6" w:space="0" w:color="auto"/>
              <w:left w:val="single" w:sz="6" w:space="0" w:color="000000"/>
              <w:right w:val="single" w:sz="6" w:space="0" w:color="000000"/>
            </w:tcBorders>
            <w:shd w:val="clear" w:color="auto" w:fill="D9D9D9"/>
          </w:tcPr>
          <w:p>
            <w:pPr>
              <w:pStyle w:val="TableParagraph"/>
              <w:spacing w:line="321" w:lineRule="auto"/>
              <w:ind w:left="209" w:right="0" w:hanging="180"/>
              <w:jc w:val="left"/>
              <w:rPr>
                <w:rFonts w:ascii="宋体" w:hAnsi="宋体" w:cs="宋体" w:eastAsia="宋体" w:hint="default"/>
                <w:sz w:val="18"/>
                <w:szCs w:val="18"/>
              </w:rPr>
            </w:pPr>
            <w:r>
              <w:rPr>
                <w:rFonts w:ascii="宋体" w:hAnsi="宋体" w:cs="宋体" w:eastAsia="宋体" w:hint="default"/>
                <w:sz w:val="18"/>
                <w:szCs w:val="18"/>
              </w:rPr>
              <w:t>原质押到 期日</w:t>
            </w:r>
          </w:p>
        </w:tc>
        <w:tc>
          <w:tcPr>
            <w:tcW w:w="781" w:type="dxa"/>
            <w:vMerge w:val="restart"/>
            <w:tcBorders>
              <w:top w:val="nil" w:sz="6" w:space="0" w:color="auto"/>
              <w:left w:val="single" w:sz="6" w:space="0" w:color="000000"/>
              <w:right w:val="single" w:sz="6" w:space="0" w:color="000000"/>
            </w:tcBorders>
            <w:shd w:val="clear" w:color="auto" w:fill="D9D9D9"/>
          </w:tcPr>
          <w:p>
            <w:pPr>
              <w:pStyle w:val="TableParagraph"/>
              <w:spacing w:line="321" w:lineRule="auto"/>
              <w:ind w:left="300" w:right="13" w:hanging="270"/>
              <w:jc w:val="left"/>
              <w:rPr>
                <w:rFonts w:ascii="宋体" w:hAnsi="宋体" w:cs="宋体" w:eastAsia="宋体" w:hint="default"/>
                <w:sz w:val="18"/>
                <w:szCs w:val="18"/>
              </w:rPr>
            </w:pPr>
            <w:r>
              <w:rPr>
                <w:rFonts w:ascii="宋体" w:hAnsi="宋体" w:cs="宋体" w:eastAsia="宋体" w:hint="default"/>
                <w:sz w:val="18"/>
                <w:szCs w:val="18"/>
              </w:rPr>
              <w:t>延期回购 日</w:t>
            </w:r>
          </w:p>
        </w:tc>
        <w:tc>
          <w:tcPr>
            <w:tcW w:w="1066" w:type="dxa"/>
            <w:vMerge/>
            <w:tcBorders>
              <w:left w:val="single" w:sz="6" w:space="0" w:color="000000"/>
              <w:bottom w:val="nil" w:sz="6" w:space="0" w:color="auto"/>
              <w:right w:val="single" w:sz="6" w:space="0" w:color="000000"/>
            </w:tcBorders>
            <w:shd w:val="clear" w:color="auto" w:fill="D9D9D9"/>
          </w:tcPr>
          <w:p>
            <w:pPr/>
          </w:p>
        </w:tc>
        <w:tc>
          <w:tcPr>
            <w:tcW w:w="931" w:type="dxa"/>
            <w:vMerge/>
            <w:tcBorders>
              <w:left w:val="single" w:sz="6" w:space="0" w:color="000000"/>
              <w:bottom w:val="nil" w:sz="6" w:space="0" w:color="auto"/>
              <w:right w:val="single" w:sz="6" w:space="0" w:color="000000"/>
            </w:tcBorders>
            <w:shd w:val="clear" w:color="auto" w:fill="D9D9D9"/>
          </w:tcPr>
          <w:p>
            <w:pPr/>
          </w:p>
        </w:tc>
      </w:tr>
      <w:tr>
        <w:trPr>
          <w:trHeight w:val="804" w:hRule="exact"/>
        </w:trPr>
        <w:tc>
          <w:tcPr>
            <w:tcW w:w="1232" w:type="dxa"/>
            <w:vMerge/>
            <w:tcBorders>
              <w:left w:val="single" w:sz="6" w:space="0" w:color="000000"/>
              <w:bottom w:val="single" w:sz="6" w:space="0" w:color="000000"/>
              <w:right w:val="single" w:sz="6" w:space="0" w:color="000000"/>
            </w:tcBorders>
            <w:shd w:val="clear" w:color="auto" w:fill="D9D9D9"/>
          </w:tcPr>
          <w:p>
            <w:pPr/>
          </w:p>
        </w:tc>
        <w:tc>
          <w:tcPr>
            <w:tcW w:w="826" w:type="dxa"/>
            <w:vMerge/>
            <w:tcBorders>
              <w:left w:val="single" w:sz="6" w:space="0" w:color="000000"/>
              <w:bottom w:val="single" w:sz="6" w:space="0" w:color="000000"/>
              <w:right w:val="single" w:sz="6" w:space="0" w:color="000000"/>
            </w:tcBorders>
            <w:shd w:val="clear" w:color="auto" w:fill="D9D9D9"/>
          </w:tcPr>
          <w:p>
            <w:pPr/>
          </w:p>
        </w:tc>
        <w:tc>
          <w:tcPr>
            <w:tcW w:w="1216" w:type="dxa"/>
            <w:vMerge/>
            <w:tcBorders>
              <w:left w:val="single" w:sz="6" w:space="0" w:color="000000"/>
              <w:bottom w:val="single" w:sz="6" w:space="0" w:color="000000"/>
              <w:right w:val="single" w:sz="6" w:space="0" w:color="000000"/>
            </w:tcBorders>
            <w:shd w:val="clear" w:color="auto" w:fill="D9D9D9"/>
          </w:tcPr>
          <w:p>
            <w:pPr/>
          </w:p>
        </w:tc>
        <w:tc>
          <w:tcPr>
            <w:tcW w:w="796" w:type="dxa"/>
            <w:vMerge/>
            <w:tcBorders>
              <w:left w:val="single" w:sz="6" w:space="0" w:color="000000"/>
              <w:bottom w:val="single" w:sz="6" w:space="0" w:color="000000"/>
              <w:right w:val="single" w:sz="6" w:space="0" w:color="000000"/>
            </w:tcBorders>
            <w:shd w:val="clear" w:color="auto" w:fill="D9D9D9"/>
          </w:tcPr>
          <w:p>
            <w:pPr/>
          </w:p>
        </w:tc>
        <w:tc>
          <w:tcPr>
            <w:tcW w:w="751" w:type="dxa"/>
            <w:vMerge/>
            <w:tcBorders>
              <w:left w:val="single" w:sz="6" w:space="0" w:color="000000"/>
              <w:bottom w:val="single" w:sz="6" w:space="0" w:color="000000"/>
              <w:right w:val="single" w:sz="6" w:space="0" w:color="000000"/>
            </w:tcBorders>
            <w:shd w:val="clear" w:color="auto" w:fill="D9D9D9"/>
          </w:tcPr>
          <w:p>
            <w:pPr/>
          </w:p>
        </w:tc>
        <w:tc>
          <w:tcPr>
            <w:tcW w:w="766" w:type="dxa"/>
            <w:vMerge/>
            <w:tcBorders>
              <w:left w:val="single" w:sz="6" w:space="0" w:color="000000"/>
              <w:bottom w:val="single" w:sz="6" w:space="0" w:color="000000"/>
              <w:right w:val="single" w:sz="6" w:space="0" w:color="000000"/>
            </w:tcBorders>
            <w:shd w:val="clear" w:color="auto" w:fill="D9D9D9"/>
          </w:tcPr>
          <w:p>
            <w:pPr/>
          </w:p>
        </w:tc>
        <w:tc>
          <w:tcPr>
            <w:tcW w:w="751" w:type="dxa"/>
            <w:vMerge/>
            <w:tcBorders>
              <w:left w:val="single" w:sz="6" w:space="0" w:color="000000"/>
              <w:bottom w:val="single" w:sz="6" w:space="0" w:color="000000"/>
              <w:right w:val="single" w:sz="6" w:space="0" w:color="000000"/>
            </w:tcBorders>
            <w:shd w:val="clear" w:color="auto" w:fill="D9D9D9"/>
          </w:tcPr>
          <w:p>
            <w:pPr/>
          </w:p>
        </w:tc>
        <w:tc>
          <w:tcPr>
            <w:tcW w:w="886" w:type="dxa"/>
            <w:vMerge/>
            <w:tcBorders>
              <w:left w:val="single" w:sz="6" w:space="0" w:color="000000"/>
              <w:bottom w:val="single" w:sz="6" w:space="0" w:color="000000"/>
              <w:right w:val="single" w:sz="6" w:space="0" w:color="000000"/>
            </w:tcBorders>
            <w:shd w:val="clear" w:color="auto" w:fill="D9D9D9"/>
          </w:tcPr>
          <w:p>
            <w:pPr/>
          </w:p>
        </w:tc>
        <w:tc>
          <w:tcPr>
            <w:tcW w:w="766" w:type="dxa"/>
            <w:vMerge/>
            <w:tcBorders>
              <w:left w:val="single" w:sz="6" w:space="0" w:color="000000"/>
              <w:bottom w:val="single" w:sz="6" w:space="0" w:color="000000"/>
              <w:right w:val="single" w:sz="6" w:space="0" w:color="000000"/>
            </w:tcBorders>
            <w:shd w:val="clear" w:color="auto" w:fill="D9D9D9"/>
          </w:tcPr>
          <w:p>
            <w:pPr/>
          </w:p>
        </w:tc>
        <w:tc>
          <w:tcPr>
            <w:tcW w:w="781" w:type="dxa"/>
            <w:vMerge/>
            <w:tcBorders>
              <w:left w:val="single" w:sz="6" w:space="0" w:color="000000"/>
              <w:bottom w:val="single" w:sz="6" w:space="0" w:color="000000"/>
              <w:right w:val="single" w:sz="6" w:space="0" w:color="000000"/>
            </w:tcBorders>
            <w:shd w:val="clear" w:color="auto" w:fill="D9D9D9"/>
          </w:tcPr>
          <w:p>
            <w:pPr/>
          </w:p>
        </w:tc>
        <w:tc>
          <w:tcPr>
            <w:tcW w:w="1066"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质权人</w:t>
            </w:r>
          </w:p>
        </w:tc>
        <w:tc>
          <w:tcPr>
            <w:tcW w:w="931"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645" w:hRule="exact"/>
        </w:trPr>
        <w:tc>
          <w:tcPr>
            <w:tcW w:w="123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9"/>
              <w:jc w:val="center"/>
              <w:rPr>
                <w:rFonts w:ascii="宋体" w:hAnsi="宋体" w:cs="宋体" w:eastAsia="宋体" w:hint="default"/>
                <w:sz w:val="18"/>
                <w:szCs w:val="18"/>
              </w:rPr>
            </w:pPr>
            <w:r>
              <w:rPr>
                <w:rFonts w:ascii="宋体"/>
                <w:sz w:val="18"/>
              </w:rPr>
              <w:t>1,009.5000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56.0833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sz w:val="18"/>
              </w:rPr>
              <w:t>6.2315</w:t>
            </w:r>
          </w:p>
        </w:tc>
        <w:tc>
          <w:tcPr>
            <w:tcW w:w="7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83"/>
              <w:jc w:val="right"/>
              <w:rPr>
                <w:rFonts w:ascii="宋体" w:hAnsi="宋体" w:cs="宋体" w:eastAsia="宋体" w:hint="default"/>
                <w:sz w:val="18"/>
                <w:szCs w:val="18"/>
              </w:rPr>
            </w:pPr>
            <w:r>
              <w:rPr>
                <w:rFonts w:ascii="宋体" w:hAnsi="宋体" w:cs="宋体" w:eastAsia="宋体" w:hint="default"/>
                <w:sz w:val="18"/>
                <w:szCs w:val="18"/>
              </w:rPr>
              <w:t>否</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日</w:t>
            </w:r>
          </w:p>
        </w:tc>
        <w:tc>
          <w:tcPr>
            <w:tcW w:w="76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w:t>
            </w:r>
          </w:p>
          <w:p>
            <w:pPr>
              <w:pStyle w:val="TableParagraph"/>
              <w:spacing w:line="240" w:lineRule="auto" w:before="79"/>
              <w:ind w:left="1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78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40" w:lineRule="auto" w:before="79"/>
              <w:ind w:left="1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06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21" w:lineRule="auto"/>
              <w:ind w:left="75" w:right="75"/>
              <w:jc w:val="left"/>
              <w:rPr>
                <w:rFonts w:ascii="宋体" w:hAnsi="宋体" w:cs="宋体" w:eastAsia="宋体" w:hint="default"/>
                <w:sz w:val="18"/>
                <w:szCs w:val="18"/>
              </w:rPr>
            </w:pPr>
            <w:r>
              <w:rPr>
                <w:rFonts w:ascii="宋体" w:hAnsi="宋体" w:cs="宋体" w:eastAsia="宋体" w:hint="default"/>
                <w:sz w:val="18"/>
                <w:szCs w:val="18"/>
              </w:rPr>
              <w:t>长江证券股 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285" w:right="178" w:hanging="90"/>
              <w:jc w:val="left"/>
              <w:rPr>
                <w:rFonts w:ascii="宋体" w:hAnsi="宋体" w:cs="宋体" w:eastAsia="宋体" w:hint="default"/>
                <w:sz w:val="18"/>
                <w:szCs w:val="18"/>
              </w:rPr>
            </w:pPr>
            <w:r>
              <w:rPr>
                <w:rFonts w:ascii="宋体" w:hAnsi="宋体" w:cs="宋体" w:eastAsia="宋体" w:hint="default"/>
                <w:sz w:val="18"/>
                <w:szCs w:val="18"/>
              </w:rPr>
              <w:t>债权类 投资</w:t>
            </w:r>
          </w:p>
        </w:tc>
      </w:tr>
      <w:tr>
        <w:trPr>
          <w:trHeight w:val="661" w:hRule="exact"/>
        </w:trPr>
        <w:tc>
          <w:tcPr>
            <w:tcW w:w="1232" w:type="dxa"/>
            <w:vMerge/>
            <w:tcBorders>
              <w:left w:val="single" w:sz="6" w:space="0" w:color="000000"/>
              <w:bottom w:val="single" w:sz="6" w:space="0" w:color="000000"/>
              <w:right w:val="single" w:sz="6" w:space="0" w:color="000000"/>
            </w:tcBorders>
            <w:shd w:val="clear" w:color="auto" w:fill="D9D9D9"/>
          </w:tcPr>
          <w:p>
            <w:pPr/>
          </w:p>
        </w:tc>
        <w:tc>
          <w:tcPr>
            <w:tcW w:w="826" w:type="dxa"/>
            <w:vMerge/>
            <w:tcBorders>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9"/>
              <w:jc w:val="center"/>
              <w:rPr>
                <w:rFonts w:ascii="宋体" w:hAnsi="宋体" w:cs="宋体" w:eastAsia="宋体" w:hint="default"/>
                <w:sz w:val="18"/>
                <w:szCs w:val="18"/>
              </w:rPr>
            </w:pPr>
            <w:r>
              <w:rPr>
                <w:rFonts w:ascii="宋体"/>
                <w:sz w:val="18"/>
              </w:rPr>
              <w:t>370.5000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20.5833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sz w:val="18"/>
              </w:rPr>
              <w:t>2.2870</w:t>
            </w:r>
          </w:p>
        </w:tc>
        <w:tc>
          <w:tcPr>
            <w:tcW w:w="766" w:type="dxa"/>
            <w:vMerge/>
            <w:tcBorders>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83"/>
              <w:jc w:val="right"/>
              <w:rPr>
                <w:rFonts w:ascii="宋体" w:hAnsi="宋体" w:cs="宋体" w:eastAsia="宋体" w:hint="default"/>
                <w:sz w:val="18"/>
                <w:szCs w:val="18"/>
              </w:rPr>
            </w:pPr>
            <w:r>
              <w:rPr>
                <w:rFonts w:ascii="宋体" w:hAnsi="宋体" w:cs="宋体" w:eastAsia="宋体" w:hint="default"/>
                <w:sz w:val="18"/>
                <w:szCs w:val="18"/>
              </w:rPr>
              <w:t>是</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p>
        </w:tc>
        <w:tc>
          <w:tcPr>
            <w:tcW w:w="766"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c>
          <w:tcPr>
            <w:tcW w:w="1066" w:type="dxa"/>
            <w:vMerge/>
            <w:tcBorders>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补充质押</w:t>
            </w:r>
          </w:p>
        </w:tc>
      </w:tr>
      <w:tr>
        <w:trPr>
          <w:trHeight w:val="360" w:hRule="exact"/>
        </w:trPr>
        <w:tc>
          <w:tcPr>
            <w:tcW w:w="12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9"/>
              <w:jc w:val="center"/>
              <w:rPr>
                <w:rFonts w:ascii="宋体" w:hAnsi="宋体" w:cs="宋体" w:eastAsia="宋体" w:hint="default"/>
                <w:sz w:val="18"/>
                <w:szCs w:val="18"/>
              </w:rPr>
            </w:pPr>
            <w:r>
              <w:rPr>
                <w:rFonts w:ascii="宋体"/>
                <w:sz w:val="18"/>
              </w:rPr>
              <w:t>1,380.0000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76.6666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sz w:val="18"/>
              </w:rPr>
              <w:t>8.5185</w:t>
            </w: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6"/>
        <w:spacing w:line="405" w:lineRule="auto"/>
        <w:ind w:left="1402" w:right="3413"/>
        <w:jc w:val="left"/>
      </w:pPr>
      <w:r>
        <w:rPr/>
        <w:pict>
          <v:shape style="position:absolute;margin-left:36.799999pt;margin-top:39.293671pt;width:523.0500pt;height:72.1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7"/>
                    <w:gridCol w:w="1892"/>
                    <w:gridCol w:w="1202"/>
                    <w:gridCol w:w="1922"/>
                    <w:gridCol w:w="1938"/>
                    <w:gridCol w:w="1937"/>
                  </w:tblGrid>
                  <w:tr>
                    <w:trPr>
                      <w:trHeight w:val="187" w:hRule="exact"/>
                    </w:trPr>
                    <w:tc>
                      <w:tcPr>
                        <w:tcW w:w="1547" w:type="dxa"/>
                        <w:tcBorders>
                          <w:top w:val="single" w:sz="6" w:space="0" w:color="000000"/>
                          <w:left w:val="single" w:sz="6" w:space="0" w:color="000000"/>
                          <w:bottom w:val="nil" w:sz="6" w:space="0" w:color="auto"/>
                          <w:right w:val="single" w:sz="6" w:space="0" w:color="000000"/>
                        </w:tcBorders>
                        <w:shd w:val="clear" w:color="auto" w:fill="D9D9D9"/>
                      </w:tcPr>
                      <w:p>
                        <w:pPr/>
                      </w:p>
                    </w:tc>
                    <w:tc>
                      <w:tcPr>
                        <w:tcW w:w="1892" w:type="dxa"/>
                        <w:tcBorders>
                          <w:top w:val="single" w:sz="6" w:space="0" w:color="000000"/>
                          <w:left w:val="single" w:sz="6" w:space="0" w:color="000000"/>
                          <w:bottom w:val="nil" w:sz="6" w:space="0" w:color="auto"/>
                          <w:right w:val="single" w:sz="6" w:space="0" w:color="000000"/>
                        </w:tcBorders>
                        <w:shd w:val="clear" w:color="auto" w:fill="D9D9D9"/>
                      </w:tcPr>
                      <w:p>
                        <w:pPr/>
                      </w:p>
                    </w:tc>
                    <w:tc>
                      <w:tcPr>
                        <w:tcW w:w="1202" w:type="dxa"/>
                        <w:tcBorders>
                          <w:top w:val="single" w:sz="6" w:space="0" w:color="000000"/>
                          <w:left w:val="single" w:sz="6" w:space="0" w:color="000000"/>
                          <w:bottom w:val="nil" w:sz="6" w:space="0" w:color="auto"/>
                          <w:right w:val="single" w:sz="6" w:space="0" w:color="000000"/>
                        </w:tcBorders>
                        <w:shd w:val="clear" w:color="auto" w:fill="D9D9D9"/>
                      </w:tcPr>
                      <w:p>
                        <w:pPr/>
                      </w:p>
                    </w:tc>
                    <w:tc>
                      <w:tcPr>
                        <w:tcW w:w="1922" w:type="dxa"/>
                        <w:tcBorders>
                          <w:top w:val="single" w:sz="6" w:space="0" w:color="000000"/>
                          <w:left w:val="single" w:sz="6" w:space="0" w:color="000000"/>
                          <w:bottom w:val="nil" w:sz="6" w:space="0" w:color="auto"/>
                          <w:right w:val="single" w:sz="6" w:space="0" w:color="000000"/>
                        </w:tcBorders>
                        <w:shd w:val="clear" w:color="auto" w:fill="D9D9D9"/>
                      </w:tcPr>
                      <w:p>
                        <w:pPr/>
                      </w:p>
                    </w:tc>
                    <w:tc>
                      <w:tcPr>
                        <w:tcW w:w="1938" w:type="dxa"/>
                        <w:tcBorders>
                          <w:top w:val="single" w:sz="6" w:space="0" w:color="000000"/>
                          <w:left w:val="single" w:sz="6" w:space="0" w:color="000000"/>
                          <w:bottom w:val="nil" w:sz="6" w:space="0" w:color="auto"/>
                          <w:right w:val="single" w:sz="6" w:space="0" w:color="000000"/>
                        </w:tcBorders>
                        <w:shd w:val="clear" w:color="auto" w:fill="D9D9D9"/>
                      </w:tcPr>
                      <w:p>
                        <w:pPr/>
                      </w:p>
                    </w:tc>
                    <w:tc>
                      <w:tcPr>
                        <w:tcW w:w="1937" w:type="dxa"/>
                        <w:tcBorders>
                          <w:top w:val="single" w:sz="6" w:space="0" w:color="000000"/>
                          <w:left w:val="single" w:sz="6" w:space="0" w:color="000000"/>
                          <w:bottom w:val="nil" w:sz="6" w:space="0" w:color="auto"/>
                          <w:right w:val="single" w:sz="6" w:space="0" w:color="000000"/>
                        </w:tcBorders>
                        <w:shd w:val="clear" w:color="auto" w:fill="D9D9D9"/>
                      </w:tcPr>
                      <w:p>
                        <w:pPr/>
                      </w:p>
                    </w:tc>
                  </w:tr>
                  <w:tr>
                    <w:trPr>
                      <w:trHeight w:val="518" w:hRule="exact"/>
                    </w:trPr>
                    <w:tc>
                      <w:tcPr>
                        <w:tcW w:w="1547"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892"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持股数量（万股）</w:t>
                        </w:r>
                      </w:p>
                    </w:tc>
                    <w:tc>
                      <w:tcPr>
                        <w:tcW w:w="1202"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c>
                      <w:tcPr>
                        <w:tcW w:w="1922"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累计质押股数（万股）</w:t>
                        </w:r>
                      </w:p>
                    </w:tc>
                    <w:tc>
                      <w:tcPr>
                        <w:tcW w:w="1938"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占其所持股份比例（</w:t>
                        </w:r>
                        <w:r>
                          <w:rPr>
                            <w:rFonts w:ascii="宋体" w:hAnsi="宋体" w:cs="宋体" w:eastAsia="宋体" w:hint="default"/>
                            <w:sz w:val="18"/>
                            <w:szCs w:val="18"/>
                          </w:rPr>
                          <w:t>%</w:t>
                        </w:r>
                        <w:r>
                          <w:rPr>
                            <w:rFonts w:ascii="宋体" w:hAnsi="宋体" w:cs="宋体" w:eastAsia="宋体" w:hint="default"/>
                            <w:sz w:val="18"/>
                            <w:szCs w:val="18"/>
                          </w:rPr>
                          <w:t>）</w:t>
                        </w:r>
                      </w:p>
                    </w:tc>
                    <w:tc>
                      <w:tcPr>
                        <w:tcW w:w="1937"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占公司总股本比例（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sz w:val="18"/>
                          </w:rPr>
                          <w:t>1,650.00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sz w:val="18"/>
                          </w:rPr>
                          <w:t>10.19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sz w:val="18"/>
                          </w:rPr>
                          <w:t>1,093.00</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66.24</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sz w:val="18"/>
                          </w:rPr>
                          <w:t>6.75</w:t>
                        </w:r>
                      </w:p>
                    </w:tc>
                  </w:tr>
                </w:tbl>
                <w:p>
                  <w:pPr/>
                </w:p>
              </w:txbxContent>
            </v:textbox>
            <w10:wrap type="none"/>
          </v:shape>
        </w:pict>
      </w:r>
      <w:r>
        <w:rPr/>
        <w:t>（</w:t>
      </w:r>
      <w:r>
        <w:rPr>
          <w:rFonts w:ascii="宋体" w:hAnsi="宋体" w:cs="宋体" w:eastAsia="宋体" w:hint="default"/>
        </w:rPr>
        <w:t>3</w:t>
      </w:r>
      <w:r>
        <w:rPr/>
        <w:t>）、股东股份累计质押情况 截止</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16</w:t>
      </w:r>
      <w:r>
        <w:rPr/>
        <w:t>日，伟岸众合及其一致行动人所持质押股份情况如下：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line="504" w:lineRule="auto" w:before="26"/>
        <w:ind w:left="681" w:right="8586" w:firstLine="0"/>
        <w:jc w:val="left"/>
        <w:rPr>
          <w:rFonts w:ascii="宋体" w:hAnsi="宋体" w:cs="宋体" w:eastAsia="宋体" w:hint="default"/>
          <w:sz w:val="18"/>
          <w:szCs w:val="18"/>
        </w:rPr>
      </w:pPr>
      <w:bookmarkStart w:name="十六、其他重要事项" w:id="503"/>
      <w:bookmarkEnd w:id="503"/>
      <w:r>
        <w:rPr/>
      </w:r>
      <w:r>
        <w:rPr>
          <w:rFonts w:ascii="宋体" w:hAnsi="宋体" w:cs="宋体" w:eastAsia="宋体" w:hint="default"/>
          <w:b/>
          <w:bCs/>
          <w:sz w:val="24"/>
          <w:szCs w:val="24"/>
        </w:rPr>
        <w:t>十六、其他重要事项</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前期会计差错更正" w:id="504"/>
      <w:bookmarkEnd w:id="504"/>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18"/>
          <w:szCs w:val="18"/>
        </w:rPr>
        <w:t>无</w:t>
      </w:r>
    </w:p>
    <w:p>
      <w:pPr>
        <w:spacing w:line="240" w:lineRule="auto" w:before="7"/>
        <w:rPr>
          <w:rFonts w:ascii="宋体" w:hAnsi="宋体" w:cs="宋体" w:eastAsia="宋体" w:hint="default"/>
          <w:sz w:val="13"/>
          <w:szCs w:val="13"/>
        </w:rPr>
      </w:pPr>
    </w:p>
    <w:p>
      <w:pPr>
        <w:pStyle w:val="Heading5"/>
        <w:spacing w:line="240" w:lineRule="auto"/>
        <w:ind w:left="681" w:right="3413"/>
        <w:jc w:val="left"/>
        <w:rPr>
          <w:b w:val="0"/>
          <w:bCs w:val="0"/>
        </w:rPr>
      </w:pPr>
      <w:bookmarkStart w:name="2、债务重组" w:id="505"/>
      <w:bookmarkEnd w:id="50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831" w:right="3413"/>
        <w:jc w:val="left"/>
      </w:pPr>
      <w:r>
        <w:rPr/>
        <w:t>公司报告期不存在债务重组事项</w:t>
      </w:r>
    </w:p>
    <w:p>
      <w:pPr>
        <w:spacing w:line="240" w:lineRule="auto" w:before="0"/>
        <w:rPr>
          <w:rFonts w:ascii="宋体" w:hAnsi="宋体" w:cs="宋体" w:eastAsia="宋体" w:hint="default"/>
          <w:sz w:val="18"/>
          <w:szCs w:val="18"/>
        </w:rPr>
      </w:pPr>
    </w:p>
    <w:p>
      <w:pPr>
        <w:pStyle w:val="Heading5"/>
        <w:spacing w:line="240" w:lineRule="auto" w:before="124"/>
        <w:ind w:left="681" w:right="3413"/>
        <w:jc w:val="left"/>
        <w:rPr>
          <w:b w:val="0"/>
          <w:bCs w:val="0"/>
        </w:rPr>
      </w:pPr>
      <w:bookmarkStart w:name="3、资产置换" w:id="506"/>
      <w:bookmarkEnd w:id="50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left="681" w:right="3413"/>
        <w:jc w:val="left"/>
        <w:rPr>
          <w:b w:val="0"/>
          <w:bCs w:val="0"/>
        </w:rPr>
      </w:pPr>
      <w:bookmarkStart w:name="（1）非货币性资产交换" w:id="507"/>
      <w:bookmarkEnd w:id="50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831" w:right="3413"/>
        <w:jc w:val="left"/>
      </w:pPr>
      <w:r>
        <w:rPr/>
        <w:t>公司报告期不存在非货币性资产交换事项</w:t>
      </w:r>
    </w:p>
    <w:p>
      <w:pPr>
        <w:spacing w:line="240" w:lineRule="auto" w:before="0"/>
        <w:rPr>
          <w:rFonts w:ascii="宋体" w:hAnsi="宋体" w:cs="宋体" w:eastAsia="宋体" w:hint="default"/>
          <w:sz w:val="18"/>
          <w:szCs w:val="18"/>
        </w:rPr>
      </w:pPr>
    </w:p>
    <w:p>
      <w:pPr>
        <w:pStyle w:val="Heading5"/>
        <w:spacing w:line="240" w:lineRule="auto" w:before="139"/>
        <w:ind w:left="681" w:right="3413"/>
        <w:jc w:val="left"/>
        <w:rPr>
          <w:b w:val="0"/>
          <w:bCs w:val="0"/>
        </w:rPr>
      </w:pPr>
      <w:bookmarkStart w:name="（2）其他资产置换" w:id="508"/>
      <w:bookmarkEnd w:id="50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831" w:right="3413"/>
        <w:jc w:val="left"/>
      </w:pPr>
      <w:r>
        <w:rPr/>
        <w:t>公司报告期不存在其他资产置换事项</w:t>
      </w:r>
    </w:p>
    <w:p>
      <w:pPr>
        <w:spacing w:line="240" w:lineRule="auto" w:before="0"/>
        <w:rPr>
          <w:rFonts w:ascii="宋体" w:hAnsi="宋体" w:cs="宋体" w:eastAsia="宋体" w:hint="default"/>
          <w:sz w:val="18"/>
          <w:szCs w:val="18"/>
        </w:rPr>
      </w:pPr>
    </w:p>
    <w:p>
      <w:pPr>
        <w:pStyle w:val="Heading5"/>
        <w:spacing w:line="240" w:lineRule="auto" w:before="139"/>
        <w:ind w:left="681" w:right="3413"/>
        <w:jc w:val="left"/>
        <w:rPr>
          <w:b w:val="0"/>
          <w:bCs w:val="0"/>
        </w:rPr>
      </w:pPr>
      <w:bookmarkStart w:name="4、年金计划" w:id="509"/>
      <w:bookmarkEnd w:id="50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831" w:right="3413"/>
        <w:jc w:val="left"/>
      </w:pPr>
      <w:r>
        <w:rPr/>
        <w:t>公司报告期不存在年金计划</w:t>
      </w:r>
    </w:p>
    <w:p>
      <w:pPr>
        <w:spacing w:after="0" w:line="240" w:lineRule="auto"/>
        <w:jc w:val="left"/>
        <w:sectPr>
          <w:pgSz w:w="11910" w:h="16850"/>
          <w:pgMar w:header="0" w:footer="981" w:top="1120" w:bottom="1180" w:left="46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5、终止经营" w:id="510"/>
      <w:bookmarkEnd w:id="51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分部信息" w:id="511"/>
      <w:bookmarkEnd w:id="51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spacing w:val="-3"/>
        </w:rPr>
        <w:t>因公司业务综合性高和内部组织结构统一，从技术和市场策略上，公司管理层不存在单独管理经营活动，不存在报告分部。</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7、其他对投资者决策有影响的重要交易和事项" w:id="512"/>
      <w:bookmarkEnd w:id="51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公司报告期不存在其他对投资者决策有影响的重要交易和事项。</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8、其他" w:id="513"/>
      <w:bookmarkEnd w:id="513"/>
      <w:r>
        <w:rPr>
          <w:b w:val="0"/>
          <w:bCs w:val="0"/>
        </w:rPr>
      </w:r>
      <w:r>
        <w:rPr>
          <w:rFonts w:ascii="Times New Roman" w:hAnsi="Times New Roman" w:cs="Times New Roman" w:eastAsia="Times New Roman" w:hint="default"/>
        </w:rPr>
        <w:t>8</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312" w:lineRule="auto"/>
        <w:ind w:right="1105" w:firstLine="315"/>
        <w:jc w:val="both"/>
      </w:pPr>
      <w:r>
        <w:rPr>
          <w:spacing w:val="-1"/>
        </w:rPr>
        <w:t>为了加快公司转型升级，促进公司核心管理团队进一步年轻化和专业化，张秀兵先生、万丽莉女士等部分董事、高级管</w:t>
      </w:r>
      <w:r>
        <w:rPr/>
        <w:t> 理人员及监事会主席辞职，张秀兵先生的辞职不会导致公司控制权发生变更。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日第三届董事会第二十二次会议</w:t>
      </w:r>
      <w:r>
        <w:rPr>
          <w:spacing w:val="-83"/>
        </w:rPr>
        <w:t> </w:t>
      </w:r>
      <w:r>
        <w:rPr>
          <w:spacing w:val="-2"/>
        </w:rPr>
        <w:t>通过了《关于补选第三届董事会董事长暨变更公司法定代表人的议案》，公司董事会同意补选邬涛先生为公司第三届董事会</w:t>
      </w:r>
    </w:p>
    <w:p>
      <w:pPr>
        <w:pStyle w:val="BodyText"/>
        <w:spacing w:line="240" w:lineRule="auto" w:before="10"/>
        <w:ind w:right="0"/>
        <w:jc w:val="left"/>
      </w:pPr>
      <w:r>
        <w:rPr/>
        <w:t>董事长，根据《公司章程》规定，董事长为法定代表人，公司法定代表人变更为邬涛先生。</w:t>
      </w:r>
    </w:p>
    <w:p>
      <w:pPr>
        <w:spacing w:after="0" w:line="240" w:lineRule="auto"/>
        <w:jc w:val="left"/>
        <w:sectPr>
          <w:pgSz w:w="11910" w:h="16850"/>
          <w:pgMar w:header="0" w:footer="981" w:top="1120" w:bottom="1180" w:left="1000" w:right="0"/>
        </w:sectPr>
      </w:pPr>
    </w:p>
    <w:p>
      <w:pPr>
        <w:spacing w:line="240" w:lineRule="auto" w:before="10"/>
        <w:rPr>
          <w:rFonts w:ascii="宋体" w:hAnsi="宋体" w:cs="宋体" w:eastAsia="宋体" w:hint="default"/>
          <w:sz w:val="23"/>
          <w:szCs w:val="23"/>
        </w:rPr>
      </w:pPr>
    </w:p>
    <w:p>
      <w:pPr>
        <w:pStyle w:val="Heading3"/>
        <w:spacing w:line="240" w:lineRule="auto"/>
        <w:ind w:left="421" w:right="-20"/>
        <w:jc w:val="left"/>
        <w:rPr>
          <w:b w:val="0"/>
          <w:bCs w:val="0"/>
        </w:rPr>
      </w:pPr>
      <w:r>
        <w:rPr/>
        <w:pict>
          <v:group style="position:absolute;margin-left:70.550003pt;margin-top:.890608pt;width:701.9pt;height:.1pt;mso-position-horizontal-relative:page;mso-position-vertical-relative:paragraph;z-index:-1196440" coordorigin="1411,18" coordsize="14038,2">
            <v:shape style="position:absolute;left:1411;top:18;width:14038;height:2" coordorigin="1411,18" coordsize="14038,0" path="m1411,18l15449,18e" filled="false" stroked="true" strokeweight=".75pt" strokecolor="#000000">
              <v:path arrowok="t"/>
            </v:shape>
            <w10:wrap type="none"/>
          </v:group>
        </w:pict>
      </w:r>
      <w:bookmarkStart w:name="十七、母公司财务报表主要项目注释" w:id="514"/>
      <w:bookmarkEnd w:id="514"/>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421" w:right="-20"/>
        <w:jc w:val="left"/>
        <w:rPr>
          <w:b w:val="0"/>
          <w:bCs w:val="0"/>
        </w:rPr>
      </w:pPr>
      <w:bookmarkStart w:name="1、应收账款" w:id="515"/>
      <w:bookmarkEnd w:id="51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left="421" w:right="-20"/>
        <w:jc w:val="left"/>
        <w:rPr>
          <w:b w:val="0"/>
          <w:bCs w:val="0"/>
        </w:rPr>
      </w:pPr>
      <w:bookmarkStart w:name="（1）应收账款分类披露" w:id="516"/>
      <w:bookmarkEnd w:id="516"/>
      <w:r>
        <w:rPr>
          <w:b w:val="0"/>
          <w:bCs w:val="0"/>
        </w:rPr>
      </w:r>
      <w:r>
        <w:rPr/>
        <w:t>（</w:t>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21"/>
        <w:ind w:left="421" w:right="0"/>
        <w:jc w:val="left"/>
      </w:pPr>
      <w:r>
        <w:rPr/>
        <w:br w:type="column"/>
      </w: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p>
      <w:pPr>
        <w:spacing w:after="0" w:line="240" w:lineRule="auto"/>
        <w:jc w:val="left"/>
        <w:sectPr>
          <w:headerReference w:type="default" r:id="rId46"/>
          <w:footerReference w:type="default" r:id="rId47"/>
          <w:pgSz w:w="16850" w:h="11910" w:orient="landscape"/>
          <w:pgMar w:header="0" w:footer="0" w:top="780" w:bottom="0" w:left="1020" w:right="1020"/>
          <w:cols w:num="2" w:equalWidth="0">
            <w:col w:w="4277" w:space="4745"/>
            <w:col w:w="5788"/>
          </w:cols>
        </w:sectPr>
      </w:pPr>
    </w:p>
    <w:p>
      <w:pPr>
        <w:spacing w:line="240" w:lineRule="auto" w:before="11"/>
        <w:rPr>
          <w:rFonts w:ascii="宋体" w:hAnsi="宋体" w:cs="宋体" w:eastAsia="宋体" w:hint="default"/>
          <w:sz w:val="21"/>
          <w:szCs w:val="21"/>
        </w:rPr>
      </w:pPr>
    </w:p>
    <w:p>
      <w:pPr>
        <w:pStyle w:val="BodyText"/>
        <w:spacing w:line="240" w:lineRule="auto" w:before="44"/>
        <w:ind w:left="0" w:right="404"/>
        <w:jc w:val="right"/>
      </w:pPr>
      <w:r>
        <w:rPr/>
        <w:t>单位： 元</w:t>
      </w:r>
    </w:p>
    <w:p>
      <w:pPr>
        <w:spacing w:line="240" w:lineRule="auto" w:before="7"/>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869"/>
        <w:gridCol w:w="1404"/>
        <w:gridCol w:w="1006"/>
        <w:gridCol w:w="1126"/>
        <w:gridCol w:w="1141"/>
        <w:gridCol w:w="1276"/>
        <w:gridCol w:w="1561"/>
        <w:gridCol w:w="1351"/>
        <w:gridCol w:w="1216"/>
        <w:gridCol w:w="1201"/>
        <w:gridCol w:w="1411"/>
      </w:tblGrid>
      <w:tr>
        <w:trPr>
          <w:trHeight w:val="406" w:hRule="exact"/>
        </w:trPr>
        <w:tc>
          <w:tcPr>
            <w:tcW w:w="1869" w:type="dxa"/>
            <w:vMerge w:val="restart"/>
            <w:tcBorders>
              <w:top w:val="single" w:sz="6" w:space="0" w:color="000000"/>
              <w:left w:val="single" w:sz="6" w:space="0" w:color="000000"/>
              <w:right w:val="single" w:sz="6" w:space="0" w:color="000000"/>
            </w:tcBorders>
            <w:shd w:val="clear" w:color="auto" w:fill="D2D2D2"/>
          </w:tcPr>
          <w:p>
            <w:pPr/>
          </w:p>
        </w:tc>
        <w:tc>
          <w:tcPr>
            <w:tcW w:w="5953"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741"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8" w:hRule="exact"/>
        </w:trPr>
        <w:tc>
          <w:tcPr>
            <w:tcW w:w="1869" w:type="dxa"/>
            <w:vMerge/>
            <w:tcBorders>
              <w:left w:val="single" w:sz="6" w:space="0" w:color="000000"/>
              <w:bottom w:val="nil" w:sz="6" w:space="0" w:color="auto"/>
              <w:right w:val="single" w:sz="6" w:space="0" w:color="000000"/>
            </w:tcBorders>
            <w:shd w:val="clear" w:color="auto" w:fill="D2D2D2"/>
          </w:tcPr>
          <w:p>
            <w:pPr/>
          </w:p>
        </w:tc>
        <w:tc>
          <w:tcPr>
            <w:tcW w:w="241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7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291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1" w:type="dxa"/>
            <w:vMerge w:val="restart"/>
            <w:tcBorders>
              <w:top w:val="single" w:sz="6" w:space="0" w:color="000000"/>
              <w:left w:val="single" w:sz="6" w:space="0" w:color="000000"/>
              <w:right w:val="single" w:sz="6" w:space="0" w:color="000000"/>
            </w:tcBorders>
            <w:shd w:val="clear" w:color="auto" w:fill="D2D2D2"/>
          </w:tcPr>
          <w:p>
            <w:pPr/>
          </w:p>
        </w:tc>
      </w:tr>
      <w:tr>
        <w:trPr>
          <w:trHeight w:val="263" w:hRule="exact"/>
        </w:trPr>
        <w:tc>
          <w:tcPr>
            <w:tcW w:w="186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0" w:type="dxa"/>
            <w:gridSpan w:val="2"/>
            <w:vMerge/>
            <w:tcBorders>
              <w:left w:val="single" w:sz="6" w:space="0" w:color="000000"/>
              <w:bottom w:val="single" w:sz="6" w:space="0" w:color="000000"/>
              <w:right w:val="single" w:sz="6" w:space="0" w:color="000000"/>
            </w:tcBorders>
            <w:shd w:val="clear" w:color="auto" w:fill="D2D2D2"/>
          </w:tcPr>
          <w:p>
            <w:pPr/>
          </w:p>
        </w:tc>
        <w:tc>
          <w:tcPr>
            <w:tcW w:w="2267" w:type="dxa"/>
            <w:gridSpan w:val="2"/>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2913" w:type="dxa"/>
            <w:gridSpan w:val="2"/>
            <w:vMerge/>
            <w:tcBorders>
              <w:left w:val="single" w:sz="6" w:space="0" w:color="000000"/>
              <w:bottom w:val="single" w:sz="6" w:space="0" w:color="000000"/>
              <w:right w:val="single" w:sz="6" w:space="0" w:color="000000"/>
            </w:tcBorders>
            <w:shd w:val="clear" w:color="auto" w:fill="D2D2D2"/>
          </w:tcPr>
          <w:p>
            <w:pPr/>
          </w:p>
        </w:tc>
        <w:tc>
          <w:tcPr>
            <w:tcW w:w="2417" w:type="dxa"/>
            <w:gridSpan w:val="2"/>
            <w:vMerge/>
            <w:tcBorders>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nil" w:sz="6" w:space="0" w:color="auto"/>
              <w:right w:val="single" w:sz="6" w:space="0" w:color="000000"/>
            </w:tcBorders>
            <w:shd w:val="clear" w:color="auto" w:fill="D2D2D2"/>
          </w:tcPr>
          <w:p>
            <w:pPr/>
          </w:p>
        </w:tc>
      </w:tr>
      <w:tr>
        <w:trPr>
          <w:trHeight w:val="143" w:hRule="exact"/>
        </w:trPr>
        <w:tc>
          <w:tcPr>
            <w:tcW w:w="1869" w:type="dxa"/>
            <w:vMerge/>
            <w:tcBorders>
              <w:left w:val="single" w:sz="6" w:space="0" w:color="000000"/>
              <w:bottom w:val="nil" w:sz="6" w:space="0" w:color="auto"/>
              <w:right w:val="single" w:sz="6" w:space="0" w:color="000000"/>
            </w:tcBorders>
            <w:shd w:val="clear" w:color="auto" w:fill="D2D2D2"/>
          </w:tcPr>
          <w:p>
            <w:pPr/>
          </w:p>
        </w:tc>
        <w:tc>
          <w:tcPr>
            <w:tcW w:w="1404" w:type="dxa"/>
            <w:tcBorders>
              <w:top w:val="single" w:sz="6" w:space="0" w:color="000000"/>
              <w:left w:val="single" w:sz="6" w:space="0" w:color="000000"/>
              <w:bottom w:val="nil" w:sz="6" w:space="0" w:color="auto"/>
              <w:right w:val="single" w:sz="6" w:space="0" w:color="000000"/>
            </w:tcBorders>
            <w:shd w:val="clear" w:color="auto" w:fill="D2D2D2"/>
          </w:tcPr>
          <w:p>
            <w:pPr/>
          </w:p>
        </w:tc>
        <w:tc>
          <w:tcPr>
            <w:tcW w:w="100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26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1" w:type="dxa"/>
            <w:tcBorders>
              <w:top w:val="single" w:sz="6" w:space="0" w:color="000000"/>
              <w:left w:val="single" w:sz="6" w:space="0" w:color="000000"/>
              <w:bottom w:val="nil" w:sz="6" w:space="0" w:color="auto"/>
              <w:right w:val="single" w:sz="6" w:space="0" w:color="000000"/>
            </w:tcBorders>
            <w:shd w:val="clear" w:color="auto" w:fill="D2D2D2"/>
          </w:tcPr>
          <w:p>
            <w:pPr/>
          </w:p>
        </w:tc>
        <w:tc>
          <w:tcPr>
            <w:tcW w:w="13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869" w:type="dxa"/>
            <w:vMerge w:val="restart"/>
            <w:tcBorders>
              <w:top w:val="nil" w:sz="6" w:space="0" w:color="auto"/>
              <w:left w:val="single" w:sz="6" w:space="0" w:color="000000"/>
              <w:right w:val="single" w:sz="6" w:space="0" w:color="000000"/>
            </w:tcBorders>
            <w:shd w:val="clear" w:color="auto" w:fill="D2D2D2"/>
          </w:tcPr>
          <w:p>
            <w:pPr/>
          </w:p>
        </w:tc>
        <w:tc>
          <w:tcPr>
            <w:tcW w:w="140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6" w:type="dxa"/>
            <w:vMerge/>
            <w:tcBorders>
              <w:left w:val="single" w:sz="6" w:space="0" w:color="000000"/>
              <w:bottom w:val="nil" w:sz="6" w:space="0" w:color="auto"/>
              <w:right w:val="single" w:sz="6" w:space="0" w:color="000000"/>
            </w:tcBorders>
            <w:shd w:val="clear" w:color="auto" w:fill="D2D2D2"/>
          </w:tcPr>
          <w:p>
            <w:pPr/>
          </w:p>
        </w:tc>
        <w:tc>
          <w:tcPr>
            <w:tcW w:w="156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1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11"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1869" w:type="dxa"/>
            <w:vMerge/>
            <w:tcBorders>
              <w:left w:val="single" w:sz="6" w:space="0" w:color="000000"/>
              <w:right w:val="single" w:sz="6" w:space="0" w:color="000000"/>
            </w:tcBorders>
            <w:shd w:val="clear" w:color="auto" w:fill="D2D2D2"/>
          </w:tcPr>
          <w:p>
            <w:pPr/>
          </w:p>
        </w:tc>
        <w:tc>
          <w:tcPr>
            <w:tcW w:w="1404" w:type="dxa"/>
            <w:vMerge/>
            <w:tcBorders>
              <w:left w:val="single" w:sz="6" w:space="0" w:color="000000"/>
              <w:bottom w:val="nil" w:sz="6" w:space="0" w:color="auto"/>
              <w:right w:val="single" w:sz="6" w:space="0" w:color="000000"/>
            </w:tcBorders>
            <w:shd w:val="clear" w:color="auto" w:fill="D2D2D2"/>
          </w:tcPr>
          <w:p>
            <w:pPr/>
          </w:p>
        </w:tc>
        <w:tc>
          <w:tcPr>
            <w:tcW w:w="1006"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561" w:type="dxa"/>
            <w:vMerge/>
            <w:tcBorders>
              <w:left w:val="single" w:sz="6" w:space="0" w:color="000000"/>
              <w:bottom w:val="nil" w:sz="6" w:space="0" w:color="auto"/>
              <w:right w:val="single" w:sz="6" w:space="0" w:color="000000"/>
            </w:tcBorders>
            <w:shd w:val="clear" w:color="auto" w:fill="D2D2D2"/>
          </w:tcPr>
          <w:p>
            <w:pPr/>
          </w:p>
        </w:tc>
        <w:tc>
          <w:tcPr>
            <w:tcW w:w="1351" w:type="dxa"/>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411" w:type="dxa"/>
            <w:vMerge w:val="restart"/>
            <w:tcBorders>
              <w:top w:val="nil" w:sz="6" w:space="0" w:color="auto"/>
              <w:left w:val="single" w:sz="6" w:space="0" w:color="000000"/>
              <w:right w:val="single" w:sz="6" w:space="0" w:color="000000"/>
            </w:tcBorders>
            <w:shd w:val="clear" w:color="auto" w:fill="D2D2D2"/>
          </w:tcPr>
          <w:p>
            <w:pPr/>
          </w:p>
        </w:tc>
      </w:tr>
      <w:tr>
        <w:trPr>
          <w:trHeight w:val="143" w:hRule="exact"/>
        </w:trPr>
        <w:tc>
          <w:tcPr>
            <w:tcW w:w="1869" w:type="dxa"/>
            <w:vMerge/>
            <w:tcBorders>
              <w:left w:val="single" w:sz="6" w:space="0" w:color="000000"/>
              <w:bottom w:val="single" w:sz="6" w:space="0" w:color="000000"/>
              <w:right w:val="single" w:sz="6" w:space="0" w:color="000000"/>
            </w:tcBorders>
            <w:shd w:val="clear" w:color="auto" w:fill="D2D2D2"/>
          </w:tcPr>
          <w:p>
            <w:pPr/>
          </w:p>
        </w:tc>
        <w:tc>
          <w:tcPr>
            <w:tcW w:w="140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06"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561" w:type="dxa"/>
            <w:tcBorders>
              <w:top w:val="nil" w:sz="6" w:space="0" w:color="auto"/>
              <w:left w:val="single" w:sz="6" w:space="0" w:color="000000"/>
              <w:bottom w:val="single" w:sz="6" w:space="0" w:color="000000"/>
              <w:right w:val="single" w:sz="6" w:space="0" w:color="000000"/>
            </w:tcBorders>
            <w:shd w:val="clear" w:color="auto" w:fill="D2D2D2"/>
          </w:tcPr>
          <w:p>
            <w:pPr/>
          </w:p>
        </w:tc>
        <w:tc>
          <w:tcPr>
            <w:tcW w:w="1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22"/>
              <w:jc w:val="left"/>
              <w:rPr>
                <w:rFonts w:ascii="宋体" w:hAnsi="宋体" w:cs="宋体" w:eastAsia="宋体" w:hint="default"/>
                <w:sz w:val="18"/>
                <w:szCs w:val="18"/>
              </w:rPr>
            </w:pPr>
            <w:r>
              <w:rPr>
                <w:rFonts w:ascii="宋体" w:hAnsi="宋体" w:cs="宋体" w:eastAsia="宋体" w:hint="default"/>
                <w:sz w:val="18"/>
                <w:szCs w:val="18"/>
              </w:rPr>
              <w:t>按单项计提坏账准备的 应收账款</w:t>
            </w:r>
          </w:p>
        </w:tc>
        <w:tc>
          <w:tcPr>
            <w:tcW w:w="1404" w:type="dxa"/>
            <w:tcBorders>
              <w:top w:val="single" w:sz="54" w:space="0" w:color="D2D2D2"/>
              <w:left w:val="single" w:sz="12"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3,230,762.00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2.35%</w:t>
            </w:r>
            <w:r>
              <w:rPr>
                <w:rFonts w:ascii="Times New Roman"/>
                <w:sz w:val="18"/>
              </w:rPr>
            </w:r>
          </w:p>
        </w:tc>
        <w:tc>
          <w:tcPr>
            <w:tcW w:w="1126"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3,230,762.00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3,230,762.00</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2.49%</w:t>
            </w:r>
            <w:r>
              <w:rPr>
                <w:rFonts w:ascii="Times New Roman"/>
                <w:sz w:val="18"/>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3,230,762.00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22"/>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140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134,259,492.50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97.65%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4,283,970.06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129,975,522.44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126,657,642.86</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97.51%</w:t>
            </w:r>
            <w:r>
              <w:rPr>
                <w:rFonts w:ascii="Times New Roman"/>
                <w:sz w:val="18"/>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3,616,280.96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2.90%</w:t>
            </w:r>
            <w:r>
              <w:rPr>
                <w:rFonts w:ascii="Times New Roman"/>
                <w:sz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123,041,361.90</w:t>
            </w:r>
          </w:p>
        </w:tc>
      </w:tr>
      <w:tr>
        <w:trPr>
          <w:trHeight w:val="405" w:hRule="exact"/>
        </w:trPr>
        <w:tc>
          <w:tcPr>
            <w:tcW w:w="1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676" w:hRule="exact"/>
        </w:trPr>
        <w:tc>
          <w:tcPr>
            <w:tcW w:w="1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133,811,492.50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97.32%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4,283,970.06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3.20%</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129,527,522.44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124,352,189.69</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95.74%</w:t>
            </w:r>
            <w:r>
              <w:rPr>
                <w:rFonts w:ascii="Times New Roman"/>
                <w:sz w:val="18"/>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3,616,280.96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2.90%</w:t>
            </w:r>
            <w:r>
              <w:rPr>
                <w:rFonts w:ascii="Times New Roman"/>
                <w:sz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120,735,908.73</w:t>
            </w:r>
          </w:p>
        </w:tc>
      </w:tr>
      <w:tr>
        <w:trPr>
          <w:trHeight w:val="661" w:hRule="exact"/>
        </w:trPr>
        <w:tc>
          <w:tcPr>
            <w:tcW w:w="1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448,000.00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448,000.00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2,305,453.17</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1.77%</w:t>
            </w:r>
            <w:r>
              <w:rPr>
                <w:rFonts w:ascii="Times New Roman"/>
                <w:sz w:val="18"/>
              </w:rPr>
            </w:r>
          </w:p>
        </w:tc>
        <w:tc>
          <w:tcPr>
            <w:tcW w:w="1216"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2,305,453.17</w:t>
            </w:r>
          </w:p>
        </w:tc>
      </w:tr>
      <w:tr>
        <w:trPr>
          <w:trHeight w:val="661" w:hRule="exact"/>
        </w:trPr>
        <w:tc>
          <w:tcPr>
            <w:tcW w:w="1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137,490,254.50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7,514,732.06</w:t>
            </w:r>
          </w:p>
        </w:tc>
        <w:tc>
          <w:tcPr>
            <w:tcW w:w="114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129,975,522.44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129,888,404.86</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6,847,042.96</w:t>
            </w:r>
          </w:p>
        </w:tc>
        <w:tc>
          <w:tcPr>
            <w:tcW w:w="120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123,041,361.90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76"/>
        <w:ind w:left="0" w:right="404"/>
        <w:jc w:val="right"/>
        <w:rPr>
          <w:rFonts w:ascii="Times New Roman" w:hAnsi="Times New Roman" w:cs="Times New Roman" w:eastAsia="Times New Roman" w:hint="default"/>
        </w:rPr>
      </w:pPr>
      <w:r>
        <w:rPr>
          <w:rFonts w:ascii="Times New Roman"/>
        </w:rPr>
        <w:t>205</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371" w:lineRule="exact"/>
        <w:ind w:left="107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50" w:h="11910" w:orient="landscape"/>
          <w:pgMar w:top="1040" w:bottom="1180" w:left="1020" w:right="1020"/>
        </w:sect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44"/>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3,230,762.00</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乐视控股（北京）有限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1,803,003.00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1,803,003.00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法乐第（北京）网络科 技有限公司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1,328,259.00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1,328,259.00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乐视体育文化产业发展</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99,500.00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99,500.00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3,230,762.00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3,230,762.00</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按组合计提坏账准备：账龄组合</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405" w:hRule="exact"/>
        </w:trPr>
        <w:tc>
          <w:tcPr>
            <w:tcW w:w="238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0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1" w:type="dxa"/>
            <w:vMerge/>
            <w:tcBorders>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112,349,916.88</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13,404,791.13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670,239.57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90"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6,347,220.00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1,904,166.00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年以上</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1,709,564.49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1,709,564.49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133,811,492.50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4,283,970.06</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44"/>
        <w:ind w:left="321" w:right="3631" w:hanging="180"/>
        <w:jc w:val="left"/>
      </w:pPr>
      <w:r>
        <w:rPr/>
        <w:t>确定该组合依据的说明： 确定该组合依据的说明详见“本附注五、重要会计政策及会计估计（十二）应收账款</w:t>
      </w:r>
      <w:r>
        <w:rPr>
          <w:spacing w:val="8"/>
        </w:rPr>
        <w:t> </w:t>
      </w:r>
      <w:r>
        <w:rPr/>
        <w:t>”</w:t>
      </w:r>
    </w:p>
    <w:p>
      <w:pPr>
        <w:spacing w:line="240" w:lineRule="auto" w:before="0"/>
        <w:rPr>
          <w:rFonts w:ascii="宋体" w:hAnsi="宋体" w:cs="宋体" w:eastAsia="宋体" w:hint="default"/>
          <w:sz w:val="26"/>
          <w:szCs w:val="26"/>
        </w:rPr>
      </w:pPr>
    </w:p>
    <w:p>
      <w:pPr>
        <w:pStyle w:val="BodyText"/>
        <w:spacing w:line="240" w:lineRule="auto"/>
        <w:ind w:right="0"/>
        <w:jc w:val="left"/>
      </w:pPr>
      <w:r>
        <w:rPr/>
        <w:t>按组合计提坏账准备：关联方组合</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403"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448,000.00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448,000.00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44"/>
        <w:ind w:left="321" w:right="3631" w:hanging="180"/>
        <w:jc w:val="left"/>
      </w:pPr>
      <w:r>
        <w:rPr/>
        <w:t>确定该组合依据的说明： 确定该组合依据的说明详见“本附注五、重要会计政策及会计估计（十二）应收账款</w:t>
      </w:r>
      <w:r>
        <w:rPr>
          <w:spacing w:val="8"/>
        </w:rPr>
        <w:t> </w:t>
      </w:r>
      <w:r>
        <w:rPr/>
        <w:t>”</w:t>
      </w:r>
    </w:p>
    <w:p>
      <w:pPr>
        <w:spacing w:after="0" w:line="352" w:lineRule="auto"/>
        <w:jc w:val="left"/>
        <w:sectPr>
          <w:footerReference w:type="default" r:id="rId48"/>
          <w:pgSz w:w="11910" w:h="16850"/>
          <w:pgMar w:footer="981" w:header="0" w:top="1120" w:bottom="1180" w:left="1000" w:right="0"/>
          <w:pgNumType w:start="206"/>
        </w:sectPr>
      </w:pPr>
    </w:p>
    <w:p>
      <w:pPr>
        <w:spacing w:line="240" w:lineRule="auto" w:before="2"/>
        <w:rPr>
          <w:rFonts w:ascii="宋体" w:hAnsi="宋体" w:cs="宋体" w:eastAsia="宋体" w:hint="default"/>
          <w:sz w:val="24"/>
          <w:szCs w:val="24"/>
        </w:rPr>
      </w:pPr>
    </w:p>
    <w:p>
      <w:pPr>
        <w:pStyle w:val="BodyText"/>
        <w:spacing w:line="240" w:lineRule="auto" w:before="44"/>
        <w:ind w:right="0"/>
        <w:jc w:val="left"/>
      </w:pPr>
      <w:r>
        <w:rPr/>
        <w:t>如是按照预期信用损失一般模型计提应收账款坏账准备，请参照其他应收款的披露方式披露坏账准备的相关信息：</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4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126,202,708.01</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112,797,916.88</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13,404,791.13</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6,347,220.00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52,000.00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4,888,326.49</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3,332,012.00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1,556,314.49</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137,490,254.50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本期计提、收回或转回的坏账准备情况" w:id="517"/>
      <w:bookmarkEnd w:id="5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t>本期计提坏账准备情况：</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单项认定的坏账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3,230,762.00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3,230,762.00</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备的应收款项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3,616,280.96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5,951,820.52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1,097,178.42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4,186,953.00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4,283,970.06</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6,847,042.96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5,951,820.52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1,097,178.42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4,186,953.00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7,514,732.06</w:t>
            </w:r>
          </w:p>
        </w:tc>
      </w:tr>
    </w:tbl>
    <w:p>
      <w:pPr>
        <w:pStyle w:val="BodyText"/>
        <w:spacing w:line="240" w:lineRule="auto" w:before="44"/>
        <w:ind w:right="0"/>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64"/>
        <w:gridCol w:w="3109"/>
        <w:gridCol w:w="3109"/>
      </w:tblGrid>
      <w:tr>
        <w:trPr>
          <w:trHeight w:val="406" w:hRule="exact"/>
        </w:trPr>
        <w:tc>
          <w:tcPr>
            <w:tcW w:w="33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5" w:hRule="exact"/>
        </w:trPr>
        <w:tc>
          <w:tcPr>
            <w:tcW w:w="3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万达商业管理有限公司</w:t>
            </w:r>
          </w:p>
        </w:tc>
        <w:tc>
          <w:tcPr>
            <w:tcW w:w="310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647,207.06</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货币回款</w:t>
            </w:r>
          </w:p>
        </w:tc>
      </w:tr>
      <w:tr>
        <w:trPr>
          <w:trHeight w:val="405" w:hRule="exact"/>
        </w:trPr>
        <w:tc>
          <w:tcPr>
            <w:tcW w:w="3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沃尔沃汽车（亚太）投资控股有限公司</w:t>
            </w:r>
          </w:p>
        </w:tc>
        <w:tc>
          <w:tcPr>
            <w:tcW w:w="310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233,765.49</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货币回款</w:t>
            </w:r>
          </w:p>
        </w:tc>
      </w:tr>
      <w:tr>
        <w:trPr>
          <w:trHeight w:val="405" w:hRule="exact"/>
        </w:trPr>
        <w:tc>
          <w:tcPr>
            <w:tcW w:w="3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其他较小汇总</w:t>
            </w:r>
          </w:p>
        </w:tc>
        <w:tc>
          <w:tcPr>
            <w:tcW w:w="310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216,205.87</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货币回款</w:t>
            </w:r>
          </w:p>
        </w:tc>
      </w:tr>
      <w:tr>
        <w:trPr>
          <w:trHeight w:val="391" w:hRule="exact"/>
        </w:trPr>
        <w:tc>
          <w:tcPr>
            <w:tcW w:w="33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1,097,178.42</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0"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3）本期实际核销的应收账款情况" w:id="518"/>
      <w:bookmarkEnd w:id="51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398"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13" w:hRule="exact"/>
        </w:trPr>
        <w:tc>
          <w:tcPr>
            <w:tcW w:w="4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4"/>
              <w:jc w:val="right"/>
              <w:rPr>
                <w:rFonts w:ascii="Times New Roman" w:hAnsi="Times New Roman" w:cs="Times New Roman" w:eastAsia="Times New Roman" w:hint="default"/>
                <w:sz w:val="18"/>
                <w:szCs w:val="18"/>
              </w:rPr>
            </w:pPr>
            <w:r>
              <w:rPr>
                <w:rFonts w:ascii="Times New Roman"/>
                <w:sz w:val="18"/>
              </w:rPr>
              <w:t>4,186,953.00</w:t>
            </w:r>
          </w:p>
        </w:tc>
      </w:tr>
    </w:tbl>
    <w:p>
      <w:pPr>
        <w:pStyle w:val="BodyText"/>
        <w:spacing w:line="240" w:lineRule="auto" w:before="44"/>
        <w:ind w:right="0"/>
        <w:jc w:val="left"/>
      </w:pPr>
      <w:r>
        <w:rPr/>
        <w:t>其中重要的应收账款核销情况：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75"/>
        <w:gridCol w:w="1570"/>
        <w:gridCol w:w="1547"/>
        <w:gridCol w:w="1562"/>
        <w:gridCol w:w="1607"/>
        <w:gridCol w:w="1622"/>
      </w:tblGrid>
      <w:tr>
        <w:trPr>
          <w:trHeight w:val="721" w:hRule="exact"/>
        </w:trPr>
        <w:tc>
          <w:tcPr>
            <w:tcW w:w="16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06" w:hRule="exact"/>
        </w:trPr>
        <w:tc>
          <w:tcPr>
            <w:tcW w:w="1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22"/>
              <w:jc w:val="left"/>
              <w:rPr>
                <w:rFonts w:ascii="宋体" w:hAnsi="宋体" w:cs="宋体" w:eastAsia="宋体" w:hint="default"/>
                <w:sz w:val="18"/>
                <w:szCs w:val="18"/>
              </w:rPr>
            </w:pPr>
            <w:r>
              <w:rPr>
                <w:rFonts w:ascii="宋体" w:hAnsi="宋体" w:cs="宋体" w:eastAsia="宋体" w:hint="default"/>
                <w:sz w:val="18"/>
                <w:szCs w:val="18"/>
              </w:rPr>
              <w:t>上海斐赛克斯通信设 备有限公司</w:t>
            </w:r>
          </w:p>
        </w:tc>
        <w:tc>
          <w:tcPr>
            <w:tcW w:w="1570"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1,820,747.00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法院调解达成和解</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44"/>
              <w:ind w:left="15" w:right="22"/>
              <w:jc w:val="left"/>
              <w:rPr>
                <w:rFonts w:ascii="宋体" w:hAnsi="宋体" w:cs="宋体" w:eastAsia="宋体" w:hint="default"/>
                <w:sz w:val="18"/>
                <w:szCs w:val="18"/>
              </w:rPr>
            </w:pPr>
            <w:r>
              <w:rPr>
                <w:rFonts w:ascii="宋体" w:hAnsi="宋体" w:cs="宋体" w:eastAsia="宋体" w:hint="default"/>
                <w:sz w:val="18"/>
                <w:szCs w:val="18"/>
              </w:rPr>
              <w:t>上海康斐信息技术有 限公司</w:t>
            </w:r>
          </w:p>
        </w:tc>
        <w:tc>
          <w:tcPr>
            <w:tcW w:w="1570"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1,532,866.00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法院调解达成和解</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auto" w:before="44"/>
              <w:ind w:left="15" w:right="22"/>
              <w:jc w:val="left"/>
              <w:rPr>
                <w:rFonts w:ascii="宋体" w:hAnsi="宋体" w:cs="宋体" w:eastAsia="宋体" w:hint="default"/>
                <w:sz w:val="18"/>
                <w:szCs w:val="18"/>
              </w:rPr>
            </w:pPr>
            <w:r>
              <w:rPr>
                <w:rFonts w:ascii="宋体" w:hAnsi="宋体" w:cs="宋体" w:eastAsia="宋体" w:hint="default"/>
                <w:sz w:val="18"/>
                <w:szCs w:val="18"/>
              </w:rPr>
              <w:t>上海斐阅信息技术有 限公司</w:t>
            </w:r>
          </w:p>
        </w:tc>
        <w:tc>
          <w:tcPr>
            <w:tcW w:w="1570"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833,340.00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法院调解达成和解</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6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2"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4,186,953.00</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按欠款方归集的期末余额前五名的应收账款情况" w:id="519"/>
      <w:bookmarkEnd w:id="51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721"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长安马自达汽车销售分公司</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36,447,325.19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26.51%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120,212.45</w:t>
            </w:r>
          </w:p>
        </w:tc>
      </w:tr>
      <w:tr>
        <w:trPr>
          <w:trHeight w:val="7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auto" w:before="44"/>
              <w:ind w:left="15" w:right="188"/>
              <w:jc w:val="left"/>
              <w:rPr>
                <w:rFonts w:ascii="宋体" w:hAnsi="宋体" w:cs="宋体" w:eastAsia="宋体" w:hint="default"/>
                <w:sz w:val="18"/>
                <w:szCs w:val="18"/>
              </w:rPr>
            </w:pPr>
            <w:r>
              <w:rPr>
                <w:rFonts w:ascii="宋体" w:hAnsi="宋体" w:cs="宋体" w:eastAsia="宋体" w:hint="default"/>
                <w:sz w:val="18"/>
                <w:szCs w:val="18"/>
              </w:rPr>
              <w:t>长安福特汽车有限公司销售 分公司</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19,675,442.94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14.31%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45"/>
              <w:ind w:left="15" w:right="8"/>
              <w:jc w:val="left"/>
              <w:rPr>
                <w:rFonts w:ascii="宋体" w:hAnsi="宋体" w:cs="宋体" w:eastAsia="宋体" w:hint="default"/>
                <w:sz w:val="18"/>
                <w:szCs w:val="18"/>
              </w:rPr>
            </w:pPr>
            <w:r>
              <w:rPr>
                <w:rFonts w:ascii="宋体" w:hAnsi="宋体" w:cs="宋体" w:eastAsia="宋体" w:hint="default"/>
                <w:sz w:val="18"/>
                <w:szCs w:val="18"/>
              </w:rPr>
              <w:t>沃尔沃汽车（亚太）投资控股 有限公司</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11,886,197.90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8.65%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26,498.57</w:t>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上汽通用汽车有限公司</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11,571,404.00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8.42%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101,250.00</w:t>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比亚迪汽车销售有限公司</w:t>
            </w:r>
          </w:p>
        </w:tc>
        <w:tc>
          <w:tcPr>
            <w:tcW w:w="2411"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11,260,825.00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8.19%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135,933.06</w:t>
            </w:r>
          </w:p>
        </w:tc>
      </w:tr>
      <w:tr>
        <w:trPr>
          <w:trHeight w:val="39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90,841,195.03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66.08%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因金融资产转移而终止确认的应收账款" w:id="520"/>
      <w:bookmarkEnd w:id="52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公司报告期各期末无因金融资产转移而终止确认的应收款项情况</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转移应收账款且继续涉入形成的资产、负债金额" w:id="521"/>
      <w:bookmarkEnd w:id="52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公司报告期各期末无转移应收账款且继续涉入形成的资产、负债</w:t>
      </w:r>
    </w:p>
    <w:p>
      <w:pPr>
        <w:spacing w:after="0" w:line="240" w:lineRule="auto"/>
        <w:jc w:val="left"/>
        <w:sectPr>
          <w:pgSz w:w="11910" w:h="16850"/>
          <w:pgMar w:header="0"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其他应收款" w:id="522"/>
      <w:bookmarkEnd w:id="52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2,460,397.10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4,584,866.11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5,011,823.20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4,061,201.96</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7,472,220.30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8,646,068.07</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1）应收利息" w:id="523"/>
      <w:bookmarkEnd w:id="52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508" w:lineRule="auto" w:before="139"/>
        <w:ind w:right="9129"/>
        <w:jc w:val="left"/>
        <w:rPr>
          <w:b w:val="0"/>
          <w:bCs w:val="0"/>
        </w:rPr>
      </w:pPr>
      <w:bookmarkStart w:name="（2）应收股利" w:id="524"/>
      <w:bookmarkEnd w:id="524"/>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525"/>
      <w:bookmarkEnd w:id="525"/>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5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云目未来科技（湖南）有限公司</w:t>
            </w:r>
          </w:p>
        </w:tc>
        <w:tc>
          <w:tcPr>
            <w:tcW w:w="3199"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2,460,397.10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4,584,866.11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2,460,397.10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4,584,866.11</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重要的账龄超过1年的应收股利" w:id="526"/>
      <w:bookmarkEnd w:id="526"/>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3）坏账准备计提情况" w:id="527"/>
      <w:bookmarkEnd w:id="52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496" w:lineRule="auto"/>
        <w:ind w:right="7481"/>
        <w:jc w:val="left"/>
        <w:rPr>
          <w:b w:val="0"/>
          <w:bCs w:val="0"/>
        </w:rPr>
      </w:pPr>
      <w:bookmarkStart w:name="（3）其他应收款" w:id="528"/>
      <w:bookmarkEnd w:id="528"/>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529"/>
      <w:bookmarkEnd w:id="529"/>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4,211,409.81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4,061,201.96</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07"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800,413.39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5,011,823.20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4,061,201.96</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坏账准备计提情况" w:id="530"/>
      <w:bookmarkEnd w:id="53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right="6969"/>
        <w:jc w:val="left"/>
      </w:pPr>
      <w:r>
        <w:rPr/>
        <w:t>无 损失准备本期变动金额重大的账面余额变动情况</w:t>
      </w:r>
    </w:p>
    <w:p>
      <w:pPr>
        <w:spacing w:after="0" w:line="352" w:lineRule="auto"/>
        <w:jc w:val="left"/>
        <w:sectPr>
          <w:pgSz w:w="11910" w:h="16850"/>
          <w:pgMar w:header="0" w:footer="981" w:top="1120" w:bottom="1180" w:left="1000" w:right="0"/>
        </w:sectPr>
      </w:pPr>
    </w:p>
    <w:p>
      <w:pPr>
        <w:pStyle w:val="BodyText"/>
        <w:spacing w:line="319"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1,508,761.53</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1,508,761.53</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3,087,124.80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21,000.00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394,936.87</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55,603.48</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339,333.39</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5,011,823.20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收回或转回的坏账准备情况" w:id="531"/>
      <w:bookmarkEnd w:id="53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本期实际核销的其他应收款情况" w:id="532"/>
      <w:bookmarkEnd w:id="53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5）按欠款方归集的期末余额前五名的其他应收款情况" w:id="533"/>
      <w:bookmarkEnd w:id="53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75"/>
        <w:gridCol w:w="1570"/>
        <w:gridCol w:w="1547"/>
        <w:gridCol w:w="1562"/>
        <w:gridCol w:w="1607"/>
        <w:gridCol w:w="1622"/>
      </w:tblGrid>
      <w:tr>
        <w:trPr>
          <w:trHeight w:val="706" w:hRule="exact"/>
        </w:trPr>
        <w:tc>
          <w:tcPr>
            <w:tcW w:w="16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0" w:hRule="exact"/>
        </w:trPr>
        <w:tc>
          <w:tcPr>
            <w:tcW w:w="1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44"/>
              <w:ind w:left="15" w:right="22"/>
              <w:jc w:val="left"/>
              <w:rPr>
                <w:rFonts w:ascii="宋体" w:hAnsi="宋体" w:cs="宋体" w:eastAsia="宋体" w:hint="default"/>
                <w:sz w:val="18"/>
                <w:szCs w:val="18"/>
              </w:rPr>
            </w:pPr>
            <w:r>
              <w:rPr>
                <w:rFonts w:ascii="宋体" w:hAnsi="宋体" w:cs="宋体" w:eastAsia="宋体" w:hint="default"/>
                <w:sz w:val="18"/>
                <w:szCs w:val="18"/>
              </w:rPr>
              <w:t>北京斯普汇德文化发 展有限公司</w:t>
            </w:r>
          </w:p>
        </w:tc>
        <w:tc>
          <w:tcPr>
            <w:tcW w:w="1570"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2,455,112.07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48.99%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4" w:lineRule="auto" w:before="45"/>
              <w:ind w:left="15" w:right="22"/>
              <w:jc w:val="left"/>
              <w:rPr>
                <w:rFonts w:ascii="宋体" w:hAnsi="宋体" w:cs="宋体" w:eastAsia="宋体" w:hint="default"/>
                <w:sz w:val="18"/>
                <w:szCs w:val="18"/>
              </w:rPr>
            </w:pPr>
            <w:r>
              <w:rPr>
                <w:rFonts w:ascii="宋体" w:hAnsi="宋体" w:cs="宋体" w:eastAsia="宋体" w:hint="default"/>
                <w:sz w:val="18"/>
                <w:szCs w:val="18"/>
              </w:rPr>
              <w:t>上海长峰房地产开发 有限公司</w:t>
            </w:r>
          </w:p>
        </w:tc>
        <w:tc>
          <w:tcPr>
            <w:tcW w:w="1570"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586,767.00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11.71%</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22"/>
              <w:jc w:val="left"/>
              <w:rPr>
                <w:rFonts w:ascii="宋体" w:hAnsi="宋体" w:cs="宋体" w:eastAsia="宋体" w:hint="default"/>
                <w:sz w:val="18"/>
                <w:szCs w:val="18"/>
              </w:rPr>
            </w:pPr>
            <w:r>
              <w:rPr>
                <w:rFonts w:ascii="宋体" w:hAnsi="宋体" w:cs="宋体" w:eastAsia="宋体" w:hint="default"/>
                <w:sz w:val="18"/>
                <w:szCs w:val="18"/>
              </w:rPr>
              <w:t>北京国棉文化创意发 展有限公司</w:t>
            </w:r>
          </w:p>
        </w:tc>
        <w:tc>
          <w:tcPr>
            <w:tcW w:w="1570"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495,438.78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9.89%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7" w:lineRule="auto" w:before="45"/>
              <w:ind w:left="15" w:right="22"/>
              <w:jc w:val="left"/>
              <w:rPr>
                <w:rFonts w:ascii="宋体" w:hAnsi="宋体" w:cs="宋体" w:eastAsia="宋体" w:hint="default"/>
                <w:sz w:val="18"/>
                <w:szCs w:val="18"/>
              </w:rPr>
            </w:pPr>
            <w:r>
              <w:rPr>
                <w:rFonts w:ascii="宋体" w:hAnsi="宋体" w:cs="宋体" w:eastAsia="宋体" w:hint="default"/>
                <w:sz w:val="18"/>
                <w:szCs w:val="18"/>
              </w:rPr>
              <w:t>东风（武汉）工程咨 询有限公司</w:t>
            </w:r>
          </w:p>
        </w:tc>
        <w:tc>
          <w:tcPr>
            <w:tcW w:w="1570"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3.59%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广州越众诚实业投资 有限公司</w:t>
            </w:r>
          </w:p>
        </w:tc>
        <w:tc>
          <w:tcPr>
            <w:tcW w:w="1562" w:type="dxa"/>
            <w:tcBorders>
              <w:top w:val="single" w:sz="6" w:space="0" w:color="000000"/>
              <w:left w:val="single" w:sz="12" w:space="0" w:color="D9D9D9"/>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174,550.00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3,891,867.85</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77.66%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534"/>
      <w:bookmarkEnd w:id="53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公司报告期各期末无涉及政府补助的其他应收项</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bookmarkStart w:name="7）因金融资产转移而终止确认的其他应收款" w:id="535"/>
      <w:bookmarkEnd w:id="53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公司报告期各期末无因金融资产转移而终止确认的其他应收款</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8）转移其他应收款且继续涉入形成的资产、负债金额" w:id="536"/>
      <w:bookmarkEnd w:id="536"/>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公司报告期各期末无转移其他应收款且继续涉入形成的资产、负债</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长期股权投资" w:id="537"/>
      <w:bookmarkEnd w:id="53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256,198,121.85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256,198,121.85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201,318,121.85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201,318,121.85</w:t>
            </w: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29,768,421.07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29,768,421.07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36,590,096.82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36,590,096.82</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285,966,542.92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285,966,542.92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237,908,218.67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237,908,218.67</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1）对子公司投资" w:id="538"/>
      <w:bookmarkEnd w:id="53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292"/>
        <w:gridCol w:w="1276"/>
        <w:gridCol w:w="1142"/>
        <w:gridCol w:w="961"/>
        <w:gridCol w:w="1216"/>
        <w:gridCol w:w="1217"/>
        <w:gridCol w:w="121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4" w:lineRule="auto"/>
              <w:ind w:left="435" w:right="5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59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4" w:lineRule="auto"/>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21"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292"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75" w:right="29" w:hanging="361"/>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北京宣亚品牌 管理咨询有限 公司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5,022,181.97</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5,022,181.97</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北京品推宝移 动科技有限公 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123,056,907.81</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123,056,907.81</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29"/>
              <w:ind w:left="15" w:right="149"/>
              <w:jc w:val="both"/>
              <w:rPr>
                <w:rFonts w:ascii="宋体" w:hAnsi="宋体" w:cs="宋体" w:eastAsia="宋体" w:hint="default"/>
                <w:sz w:val="18"/>
                <w:szCs w:val="18"/>
              </w:rPr>
            </w:pPr>
            <w:r>
              <w:rPr>
                <w:rFonts w:ascii="宋体" w:hAnsi="宋体" w:cs="宋体" w:eastAsia="宋体" w:hint="default"/>
                <w:sz w:val="18"/>
                <w:szCs w:val="18"/>
              </w:rPr>
              <w:t>秦皇岛宣亚公 共关系顾问有 限公司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8,585,634.41</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8,585,634.41</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云目未来科技</w:t>
            </w:r>
          </w:p>
          <w:p>
            <w:pPr>
              <w:pStyle w:val="TableParagraph"/>
              <w:spacing w:line="321" w:lineRule="auto" w:before="65"/>
              <w:ind w:left="15" w:right="14"/>
              <w:jc w:val="left"/>
              <w:rPr>
                <w:rFonts w:ascii="宋体" w:hAnsi="宋体" w:cs="宋体" w:eastAsia="宋体" w:hint="default"/>
                <w:sz w:val="18"/>
                <w:szCs w:val="18"/>
              </w:rPr>
            </w:pPr>
            <w:r>
              <w:rPr>
                <w:rFonts w:ascii="宋体" w:hAnsi="宋体" w:cs="宋体" w:eastAsia="宋体" w:hint="default"/>
                <w:spacing w:val="-7"/>
                <w:sz w:val="18"/>
                <w:szCs w:val="18"/>
              </w:rPr>
              <w:t>（北京）有限公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w:t>
            </w: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云目未来科技</w:t>
            </w:r>
          </w:p>
          <w:p>
            <w:pPr>
              <w:pStyle w:val="TableParagraph"/>
              <w:spacing w:line="321" w:lineRule="auto" w:before="64"/>
              <w:ind w:left="15" w:right="14"/>
              <w:jc w:val="left"/>
              <w:rPr>
                <w:rFonts w:ascii="宋体" w:hAnsi="宋体" w:cs="宋体" w:eastAsia="宋体" w:hint="default"/>
                <w:sz w:val="18"/>
                <w:szCs w:val="18"/>
              </w:rPr>
            </w:pPr>
            <w:r>
              <w:rPr>
                <w:rFonts w:ascii="宋体" w:hAnsi="宋体" w:cs="宋体" w:eastAsia="宋体" w:hint="default"/>
                <w:spacing w:val="-7"/>
                <w:sz w:val="18"/>
                <w:szCs w:val="18"/>
              </w:rPr>
              <w:t>（湖南）有限公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510,000.00</w:t>
            </w: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广州宣亚品牌 管理有限公司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珠海宣亚互动 数字营销有限 公司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510,000.00</w:t>
            </w: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北京金色区块 网络科技有限 公司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7,140,000.00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7,140,000.00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Shunya</w:t>
            </w:r>
            <w:r>
              <w:rPr>
                <w:rFonts w:ascii="Times New Roman"/>
                <w:spacing w:val="-4"/>
                <w:sz w:val="18"/>
              </w:rPr>
              <w:t> </w:t>
            </w:r>
            <w:r>
              <w:rPr>
                <w:rFonts w:ascii="Times New Roman"/>
                <w:sz w:val="18"/>
              </w:rPr>
              <w:t>Intl.Inc.</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45,528,170.00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45,528,170.00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北京新兵连文 化传媒有限公 司</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4,865,227.66</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4,865,227.66</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天津星言云汇 网络科技有限 公司</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56,000,000.00</w:t>
            </w:r>
          </w:p>
        </w:tc>
        <w:tc>
          <w:tcPr>
            <w:tcW w:w="114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201,318,121.85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56,000,000.00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1,120,000.00</w:t>
            </w:r>
          </w:p>
        </w:tc>
        <w:tc>
          <w:tcPr>
            <w:tcW w:w="96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256,198,121.85</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0"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0"/>
        <w:jc w:val="left"/>
        <w:rPr>
          <w:b w:val="0"/>
          <w:bCs w:val="0"/>
        </w:rPr>
      </w:pPr>
      <w:bookmarkStart w:name="（2）对联营、合营企业投资" w:id="539"/>
      <w:bookmarkEnd w:id="53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1186"/>
        <w:gridCol w:w="571"/>
        <w:gridCol w:w="646"/>
        <w:gridCol w:w="1066"/>
        <w:gridCol w:w="841"/>
        <w:gridCol w:w="481"/>
        <w:gridCol w:w="796"/>
        <w:gridCol w:w="811"/>
        <w:gridCol w:w="466"/>
        <w:gridCol w:w="1127"/>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90" w:lineRule="auto"/>
              <w:ind w:left="300"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677"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90" w:lineRule="auto"/>
              <w:ind w:left="255" w:right="73"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7"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6"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05" w:right="88"/>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25" w:right="45"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59" w:right="89"/>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4" w:right="60"/>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4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60" w:right="43"/>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7"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链极智能 科技（上 海）有限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28,205,152.60</w:t>
            </w:r>
          </w:p>
        </w:tc>
        <w:tc>
          <w:tcPr>
            <w:tcW w:w="57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-4,902,416.03</w:t>
            </w:r>
          </w:p>
        </w:tc>
        <w:tc>
          <w:tcPr>
            <w:tcW w:w="841"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23,302,736.57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北京威维 体育文化 有限公司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8,384,944.22</w:t>
            </w:r>
          </w:p>
        </w:tc>
        <w:tc>
          <w:tcPr>
            <w:tcW w:w="57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-1,919,259.72</w:t>
            </w:r>
          </w:p>
        </w:tc>
        <w:tc>
          <w:tcPr>
            <w:tcW w:w="841"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6,465,684.50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36,590,096.82</w:t>
            </w:r>
          </w:p>
        </w:tc>
        <w:tc>
          <w:tcPr>
            <w:tcW w:w="57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-6,821,675.75</w:t>
            </w:r>
          </w:p>
        </w:tc>
        <w:tc>
          <w:tcPr>
            <w:tcW w:w="841"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29,768,421.07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36,590,096.82</w:t>
            </w:r>
          </w:p>
        </w:tc>
        <w:tc>
          <w:tcPr>
            <w:tcW w:w="57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-6,821,675.75</w:t>
            </w:r>
          </w:p>
        </w:tc>
        <w:tc>
          <w:tcPr>
            <w:tcW w:w="841"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29,768,421.07</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540"/>
      <w:bookmarkEnd w:id="54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3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营业收入和营业成本" w:id="541"/>
      <w:bookmarkEnd w:id="54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6"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668" w:right="0"/>
              <w:jc w:val="left"/>
              <w:rPr>
                <w:rFonts w:ascii="Times New Roman" w:hAnsi="Times New Roman" w:cs="Times New Roman" w:eastAsia="Times New Roman" w:hint="default"/>
                <w:sz w:val="18"/>
                <w:szCs w:val="18"/>
              </w:rPr>
            </w:pPr>
            <w:r>
              <w:rPr>
                <w:rFonts w:ascii="Times New Roman"/>
                <w:sz w:val="18"/>
              </w:rPr>
              <w:t>277,173,781.70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159,607,878.58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1" w:right="0"/>
              <w:jc w:val="left"/>
              <w:rPr>
                <w:rFonts w:ascii="Times New Roman" w:hAnsi="Times New Roman" w:cs="Times New Roman" w:eastAsia="Times New Roman" w:hint="default"/>
                <w:sz w:val="18"/>
                <w:szCs w:val="18"/>
              </w:rPr>
            </w:pPr>
            <w:r>
              <w:rPr>
                <w:rFonts w:ascii="Times New Roman"/>
                <w:sz w:val="18"/>
              </w:rPr>
              <w:t>308,198,944.72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194,692,442.54</w:t>
            </w:r>
          </w:p>
        </w:tc>
      </w:tr>
      <w:tr>
        <w:trPr>
          <w:trHeight w:val="406"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68" w:right="0"/>
              <w:jc w:val="left"/>
              <w:rPr>
                <w:rFonts w:ascii="Times New Roman" w:hAnsi="Times New Roman" w:cs="Times New Roman" w:eastAsia="Times New Roman" w:hint="default"/>
                <w:sz w:val="18"/>
                <w:szCs w:val="18"/>
              </w:rPr>
            </w:pPr>
            <w:r>
              <w:rPr>
                <w:rFonts w:ascii="Times New Roman"/>
                <w:sz w:val="18"/>
              </w:rPr>
              <w:t>277,173,781.70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159,607,878.58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1" w:right="0"/>
              <w:jc w:val="left"/>
              <w:rPr>
                <w:rFonts w:ascii="Times New Roman" w:hAnsi="Times New Roman" w:cs="Times New Roman" w:eastAsia="Times New Roman" w:hint="default"/>
                <w:sz w:val="18"/>
                <w:szCs w:val="18"/>
              </w:rPr>
            </w:pPr>
            <w:r>
              <w:rPr>
                <w:rFonts w:ascii="Times New Roman"/>
                <w:sz w:val="18"/>
              </w:rPr>
              <w:t>308,198,944.72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194,692,442.54</w:t>
            </w:r>
          </w:p>
        </w:tc>
      </w:tr>
    </w:tbl>
    <w:p>
      <w:pPr>
        <w:pStyle w:val="BodyText"/>
        <w:spacing w:line="240" w:lineRule="auto" w:before="44"/>
        <w:ind w:right="0"/>
        <w:jc w:val="left"/>
      </w:pPr>
      <w:r>
        <w:rPr/>
        <w:t>是否已执行新收入准则</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5、投资收益" w:id="542"/>
      <w:bookmarkEnd w:id="54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12,460,397.10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9,169,732.22</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-6,821,675.75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0"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-112,826.91</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5,525,894.44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8,276,278.02</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其他" w:id="543"/>
      <w:bookmarkEnd w:id="543"/>
      <w:r>
        <w:rPr>
          <w:b w:val="0"/>
          <w:bCs w:val="0"/>
        </w:rPr>
      </w:r>
      <w:r>
        <w:rPr>
          <w:rFonts w:ascii="Times New Roman" w:hAnsi="Times New Roman" w:cs="Times New Roman" w:eastAsia="Times New Roman" w:hint="default"/>
        </w:rPr>
        <w:t>6</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十八、补充资料" w:id="544"/>
      <w:bookmarkEnd w:id="544"/>
      <w:r>
        <w:rPr>
          <w:b w:val="0"/>
          <w:bCs w:val="0"/>
        </w:rPr>
      </w:r>
      <w:r>
        <w:rPr/>
        <w:t>十八、补充资料</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当期非经常性损益明细表" w:id="545"/>
      <w:bookmarkEnd w:id="54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258"/>
        <w:gridCol w:w="1277"/>
        <w:gridCol w:w="4040"/>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40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7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-24,697.58</w:t>
            </w:r>
            <w:r>
              <w:rPr>
                <w:rFonts w:ascii="Times New Roman"/>
                <w:sz w:val="18"/>
              </w:rPr>
            </w:r>
          </w:p>
        </w:tc>
        <w:tc>
          <w:tcPr>
            <w:tcW w:w="4040" w:type="dxa"/>
            <w:tcBorders>
              <w:top w:val="single" w:sz="6" w:space="0" w:color="000000"/>
              <w:left w:val="single" w:sz="6" w:space="0" w:color="000000"/>
              <w:bottom w:val="single" w:sz="6" w:space="0" w:color="000000"/>
              <w:right w:val="single" w:sz="6" w:space="0" w:color="000000"/>
            </w:tcBorders>
          </w:tcPr>
          <w:p>
            <w:pPr/>
          </w:p>
        </w:tc>
      </w:tr>
      <w:tr>
        <w:trPr>
          <w:trHeight w:val="473" w:hRule="exact"/>
        </w:trPr>
        <w:tc>
          <w:tcPr>
            <w:tcW w:w="4258"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1,022,599.39</w:t>
            </w:r>
          </w:p>
        </w:tc>
        <w:tc>
          <w:tcPr>
            <w:tcW w:w="4040" w:type="dxa"/>
            <w:vMerge w:val="restart"/>
            <w:tcBorders>
              <w:top w:val="single" w:sz="6" w:space="0" w:color="000000"/>
              <w:left w:val="single" w:sz="6" w:space="0" w:color="000000"/>
              <w:right w:val="single" w:sz="6" w:space="0" w:color="000000"/>
            </w:tcBorders>
          </w:tcPr>
          <w:p>
            <w:pPr>
              <w:pStyle w:val="TableParagraph"/>
              <w:spacing w:line="321" w:lineRule="auto" w:before="45"/>
              <w:ind w:left="14" w:right="18"/>
              <w:jc w:val="both"/>
              <w:rPr>
                <w:rFonts w:ascii="宋体" w:hAnsi="宋体" w:cs="宋体" w:eastAsia="宋体" w:hint="default"/>
                <w:sz w:val="18"/>
                <w:szCs w:val="18"/>
              </w:rPr>
            </w:pPr>
            <w:r>
              <w:rPr>
                <w:rFonts w:ascii="宋体" w:hAnsi="宋体" w:cs="宋体" w:eastAsia="宋体" w:hint="default"/>
                <w:sz w:val="18"/>
                <w:szCs w:val="18"/>
              </w:rPr>
              <w:t>信用体系类支持：根据《朝阳区促进国家文化产业 </w:t>
            </w:r>
            <w:r>
              <w:rPr>
                <w:rFonts w:ascii="宋体" w:hAnsi="宋体" w:cs="宋体" w:eastAsia="宋体" w:hint="default"/>
                <w:spacing w:val="-7"/>
                <w:sz w:val="18"/>
                <w:szCs w:val="18"/>
              </w:rPr>
              <w:t>创新实验区建设发展引导资金管理办法（试行）》给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78.50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万元支持，于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月收到该款项；代</w:t>
            </w:r>
          </w:p>
          <w:p>
            <w:pPr>
              <w:pStyle w:val="TableParagraph"/>
              <w:spacing w:line="219" w:lineRule="exact"/>
              <w:ind w:left="14" w:right="0"/>
              <w:jc w:val="both"/>
              <w:rPr>
                <w:rFonts w:ascii="宋体" w:hAnsi="宋体" w:cs="宋体" w:eastAsia="宋体" w:hint="default"/>
                <w:sz w:val="18"/>
                <w:szCs w:val="18"/>
              </w:rPr>
            </w:pPr>
            <w:r>
              <w:rPr>
                <w:rFonts w:ascii="宋体" w:hAnsi="宋体" w:cs="宋体" w:eastAsia="宋体" w:hint="default"/>
                <w:sz w:val="18"/>
                <w:szCs w:val="18"/>
              </w:rPr>
              <w:t>扣代缴个税手续费、稳岗补贴、残保金超量奖励返</w:t>
            </w:r>
          </w:p>
          <w:p>
            <w:pPr>
              <w:pStyle w:val="TableParagraph"/>
              <w:spacing w:line="240" w:lineRule="auto" w:before="80"/>
              <w:ind w:left="14" w:right="0"/>
              <w:jc w:val="both"/>
              <w:rPr>
                <w:rFonts w:ascii="宋体" w:hAnsi="宋体" w:cs="宋体" w:eastAsia="宋体" w:hint="default"/>
                <w:sz w:val="18"/>
                <w:szCs w:val="18"/>
              </w:rPr>
            </w:pPr>
            <w:r>
              <w:rPr>
                <w:rFonts w:ascii="宋体" w:hAnsi="宋体" w:cs="宋体" w:eastAsia="宋体" w:hint="default"/>
                <w:sz w:val="18"/>
                <w:szCs w:val="18"/>
              </w:rPr>
              <w:t>还</w:t>
            </w:r>
          </w:p>
        </w:tc>
      </w:tr>
      <w:tr>
        <w:trPr>
          <w:trHeight w:val="705" w:hRule="exact"/>
        </w:trPr>
        <w:tc>
          <w:tcPr>
            <w:tcW w:w="425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5"/>
              <w:ind w:left="7" w:right="9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1277" w:type="dxa"/>
            <w:vMerge/>
            <w:tcBorders>
              <w:left w:val="single" w:sz="12" w:space="0" w:color="D2D2D2"/>
              <w:right w:val="single" w:sz="6" w:space="0" w:color="000000"/>
            </w:tcBorders>
          </w:tcPr>
          <w:p>
            <w:pPr/>
          </w:p>
        </w:tc>
        <w:tc>
          <w:tcPr>
            <w:tcW w:w="4040" w:type="dxa"/>
            <w:vMerge/>
            <w:tcBorders>
              <w:left w:val="single" w:sz="6" w:space="0" w:color="000000"/>
              <w:right w:val="single" w:sz="6" w:space="0" w:color="000000"/>
            </w:tcBorders>
          </w:tcPr>
          <w:p>
            <w:pPr/>
          </w:p>
        </w:tc>
      </w:tr>
      <w:tr>
        <w:trPr>
          <w:trHeight w:val="473" w:hRule="exact"/>
        </w:trPr>
        <w:tc>
          <w:tcPr>
            <w:tcW w:w="4258"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vMerge/>
            <w:tcBorders>
              <w:left w:val="single" w:sz="12" w:space="0" w:color="D2D2D2"/>
              <w:bottom w:val="single" w:sz="6" w:space="0" w:color="000000"/>
              <w:right w:val="single" w:sz="6" w:space="0" w:color="000000"/>
            </w:tcBorders>
          </w:tcPr>
          <w:p>
            <w:pPr/>
          </w:p>
        </w:tc>
        <w:tc>
          <w:tcPr>
            <w:tcW w:w="4040" w:type="dxa"/>
            <w:vMerge/>
            <w:tcBorders>
              <w:left w:val="single" w:sz="6" w:space="0" w:color="000000"/>
              <w:bottom w:val="single" w:sz="6" w:space="0" w:color="000000"/>
              <w:right w:val="single" w:sz="6" w:space="0" w:color="000000"/>
            </w:tcBorders>
          </w:tcPr>
          <w:p>
            <w:pPr/>
          </w:p>
        </w:tc>
      </w:tr>
      <w:tr>
        <w:trPr>
          <w:trHeight w:val="158" w:hRule="exact"/>
        </w:trPr>
        <w:tc>
          <w:tcPr>
            <w:tcW w:w="4258"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360,174.33</w:t>
            </w:r>
          </w:p>
        </w:tc>
        <w:tc>
          <w:tcPr>
            <w:tcW w:w="4040" w:type="dxa"/>
            <w:vMerge w:val="restart"/>
            <w:tcBorders>
              <w:top w:val="single" w:sz="6" w:space="0" w:color="000000"/>
              <w:left w:val="single" w:sz="6" w:space="0" w:color="000000"/>
              <w:right w:val="single" w:sz="6" w:space="0" w:color="000000"/>
            </w:tcBorders>
          </w:tcPr>
          <w:p>
            <w:pPr>
              <w:pStyle w:val="TableParagraph"/>
              <w:spacing w:line="304" w:lineRule="auto" w:before="45"/>
              <w:ind w:left="14" w:right="49"/>
              <w:jc w:val="left"/>
              <w:rPr>
                <w:rFonts w:ascii="宋体" w:hAnsi="宋体" w:cs="宋体" w:eastAsia="宋体" w:hint="default"/>
                <w:sz w:val="18"/>
                <w:szCs w:val="18"/>
              </w:rPr>
            </w:pPr>
            <w:r>
              <w:rPr>
                <w:rFonts w:ascii="宋体" w:hAnsi="宋体" w:cs="宋体" w:eastAsia="宋体" w:hint="default"/>
                <w:sz w:val="18"/>
                <w:szCs w:val="18"/>
              </w:rPr>
              <w:t>因《房屋租赁合同》变更，起租期调整，向出租方 收取提前支付房屋租金利息</w:t>
            </w:r>
          </w:p>
        </w:tc>
      </w:tr>
      <w:tr>
        <w:trPr>
          <w:trHeight w:val="391" w:hRule="exact"/>
        </w:trPr>
        <w:tc>
          <w:tcPr>
            <w:tcW w:w="425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77" w:type="dxa"/>
            <w:vMerge/>
            <w:tcBorders>
              <w:left w:val="single" w:sz="12" w:space="0" w:color="D2D2D2"/>
              <w:right w:val="single" w:sz="6" w:space="0" w:color="000000"/>
            </w:tcBorders>
          </w:tcPr>
          <w:p>
            <w:pPr/>
          </w:p>
        </w:tc>
        <w:tc>
          <w:tcPr>
            <w:tcW w:w="4040" w:type="dxa"/>
            <w:vMerge/>
            <w:tcBorders>
              <w:left w:val="single" w:sz="6" w:space="0" w:color="000000"/>
              <w:right w:val="single" w:sz="6" w:space="0" w:color="000000"/>
            </w:tcBorders>
          </w:tcPr>
          <w:p>
            <w:pPr/>
          </w:p>
        </w:tc>
      </w:tr>
      <w:tr>
        <w:trPr>
          <w:trHeight w:val="173" w:hRule="exact"/>
        </w:trPr>
        <w:tc>
          <w:tcPr>
            <w:tcW w:w="4258"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vMerge/>
            <w:tcBorders>
              <w:left w:val="single" w:sz="12" w:space="0" w:color="D2D2D2"/>
              <w:bottom w:val="single" w:sz="6" w:space="0" w:color="000000"/>
              <w:right w:val="single" w:sz="6" w:space="0" w:color="000000"/>
            </w:tcBorders>
          </w:tcPr>
          <w:p>
            <w:pPr/>
          </w:p>
        </w:tc>
        <w:tc>
          <w:tcPr>
            <w:tcW w:w="4040" w:type="dxa"/>
            <w:vMerge/>
            <w:tcBorders>
              <w:left w:val="single" w:sz="6" w:space="0" w:color="000000"/>
              <w:bottom w:val="single" w:sz="6" w:space="0" w:color="000000"/>
              <w:right w:val="single" w:sz="6" w:space="0" w:color="000000"/>
            </w:tcBorders>
          </w:tcPr>
          <w:p>
            <w:pPr/>
          </w:p>
        </w:tc>
      </w:tr>
      <w:tr>
        <w:trPr>
          <w:trHeight w:val="391"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-445.86</w:t>
            </w:r>
          </w:p>
        </w:tc>
        <w:tc>
          <w:tcPr>
            <w:tcW w:w="404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339,427.36</w:t>
            </w:r>
          </w:p>
        </w:tc>
        <w:tc>
          <w:tcPr>
            <w:tcW w:w="404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27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-1,348.57</w:t>
            </w:r>
            <w:r>
              <w:rPr>
                <w:rFonts w:ascii="Times New Roman"/>
                <w:sz w:val="18"/>
              </w:rPr>
            </w:r>
          </w:p>
        </w:tc>
        <w:tc>
          <w:tcPr>
            <w:tcW w:w="4040"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1,019,551.49</w:t>
            </w:r>
          </w:p>
        </w:tc>
        <w:tc>
          <w:tcPr>
            <w:tcW w:w="40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51"/>
        <w:ind w:right="1116"/>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2、净资产收益率及每股收益" w:id="546"/>
      <w:bookmarkEnd w:id="54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4250"/>
        <w:gridCol w:w="1554"/>
        <w:gridCol w:w="1847"/>
        <w:gridCol w:w="1922"/>
      </w:tblGrid>
      <w:tr>
        <w:trPr>
          <w:trHeight w:val="203" w:hRule="exact"/>
        </w:trPr>
        <w:tc>
          <w:tcPr>
            <w:tcW w:w="4250" w:type="dxa"/>
            <w:tcBorders>
              <w:top w:val="single" w:sz="6" w:space="0" w:color="000000"/>
              <w:left w:val="single" w:sz="6" w:space="0" w:color="000000"/>
              <w:bottom w:val="nil" w:sz="6" w:space="0" w:color="auto"/>
              <w:right w:val="single" w:sz="6" w:space="0" w:color="000000"/>
            </w:tcBorders>
            <w:shd w:val="clear" w:color="auto" w:fill="D2D2D2"/>
          </w:tcPr>
          <w:p>
            <w:pPr/>
          </w:p>
        </w:tc>
        <w:tc>
          <w:tcPr>
            <w:tcW w:w="1554"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593" w:right="44" w:hanging="541"/>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377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3" w:hRule="exact"/>
        </w:trPr>
        <w:tc>
          <w:tcPr>
            <w:tcW w:w="425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554" w:type="dxa"/>
            <w:vMerge/>
            <w:tcBorders>
              <w:left w:val="single" w:sz="6" w:space="0" w:color="000000"/>
              <w:right w:val="single" w:sz="6" w:space="0" w:color="000000"/>
            </w:tcBorders>
            <w:shd w:val="clear" w:color="auto" w:fill="D2D2D2"/>
          </w:tcPr>
          <w:p>
            <w:pPr/>
          </w:p>
        </w:tc>
        <w:tc>
          <w:tcPr>
            <w:tcW w:w="3770" w:type="dxa"/>
            <w:gridSpan w:val="2"/>
            <w:vMerge/>
            <w:tcBorders>
              <w:left w:val="single" w:sz="6" w:space="0" w:color="000000"/>
              <w:bottom w:val="single" w:sz="6" w:space="0" w:color="000000"/>
              <w:right w:val="single" w:sz="6" w:space="0" w:color="000000"/>
            </w:tcBorders>
            <w:shd w:val="clear" w:color="auto" w:fill="D2D2D2"/>
          </w:tcPr>
          <w:p>
            <w:pPr/>
          </w:p>
        </w:tc>
      </w:tr>
      <w:tr>
        <w:trPr>
          <w:trHeight w:val="187" w:hRule="exact"/>
        </w:trPr>
        <w:tc>
          <w:tcPr>
            <w:tcW w:w="4250" w:type="dxa"/>
            <w:vMerge/>
            <w:tcBorders>
              <w:left w:val="single" w:sz="6" w:space="0" w:color="000000"/>
              <w:bottom w:val="nil" w:sz="6" w:space="0" w:color="auto"/>
              <w:right w:val="single" w:sz="6" w:space="0" w:color="000000"/>
            </w:tcBorders>
            <w:shd w:val="clear" w:color="auto" w:fill="D2D2D2"/>
          </w:tcPr>
          <w:p>
            <w:pPr/>
          </w:p>
        </w:tc>
        <w:tc>
          <w:tcPr>
            <w:tcW w:w="1554" w:type="dxa"/>
            <w:vMerge/>
            <w:tcBorders>
              <w:left w:val="single" w:sz="6" w:space="0" w:color="000000"/>
              <w:right w:val="single" w:sz="6" w:space="0" w:color="000000"/>
            </w:tcBorders>
            <w:shd w:val="clear" w:color="auto" w:fill="D2D2D2"/>
          </w:tcPr>
          <w:p>
            <w:pPr/>
          </w:p>
        </w:tc>
        <w:tc>
          <w:tcPr>
            <w:tcW w:w="184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9" w:right="-45"/>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8" w:hRule="exact"/>
        </w:trPr>
        <w:tc>
          <w:tcPr>
            <w:tcW w:w="4250" w:type="dxa"/>
            <w:tcBorders>
              <w:top w:val="nil" w:sz="6" w:space="0" w:color="auto"/>
              <w:left w:val="single" w:sz="6" w:space="0" w:color="000000"/>
              <w:bottom w:val="single" w:sz="6" w:space="0" w:color="000000"/>
              <w:right w:val="single" w:sz="6" w:space="0" w:color="000000"/>
            </w:tcBorders>
            <w:shd w:val="clear" w:color="auto" w:fill="D2D2D2"/>
          </w:tcPr>
          <w:p>
            <w:pPr/>
          </w:p>
        </w:tc>
        <w:tc>
          <w:tcPr>
            <w:tcW w:w="1554" w:type="dxa"/>
            <w:vMerge/>
            <w:tcBorders>
              <w:left w:val="single" w:sz="6" w:space="0" w:color="000000"/>
              <w:bottom w:val="single" w:sz="6" w:space="0" w:color="000000"/>
              <w:right w:val="single" w:sz="6" w:space="0" w:color="000000"/>
            </w:tcBorders>
            <w:shd w:val="clear" w:color="auto" w:fill="D2D2D2"/>
          </w:tcPr>
          <w:p>
            <w:pPr/>
          </w:p>
        </w:tc>
        <w:tc>
          <w:tcPr>
            <w:tcW w:w="184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54" w:type="dxa"/>
            <w:tcBorders>
              <w:top w:val="single" w:sz="24" w:space="0" w:color="D2D2D2"/>
              <w:left w:val="single" w:sz="18" w:space="0" w:color="D2D2D2"/>
              <w:bottom w:val="single" w:sz="6" w:space="0" w:color="000000"/>
              <w:right w:val="single" w:sz="6" w:space="0" w:color="000000"/>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w w:val="95"/>
                <w:sz w:val="18"/>
              </w:rPr>
              <w:t>2.55%</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0.07</w:t>
            </w:r>
          </w:p>
        </w:tc>
      </w:tr>
      <w:tr>
        <w:trPr>
          <w:trHeight w:val="405" w:hRule="exact"/>
        </w:trPr>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5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2.30%</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0.06</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981" w:top="1120" w:bottom="1180" w:left="1000" w:right="0"/>
        </w:sectPr>
      </w:pPr>
    </w:p>
    <w:p>
      <w:pPr>
        <w:spacing w:line="240" w:lineRule="auto" w:before="0"/>
        <w:rPr>
          <w:rFonts w:ascii="宋体" w:hAnsi="宋体" w:cs="宋体" w:eastAsia="宋体" w:hint="default"/>
          <w:b/>
          <w:bCs/>
          <w:sz w:val="21"/>
          <w:szCs w:val="21"/>
        </w:rPr>
      </w:pPr>
    </w:p>
    <w:p>
      <w:pPr>
        <w:pStyle w:val="Heading5"/>
        <w:spacing w:line="240" w:lineRule="auto" w:before="35"/>
        <w:ind w:right="0"/>
        <w:jc w:val="left"/>
        <w:rPr>
          <w:b w:val="0"/>
          <w:bCs w:val="0"/>
        </w:rPr>
      </w:pPr>
      <w:bookmarkStart w:name="3、境内外会计准则下会计数据差异" w:id="547"/>
      <w:bookmarkEnd w:id="54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548"/>
      <w:bookmarkEnd w:id="54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同时按照境外会计准则与按中国会计准则披露的财务报告中净利润和净资产差异情况" w:id="549"/>
      <w:bookmarkEnd w:id="54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86" w:lineRule="exact" w:before="142"/>
        <w:ind w:right="0"/>
        <w:jc w:val="left"/>
        <w:rPr>
          <w:b w:val="0"/>
          <w:bCs w:val="0"/>
        </w:rPr>
      </w:pPr>
      <w:bookmarkStart w:name="（3）境内外会计准则下会计数据差异原因说明，对已经境外审计机构审计的数据进行差异" w:id="550"/>
      <w:bookmarkEnd w:id="55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3"/>
        </w:rPr>
        <w:t> </w:t>
      </w:r>
      <w:r>
        <w:rPr>
          <w:spacing w:val="-53"/>
        </w:rPr>
      </w:r>
      <w:r>
        <w:rPr/>
        <w:t>明该境外机构的名称</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291"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其他" w:id="551"/>
      <w:bookmarkEnd w:id="551"/>
      <w:r>
        <w:rPr>
          <w:b w:val="0"/>
          <w:bCs w:val="0"/>
        </w:rPr>
      </w:r>
      <w:r>
        <w:rPr>
          <w:rFonts w:ascii="Times New Roman" w:hAnsi="Times New Roman" w:cs="Times New Roman" w:eastAsia="Times New Roman" w:hint="default"/>
        </w:rPr>
        <w:t>4</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无其他需要说明项目</w:t>
      </w:r>
    </w:p>
    <w:p>
      <w:pPr>
        <w:spacing w:after="0" w:line="240" w:lineRule="auto"/>
        <w:jc w:val="left"/>
        <w:sectPr>
          <w:pgSz w:w="11910" w:h="16850"/>
          <w:pgMar w:header="0"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355" w:right="0"/>
        <w:jc w:val="left"/>
        <w:rPr>
          <w:b w:val="0"/>
          <w:bCs w:val="0"/>
        </w:rPr>
      </w:pPr>
      <w:bookmarkStart w:name="第十三节备查文件目录" w:id="552"/>
      <w:bookmarkEnd w:id="552"/>
      <w:r>
        <w:rPr>
          <w:b w:val="0"/>
          <w:bCs w:val="0"/>
        </w:rPr>
      </w:r>
      <w:bookmarkStart w:name="_bookmark12" w:id="553"/>
      <w:bookmarkEnd w:id="553"/>
      <w:r>
        <w:rPr>
          <w:b w:val="0"/>
          <w:bCs w:val="0"/>
        </w:rPr>
      </w:r>
      <w:r>
        <w:rPr>
          <w:spacing w:val="5"/>
        </w:rPr>
        <w:t>第十三节备查文件目录</w:t>
      </w:r>
      <w:r>
        <w:rPr>
          <w:b w:val="0"/>
          <w:bCs w:val="0"/>
          <w:spacing w:val="5"/>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110"/>
        <w:ind w:right="0"/>
        <w:jc w:val="left"/>
      </w:pPr>
      <w:r>
        <w:rPr/>
        <w:t>（二）载有会计师事务所盖章、注册会计师签名并盖章的审计报告原件；</w:t>
      </w:r>
    </w:p>
    <w:p>
      <w:pPr>
        <w:pStyle w:val="BodyText"/>
        <w:spacing w:line="240" w:lineRule="auto" w:before="125"/>
        <w:ind w:right="0"/>
        <w:jc w:val="left"/>
      </w:pPr>
      <w:r>
        <w:rPr/>
        <w:t>（三）报告期内在中国证监会指定网站上公开披露过的所有公司文件的正本及公告的原稿；</w:t>
      </w:r>
    </w:p>
    <w:p>
      <w:pPr>
        <w:pStyle w:val="BodyText"/>
        <w:spacing w:line="240" w:lineRule="auto" w:before="109"/>
        <w:ind w:right="0"/>
        <w:jc w:val="left"/>
      </w:pPr>
      <w:r>
        <w:rPr/>
        <w:t>（四）在其他证券市场公布的年度报告。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9836" w:val="left" w:leader="none"/>
        </w:tabs>
        <w:spacing w:line="240" w:lineRule="auto" w:before="122"/>
        <w:ind w:left="6284" w:right="0"/>
        <w:jc w:val="left"/>
        <w:rPr>
          <w:rFonts w:ascii="Times New Roman" w:hAnsi="Times New Roman" w:cs="Times New Roman" w:eastAsia="Times New Roman" w:hint="default"/>
        </w:rPr>
      </w:pPr>
      <w:r>
        <w:rPr/>
        <w:t>董事长：邬涛（签字）</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BodyText"/>
        <w:spacing w:line="240" w:lineRule="auto" w:before="44"/>
        <w:ind w:left="6825" w:right="0"/>
        <w:jc w:val="left"/>
      </w:pPr>
      <w:r>
        <w:rPr/>
        <w:t>董事会批准报送日期：</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p>
    <w:sectPr>
      <w:pgSz w:w="11910" w:h="16850"/>
      <w:pgMar w:header="0" w:footer="981" w:top="112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7760" type="#_x0000_t75" stroked="false">
          <v:imagedata r:id="rId1" o:title=""/>
        </v:shape>
      </w:pict>
    </w:r>
    <w:r>
      <w:rPr/>
      <w:pict>
        <v:shape style="position:absolute;margin-left:534.419983pt;margin-top:795.707947pt;width:6.5pt;height:11pt;mso-position-horizontal-relative:page;mso-position-vertical-relative:page;z-index:-1197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7328" type="#_x0000_t75" stroked="false">
          <v:imagedata r:id="rId1" o:title=""/>
        </v:shape>
      </w:pict>
    </w:r>
    <w:r>
      <w:rPr/>
      <w:pict>
        <v:shape style="position:absolute;margin-left:528.919983pt;margin-top:782.207947pt;width:13pt;height:11pt;mso-position-horizontal-relative:page;mso-position-vertical-relative:page;z-index:-1197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447021pt;margin-top:570.603027pt;width:42.080281pt;height:18.952188pt;mso-position-horizontal-relative:page;mso-position-vertical-relative:page;z-index:-1197256" type="#_x0000_t75" stroked="false">
          <v:imagedata r:id="rId1" o:title=""/>
        </v:shape>
      </w:pict>
    </w:r>
    <w:r>
      <w:rPr/>
      <w:pict>
        <v:shape style="position:absolute;margin-left:753.919983pt;margin-top:535.432922pt;width:13pt;height:11pt;mso-position-horizontal-relative:page;mso-position-vertical-relative:page;z-index:-1197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7160" type="#_x0000_t75" stroked="false">
          <v:imagedata r:id="rId1" o:title=""/>
        </v:shape>
      </w:pict>
    </w:r>
    <w:r>
      <w:rPr/>
      <w:pict>
        <v:shape style="position:absolute;margin-left:528.919983pt;margin-top:782.207947pt;width:13pt;height:11pt;mso-position-horizontal-relative:page;mso-position-vertical-relative:page;z-index:-1197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7112" type="#_x0000_t75" stroked="false">
          <v:imagedata r:id="rId1" o:title=""/>
        </v:shape>
      </w:pict>
    </w:r>
    <w:r>
      <w:rPr/>
      <w:pict>
        <v:shape style="position:absolute;margin-left:525.400024pt;margin-top:782.207947pt;width:15.5pt;height:11pt;mso-position-horizontal-relative:page;mso-position-vertical-relative:page;z-index:-11970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7064" type="#_x0000_t75" stroked="false">
          <v:imagedata r:id="rId1" o:title=""/>
        </v:shape>
      </w:pict>
    </w:r>
    <w:r>
      <w:rPr/>
      <w:pict>
        <v:shape style="position:absolute;margin-left:524.400024pt;margin-top:782.207947pt;width:17.5pt;height:11pt;mso-position-horizontal-relative:page;mso-position-vertical-relative:page;z-index:-1197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447021pt;margin-top:570.603027pt;width:42.080281pt;height:18.952188pt;mso-position-horizontal-relative:page;mso-position-vertical-relative:page;z-index:-1196992" type="#_x0000_t75" stroked="false">
          <v:imagedata r:id="rId1" o:title=""/>
        </v:shape>
      </w:pict>
    </w:r>
    <w:r>
      <w:rPr/>
      <w:pict>
        <v:shape style="position:absolute;margin-left:755.419983pt;margin-top:535.432922pt;width:18.25pt;height:11pt;mso-position-horizontal-relative:page;mso-position-vertical-relative:page;z-index:-1196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6896" type="#_x0000_t75" stroked="false">
          <v:imagedata r:id="rId1" o:title=""/>
        </v:shape>
      </w:pict>
    </w:r>
    <w:r>
      <w:rPr/>
      <w:pict>
        <v:shape style="position:absolute;margin-left:524.400024pt;margin-top:782.207947pt;width:17.55pt;height:11pt;mso-position-horizontal-relative:page;mso-position-vertical-relative:page;z-index:-1196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6848" type="#_x0000_t75" stroked="false">
          <v:imagedata r:id="rId1" o:title=""/>
        </v:shape>
      </w:pict>
    </w:r>
    <w:r>
      <w:rPr/>
      <w:pict>
        <v:shape style="position:absolute;margin-left:524.400024pt;margin-top:782.207947pt;width:17.5pt;height:11pt;mso-position-horizontal-relative:page;mso-position-vertical-relative:page;z-index:-1196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6800" type="#_x0000_t75" stroked="false">
          <v:imagedata r:id="rId1" o:title=""/>
        </v:shape>
      </w:pict>
    </w:r>
    <w:r>
      <w:rPr/>
      <w:pict>
        <v:shape style="position:absolute;margin-left:525.400024pt;margin-top:782.207947pt;width:15.5pt;height:11pt;mso-position-horizontal-relative:page;mso-position-vertical-relative:page;z-index:-1196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7712" type="#_x0000_t75" stroked="false">
          <v:imagedata r:id="rId1" o:title=""/>
        </v:shape>
      </w:pict>
    </w:r>
    <w:r>
      <w:rPr/>
      <w:pict>
        <v:shape style="position:absolute;margin-left:528.919983pt;margin-top:782.207947pt;width:13pt;height:11pt;mso-position-horizontal-relative:page;mso-position-vertical-relative:page;z-index:-1197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6752" type="#_x0000_t75" stroked="false">
          <v:imagedata r:id="rId1" o:title=""/>
        </v:shape>
      </w:pict>
    </w:r>
    <w:r>
      <w:rPr/>
      <w:pict>
        <v:shape style="position:absolute;margin-left:524.400024pt;margin-top:782.207947pt;width:17.5pt;height:11pt;mso-position-horizontal-relative:page;mso-position-vertical-relative:page;z-index:-1196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6704" type="#_x0000_t75" stroked="false">
          <v:imagedata r:id="rId1" o:title=""/>
        </v:shape>
      </w:pict>
    </w:r>
    <w:r>
      <w:rPr/>
      <w:pict>
        <v:shape style="position:absolute;margin-left:524.400024pt;margin-top:782.207947pt;width:17.5pt;height:11pt;mso-position-horizontal-relative:page;mso-position-vertical-relative:page;z-index:-1196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97496" type="#_x0000_t75" stroked="false">
          <v:imagedata r:id="rId1" o:title=""/>
        </v:shape>
      </w:pict>
    </w:r>
    <w:r>
      <w:rPr/>
      <w:pict>
        <v:shape style="position:absolute;margin-left:528.919983pt;margin-top:782.207947pt;width:13pt;height:11pt;mso-position-horizontal-relative:page;mso-position-vertical-relative:page;z-index:-1197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447021pt;margin-top:570.603027pt;width:42.080281pt;height:18.952188pt;mso-position-horizontal-relative:page;mso-position-vertical-relative:page;z-index:-1197424" type="#_x0000_t75" stroked="false">
          <v:imagedata r:id="rId1" o:title=""/>
        </v:shape>
      </w:pict>
    </w:r>
    <w:r>
      <w:rPr/>
      <w:pict>
        <v:shape style="position:absolute;margin-left:759.919983pt;margin-top:535.432922pt;width:13pt;height:11pt;mso-position-horizontal-relative:page;mso-position-vertical-relative:page;z-index:-1197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130005pt;margin-top:35.565624pt;width:249.75pt;height:11.5pt;mso-position-horizontal-relative:page;mso-position-vertical-relative:page;z-index:-1197784" type="#_x0000_t202" filled="false" stroked="false">
          <v:textbox inset="0,0,0,0">
            <w:txbxContent>
              <w:p>
                <w:pPr>
                  <w:pStyle w:val="BodyText"/>
                  <w:spacing w:line="214" w:lineRule="exact"/>
                  <w:ind w:left="20" w:right="0"/>
                  <w:jc w:val="left"/>
                </w:pPr>
                <w:r>
                  <w:rPr/>
                  <w:t>宣亚国际营销科技（北京）股份有限公司</w:t>
                </w:r>
                <w:r>
                  <w:rPr>
                    <w:spacing w:val="-41"/>
                  </w:rPr>
                  <w:t> </w:t>
                </w:r>
                <w:r>
                  <w:rPr>
                    <w:rFonts w:ascii="Times New Roman" w:hAnsi="Times New Roman" w:cs="Times New Roman" w:eastAsia="Times New Roman" w:hint="default"/>
                  </w:rPr>
                  <w:t>2019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6.200012pt;margin-top:42.345627pt;width:249.7pt;height:11.5pt;mso-position-horizontal-relative:page;mso-position-vertical-relative:page;z-index:-1197280" type="#_x0000_t202" filled="false" stroked="false">
          <v:textbox inset="0,0,0,0">
            <w:txbxContent>
              <w:p>
                <w:pPr>
                  <w:pStyle w:val="BodyText"/>
                  <w:spacing w:line="214" w:lineRule="exact"/>
                  <w:ind w:left="20"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75001pt;margin-top:55.924999pt;width:485.85pt;height:.1pt;mso-position-horizontal-relative:page;mso-position-vertical-relative:page;z-index:-1197208"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shape style="position:absolute;margin-left:291.130005pt;margin-top:42.315624pt;width:249.75pt;height:11.5pt;mso-position-horizontal-relative:page;mso-position-vertical-relative:page;z-index:-1197184" type="#_x0000_t202" filled="false" stroked="false">
          <v:textbox inset="0,0,0,0">
            <w:txbxContent>
              <w:p>
                <w:pPr>
                  <w:pStyle w:val="BodyText"/>
                  <w:spacing w:line="214" w:lineRule="exact"/>
                  <w:ind w:left="20" w:right="0"/>
                  <w:jc w:val="left"/>
                </w:pPr>
                <w:r>
                  <w:rPr/>
                  <w:t>宣亚国际营销科技（北京）股份有限公司</w:t>
                </w:r>
                <w:r>
                  <w:rPr>
                    <w:spacing w:val="-41"/>
                  </w:rPr>
                  <w:t> </w:t>
                </w:r>
                <w:r>
                  <w:rPr>
                    <w:rFonts w:ascii="Times New Roman" w:hAnsi="Times New Roman" w:cs="Times New Roman" w:eastAsia="Times New Roman" w:hint="default"/>
                  </w:rPr>
                  <w:t>2019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200012pt;margin-top:42.345627pt;width:249.7pt;height:11.5pt;mso-position-horizontal-relative:page;mso-position-vertical-relative:page;z-index:-1197016" type="#_x0000_t202" filled="false" stroked="false">
          <v:textbox inset="0,0,0,0">
            <w:txbxContent>
              <w:p>
                <w:pPr>
                  <w:pStyle w:val="BodyText"/>
                  <w:spacing w:line="214" w:lineRule="exact"/>
                  <w:ind w:left="20"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75001pt;margin-top:55.924999pt;width:485.85pt;height:.1pt;mso-position-horizontal-relative:page;mso-position-vertical-relative:page;z-index:-1196944"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shape style="position:absolute;margin-left:291.130005pt;margin-top:42.315624pt;width:249.75pt;height:11.5pt;mso-position-horizontal-relative:page;mso-position-vertical-relative:page;z-index:-1196920" type="#_x0000_t202" filled="false" stroked="false">
          <v:textbox inset="0,0,0,0">
            <w:txbxContent>
              <w:p>
                <w:pPr>
                  <w:pStyle w:val="BodyText"/>
                  <w:spacing w:line="214" w:lineRule="exact"/>
                  <w:ind w:left="20" w:right="0"/>
                  <w:jc w:val="left"/>
                </w:pPr>
                <w:r>
                  <w:rPr/>
                  <w:t>宣亚国际营销科技（北京）股份有限公司</w:t>
                </w:r>
                <w:r>
                  <w:rPr>
                    <w:spacing w:val="-41"/>
                  </w:rPr>
                  <w:t> </w:t>
                </w:r>
                <w:r>
                  <w:rPr>
                    <w:rFonts w:ascii="Times New Roman" w:hAnsi="Times New Roman" w:cs="Times New Roman" w:eastAsia="Times New Roman" w:hint="default"/>
                  </w:rPr>
                  <w:t>2019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200012pt;margin-top:42.345627pt;width:249.7pt;height:11.5pt;mso-position-horizontal-relative:page;mso-position-vertical-relative:page;z-index:-1197664" type="#_x0000_t202" filled="false" stroked="false">
          <v:textbox inset="0,0,0,0">
            <w:txbxContent>
              <w:p>
                <w:pPr>
                  <w:pStyle w:val="BodyText"/>
                  <w:spacing w:line="214" w:lineRule="exact"/>
                  <w:ind w:left="20"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200012pt;margin-top:42.345627pt;width:249.7pt;height:11.5pt;mso-position-horizontal-relative:page;mso-position-vertical-relative:page;z-index:-1197640" type="#_x0000_t202" filled="false" stroked="false">
          <v:textbox inset="0,0,0,0">
            <w:txbxContent>
              <w:p>
                <w:pPr>
                  <w:pStyle w:val="BodyText"/>
                  <w:spacing w:line="214" w:lineRule="exact"/>
                  <w:ind w:left="20"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200012pt;margin-top:42.345627pt;width:249.7pt;height:11.5pt;mso-position-horizontal-relative:page;mso-position-vertical-relative:page;z-index:-1197616" type="#_x0000_t202" filled="false" stroked="false">
          <v:textbox inset="0,0,0,0">
            <w:txbxContent>
              <w:p>
                <w:pPr>
                  <w:pStyle w:val="BodyText"/>
                  <w:spacing w:line="214" w:lineRule="exact"/>
                  <w:ind w:left="20"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200012pt;margin-top:42.345627pt;width:249.7pt;height:11.5pt;mso-position-horizontal-relative:page;mso-position-vertical-relative:page;z-index:-1197592" type="#_x0000_t202" filled="false" stroked="false">
          <v:textbox inset="0,0,0,0">
            <w:txbxContent>
              <w:p>
                <w:pPr>
                  <w:pStyle w:val="BodyText"/>
                  <w:spacing w:line="214" w:lineRule="exact"/>
                  <w:ind w:left="20"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200012pt;margin-top:42.345627pt;width:249.7pt;height:11.5pt;mso-position-horizontal-relative:page;mso-position-vertical-relative:page;z-index:-1197568" type="#_x0000_t202" filled="false" stroked="false">
          <v:textbox inset="0,0,0,0">
            <w:txbxContent>
              <w:p>
                <w:pPr>
                  <w:pStyle w:val="BodyText"/>
                  <w:spacing w:line="214" w:lineRule="exact"/>
                  <w:ind w:left="20"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75001pt;margin-top:55.924999pt;width:485.85pt;height:.1pt;mso-position-horizontal-relative:page;mso-position-vertical-relative:page;z-index:-1197544"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shape style="position:absolute;margin-left:291.130005pt;margin-top:42.315624pt;width:249.75pt;height:11.5pt;mso-position-horizontal-relative:page;mso-position-vertical-relative:page;z-index:-1197520" type="#_x0000_t202" filled="false" stroked="false">
          <v:textbox inset="0,0,0,0">
            <w:txbxContent>
              <w:p>
                <w:pPr>
                  <w:pStyle w:val="BodyText"/>
                  <w:spacing w:line="214" w:lineRule="exact"/>
                  <w:ind w:left="20" w:right="0"/>
                  <w:jc w:val="left"/>
                </w:pPr>
                <w:r>
                  <w:rPr/>
                  <w:t>宣亚国际营销科技（北京）股份有限公司</w:t>
                </w:r>
                <w:r>
                  <w:rPr>
                    <w:spacing w:val="-41"/>
                  </w:rPr>
                  <w:t> </w:t>
                </w:r>
                <w:r>
                  <w:rPr>
                    <w:rFonts w:ascii="Times New Roman" w:hAnsi="Times New Roman" w:cs="Times New Roman" w:eastAsia="Times New Roman" w:hint="default"/>
                  </w:rPr>
                  <w:t>2019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200012pt;margin-top:42.345627pt;width:249.7pt;height:11.5pt;mso-position-horizontal-relative:page;mso-position-vertical-relative:page;z-index:-1197448" type="#_x0000_t202" filled="false" stroked="false">
          <v:textbox inset="0,0,0,0">
            <w:txbxContent>
              <w:p>
                <w:pPr>
                  <w:pStyle w:val="BodyText"/>
                  <w:spacing w:line="214" w:lineRule="exact"/>
                  <w:ind w:left="20" w:right="0"/>
                  <w:jc w:val="left"/>
                </w:pPr>
                <w:r>
                  <w:rPr/>
                  <w:t>宣亚国际营销科技（北京）股份有限公司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75001pt;margin-top:55.924999pt;width:485.85pt;height:.1pt;mso-position-horizontal-relative:page;mso-position-vertical-relative:page;z-index:-1197376"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shape style="position:absolute;margin-left:291.130005pt;margin-top:42.315624pt;width:249.75pt;height:11.5pt;mso-position-horizontal-relative:page;mso-position-vertical-relative:page;z-index:-1197352" type="#_x0000_t202" filled="false" stroked="false">
          <v:textbox inset="0,0,0,0">
            <w:txbxContent>
              <w:p>
                <w:pPr>
                  <w:pStyle w:val="BodyText"/>
                  <w:spacing w:line="214" w:lineRule="exact"/>
                  <w:ind w:left="20" w:right="0"/>
                  <w:jc w:val="left"/>
                </w:pPr>
                <w:r>
                  <w:rPr/>
                  <w:t>宣亚国际营销科技（北京）股份有限公司</w:t>
                </w:r>
                <w:r>
                  <w:rPr>
                    <w:spacing w:val="-41"/>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6"/>
      <w:ind w:left="141"/>
    </w:pPr>
    <w:rPr>
      <w:rFonts w:ascii="宋体" w:hAnsi="宋体" w:eastAsia="宋体"/>
      <w:sz w:val="18"/>
      <w:szCs w:val="18"/>
    </w:rPr>
  </w:style>
  <w:style w:styleId="BodyText" w:type="paragraph">
    <w:name w:val="Body Text"/>
    <w:basedOn w:val="Normal"/>
    <w:uiPriority w:val="1"/>
    <w:qFormat/>
    <w:pPr>
      <w:ind w:left="141"/>
    </w:pPr>
    <w:rPr>
      <w:rFonts w:ascii="宋体" w:hAnsi="宋体" w:eastAsia="宋体"/>
      <w:sz w:val="18"/>
      <w:szCs w:val="18"/>
    </w:rPr>
  </w:style>
  <w:style w:styleId="Heading1" w:type="paragraph">
    <w:name w:val="Heading 1"/>
    <w:basedOn w:val="Normal"/>
    <w:uiPriority w:val="1"/>
    <w:qFormat/>
    <w:pPr>
      <w:spacing w:before="9"/>
      <w:ind w:left="1691"/>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8"/>
      <w:szCs w:val="28"/>
    </w:rPr>
  </w:style>
  <w:style w:styleId="Heading3" w:type="paragraph">
    <w:name w:val="Heading 3"/>
    <w:basedOn w:val="Normal"/>
    <w:uiPriority w:val="1"/>
    <w:qFormat/>
    <w:pPr>
      <w:ind w:left="141"/>
      <w:outlineLvl w:val="3"/>
    </w:pPr>
    <w:rPr>
      <w:rFonts w:ascii="宋体" w:hAnsi="宋体" w:eastAsia="宋体"/>
      <w:b/>
      <w:bCs/>
      <w:sz w:val="24"/>
      <w:szCs w:val="24"/>
    </w:rPr>
  </w:style>
  <w:style w:styleId="Heading4" w:type="paragraph">
    <w:name w:val="Heading 4"/>
    <w:basedOn w:val="Normal"/>
    <w:uiPriority w:val="1"/>
    <w:qFormat/>
    <w:pPr>
      <w:ind w:left="141"/>
      <w:outlineLvl w:val="4"/>
    </w:pPr>
    <w:rPr>
      <w:rFonts w:ascii="宋体" w:hAnsi="宋体" w:eastAsia="宋体"/>
      <w:b/>
      <w:bCs/>
      <w:sz w:val="22"/>
      <w:szCs w:val="22"/>
    </w:rPr>
  </w:style>
  <w:style w:styleId="Heading5" w:type="paragraph">
    <w:name w:val="Heading 5"/>
    <w:basedOn w:val="Normal"/>
    <w:uiPriority w:val="1"/>
    <w:qFormat/>
    <w:pPr>
      <w:ind w:left="141"/>
      <w:outlineLvl w:val="5"/>
    </w:pPr>
    <w:rPr>
      <w:rFonts w:ascii="宋体" w:hAnsi="宋体" w:eastAsia="宋体"/>
      <w:b/>
      <w:bCs/>
      <w:sz w:val="21"/>
      <w:szCs w:val="21"/>
    </w:rPr>
  </w:style>
  <w:style w:styleId="Heading6" w:type="paragraph">
    <w:name w:val="Heading 6"/>
    <w:basedOn w:val="Normal"/>
    <w:uiPriority w:val="1"/>
    <w:qFormat/>
    <w:pPr>
      <w:ind w:left="906" w:hanging="406"/>
      <w:outlineLvl w:val="6"/>
    </w:pPr>
    <w:rPr>
      <w:rFonts w:ascii="宋体" w:hAnsi="宋体" w:eastAsia="宋体"/>
      <w:sz w:val="21"/>
      <w:szCs w:val="21"/>
    </w:rPr>
  </w:style>
  <w:style w:styleId="Heading7" w:type="paragraph">
    <w:name w:val="Heading 7"/>
    <w:basedOn w:val="Normal"/>
    <w:uiPriority w:val="1"/>
    <w:qFormat/>
    <w:pPr>
      <w:spacing w:before="127"/>
      <w:ind w:left="501"/>
      <w:outlineLvl w:val="7"/>
    </w:pPr>
    <w:rPr>
      <w:rFonts w:ascii="宋体" w:hAnsi="宋体" w:eastAsia="宋体"/>
      <w:b/>
      <w:bCs/>
      <w:sz w:val="19"/>
      <w:szCs w:val="19"/>
    </w:rPr>
  </w:style>
  <w:style w:styleId="Heading8" w:type="paragraph">
    <w:name w:val="Heading 8"/>
    <w:basedOn w:val="Normal"/>
    <w:uiPriority w:val="1"/>
    <w:qFormat/>
    <w:pPr>
      <w:ind w:left="141"/>
      <w:outlineLvl w:val="8"/>
    </w:pPr>
    <w:rPr>
      <w:rFonts w:ascii="宋体" w:hAnsi="宋体" w:eastAsia="宋体"/>
      <w:sz w:val="19"/>
      <w:szCs w:val="19"/>
    </w:rPr>
  </w:style>
  <w:style w:styleId="Heading9" w:type="paragraph">
    <w:name w:val="Heading 9"/>
    <w:basedOn w:val="Normal"/>
    <w:uiPriority w:val="1"/>
    <w:qFormat/>
    <w:pPr>
      <w:ind w:left="501"/>
      <w:outlineLvl w:val="9"/>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shunyagroup.com/" TargetMode="External"/><Relationship Id="rId10" Type="http://schemas.openxmlformats.org/officeDocument/2006/relationships/hyperlink" Target="mailto:stock@shunyagroup.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header" Target="header7.xml"/><Relationship Id="rId24" Type="http://schemas.openxmlformats.org/officeDocument/2006/relationships/footer" Target="footer8.xml"/><Relationship Id="rId25" Type="http://schemas.openxmlformats.org/officeDocument/2006/relationships/header" Target="header8.xml"/><Relationship Id="rId26" Type="http://schemas.openxmlformats.org/officeDocument/2006/relationships/footer" Target="footer9.xml"/><Relationship Id="rId27" Type="http://schemas.openxmlformats.org/officeDocument/2006/relationships/header" Target="header9.xml"/><Relationship Id="rId28" Type="http://schemas.openxmlformats.org/officeDocument/2006/relationships/footer" Target="footer10.xml"/><Relationship Id="rId29" Type="http://schemas.openxmlformats.org/officeDocument/2006/relationships/header" Target="header10.xml"/><Relationship Id="rId30" Type="http://schemas.openxmlformats.org/officeDocument/2006/relationships/footer" Target="footer11.xml"/><Relationship Id="rId31" Type="http://schemas.openxmlformats.org/officeDocument/2006/relationships/header" Target="header11.xml"/><Relationship Id="rId32" Type="http://schemas.openxmlformats.org/officeDocument/2006/relationships/footer" Target="footer12.xml"/><Relationship Id="rId33" Type="http://schemas.openxmlformats.org/officeDocument/2006/relationships/image" Target="media/image3.png"/><Relationship Id="rId34" Type="http://schemas.openxmlformats.org/officeDocument/2006/relationships/hyperlink" Target="http://www.cninfo.co/" TargetMode="Externa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2.xml"/><Relationship Id="rId38" Type="http://schemas.openxmlformats.org/officeDocument/2006/relationships/footer" Target="footer15.xml"/><Relationship Id="rId39" Type="http://schemas.openxmlformats.org/officeDocument/2006/relationships/header" Target="header13.xml"/><Relationship Id="rId40" Type="http://schemas.openxmlformats.org/officeDocument/2006/relationships/footer" Target="footer16.xml"/><Relationship Id="rId41" Type="http://schemas.openxmlformats.org/officeDocument/2006/relationships/header" Target="header14.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header" Target="header15.xml"/><Relationship Id="rId47" Type="http://schemas.openxmlformats.org/officeDocument/2006/relationships/footer" Target="footer21.xml"/><Relationship Id="rId48"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宣亚国际营销科技（北京）股份有限公司</dc:creator>
  <dc:title>宣亚国际营销科技（北京）股份有限公司2019年年度报告全文</dc:title>
  <dcterms:created xsi:type="dcterms:W3CDTF">2020-05-19T04:08:20Z</dcterms:created>
  <dcterms:modified xsi:type="dcterms:W3CDTF">2020-05-19T04:08:20Z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Microsoft® Office Word 2007</vt:lpwstr>
  </property>
  <property fmtid="{D5CDD505-2E9C-101B-9397-08002B2CF9AE}" pid="4" name="LastSaved">
    <vt:filetime>2020-05-18T00:00:00Z</vt:filetime>
  </property>
</Properties>
</file>