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51.010025pt;width:481.9pt;height:.1pt;mso-position-horizontal-relative:page;mso-position-vertical-relative:page;z-index:0" coordorigin="1134,1020" coordsize="9638,2">
            <v:shape style="position:absolute;left:1134;top:1020;width:9638;height:2" coordorigin="1134,1020" coordsize="9638,0" path="m1134,1020l10772,102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57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410237" cy="10001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237" cy="1000125"/>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384" w:right="2382" w:firstLine="0"/>
        <w:jc w:val="center"/>
        <w:rPr>
          <w:rFonts w:ascii="宋体" w:hAnsi="宋体" w:cs="宋体" w:eastAsia="宋体" w:hint="default"/>
          <w:sz w:val="36"/>
          <w:szCs w:val="36"/>
        </w:rPr>
      </w:pPr>
      <w:r>
        <w:rPr>
          <w:rFonts w:ascii="宋体" w:hAnsi="宋体" w:cs="宋体" w:eastAsia="宋体" w:hint="default"/>
          <w:b/>
          <w:bCs/>
          <w:sz w:val="36"/>
          <w:szCs w:val="36"/>
        </w:rPr>
        <w:t>深圳市广和通无线股份有限公司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382" w:right="23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384" w:right="2382" w:firstLine="0"/>
        <w:jc w:val="center"/>
        <w:rPr>
          <w:rFonts w:ascii="Times New Roman" w:hAnsi="Times New Roman" w:cs="Times New Roman" w:eastAsia="Times New Roman" w:hint="default"/>
          <w:sz w:val="22"/>
          <w:szCs w:val="22"/>
        </w:rPr>
      </w:pPr>
      <w:r>
        <w:rPr>
          <w:rFonts w:ascii="Times New Roman"/>
          <w:b/>
          <w:sz w:val="22"/>
        </w:rPr>
        <w:t>2018-043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2382" w:right="23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1020"/>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公司负责人张天瑜、主管会计工作负责人陈仕江及会计机构负责人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王军飞声明：保证年度报告中财务报告的真实、准确、完整。</w:t>
      </w:r>
      <w:r>
        <w:rPr>
          <w:rFonts w:ascii="宋体" w:hAnsi="宋体" w:cs="宋体" w:eastAsia="宋体" w:hint="default"/>
          <w:sz w:val="28"/>
          <w:szCs w:val="28"/>
        </w:rPr>
      </w:r>
    </w:p>
    <w:p>
      <w:pPr>
        <w:spacing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随着车联网、智慧城市、智能家电、智能监控、可穿戴设备等智能领域的</w:t>
      </w:r>
      <w:r>
        <w:rPr>
          <w:rFonts w:ascii="宋体" w:hAnsi="宋体" w:cs="宋体" w:eastAsia="宋体" w:hint="default"/>
          <w:spacing w:val="2"/>
          <w:sz w:val="28"/>
          <w:szCs w:val="28"/>
        </w:rPr>
      </w:r>
    </w:p>
    <w:p>
      <w:pPr>
        <w:spacing w:line="408" w:lineRule="auto" w:before="16"/>
        <w:ind w:left="112" w:right="110" w:firstLine="0"/>
        <w:jc w:val="both"/>
        <w:rPr>
          <w:rFonts w:ascii="宋体" w:hAnsi="宋体" w:cs="宋体" w:eastAsia="宋体" w:hint="default"/>
          <w:sz w:val="28"/>
          <w:szCs w:val="28"/>
        </w:rPr>
      </w:pPr>
      <w:r>
        <w:rPr>
          <w:rFonts w:ascii="宋体" w:hAnsi="宋体" w:cs="宋体" w:eastAsia="宋体" w:hint="default"/>
          <w:b/>
          <w:bCs/>
          <w:spacing w:val="2"/>
          <w:sz w:val="28"/>
          <w:szCs w:val="28"/>
        </w:rPr>
        <w:t>拓展和开发，物联网产业规模将持续保持高速增长。未来持续高速增长的市场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规模将吸引更多的竞争者进入该领域，市场竞争程度将愈发激烈。针对新的行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业形势，公司一方面加大海外市场的拓展，增加新的盈利来源；另一方面，加</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大新行业的拓展，提高产品的行业覆盖率；同时，公司将持续加大研发投入，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快速实现技术的升级换代，提高产品竞争力。</w:t>
      </w:r>
      <w:r>
        <w:rPr>
          <w:rFonts w:ascii="宋体" w:hAnsi="宋体" w:cs="宋体" w:eastAsia="宋体" w:hint="default"/>
          <w:sz w:val="28"/>
          <w:szCs w:val="28"/>
        </w:rPr>
      </w:r>
    </w:p>
    <w:p>
      <w:pPr>
        <w:spacing w:line="448" w:lineRule="auto" w:before="162"/>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、集成芯片推广并量产替代公司主要产品无线通信模块的风险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随着半导体芯片制造工艺水平的飞速发展，集成电路性能大幅提升，一个</w:t>
      </w:r>
      <w:r>
        <w:rPr>
          <w:rFonts w:ascii="宋体" w:hAnsi="宋体" w:cs="宋体" w:eastAsia="宋体" w:hint="default"/>
          <w:spacing w:val="2"/>
          <w:sz w:val="28"/>
          <w:szCs w:val="28"/>
        </w:rPr>
      </w:r>
    </w:p>
    <w:p>
      <w:pPr>
        <w:spacing w:line="408" w:lineRule="auto" w:before="14"/>
        <w:ind w:left="112" w:right="110" w:firstLine="0"/>
        <w:jc w:val="both"/>
        <w:rPr>
          <w:rFonts w:ascii="宋体" w:hAnsi="宋体" w:cs="宋体" w:eastAsia="宋体" w:hint="default"/>
          <w:sz w:val="28"/>
          <w:szCs w:val="28"/>
        </w:rPr>
      </w:pPr>
      <w:r>
        <w:rPr>
          <w:rFonts w:ascii="宋体" w:hAnsi="宋体" w:cs="宋体" w:eastAsia="宋体" w:hint="default"/>
          <w:b/>
          <w:bCs/>
          <w:spacing w:val="2"/>
          <w:sz w:val="28"/>
          <w:szCs w:val="28"/>
        </w:rPr>
        <w:t>微处理器实现的功能越来越多。智能终端设备的集成度随之越来越高，功能越</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来越多。但目前有部分半导体芯片厂商已推出带无线通信功能的集成芯片，如</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果此类集成芯片大规模应用于物联网设备终端，公司现有的主营业务无线通信</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模块产品销售将受到一定冲击。</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1016" w:header="787" w:top="1100" w:bottom="1200" w:left="1020" w:right="1020"/>
          <w:pgNumType w:start="2"/>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line="405" w:lineRule="auto" w:before="14"/>
        <w:ind w:left="112" w:right="107" w:firstLine="561"/>
        <w:jc w:val="both"/>
        <w:rPr>
          <w:rFonts w:ascii="宋体" w:hAnsi="宋体" w:cs="宋体" w:eastAsia="宋体" w:hint="default"/>
          <w:sz w:val="28"/>
          <w:szCs w:val="28"/>
        </w:rPr>
      </w:pPr>
      <w:r>
        <w:rPr>
          <w:rFonts w:ascii="宋体" w:hAnsi="宋体" w:cs="宋体" w:eastAsia="宋体" w:hint="default"/>
          <w:b/>
          <w:bCs/>
          <w:spacing w:val="2"/>
          <w:sz w:val="28"/>
          <w:szCs w:val="28"/>
        </w:rPr>
        <w:t>针对以上风险，本公司认为，非集成应用处理功能的基带芯片是目前大部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分终端设备采用的主流方案，集成应用处理功能的基带芯片目前主要应用于智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能手机和部分平板电脑市场。前者的硬件方案具有应用处理功能较强、灵活度</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较高、市场响应速度较快等特点，后者的硬件方案具有功耗较低、研发投入成</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本高、规模化后生产成本较低等特点，两者因各自特点适用于不同的应用领域</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和终端设备，未来后者的硬件方案不会必然对公司的产品形成大规模替代。同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时，公司</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年已开始投入基于</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SOC</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2"/>
          <w:sz w:val="28"/>
          <w:szCs w:val="28"/>
        </w:rPr>
        <w:t>解决方案的研发，截止目前已实现部分</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产品的量产，随着募集资金的到位，公司将进一步加大研发力度，提高模块和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解决方案产品的组合能力，更好的满足客户需求，从而有效降低潜在风险。</w:t>
      </w:r>
      <w:r>
        <w:rPr>
          <w:rFonts w:ascii="宋体" w:hAnsi="宋体" w:cs="宋体" w:eastAsia="宋体" w:hint="default"/>
          <w:sz w:val="28"/>
          <w:szCs w:val="28"/>
        </w:rPr>
      </w:r>
    </w:p>
    <w:p>
      <w:pPr>
        <w:spacing w:line="448" w:lineRule="auto" w:before="162"/>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、核心技术人员流失与核心技术失密的风险</w:t>
      </w:r>
      <w:r>
        <w:rPr>
          <w:rFonts w:ascii="宋体" w:hAnsi="宋体" w:cs="宋体" w:eastAsia="宋体" w:hint="default"/>
          <w:b/>
          <w:bCs/>
          <w:w w:val="99"/>
          <w:sz w:val="28"/>
          <w:szCs w:val="28"/>
        </w:rPr>
        <w:t> </w:t>
      </w:r>
      <w:r>
        <w:rPr>
          <w:rFonts w:ascii="宋体" w:hAnsi="宋体" w:cs="宋体" w:eastAsia="宋体" w:hint="default"/>
          <w:b/>
          <w:bCs/>
          <w:sz w:val="28"/>
          <w:szCs w:val="28"/>
        </w:rPr>
        <w:t>无线通信模块及应用解决方案的研发设计属于技术密集型，公司</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50%</w:t>
      </w:r>
      <w:r>
        <w:rPr>
          <w:rFonts w:ascii="宋体" w:hAnsi="宋体" w:cs="宋体" w:eastAsia="宋体" w:hint="default"/>
          <w:b/>
          <w:bCs/>
          <w:sz w:val="28"/>
          <w:szCs w:val="28"/>
        </w:rPr>
        <w:t>以上</w:t>
      </w:r>
      <w:r>
        <w:rPr>
          <w:rFonts w:ascii="宋体" w:hAnsi="宋体" w:cs="宋体" w:eastAsia="宋体" w:hint="default"/>
          <w:sz w:val="28"/>
          <w:szCs w:val="28"/>
        </w:rPr>
      </w:r>
    </w:p>
    <w:p>
      <w:pPr>
        <w:spacing w:line="333"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的人员为研发人员。核心技术人员稳定与否对公司的正常经营和持续发展存在</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12" w:right="108" w:firstLine="0"/>
        <w:jc w:val="left"/>
        <w:rPr>
          <w:rFonts w:ascii="宋体" w:hAnsi="宋体" w:cs="宋体" w:eastAsia="宋体" w:hint="default"/>
          <w:sz w:val="28"/>
          <w:szCs w:val="28"/>
        </w:rPr>
      </w:pPr>
      <w:r>
        <w:rPr>
          <w:rFonts w:ascii="宋体" w:hAnsi="宋体" w:cs="宋体" w:eastAsia="宋体" w:hint="default"/>
          <w:b/>
          <w:bCs/>
          <w:spacing w:val="2"/>
          <w:sz w:val="28"/>
          <w:szCs w:val="28"/>
        </w:rPr>
        <w:t>较大影响。若未来发生较大规模的核心技术人员流失或核心技术外泄，将对公</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司产品的研发进程、技术领先地位及生产经营活动产生不利影响。</w:t>
      </w:r>
      <w:r>
        <w:rPr>
          <w:rFonts w:ascii="宋体" w:hAnsi="宋体" w:cs="宋体" w:eastAsia="宋体" w:hint="default"/>
          <w:sz w:val="28"/>
          <w:szCs w:val="28"/>
        </w:rPr>
      </w:r>
    </w:p>
    <w:p>
      <w:pPr>
        <w:spacing w:line="405" w:lineRule="auto" w:before="162"/>
        <w:ind w:left="112" w:right="107" w:firstLine="561"/>
        <w:jc w:val="both"/>
        <w:rPr>
          <w:rFonts w:ascii="宋体" w:hAnsi="宋体" w:cs="宋体" w:eastAsia="宋体" w:hint="default"/>
          <w:sz w:val="28"/>
          <w:szCs w:val="28"/>
        </w:rPr>
      </w:pPr>
      <w:r>
        <w:rPr>
          <w:rFonts w:ascii="宋体" w:hAnsi="宋体" w:cs="宋体" w:eastAsia="宋体" w:hint="default"/>
          <w:b/>
          <w:bCs/>
          <w:spacing w:val="-3"/>
          <w:sz w:val="28"/>
          <w:szCs w:val="28"/>
        </w:rPr>
        <w:t>针对上述风险，公司采取了一系列措施：一方面，自</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2013</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3"/>
          <w:sz w:val="28"/>
          <w:szCs w:val="28"/>
        </w:rPr>
        <w:t>年以来，公司多</w:t>
      </w:r>
      <w:r>
        <w:rPr>
          <w:rFonts w:ascii="宋体" w:hAnsi="宋体" w:cs="宋体" w:eastAsia="宋体" w:hint="default"/>
          <w:b/>
          <w:bCs/>
          <w:w w:val="99"/>
          <w:sz w:val="28"/>
          <w:szCs w:val="28"/>
        </w:rPr>
        <w:t> </w:t>
      </w:r>
      <w:r>
        <w:rPr>
          <w:rFonts w:ascii="宋体" w:hAnsi="宋体" w:cs="宋体" w:eastAsia="宋体" w:hint="default"/>
          <w:b/>
          <w:bCs/>
          <w:spacing w:val="2"/>
          <w:sz w:val="28"/>
          <w:szCs w:val="28"/>
        </w:rPr>
        <w:t>次通过深圳市广和创通投资企业（有限合伙）对核心技术人员进行股权激励，</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随着公司上市，后续的股权激励将持续有效进行。另一方面，对现有的核心技</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7"/>
          <w:w w:val="99"/>
          <w:sz w:val="28"/>
          <w:szCs w:val="28"/>
        </w:rPr>
        <w:t>术人员均已签署《保密协议》和《竞业禁止协议》，协议中不仅严格规定了核心</w:t>
      </w:r>
      <w:r>
        <w:rPr>
          <w:rFonts w:ascii="宋体" w:hAnsi="宋体" w:cs="宋体" w:eastAsia="宋体" w:hint="default"/>
          <w:b/>
          <w:bCs/>
          <w:spacing w:val="-110"/>
          <w:w w:val="99"/>
          <w:sz w:val="28"/>
          <w:szCs w:val="28"/>
        </w:rPr>
        <w:t> </w:t>
      </w:r>
      <w:r>
        <w:rPr>
          <w:rFonts w:ascii="宋体" w:hAnsi="宋体" w:cs="宋体" w:eastAsia="宋体" w:hint="default"/>
          <w:b/>
          <w:bCs/>
          <w:spacing w:val="-110"/>
          <w:w w:val="99"/>
          <w:sz w:val="28"/>
          <w:szCs w:val="28"/>
        </w:rPr>
      </w:r>
      <w:r>
        <w:rPr>
          <w:rFonts w:ascii="宋体" w:hAnsi="宋体" w:cs="宋体" w:eastAsia="宋体" w:hint="default"/>
          <w:b/>
          <w:bCs/>
          <w:spacing w:val="2"/>
          <w:sz w:val="28"/>
          <w:szCs w:val="28"/>
        </w:rPr>
        <w:t>技术人员的保密义务，而且对相关核心技术人员离职后作出严格的竞业限制规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定；并不断优化软件，以及日常管理的保密制度，有效降低技术泄密的风险。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同时，公司及时申报各项专利，加强知识产权保护。</w:t>
      </w:r>
      <w:r>
        <w:rPr>
          <w:rFonts w:ascii="宋体" w:hAnsi="宋体" w:cs="宋体" w:eastAsia="宋体" w:hint="default"/>
          <w:sz w:val="28"/>
          <w:szCs w:val="28"/>
        </w:rPr>
      </w:r>
    </w:p>
    <w:p>
      <w:pPr>
        <w:spacing w:after="0" w:line="405" w:lineRule="auto"/>
        <w:jc w:val="both"/>
        <w:rPr>
          <w:rFonts w:ascii="宋体" w:hAnsi="宋体" w:cs="宋体" w:eastAsia="宋体" w:hint="default"/>
          <w:sz w:val="28"/>
          <w:szCs w:val="28"/>
        </w:rPr>
        <w:sectPr>
          <w:pgSz w:w="11910" w:h="16840"/>
          <w:pgMar w:header="787" w:footer="1016" w:top="1100" w:bottom="1200" w:left="1020" w:right="1020"/>
        </w:sectPr>
      </w:pPr>
    </w:p>
    <w:p>
      <w:pPr>
        <w:spacing w:line="240" w:lineRule="auto" w:before="0"/>
        <w:rPr>
          <w:rFonts w:ascii="宋体" w:hAnsi="宋体" w:cs="宋体" w:eastAsia="宋体" w:hint="default"/>
          <w:b/>
          <w:bCs/>
          <w:sz w:val="20"/>
          <w:szCs w:val="20"/>
        </w:rPr>
      </w:pPr>
    </w:p>
    <w:p>
      <w:pPr>
        <w:spacing w:line="446" w:lineRule="auto" w:before="158"/>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、汇率波动风险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随着公司业务扩张，将会形成多币种的外币结算方式，人民币汇率的波动</w:t>
      </w:r>
      <w:r>
        <w:rPr>
          <w:rFonts w:ascii="宋体" w:hAnsi="宋体" w:cs="宋体" w:eastAsia="宋体" w:hint="default"/>
          <w:spacing w:val="2"/>
          <w:sz w:val="28"/>
          <w:szCs w:val="28"/>
        </w:rPr>
      </w:r>
    </w:p>
    <w:p>
      <w:pPr>
        <w:spacing w:before="16"/>
        <w:ind w:left="112" w:right="0" w:firstLine="0"/>
        <w:jc w:val="both"/>
        <w:rPr>
          <w:rFonts w:ascii="宋体" w:hAnsi="宋体" w:cs="宋体" w:eastAsia="宋体" w:hint="default"/>
          <w:sz w:val="28"/>
          <w:szCs w:val="28"/>
        </w:rPr>
      </w:pPr>
      <w:r>
        <w:rPr>
          <w:rFonts w:ascii="宋体" w:hAnsi="宋体" w:cs="宋体" w:eastAsia="宋体" w:hint="default"/>
          <w:b/>
          <w:bCs/>
          <w:sz w:val="28"/>
          <w:szCs w:val="28"/>
        </w:rPr>
        <w:t>对公司经营成果存在一定影响。</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、应收账款金额较大的风险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4"/>
          <w:sz w:val="28"/>
          <w:szCs w:val="28"/>
        </w:rPr>
        <w:t>年末及</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6"/>
          <w:sz w:val="28"/>
          <w:szCs w:val="28"/>
        </w:rPr>
        <w:t>年末，公司的应收账款账面价值分别为</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5,807.41</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4"/>
          <w:sz w:val="28"/>
          <w:szCs w:val="28"/>
        </w:rPr>
        <w:t>万元和</w:t>
      </w:r>
      <w:r>
        <w:rPr>
          <w:rFonts w:ascii="宋体" w:hAnsi="宋体" w:cs="宋体" w:eastAsia="宋体" w:hint="default"/>
          <w:spacing w:val="4"/>
          <w:sz w:val="28"/>
          <w:szCs w:val="28"/>
        </w:rPr>
      </w:r>
    </w:p>
    <w:p>
      <w:pPr>
        <w:spacing w:line="403" w:lineRule="auto" w:before="236"/>
        <w:ind w:left="112" w:right="11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20,536.68</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万元，占营业收入的比例分别为</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16.86%</w:t>
      </w:r>
      <w:r>
        <w:rPr>
          <w:rFonts w:ascii="宋体" w:hAnsi="宋体" w:cs="宋体" w:eastAsia="宋体" w:hint="default"/>
          <w:b/>
          <w:bCs/>
          <w:sz w:val="28"/>
          <w:szCs w:val="28"/>
        </w:rPr>
        <w:t>和</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36.46%</w:t>
      </w:r>
      <w:r>
        <w:rPr>
          <w:rFonts w:ascii="宋体" w:hAnsi="宋体" w:cs="宋体" w:eastAsia="宋体" w:hint="default"/>
          <w:b/>
          <w:bCs/>
          <w:sz w:val="28"/>
          <w:szCs w:val="28"/>
        </w:rPr>
        <w:t>。报告期内，随着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公司在国内及海外市场的拓展，大客户的批量发货，公司的应收账款余额可能</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会继续增大。本公司制定了较完善的应收账款管理制度和回款管控措施，且面</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对的都是国内及海外知名企业，但由于应收账款金额较大，若客户出现偿债风</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险，公司的财务状况将受到较大影响。</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40"/>
          <w:szCs w:val="40"/>
        </w:rPr>
      </w:pPr>
    </w:p>
    <w:p>
      <w:pPr>
        <w:spacing w:before="0"/>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w:t>
      </w:r>
      <w:r>
        <w:rPr>
          <w:rFonts w:ascii="宋体" w:hAnsi="宋体" w:cs="宋体" w:eastAsia="宋体" w:hint="default"/>
          <w:b/>
          <w:bCs/>
          <w:spacing w:val="-62"/>
          <w:sz w:val="28"/>
          <w:szCs w:val="28"/>
        </w:rPr>
        <w:t> </w:t>
      </w:r>
      <w:r>
        <w:rPr>
          <w:rFonts w:ascii="Times New Roman" w:hAnsi="Times New Roman" w:cs="Times New Roman" w:eastAsia="Times New Roman" w:hint="default"/>
          <w:b/>
          <w:bCs/>
          <w:sz w:val="28"/>
          <w:szCs w:val="28"/>
        </w:rPr>
        <w:t>80,000,000</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2"/>
          <w:sz w:val="28"/>
          <w:szCs w:val="28"/>
        </w:rPr>
        <w:t>股为基数，</w:t>
      </w:r>
      <w:r>
        <w:rPr>
          <w:rFonts w:ascii="宋体" w:hAnsi="宋体" w:cs="宋体" w:eastAsia="宋体" w:hint="default"/>
          <w:spacing w:val="2"/>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spacing w:val="-1"/>
          <w:w w:val="99"/>
          <w:sz w:val="28"/>
          <w:szCs w:val="28"/>
        </w:rPr>
        <w:t>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87" w:footer="1016"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2382" w:right="238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0"/>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2" w:val="right" w:leader="dot"/>
            </w:tabs>
            <w:spacing w:line="240" w:lineRule="auto" w:before="274"/>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42" w:val="right" w:leader="dot"/>
            </w:tabs>
            <w:spacing w:line="240" w:lineRule="auto" w:before="274"/>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66</w:t>
            </w:r>
            <w:r>
              <w:rPr>
                <w:rFonts w:ascii="Times New Roman" w:hAnsi="Times New Roman" w:cs="Times New Roman" w:eastAsia="Times New Roman" w:hint="default"/>
                <w:b w:val="0"/>
                <w:bCs w:val="0"/>
              </w:rPr>
            </w:r>
          </w:hyperlink>
        </w:p>
        <w:p>
          <w:pPr>
            <w:pStyle w:val="TOC1"/>
            <w:tabs>
              <w:tab w:pos="9742" w:val="right" w:leader="dot"/>
            </w:tabs>
            <w:spacing w:line="240" w:lineRule="auto" w:before="274"/>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77</w:t>
            </w:r>
            <w:r>
              <w:rPr>
                <w:rFonts w:ascii="Times New Roman" w:hAnsi="Times New Roman" w:cs="Times New Roman" w:eastAsia="Times New Roman" w:hint="default"/>
                <w:b w:val="0"/>
                <w:bCs w:val="0"/>
              </w:rPr>
            </w:r>
          </w:hyperlink>
        </w:p>
        <w:p>
          <w:pPr>
            <w:pStyle w:val="TOC1"/>
            <w:tabs>
              <w:tab w:pos="9742" w:val="right" w:leader="dot"/>
            </w:tabs>
            <w:spacing w:line="240" w:lineRule="auto" w:before="274"/>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78</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7" w:footer="1016" w:top="1100" w:bottom="1200" w:left="1020" w:right="1020"/>
        </w:sectPr>
      </w:pPr>
    </w:p>
    <w:p>
      <w:pPr>
        <w:spacing w:before="908"/>
        <w:ind w:left="2382" w:right="238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6"/>
          <w:szCs w:val="16"/>
        </w:rPr>
      </w:pPr>
    </w:p>
    <w:p>
      <w:pPr>
        <w:pStyle w:val="BodyText"/>
        <w:spacing w:line="240" w:lineRule="auto"/>
        <w:ind w:left="0" w:right="121"/>
        <w:jc w:val="right"/>
      </w:pPr>
      <w:r>
        <w:rPr/>
        <w:pict>
          <v:shape style="position:absolute;margin-left:56.459999pt;margin-top:-286.497284pt;width:479.2pt;height:596.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公司、本公司、广和通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广和通实业（香港）有限公司，系本公司全资子公司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浙江诺控通信技术有限公司，系本公司全资子公司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英特尔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INTEL </w:t>
                        </w:r>
                        <w:r>
                          <w:rPr>
                            <w:rFonts w:ascii="Times New Roman" w:hAnsi="Times New Roman" w:cs="Times New Roman" w:eastAsia="Times New Roman" w:hint="default"/>
                            <w:spacing w:val="-3"/>
                            <w:sz w:val="18"/>
                            <w:szCs w:val="18"/>
                          </w:rPr>
                          <w:t>CORPORATION</w:t>
                        </w:r>
                        <w:r>
                          <w:rPr>
                            <w:rFonts w:ascii="宋体" w:hAnsi="宋体" w:cs="宋体" w:eastAsia="宋体" w:hint="default"/>
                            <w:spacing w:val="-3"/>
                            <w:sz w:val="18"/>
                            <w:szCs w:val="18"/>
                          </w:rPr>
                          <w:t>，美国纳斯达克证券交易市场上市公司，全球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主要半导体集成电路供应商之一，公司持股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 体（大连）有限公司的控股股东。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r>
                          <w:rPr>
                            <w:rFonts w:ascii="宋体" w:hAnsi="宋体" w:cs="宋体" w:eastAsia="宋体" w:hint="default"/>
                            <w:spacing w:val="-89"/>
                            <w:sz w:val="18"/>
                            <w:szCs w:val="18"/>
                          </w:rPr>
                          <w:t>）</w:t>
                        </w:r>
                        <w:r>
                          <w:rPr>
                            <w:rFonts w:ascii="宋体" w:hAnsi="宋体" w:cs="宋体" w:eastAsia="宋体" w:hint="default"/>
                            <w:sz w:val="18"/>
                            <w:szCs w:val="18"/>
                          </w:rPr>
                          <w:t>，公司持股</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以上股东</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本公司第一大股东张天瑜，直接持有本公司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4,005.00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万股，占公司总</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50.0625%</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博格斯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深圳市博格斯通信技术有限公司，系本公司联营公司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IOT</w:t>
                        </w:r>
                        <w:r>
                          <w:rPr>
                            <w:rFonts w:ascii="宋体" w:hAnsi="宋体" w:cs="宋体" w:eastAsia="宋体" w:hint="default"/>
                            <w:sz w:val="18"/>
                            <w:szCs w:val="18"/>
                          </w:rPr>
                          <w:t>（</w:t>
                        </w:r>
                        <w:r>
                          <w:rPr>
                            <w:rFonts w:ascii="Times New Roman" w:hAnsi="Times New Roman" w:cs="Times New Roman" w:eastAsia="Times New Roman" w:hint="default"/>
                            <w:sz w:val="18"/>
                            <w:szCs w:val="18"/>
                          </w:rPr>
                          <w:t>Internet of</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）通过信息传感设备，按约定的协议把任何物 </w:t>
                        </w:r>
                        <w:r>
                          <w:rPr>
                            <w:rFonts w:ascii="宋体" w:hAnsi="宋体" w:cs="宋体" w:eastAsia="宋体" w:hint="default"/>
                            <w:spacing w:val="-5"/>
                            <w:sz w:val="18"/>
                            <w:szCs w:val="18"/>
                          </w:rPr>
                          <w:t>品与互联网相连接，进行信息交换和通信，以实现智能化识别、定位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跟踪、监控和管理的一种网络。</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pacing w:val="-1"/>
                            <w:w w:val="99"/>
                            <w:sz w:val="18"/>
                            <w:szCs w:val="18"/>
                          </w:rPr>
                          <w:t>移动互联网（</w:t>
                        </w:r>
                        <w:r>
                          <w:rPr>
                            <w:rFonts w:ascii="Times New Roman" w:hAnsi="Times New Roman" w:cs="Times New Roman" w:eastAsia="Times New Roman" w:hint="default"/>
                            <w:spacing w:val="-1"/>
                            <w:w w:val="99"/>
                            <w:sz w:val="18"/>
                            <w:szCs w:val="18"/>
                          </w:rPr>
                          <w:t>Mobile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w w:val="99"/>
                            <w:sz w:val="18"/>
                            <w:szCs w:val="18"/>
                          </w:rPr>
                          <w:t>Internet</w:t>
                        </w:r>
                        <w:r>
                          <w:rPr>
                            <w:rFonts w:ascii="宋体" w:hAnsi="宋体" w:cs="宋体" w:eastAsia="宋体" w:hint="default"/>
                            <w:spacing w:val="-4"/>
                            <w:w w:val="99"/>
                            <w:sz w:val="18"/>
                            <w:szCs w:val="18"/>
                          </w:rPr>
                          <w:t>），是指互联网的技术、平台、商业模式</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z w:val="18"/>
                            <w:szCs w:val="18"/>
                          </w:rPr>
                          <w:t>和应用与移动通信技术结合并实践的活动的总称。</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M2M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21"/>
                          <w:jc w:val="left"/>
                          <w:rPr>
                            <w:rFonts w:ascii="宋体" w:hAnsi="宋体" w:cs="宋体" w:eastAsia="宋体" w:hint="default"/>
                            <w:sz w:val="18"/>
                            <w:szCs w:val="18"/>
                          </w:rPr>
                        </w:pPr>
                        <w:r>
                          <w:rPr>
                            <w:rFonts w:ascii="宋体" w:hAnsi="宋体" w:cs="宋体" w:eastAsia="宋体" w:hint="default"/>
                            <w:w w:val="99"/>
                            <w:sz w:val="18"/>
                            <w:szCs w:val="18"/>
                          </w:rPr>
                          <w:t>机器间通信（</w:t>
                        </w:r>
                        <w:r>
                          <w:rPr>
                            <w:rFonts w:ascii="Times New Roman" w:hAnsi="Times New Roman" w:cs="Times New Roman" w:eastAsia="Times New Roman" w:hint="default"/>
                            <w:w w:val="99"/>
                            <w:sz w:val="18"/>
                            <w:szCs w:val="18"/>
                          </w:rPr>
                          <w:t>Machine </w:t>
                        </w:r>
                        <w:r>
                          <w:rPr>
                            <w:rFonts w:ascii="Times New Roman" w:hAnsi="Times New Roman" w:cs="Times New Roman" w:eastAsia="Times New Roman" w:hint="default"/>
                            <w:w w:val="99"/>
                            <w:sz w:val="18"/>
                            <w:szCs w:val="18"/>
                          </w:rPr>
                          <w:t>to </w:t>
                        </w:r>
                        <w:r>
                          <w:rPr>
                            <w:rFonts w:ascii="Times New Roman" w:hAnsi="Times New Roman" w:cs="Times New Roman" w:eastAsia="Times New Roman" w:hint="default"/>
                            <w:spacing w:val="-5"/>
                            <w:w w:val="99"/>
                            <w:sz w:val="18"/>
                            <w:szCs w:val="18"/>
                          </w:rPr>
                          <w:t>Machine</w:t>
                        </w:r>
                        <w:r>
                          <w:rPr>
                            <w:rFonts w:ascii="宋体" w:hAnsi="宋体" w:cs="宋体" w:eastAsia="宋体" w:hint="default"/>
                            <w:spacing w:val="-5"/>
                            <w:w w:val="99"/>
                            <w:sz w:val="18"/>
                            <w:szCs w:val="18"/>
                          </w:rPr>
                          <w:t>），或者叫做</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人机交互</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Man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to</w:t>
                        </w:r>
                        <w:r>
                          <w:rPr>
                            <w:rFonts w:ascii="Times New Roman" w:hAnsi="Times New Roman" w:cs="Times New Roman" w:eastAsia="Times New Roman" w:hint="default"/>
                            <w:spacing w:val="-28"/>
                            <w:w w:val="99"/>
                            <w:sz w:val="18"/>
                            <w:szCs w:val="18"/>
                          </w:rPr>
                          <w:t> </w:t>
                        </w:r>
                        <w:r>
                          <w:rPr>
                            <w:rFonts w:ascii="Times New Roman" w:hAnsi="Times New Roman" w:cs="Times New Roman" w:eastAsia="Times New Roman" w:hint="default"/>
                            <w:spacing w:val="-28"/>
                            <w:w w:val="99"/>
                            <w:sz w:val="18"/>
                            <w:szCs w:val="18"/>
                          </w:rPr>
                        </w:r>
                        <w:r>
                          <w:rPr>
                            <w:rFonts w:ascii="Times New Roman" w:hAnsi="Times New Roman" w:cs="Times New Roman" w:eastAsia="Times New Roman" w:hint="default"/>
                            <w:spacing w:val="-4"/>
                            <w:w w:val="99"/>
                            <w:sz w:val="18"/>
                            <w:szCs w:val="18"/>
                          </w:rPr>
                          <w:t>Machine</w:t>
                        </w:r>
                        <w:r>
                          <w:rPr>
                            <w:rFonts w:ascii="宋体" w:hAnsi="宋体" w:cs="宋体" w:eastAsia="宋体" w:hint="default"/>
                            <w:spacing w:val="-4"/>
                            <w:w w:val="99"/>
                            <w:sz w:val="18"/>
                            <w:szCs w:val="18"/>
                          </w:rPr>
                          <w:t>），是实现终端机器设备之间的组网、通信以及信息处理与控</w:t>
                        </w:r>
                        <w:r>
                          <w:rPr>
                            <w:rFonts w:ascii="宋体" w:hAnsi="宋体" w:cs="宋体" w:eastAsia="宋体" w:hint="default"/>
                            <w:spacing w:val="-78"/>
                            <w:w w:val="99"/>
                            <w:sz w:val="18"/>
                            <w:szCs w:val="18"/>
                          </w:rPr>
                          <w:t> </w:t>
                        </w:r>
                        <w:r>
                          <w:rPr>
                            <w:rFonts w:ascii="宋体" w:hAnsi="宋体" w:cs="宋体" w:eastAsia="宋体" w:hint="default"/>
                            <w:spacing w:val="-78"/>
                            <w:w w:val="99"/>
                            <w:sz w:val="18"/>
                            <w:szCs w:val="18"/>
                          </w:rPr>
                        </w:r>
                        <w:r>
                          <w:rPr>
                            <w:rFonts w:ascii="宋体" w:hAnsi="宋体" w:cs="宋体" w:eastAsia="宋体" w:hint="default"/>
                            <w:spacing w:val="-2"/>
                            <w:sz w:val="18"/>
                            <w:szCs w:val="18"/>
                          </w:rPr>
                          <w:t>制功能的所有相关技术的总称，以实现人与机器、机器与机器间的通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信与控制</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以汽车为主体的物联网的简称，是指在车辆通过无线通信技术或射频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技术，实现车辆与信息网络平台之间、车辆与车辆之间、车辆与其他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设备之间、车辆与人之间的互联互通，从而实现对车辆的监控、大数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据的共享分析、甚至自动驾驶等各类业务。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智能电网指的是传统电网与现代传感测量技术、通信技术、计算机技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术、控制技术、新材料技术高度融合而形成的新一代电力系统。</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是一种以无线通信技术为基础，广泛应用在零售业、餐饮业、旅馆等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行业的电子系统，用于某个销售点的销售信息的归集和资金、商品收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支的记录，与交易平台的结算系统相联。</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第二代移动通信技术，包含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GSM</w:t>
                        </w:r>
                        <w:r>
                          <w:rPr>
                            <w:rFonts w:ascii="宋体" w:hAnsi="宋体" w:cs="宋体" w:eastAsia="宋体" w:hint="default"/>
                            <w:sz w:val="18"/>
                            <w:szCs w:val="18"/>
                          </w:rPr>
                          <w:t>、</w:t>
                        </w:r>
                        <w:r>
                          <w:rPr>
                            <w:rFonts w:ascii="Times New Roman" w:hAnsi="Times New Roman" w:cs="Times New Roman" w:eastAsia="Times New Roman" w:hint="default"/>
                            <w:sz w:val="18"/>
                            <w:szCs w:val="18"/>
                          </w:rPr>
                          <w:t>GPRS</w:t>
                        </w:r>
                        <w:r>
                          <w:rPr>
                            <w:rFonts w:ascii="宋体" w:hAnsi="宋体" w:cs="宋体" w:eastAsia="宋体" w:hint="default"/>
                            <w:sz w:val="18"/>
                            <w:szCs w:val="18"/>
                          </w:rPr>
                          <w:t>、</w:t>
                        </w:r>
                        <w:r>
                          <w:rPr>
                            <w:rFonts w:ascii="Times New Roman" w:hAnsi="Times New Roman" w:cs="Times New Roman" w:eastAsia="Times New Roman" w:hint="default"/>
                            <w:sz w:val="18"/>
                            <w:szCs w:val="18"/>
                          </w:rPr>
                          <w:t>EDGE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等技术。</w:t>
                        </w:r>
                      </w:p>
                    </w:tc>
                  </w:tr>
                </w:tbl>
                <w:p>
                  <w:pPr/>
                </w:p>
              </w:txbxContent>
            </v:textbox>
            <w10:wrap type="none"/>
          </v:shape>
        </w:pict>
      </w:r>
      <w:r>
        <w:rPr/>
        <w:t>、</w:t>
      </w:r>
    </w:p>
    <w:p>
      <w:pPr>
        <w:spacing w:after="0" w:line="240" w:lineRule="auto"/>
        <w:jc w:val="righ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44"/>
        <w:ind w:left="0" w:right="121"/>
        <w:jc w:val="right"/>
      </w:pPr>
      <w:r>
        <w:rPr/>
        <w:pict>
          <v:shape style="position:absolute;margin-left:56.459999pt;margin-top:-194.938278pt;width:479.2pt;height:34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24"/>
                  </w:tblGrid>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第三代移动通信技术，包括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WCDMA</w:t>
                        </w:r>
                        <w:r>
                          <w:rPr>
                            <w:rFonts w:ascii="宋体" w:hAnsi="宋体" w:cs="宋体" w:eastAsia="宋体" w:hint="default"/>
                            <w:sz w:val="18"/>
                            <w:szCs w:val="18"/>
                          </w:rPr>
                          <w:t>、</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TDSCDMA</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HSPA</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HSPA+</w:t>
                        </w:r>
                        <w:r>
                          <w:rPr>
                            <w:rFonts w:ascii="宋体" w:hAnsi="宋体" w:cs="宋体" w:eastAsia="宋体" w:hint="default"/>
                            <w:spacing w:val="-4"/>
                            <w:sz w:val="18"/>
                            <w:szCs w:val="18"/>
                          </w:rPr>
                          <w:t>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第四代移动通信技术，包括</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TDD-LTE</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FDD-LTE</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WIMAX</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UMB</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等。</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NB-IoT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Narrow Band Internet of</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，基于蜂窝的窄带物联网。</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4"/>
                            <w:sz w:val="18"/>
                          </w:rPr>
                          <w:t>LPWAN</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Low-Power Wide-Area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Network</w:t>
                        </w:r>
                        <w:r>
                          <w:rPr>
                            <w:rFonts w:ascii="宋体" w:hAnsi="宋体" w:cs="宋体" w:eastAsia="宋体" w:hint="default"/>
                            <w:spacing w:val="-3"/>
                            <w:sz w:val="18"/>
                            <w:szCs w:val="18"/>
                          </w:rPr>
                          <w:t>，低功耗广域接入网，是为物联网应用</w:t>
                        </w:r>
                        <w:r>
                          <w:rPr>
                            <w:rFonts w:ascii="宋体" w:hAnsi="宋体" w:cs="宋体" w:eastAsia="宋体" w:hint="default"/>
                            <w:sz w:val="18"/>
                            <w:szCs w:val="18"/>
                          </w:rPr>
                          <w:t> 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M2M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通信场景优化的，低速率、超低功耗、低占空比的，支持 远距离的蜂窝汇聚网关的远程无线网络通讯技术。</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eMTC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enhanced Machine </w:t>
                        </w:r>
                        <w:r>
                          <w:rPr>
                            <w:rFonts w:ascii="Times New Roman" w:hAnsi="Times New Roman" w:cs="Times New Roman" w:eastAsia="Times New Roman" w:hint="default"/>
                            <w:spacing w:val="-3"/>
                            <w:sz w:val="18"/>
                            <w:szCs w:val="18"/>
                          </w:rPr>
                          <w:t>Type</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，即增强机器类通信，是物联 </w:t>
                        </w:r>
                        <w:r>
                          <w:rPr>
                            <w:rFonts w:ascii="宋体" w:hAnsi="宋体" w:cs="宋体" w:eastAsia="宋体" w:hint="default"/>
                            <w:spacing w:val="-2"/>
                            <w:sz w:val="18"/>
                            <w:szCs w:val="18"/>
                          </w:rPr>
                          <w:t>网的一种应用场景，超可靠低时延，侧重点主要体现物与物之间的通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信需求。</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LTE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Long </w:t>
                        </w:r>
                        <w:r>
                          <w:rPr>
                            <w:rFonts w:ascii="Times New Roman" w:hAnsi="Times New Roman" w:cs="Times New Roman" w:eastAsia="Times New Roman" w:hint="default"/>
                            <w:spacing w:val="-3"/>
                            <w:sz w:val="18"/>
                            <w:szCs w:val="18"/>
                          </w:rPr>
                          <w:t>Term</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，分时长期演进技术，属于第四代移动通信技术 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技术具有更高的数据速率、更低的网络延迟、更广阔的覆盖范 围以及向下兼容优势等。</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GPS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left"/>
                          <w:rPr>
                            <w:rFonts w:ascii="宋体" w:hAnsi="宋体" w:cs="宋体" w:eastAsia="宋体" w:hint="default"/>
                            <w:sz w:val="18"/>
                            <w:szCs w:val="18"/>
                          </w:rPr>
                        </w:pPr>
                        <w:r>
                          <w:rPr>
                            <w:rFonts w:ascii="宋体" w:hAnsi="宋体" w:cs="宋体" w:eastAsia="宋体" w:hint="default"/>
                            <w:spacing w:val="-1"/>
                            <w:w w:val="99"/>
                            <w:sz w:val="18"/>
                            <w:szCs w:val="18"/>
                          </w:rPr>
                          <w:t>全球定位系统（</w:t>
                        </w:r>
                        <w:r>
                          <w:rPr>
                            <w:rFonts w:ascii="Times New Roman" w:hAnsi="Times New Roman" w:cs="Times New Roman" w:eastAsia="Times New Roman" w:hint="default"/>
                            <w:spacing w:val="-1"/>
                            <w:w w:val="99"/>
                            <w:sz w:val="18"/>
                            <w:szCs w:val="18"/>
                          </w:rPr>
                          <w:t>Global</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w w:val="99"/>
                            <w:sz w:val="18"/>
                            <w:szCs w:val="18"/>
                          </w:rPr>
                          <w:t>Positioning</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0"/>
                            <w:w w:val="99"/>
                            <w:sz w:val="18"/>
                            <w:szCs w:val="18"/>
                          </w:rPr>
                          <w:t>System</w:t>
                        </w:r>
                        <w:r>
                          <w:rPr>
                            <w:rFonts w:ascii="宋体" w:hAnsi="宋体" w:cs="宋体" w:eastAsia="宋体" w:hint="default"/>
                            <w:spacing w:val="-10"/>
                            <w:w w:val="99"/>
                            <w:sz w:val="18"/>
                            <w:szCs w:val="18"/>
                          </w:rPr>
                          <w:t>），利用</w:t>
                        </w:r>
                        <w:r>
                          <w:rPr>
                            <w:rFonts w:ascii="宋体" w:hAnsi="宋体" w:cs="宋体" w:eastAsia="宋体" w:hint="default"/>
                            <w:spacing w:val="-41"/>
                            <w:w w:val="99"/>
                            <w:sz w:val="18"/>
                            <w:szCs w:val="18"/>
                          </w:rPr>
                          <w:t> </w:t>
                        </w:r>
                        <w:r>
                          <w:rPr>
                            <w:rFonts w:ascii="Times New Roman" w:hAnsi="Times New Roman" w:cs="Times New Roman" w:eastAsia="Times New Roman" w:hint="default"/>
                            <w:w w:val="99"/>
                            <w:sz w:val="18"/>
                            <w:szCs w:val="18"/>
                          </w:rPr>
                          <w:t>GPS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定位卫星，在</w:t>
                        </w:r>
                        <w:r>
                          <w:rPr>
                            <w:rFonts w:ascii="宋体" w:hAnsi="宋体" w:cs="宋体" w:eastAsia="宋体" w:hint="default"/>
                            <w:spacing w:val="-84"/>
                            <w:sz w:val="18"/>
                            <w:szCs w:val="18"/>
                          </w:rPr>
                          <w:t> </w:t>
                        </w:r>
                        <w:r>
                          <w:rPr>
                            <w:rFonts w:ascii="宋体" w:hAnsi="宋体" w:cs="宋体" w:eastAsia="宋体" w:hint="default"/>
                            <w:spacing w:val="-3"/>
                            <w:sz w:val="18"/>
                            <w:szCs w:val="18"/>
                          </w:rPr>
                          <w:t>全球范围内实时进行定位、导航的系统。</w:t>
                        </w:r>
                        <w:r>
                          <w:rPr>
                            <w:rFonts w:ascii="Times New Roman" w:hAnsi="Times New Roman" w:cs="Times New Roman" w:eastAsia="Times New Roman" w:hint="default"/>
                            <w:spacing w:val="-3"/>
                            <w:sz w:val="18"/>
                            <w:szCs w:val="18"/>
                          </w:rPr>
                          <w:t>GPS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是由美国国防部研制建</w:t>
                        </w:r>
                        <w:r>
                          <w:rPr>
                            <w:rFonts w:ascii="宋体" w:hAnsi="宋体" w:cs="宋体" w:eastAsia="宋体" w:hint="default"/>
                            <w:spacing w:val="-87"/>
                            <w:sz w:val="18"/>
                            <w:szCs w:val="18"/>
                          </w:rPr>
                          <w:t> </w:t>
                        </w:r>
                        <w:r>
                          <w:rPr>
                            <w:rFonts w:ascii="宋体" w:hAnsi="宋体" w:cs="宋体" w:eastAsia="宋体" w:hint="default"/>
                            <w:spacing w:val="-2"/>
                            <w:sz w:val="18"/>
                            <w:szCs w:val="18"/>
                          </w:rPr>
                          <w:t>立的一种具有全方位、全天候、全时段、高精度的卫星导航系统，可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满足位于全球任何地方或近地空间的军事用户连续精确的确定三维 位置、三维运动和时间的需要。</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p>
              </w:txbxContent>
            </v:textbox>
            <w10:wrap type="none"/>
          </v:shape>
        </w:pict>
      </w:r>
      <w:r>
        <w:rPr/>
        <w:t>，</w:t>
      </w:r>
    </w:p>
    <w:p>
      <w:pPr>
        <w:spacing w:after="0" w:line="240" w:lineRule="auto"/>
        <w:jc w:val="righ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5pt;margin-top:114.645607pt;width:370.05pt;height:19.7pt;mso-position-horizontal-relative:page;mso-position-vertical-relative:paragraph;z-index:-1161664"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14.645607pt;width:364pt;height:19.850pt;mso-position-horizontal-relative:page;mso-position-vertical-relative:paragraph;z-index:-1161640"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300638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广和通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FIBOCOM WIRELESS</w:t>
            </w:r>
            <w:r>
              <w:rPr>
                <w:rFonts w:ascii="Times New Roman"/>
                <w:spacing w:val="-12"/>
                <w:sz w:val="18"/>
              </w:rPr>
              <w:t> </w:t>
            </w:r>
            <w:r>
              <w:rPr>
                <w:rFonts w:ascii="Times New Roman"/>
                <w:sz w:val="18"/>
              </w:rPr>
              <w:t>INC.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FIBOCOM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号科技大厦二期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501A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518067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号科技大厦二期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518067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www.fibocom.com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0">
              <w:r>
                <w:rPr>
                  <w:rFonts w:ascii="Times New Roman"/>
                  <w:sz w:val="18"/>
                </w:rPr>
                <w:t>zqb@fibocom.com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曹睿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号科技大厦 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号科技大厦 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0755-26520587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0755-26520587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0755-26887626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0755-26887626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zqb@fibocom.com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zqb@fibocom.com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号科技大厦二期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号赛特广场五层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黄声森、赵娟娟</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深圳市罗湖区红岭中路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号国信证券大厦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张远航、魏安胜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2017.4.13-2020.12.31</w:t>
            </w:r>
          </w:p>
        </w:tc>
      </w:tr>
    </w:tbl>
    <w:p>
      <w:pPr>
        <w:pStyle w:val="BodyText"/>
        <w:spacing w:line="240" w:lineRule="auto" w:before="50"/>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563,304,478.24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344,353,621.65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326,140,656.37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43,857,380.81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40,321,549.87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34,918,286.70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40,209,217.09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36,389,662.77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34,913,588.72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-122,835,304.40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48,822,363.29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46,167,441.00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614,245,574.50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275,321,134.24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196,359,040.94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368,364,358.95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142,694,555.05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112,005,781.29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84,699,894.00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94,795,184.10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135,650,180.25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248,159,219.89</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6,065,593.69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8,066,139.89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10,995,906.03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18,729,741.20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6,050,293.69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7,889,245.54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10,858,133.08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15,411,544.78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-50,617,579.39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-12,641,288.78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-52,688,998.74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-6,887,437.49</w:t>
            </w:r>
          </w:p>
        </w:tc>
      </w:tr>
    </w:tbl>
    <w:p>
      <w:pPr>
        <w:pStyle w:val="BodyText"/>
        <w:spacing w:line="240" w:lineRule="auto" w:before="50"/>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-40,905.01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-12,962.28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-33,433.95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1,860,549.23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4,496,069.77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4,779,742.00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2,472,313.10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133,142.51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24,441.74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2,473,176.25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16" w:lineRule="auto" w:before="63"/>
              <w:ind w:left="22" w:right="56"/>
              <w:jc w:val="left"/>
              <w:rPr>
                <w:rFonts w:ascii="宋体" w:hAnsi="宋体" w:cs="宋体" w:eastAsia="宋体" w:hint="default"/>
                <w:sz w:val="18"/>
                <w:szCs w:val="18"/>
              </w:rPr>
            </w:pPr>
            <w:r>
              <w:rPr>
                <w:rFonts w:ascii="宋体" w:hAnsi="宋体" w:cs="宋体" w:eastAsia="宋体" w:hint="default"/>
                <w:sz w:val="18"/>
                <w:szCs w:val="18"/>
              </w:rPr>
              <w:t>为理财产品产生的投 资收益</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其中：股份支付</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-4,054,296.81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643,793.60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684,362.90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711,755.00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3,648,163.72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3,931,887.10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4,697.98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footerReference w:type="default" r:id="rId12"/>
          <w:pgSz w:w="11910" w:h="16840"/>
          <w:pgMar w:footer="1016" w:header="787" w:top="1100" w:bottom="1200" w:left="1020" w:right="10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91" w:right="3491"/>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02"/>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74"/>
        <w:jc w:val="left"/>
      </w:pPr>
      <w:r>
        <w:rPr/>
        <w:t>公司是否需要遵守特殊行业的披露要求 否</w:t>
      </w:r>
    </w:p>
    <w:p>
      <w:pPr>
        <w:pStyle w:val="BodyText"/>
        <w:spacing w:line="316" w:lineRule="auto" w:before="27"/>
        <w:ind w:left="472" w:right="102"/>
        <w:jc w:val="left"/>
      </w:pPr>
      <w:r>
        <w:rPr/>
        <w:t>（一）公司主营业务及产品概况 </w:t>
      </w:r>
      <w:r>
        <w:rPr>
          <w:spacing w:val="-2"/>
        </w:rPr>
        <w:t>公司自成立以来一直致力于物联网与移动互联网无线通信技术和应用的推广及其解决方案的应用拓展，在通信技术、射</w:t>
      </w:r>
    </w:p>
    <w:p>
      <w:pPr>
        <w:pStyle w:val="BodyText"/>
        <w:spacing w:line="316" w:lineRule="auto" w:before="19"/>
        <w:ind w:right="102"/>
        <w:jc w:val="left"/>
      </w:pPr>
      <w:r>
        <w:rPr>
          <w:spacing w:val="-2"/>
        </w:rPr>
        <w:t>频技术、数据传输技术、信号处理技术上形成了较强的研发实力，是无线通信技术领域拥有自主知识产权的专业产品与方案</w:t>
      </w:r>
      <w:r>
        <w:rPr>
          <w:spacing w:val="-65"/>
        </w:rPr>
        <w:t> </w:t>
      </w:r>
      <w:r>
        <w:rPr>
          <w:spacing w:val="-65"/>
        </w:rPr>
      </w:r>
      <w:r>
        <w:rPr/>
        <w:t>提供商。</w:t>
      </w:r>
    </w:p>
    <w:p>
      <w:pPr>
        <w:pStyle w:val="BodyText"/>
        <w:spacing w:line="312" w:lineRule="auto" w:before="19"/>
        <w:ind w:right="102" w:firstLine="360"/>
        <w:jc w:val="left"/>
      </w:pPr>
      <w:r>
        <w:rPr>
          <w:spacing w:val="-2"/>
        </w:rPr>
        <w:t>公司在物联网产业链中处于网络层，并涉及与感知层的交叉领域，主要从事无线通信模块及其应用行业的通信解决方案</w:t>
      </w:r>
      <w:r>
        <w:rPr/>
        <w:t> </w:t>
      </w:r>
      <w:r>
        <w:rPr>
          <w:spacing w:val="-2"/>
        </w:rPr>
        <w:t>的设计，研发与销售服务，主要产品包括</w:t>
      </w:r>
      <w:r>
        <w:rPr>
          <w:rFonts w:ascii="Times New Roman" w:hAnsi="Times New Roman" w:cs="Times New Roman" w:eastAsia="Times New Roman" w:hint="default"/>
          <w:spacing w:val="-2"/>
        </w:rPr>
        <w:t>2G</w:t>
      </w:r>
      <w:r>
        <w:rPr>
          <w:spacing w:val="-2"/>
        </w:rPr>
        <w:t>、</w:t>
      </w:r>
      <w:r>
        <w:rPr>
          <w:rFonts w:ascii="Times New Roman" w:hAnsi="Times New Roman" w:cs="Times New Roman" w:eastAsia="Times New Roman" w:hint="default"/>
          <w:spacing w:val="-2"/>
        </w:rPr>
        <w:t>3G</w:t>
      </w:r>
      <w:r>
        <w:rPr>
          <w:spacing w:val="-2"/>
        </w:rPr>
        <w:t>、</w:t>
      </w:r>
      <w:r>
        <w:rPr>
          <w:rFonts w:ascii="Times New Roman" w:hAnsi="Times New Roman" w:cs="Times New Roman" w:eastAsia="Times New Roman" w:hint="default"/>
          <w:spacing w:val="-2"/>
        </w:rPr>
        <w:t>4G</w:t>
      </w:r>
      <w:r>
        <w:rPr>
          <w:spacing w:val="-2"/>
        </w:rPr>
        <w:t>、</w:t>
      </w:r>
      <w:r>
        <w:rPr>
          <w:rFonts w:ascii="Times New Roman" w:hAnsi="Times New Roman" w:cs="Times New Roman" w:eastAsia="Times New Roman" w:hint="default"/>
          <w:spacing w:val="-2"/>
        </w:rPr>
        <w:t>NB—IOT</w:t>
      </w:r>
      <w:r>
        <w:rPr>
          <w:spacing w:val="-2"/>
        </w:rPr>
        <w:t>技术的无线通信模块以及基于其行业应用的通信解决方案，</w:t>
      </w:r>
      <w:r>
        <w:rPr/>
        <w:t> </w:t>
      </w:r>
      <w:r>
        <w:rPr>
          <w:spacing w:val="-2"/>
        </w:rPr>
        <w:t>通过集成到各类物联网和移动互联网设备使其实现数据的互联互通和智能化，报告期内产品主要应用于移动支付、移动互联</w:t>
      </w:r>
      <w:r>
        <w:rPr>
          <w:spacing w:val="-64"/>
        </w:rPr>
        <w:t> </w:t>
      </w:r>
      <w:r>
        <w:rPr>
          <w:spacing w:val="-64"/>
        </w:rPr>
      </w:r>
      <w:r>
        <w:rPr/>
        <w:t>网、车联网、智能电网、安防监控等领域。最近两年，公司主营业务未发生重大变化。</w:t>
      </w:r>
    </w:p>
    <w:p>
      <w:pPr>
        <w:pStyle w:val="BodyText"/>
        <w:spacing w:line="240" w:lineRule="auto" w:before="22"/>
        <w:ind w:left="472" w:right="102"/>
        <w:jc w:val="left"/>
      </w:pPr>
      <w:r>
        <w:rPr/>
        <w:t>（二）公司主要经营模式</w:t>
      </w:r>
    </w:p>
    <w:p>
      <w:pPr>
        <w:pStyle w:val="BodyText"/>
        <w:spacing w:line="300" w:lineRule="auto" w:before="76"/>
        <w:ind w:left="472" w:right="102"/>
        <w:jc w:val="left"/>
      </w:pPr>
      <w:r>
        <w:rPr>
          <w:rFonts w:ascii="Times New Roman" w:hAnsi="Times New Roman" w:cs="Times New Roman" w:eastAsia="Times New Roman" w:hint="default"/>
        </w:rPr>
        <w:t>1</w:t>
      </w:r>
      <w:r>
        <w:rPr/>
        <w:t>、采购模式 </w:t>
      </w:r>
      <w:r>
        <w:rPr>
          <w:spacing w:val="-2"/>
        </w:rPr>
        <w:t>公司结合订单情况、安全库存、研发产品、市场开拓等综合因素组织实施采购，采购渠道包括直接向原厂供应商购买和</w:t>
      </w:r>
    </w:p>
    <w:p>
      <w:pPr>
        <w:pStyle w:val="BodyText"/>
        <w:spacing w:line="316" w:lineRule="auto" w:before="31"/>
        <w:ind w:left="472" w:right="102" w:hanging="360"/>
        <w:jc w:val="left"/>
      </w:pPr>
      <w:r>
        <w:rPr/>
        <w:t>向供应商的经销商购买。 </w:t>
      </w:r>
      <w:r>
        <w:rPr>
          <w:spacing w:val="-2"/>
        </w:rPr>
        <w:t>公司已建立严格的采购过程控制制度，包括供应商的选择和评估、采购物料的质量控制等。对于供应商的管理，严格按</w:t>
      </w:r>
    </w:p>
    <w:p>
      <w:pPr>
        <w:pStyle w:val="BodyText"/>
        <w:spacing w:line="240" w:lineRule="auto" w:before="19"/>
        <w:ind w:right="102"/>
        <w:jc w:val="left"/>
      </w:pPr>
      <w:r>
        <w:rPr>
          <w:spacing w:val="-4"/>
        </w:rPr>
        <w:t>照《供应商开发管理程序》执行；而《零星采购管理程序》、《批量采购管理程序》则分别对两类物料的采购过程进行规定：</w:t>
      </w:r>
    </w:p>
    <w:p>
      <w:pPr>
        <w:pStyle w:val="BodyText"/>
        <w:spacing w:line="307" w:lineRule="auto" w:before="76"/>
        <w:ind w:right="102"/>
        <w:jc w:val="left"/>
      </w:pPr>
      <w:r>
        <w:rPr/>
        <w:t>（</w:t>
      </w:r>
      <w:r>
        <w:rPr>
          <w:rFonts w:ascii="Times New Roman" w:hAnsi="Times New Roman" w:cs="Times New Roman" w:eastAsia="Times New Roman" w:hint="default"/>
        </w:rPr>
        <w:t>1</w:t>
      </w:r>
      <w:r>
        <w:rPr/>
        <w:t>）零星采购由营销中心、研发中心、质量部、运营中心等部门在有需求的情况下提交请购单或物料需求单；采购部门接</w:t>
      </w:r>
      <w:r>
        <w:rPr>
          <w:spacing w:val="-84"/>
        </w:rPr>
        <w:t> </w:t>
      </w:r>
      <w:r>
        <w:rPr>
          <w:spacing w:val="-84"/>
        </w:rPr>
      </w:r>
      <w:r>
        <w:rPr>
          <w:spacing w:val="-5"/>
        </w:rPr>
        <w:t>收经审批的需求单，按照规定确定供应商并进行采购工作；零星采购产品需经质量管理部或需求部门检验合格方可入库；（</w:t>
      </w:r>
      <w:r>
        <w:rPr>
          <w:rFonts w:ascii="Times New Roman" w:hAnsi="Times New Roman" w:cs="Times New Roman" w:eastAsia="Times New Roman" w:hint="default"/>
          <w:spacing w:val="-5"/>
        </w:rPr>
        <w:t>2</w:t>
      </w:r>
      <w:r>
        <w:rPr>
          <w:spacing w:val="-5"/>
        </w:rPr>
        <w:t>）</w:t>
      </w:r>
      <w:r>
        <w:rPr>
          <w:spacing w:val="-74"/>
        </w:rPr>
        <w:t> </w:t>
      </w:r>
      <w:r>
        <w:rPr>
          <w:spacing w:val="-2"/>
        </w:rPr>
        <w:t>批量采购由计划物控部提供物料需求计划，采购部依据详细需求计划进行采购工作，材料入库前由质量部进行检验，合格的</w:t>
      </w:r>
      <w:r>
        <w:rPr>
          <w:spacing w:val="-63"/>
        </w:rPr>
        <w:t> </w:t>
      </w:r>
      <w:r>
        <w:rPr>
          <w:spacing w:val="-63"/>
        </w:rPr>
      </w:r>
      <w:r>
        <w:rPr/>
        <w:t>物料入库并管理，不合格的物料则由采购部与质量部协商进行处理。</w:t>
      </w:r>
    </w:p>
    <w:p>
      <w:pPr>
        <w:pStyle w:val="BodyText"/>
        <w:spacing w:line="316" w:lineRule="auto" w:before="26"/>
        <w:ind w:right="102" w:firstLine="360"/>
        <w:jc w:val="left"/>
      </w:pPr>
      <w:r>
        <w:rPr>
          <w:spacing w:val="-4"/>
        </w:rPr>
        <w:t>公司采购的进口原材料（主要为基带芯片、射频芯片、记忆芯片）供应商主要为艾睿、大联大等国际电子元器件经销商，</w:t>
      </w:r>
      <w:r>
        <w:rPr/>
        <w:t> 其物流中心地处香港。公司向其采购原材料的主要交货地为香港。</w:t>
      </w:r>
    </w:p>
    <w:p>
      <w:pPr>
        <w:pStyle w:val="BodyText"/>
        <w:spacing w:line="300" w:lineRule="auto" w:before="19"/>
        <w:ind w:left="472" w:right="102"/>
        <w:jc w:val="left"/>
      </w:pPr>
      <w:r>
        <w:rPr>
          <w:rFonts w:ascii="Times New Roman" w:hAnsi="Times New Roman" w:cs="Times New Roman" w:eastAsia="Times New Roman" w:hint="default"/>
        </w:rPr>
        <w:t>2</w:t>
      </w:r>
      <w:r>
        <w:rPr/>
        <w:t>、生产模式 </w:t>
      </w:r>
      <w:r>
        <w:rPr>
          <w:spacing w:val="-2"/>
        </w:rPr>
        <w:t>为了专注于产品研发与市场开拓，公司全部产品的生产均采用委外加工的方式进行。无线通信模块是终端设备接入物联</w:t>
      </w:r>
    </w:p>
    <w:p>
      <w:pPr>
        <w:pStyle w:val="BodyText"/>
        <w:spacing w:line="316" w:lineRule="auto" w:before="31"/>
        <w:ind w:right="102"/>
        <w:jc w:val="left"/>
      </w:pPr>
      <w:r>
        <w:rPr>
          <w:spacing w:val="-2"/>
        </w:rPr>
        <w:t>网的核心部件之一，决定信息传输质量的稳定性与可靠性，因此公司长期委托比亚迪、东莞华贝等实力雄厚的厂商进行生产</w:t>
      </w:r>
      <w:r>
        <w:rPr>
          <w:spacing w:val="-63"/>
        </w:rPr>
        <w:t> </w:t>
      </w:r>
      <w:r>
        <w:rPr>
          <w:spacing w:val="-63"/>
        </w:rPr>
      </w:r>
      <w:r>
        <w:rPr/>
        <w:t>加工。</w:t>
      </w:r>
    </w:p>
    <w:p>
      <w:pPr>
        <w:pStyle w:val="BodyText"/>
        <w:spacing w:line="300" w:lineRule="auto" w:before="19"/>
        <w:ind w:left="472" w:right="102"/>
        <w:jc w:val="left"/>
      </w:pPr>
      <w:r>
        <w:rPr>
          <w:rFonts w:ascii="Times New Roman" w:hAnsi="Times New Roman" w:cs="Times New Roman" w:eastAsia="Times New Roman" w:hint="default"/>
        </w:rPr>
        <w:t>3</w:t>
      </w:r>
      <w:r>
        <w:rPr/>
        <w:t>、销售模式 </w:t>
      </w:r>
      <w:r>
        <w:rPr>
          <w:spacing w:val="-2"/>
        </w:rPr>
        <w:t>报告期内，公司产品的销售区域主要集中在国内，随着公司不断加大海外业务的拓展力度，海外业务的比重将呈逐步上</w:t>
      </w:r>
    </w:p>
    <w:p>
      <w:pPr>
        <w:pStyle w:val="BodyText"/>
        <w:spacing w:line="300" w:lineRule="auto" w:before="31"/>
        <w:ind w:right="209"/>
        <w:jc w:val="both"/>
      </w:pPr>
      <w:r>
        <w:rPr>
          <w:spacing w:val="-1"/>
        </w:rPr>
        <w:t>升趋势；此外，公司根据产品业务类型划分为</w:t>
      </w:r>
      <w:r>
        <w:rPr>
          <w:rFonts w:ascii="Times New Roman" w:hAnsi="Times New Roman" w:cs="Times New Roman" w:eastAsia="Times New Roman" w:hint="default"/>
          <w:spacing w:val="-1"/>
        </w:rPr>
        <w:t>M2M</w:t>
      </w:r>
      <w:r>
        <w:rPr>
          <w:spacing w:val="-1"/>
        </w:rPr>
        <w:t>和</w:t>
      </w:r>
      <w:r>
        <w:rPr>
          <w:rFonts w:ascii="Times New Roman" w:hAnsi="Times New Roman" w:cs="Times New Roman" w:eastAsia="Times New Roman" w:hint="default"/>
          <w:spacing w:val="-1"/>
        </w:rPr>
        <w:t>MI</w:t>
      </w:r>
      <w:r>
        <w:rPr>
          <w:spacing w:val="-1"/>
        </w:rPr>
        <w:t>两个业务单元进行运营，其中</w:t>
      </w:r>
      <w:r>
        <w:rPr>
          <w:rFonts w:ascii="Times New Roman" w:hAnsi="Times New Roman" w:cs="Times New Roman" w:eastAsia="Times New Roman" w:hint="default"/>
          <w:spacing w:val="-1"/>
        </w:rPr>
        <w:t>M2M</w:t>
      </w:r>
      <w:r>
        <w:rPr>
          <w:spacing w:val="-1"/>
        </w:rPr>
        <w:t>对应车联网、智能电网、移动支</w:t>
      </w:r>
      <w:r>
        <w:rPr>
          <w:spacing w:val="-79"/>
        </w:rPr>
        <w:t> </w:t>
      </w:r>
      <w:r>
        <w:rPr>
          <w:spacing w:val="-79"/>
        </w:rPr>
      </w:r>
      <w:r>
        <w:rPr/>
        <w:t>付、安防监控等工业应用领域，</w:t>
      </w:r>
      <w:r>
        <w:rPr>
          <w:rFonts w:ascii="Times New Roman" w:hAnsi="Times New Roman" w:cs="Times New Roman" w:eastAsia="Times New Roman" w:hint="default"/>
        </w:rPr>
        <w:t>MI</w:t>
      </w:r>
      <w:r>
        <w:rPr/>
        <w:t>对应移动智能终端领域，包括平板电脑、二合一电脑、笔记本电脑、电子书等消费电子</w:t>
      </w:r>
      <w:r>
        <w:rPr>
          <w:spacing w:val="-43"/>
        </w:rPr>
        <w:t> </w:t>
      </w:r>
      <w:r>
        <w:rPr>
          <w:spacing w:val="-43"/>
        </w:rPr>
      </w:r>
      <w:r>
        <w:rPr/>
        <w:t>产品。</w:t>
      </w:r>
    </w:p>
    <w:p>
      <w:pPr>
        <w:pStyle w:val="BodyText"/>
        <w:spacing w:line="300" w:lineRule="auto" w:before="31"/>
        <w:ind w:left="472" w:right="102"/>
        <w:jc w:val="left"/>
      </w:pPr>
      <w:r>
        <w:rPr/>
        <w:t>（</w:t>
      </w:r>
      <w:r>
        <w:rPr>
          <w:rFonts w:ascii="Times New Roman" w:hAnsi="Times New Roman" w:cs="Times New Roman" w:eastAsia="Times New Roman" w:hint="default"/>
        </w:rPr>
        <w:t>1</w:t>
      </w:r>
      <w:r>
        <w:rPr/>
        <w:t>）国内市场 </w:t>
      </w:r>
      <w:r>
        <w:rPr>
          <w:spacing w:val="-4"/>
        </w:rPr>
        <w:t>公司国内业务采用直销为主、经销为辅的销售模式。公司已在国内形成华南、华东和华北三大业务区域，并分别在北京、</w:t>
      </w:r>
    </w:p>
    <w:p>
      <w:pPr>
        <w:pStyle w:val="BodyText"/>
        <w:spacing w:line="316" w:lineRule="auto" w:before="31"/>
        <w:ind w:left="472" w:right="102" w:hanging="360"/>
        <w:jc w:val="left"/>
      </w:pPr>
      <w:r>
        <w:rPr/>
        <w:t>南京、杭州、福州、上海和台湾设立办事处，专门负责各自区域的销售管理，并为客户提供技术服务支持。 </w:t>
      </w:r>
      <w:r>
        <w:rPr>
          <w:spacing w:val="-2"/>
        </w:rPr>
        <w:t>公司掌握并管理重要客户资源，能够及时获取客户的需求和反馈信息，与客户建立并保持稳定的关系，确保了收入的稳</w:t>
      </w:r>
    </w:p>
    <w:p>
      <w:pPr>
        <w:pStyle w:val="BodyText"/>
        <w:spacing w:line="240" w:lineRule="auto" w:before="19"/>
        <w:ind w:right="102"/>
        <w:jc w:val="left"/>
      </w:pPr>
      <w:r>
        <w:rPr/>
        <w:t>定性。在维持与原有客户关系稳定的同时，公司还不断扩展新客户，使得公司销售收入能稳步增长。</w:t>
      </w:r>
    </w:p>
    <w:p>
      <w:pPr>
        <w:pStyle w:val="BodyText"/>
        <w:spacing w:line="300" w:lineRule="auto" w:before="76"/>
        <w:ind w:left="472" w:right="102"/>
        <w:jc w:val="left"/>
      </w:pPr>
      <w:r>
        <w:rPr/>
        <w:t>（</w:t>
      </w:r>
      <w:r>
        <w:rPr>
          <w:rFonts w:ascii="Times New Roman" w:hAnsi="Times New Roman" w:cs="Times New Roman" w:eastAsia="Times New Roman" w:hint="default"/>
        </w:rPr>
        <w:t>2</w:t>
      </w:r>
      <w:r>
        <w:rPr/>
        <w:t>）海外市场 </w:t>
      </w:r>
      <w:r>
        <w:rPr>
          <w:spacing w:val="-2"/>
        </w:rPr>
        <w:t>公司海外业务采用经销和直销两种销售模式。公司已在香港、美国和德国等地设立子公司或办事处，负责海外市场拓展</w:t>
      </w:r>
    </w:p>
    <w:p>
      <w:pPr>
        <w:spacing w:after="0" w:line="300" w:lineRule="auto"/>
        <w:jc w:val="left"/>
        <w:sectPr>
          <w:pgSz w:w="11910" w:h="16840"/>
          <w:pgMar w:header="787" w:footer="1016" w:top="1100" w:bottom="1200" w:left="1020" w:right="92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业务。</w:t>
      </w:r>
    </w:p>
    <w:p>
      <w:pPr>
        <w:pStyle w:val="BodyText"/>
        <w:spacing w:line="300" w:lineRule="auto" w:before="76"/>
        <w:ind w:left="472" w:right="190"/>
        <w:jc w:val="left"/>
      </w:pPr>
      <w:r>
        <w:rPr>
          <w:rFonts w:ascii="Times New Roman" w:hAnsi="Times New Roman" w:cs="Times New Roman" w:eastAsia="Times New Roman" w:hint="default"/>
        </w:rPr>
        <w:t>(</w:t>
      </w:r>
      <w:r>
        <w:rPr/>
        <w:t>三）主要业绩驱动因素</w:t>
      </w:r>
      <w:r>
        <w:rPr>
          <w:w w:val="99"/>
        </w:rPr>
        <w:t> </w:t>
      </w:r>
      <w:r>
        <w:rPr>
          <w:w w:val="99"/>
        </w:rPr>
        <w:t>                                                                       </w:t>
      </w:r>
      <w:r>
        <w:rPr>
          <w:spacing w:val="15"/>
        </w:rPr>
        <w:t>报告期内，</w:t>
      </w:r>
      <w:r>
        <w:rPr>
          <w:spacing w:val="-68"/>
        </w:rPr>
        <w:t> </w:t>
      </w:r>
      <w:r>
        <w:rPr>
          <w:spacing w:val="16"/>
        </w:rPr>
        <w:t>公司实现营业收入</w:t>
      </w:r>
      <w:r>
        <w:rPr>
          <w:spacing w:val="-70"/>
        </w:rPr>
        <w:t> </w:t>
      </w:r>
      <w:r>
        <w:rPr>
          <w:rFonts w:ascii="Times New Roman" w:hAnsi="Times New Roman" w:cs="Times New Roman" w:eastAsia="Times New Roman" w:hint="default"/>
        </w:rPr>
        <w:t>563,304,478.24</w:t>
      </w:r>
      <w:r>
        <w:rPr>
          <w:rFonts w:ascii="Times New Roman" w:hAnsi="Times New Roman" w:cs="Times New Roman" w:eastAsia="Times New Roman" w:hint="default"/>
          <w:spacing w:val="-24"/>
        </w:rPr>
        <w:t> </w:t>
      </w:r>
      <w:r>
        <w:rPr>
          <w:spacing w:val="9"/>
        </w:rPr>
        <w:t>元，</w:t>
      </w:r>
      <w:r>
        <w:rPr>
          <w:spacing w:val="-70"/>
        </w:rPr>
        <w:t> </w:t>
      </w:r>
      <w:r>
        <w:rPr>
          <w:spacing w:val="16"/>
        </w:rPr>
        <w:t>比去年同期增长</w:t>
      </w:r>
      <w:r>
        <w:rPr>
          <w:spacing w:val="-73"/>
        </w:rPr>
        <w:t> </w:t>
      </w:r>
      <w:r>
        <w:rPr>
          <w:rFonts w:ascii="Times New Roman" w:hAnsi="Times New Roman" w:cs="Times New Roman" w:eastAsia="Times New Roman" w:hint="default"/>
          <w:spacing w:val="2"/>
        </w:rPr>
        <w:t>63.58%</w:t>
      </w:r>
      <w:r>
        <w:rPr>
          <w:spacing w:val="2"/>
        </w:rPr>
        <w:t>；</w:t>
      </w:r>
      <w:r>
        <w:rPr>
          <w:spacing w:val="-70"/>
        </w:rPr>
        <w:t> </w:t>
      </w:r>
      <w:r>
        <w:rPr>
          <w:spacing w:val="18"/>
        </w:rPr>
        <w:t>实现归属于母公司所有者的净利润</w:t>
      </w:r>
    </w:p>
    <w:p>
      <w:pPr>
        <w:pStyle w:val="BodyText"/>
        <w:spacing w:line="300" w:lineRule="auto" w:before="13"/>
        <w:ind w:right="192"/>
        <w:jc w:val="both"/>
      </w:pPr>
      <w:r>
        <w:rPr>
          <w:rFonts w:ascii="Times New Roman" w:hAnsi="Times New Roman" w:cs="Times New Roman" w:eastAsia="Times New Roman" w:hint="default"/>
        </w:rPr>
        <w:t>43,857,380.81</w:t>
      </w:r>
      <w:r>
        <w:rPr/>
        <w:t>元，同比增长</w:t>
      </w:r>
      <w:r>
        <w:rPr>
          <w:rFonts w:ascii="Times New Roman" w:hAnsi="Times New Roman" w:cs="Times New Roman" w:eastAsia="Times New Roman" w:hint="default"/>
        </w:rPr>
        <w:t>8.77%</w:t>
      </w:r>
      <w:r>
        <w:rPr/>
        <w:t>。业绩增长的主要原因为公司在国内与海外市场加大市场拓展，产品销售收入增加，其中</w:t>
      </w:r>
      <w:r>
        <w:rPr>
          <w:spacing w:val="-67"/>
        </w:rPr>
        <w:t> </w:t>
      </w:r>
      <w:r>
        <w:rPr>
          <w:spacing w:val="-67"/>
        </w:rPr>
      </w:r>
      <w:r>
        <w:rPr/>
        <w:t>智能</w:t>
      </w:r>
      <w:r>
        <w:rPr>
          <w:rFonts w:ascii="Times New Roman" w:hAnsi="Times New Roman" w:cs="Times New Roman" w:eastAsia="Times New Roman" w:hint="default"/>
        </w:rPr>
        <w:t>POS</w:t>
      </w:r>
      <w:r>
        <w:rPr/>
        <w:t>和</w:t>
      </w:r>
      <w:r>
        <w:rPr>
          <w:rFonts w:ascii="Times New Roman" w:hAnsi="Times New Roman" w:cs="Times New Roman" w:eastAsia="Times New Roman" w:hint="default"/>
        </w:rPr>
        <w:t>PC</w:t>
      </w:r>
      <w:r>
        <w:rPr/>
        <w:t>业务取得较快增长。同时，报告期内由于拓展海外市场，销售费用和管理费用提高，导致净利增长低于销售</w:t>
      </w:r>
      <w:r>
        <w:rPr>
          <w:spacing w:val="-20"/>
        </w:rPr>
        <w:t> </w:t>
      </w:r>
      <w:r>
        <w:rPr>
          <w:spacing w:val="-20"/>
        </w:rPr>
      </w:r>
      <w:r>
        <w:rPr/>
        <w:t>收入的增长幅度。</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46.54%</w:t>
            </w:r>
            <w:r>
              <w:rPr>
                <w:rFonts w:ascii="宋体" w:hAnsi="宋体" w:cs="宋体" w:eastAsia="宋体" w:hint="default"/>
                <w:sz w:val="18"/>
                <w:szCs w:val="18"/>
              </w:rPr>
              <w:t>，净增加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412.81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万元，主要系本期购入研发测试设备及因 人员增加购入电子及办公设备所致。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728.15%</w:t>
            </w:r>
            <w:r>
              <w:rPr>
                <w:rFonts w:ascii="宋体" w:hAnsi="宋体" w:cs="宋体" w:eastAsia="宋体" w:hint="default"/>
                <w:sz w:val="18"/>
                <w:szCs w:val="18"/>
              </w:rPr>
              <w:t>，净增加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1,188.36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万元，主要系本期并购浙江诺控、购入 专利使用权及平台费用所致。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b/>
          <w:bCs/>
          <w:sz w:val="19"/>
          <w:szCs w:val="19"/>
        </w:rPr>
      </w:pPr>
    </w:p>
    <w:p>
      <w:pPr>
        <w:pStyle w:val="Heading3"/>
        <w:spacing w:line="240" w:lineRule="auto" w:before="34"/>
        <w:ind w:right="19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9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left="472" w:right="190"/>
        <w:jc w:val="left"/>
      </w:pPr>
      <w:r>
        <w:rPr/>
        <w:t>（一）研发和技术优势 </w:t>
      </w:r>
      <w:r>
        <w:rPr>
          <w:spacing w:val="-2"/>
        </w:rPr>
        <w:t>公司是专注于物联网与移动互联网无线通信技术和应用的推广及其解决方案的应用拓展的高新技术企业，依托多年积累</w:t>
      </w:r>
    </w:p>
    <w:p>
      <w:pPr>
        <w:pStyle w:val="BodyText"/>
        <w:spacing w:line="316" w:lineRule="auto" w:before="19"/>
        <w:ind w:right="190"/>
        <w:jc w:val="both"/>
      </w:pPr>
      <w:r>
        <w:rPr>
          <w:spacing w:val="-2"/>
        </w:rPr>
        <w:t>的行业经验与不断发展壮大的研发团队，公司在通信技术、射频技术、数据传输技术、信号处理技术上形成了较强的研发实</w:t>
      </w:r>
      <w:r>
        <w:rPr>
          <w:spacing w:val="-64"/>
        </w:rPr>
        <w:t> </w:t>
      </w:r>
      <w:r>
        <w:rPr>
          <w:spacing w:val="-64"/>
        </w:rPr>
      </w:r>
      <w:r>
        <w:rPr/>
        <w:t>力和技术优势，主要体现在：</w:t>
      </w:r>
    </w:p>
    <w:p>
      <w:pPr>
        <w:pStyle w:val="BodyText"/>
        <w:spacing w:line="300" w:lineRule="auto" w:before="19"/>
        <w:ind w:left="472" w:right="93"/>
        <w:jc w:val="left"/>
      </w:pPr>
      <w:r>
        <w:rPr>
          <w:rFonts w:ascii="Times New Roman" w:hAnsi="Times New Roman" w:cs="Times New Roman" w:eastAsia="Times New Roman" w:hint="default"/>
        </w:rPr>
        <w:t>1</w:t>
      </w:r>
      <w:r>
        <w:rPr/>
        <w:t>、研发团队与研发体系不断壮大完善 </w:t>
      </w:r>
      <w:r>
        <w:rPr>
          <w:spacing w:val="-1"/>
        </w:rPr>
        <w:t>报告期内公司研发人员数量不断上升，截至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日，公司员工人数为</w:t>
      </w:r>
      <w:r>
        <w:rPr>
          <w:rFonts w:ascii="Times New Roman" w:hAnsi="Times New Roman" w:cs="Times New Roman" w:eastAsia="Times New Roman" w:hint="default"/>
          <w:spacing w:val="-1"/>
        </w:rPr>
        <w:t>388</w:t>
      </w:r>
      <w:r>
        <w:rPr>
          <w:spacing w:val="-1"/>
        </w:rPr>
        <w:t>人，其中研发人员占比达到</w:t>
      </w:r>
      <w:r>
        <w:rPr>
          <w:rFonts w:ascii="Times New Roman" w:hAnsi="Times New Roman" w:cs="Times New Roman" w:eastAsia="Times New Roman" w:hint="default"/>
          <w:spacing w:val="-1"/>
        </w:rPr>
        <w:t>50%</w:t>
      </w:r>
      <w:r>
        <w:rPr>
          <w:spacing w:val="-1"/>
        </w:rPr>
        <w:t>以上。</w:t>
      </w:r>
    </w:p>
    <w:p>
      <w:pPr>
        <w:pStyle w:val="BodyText"/>
        <w:spacing w:line="316" w:lineRule="auto" w:before="13"/>
        <w:ind w:right="190"/>
        <w:jc w:val="both"/>
      </w:pPr>
      <w:r>
        <w:rPr>
          <w:spacing w:val="-2"/>
        </w:rPr>
        <w:t>公司研发骨干大多都有多年行业研发经验，并曾在世界五百强企业及国内科研院所等行业技术领先的企业工作；同时，公司</w:t>
      </w:r>
      <w:r>
        <w:rPr>
          <w:spacing w:val="-63"/>
        </w:rPr>
        <w:t> </w:t>
      </w:r>
      <w:r>
        <w:rPr>
          <w:spacing w:val="-63"/>
        </w:rPr>
      </w:r>
      <w:r>
        <w:rPr>
          <w:spacing w:val="-2"/>
        </w:rPr>
        <w:t>每年积极从各大院校直接吸纳人才，为研发团队储备新生力量。多年来公司研发团队积极与摩托罗拉、英特尔等公司交流合</w:t>
      </w:r>
      <w:r>
        <w:rPr>
          <w:spacing w:val="-63"/>
        </w:rPr>
        <w:t> </w:t>
      </w:r>
      <w:r>
        <w:rPr>
          <w:spacing w:val="-63"/>
        </w:rPr>
      </w:r>
      <w:r>
        <w:rPr>
          <w:spacing w:val="-2"/>
        </w:rPr>
        <w:t>作，除了在技术和产品上不断创新，研发流程也不断得到提升，能够与国际先进的产品开发管理流程相接轨。研发中心已构</w:t>
      </w:r>
      <w:r>
        <w:rPr>
          <w:spacing w:val="-64"/>
        </w:rPr>
        <w:t> </w:t>
      </w:r>
      <w:r>
        <w:rPr>
          <w:spacing w:val="-64"/>
        </w:rPr>
      </w:r>
      <w:r>
        <w:rPr>
          <w:spacing w:val="-2"/>
        </w:rPr>
        <w:t>建了完整的研发体系，建立了符合公司自身特点的研发管理系统软件，通过流程固化来提高和保证研发质量；同时，通过系</w:t>
      </w:r>
      <w:r>
        <w:rPr>
          <w:spacing w:val="-64"/>
        </w:rPr>
        <w:t> </w:t>
      </w:r>
      <w:r>
        <w:rPr>
          <w:spacing w:val="-64"/>
        </w:rPr>
      </w:r>
      <w:r>
        <w:rPr/>
        <w:t>统的数据分析，提炼研发的</w:t>
      </w:r>
      <w:r>
        <w:rPr>
          <w:rFonts w:ascii="Times New Roman" w:hAnsi="Times New Roman" w:cs="Times New Roman" w:eastAsia="Times New Roman" w:hint="default"/>
        </w:rPr>
        <w:t>KPI</w:t>
      </w:r>
      <w:r>
        <w:rPr/>
        <w:t>评价体系。</w:t>
      </w:r>
    </w:p>
    <w:p>
      <w:pPr>
        <w:pStyle w:val="BodyText"/>
        <w:spacing w:line="248" w:lineRule="exact"/>
        <w:ind w:left="472" w:right="190"/>
        <w:jc w:val="left"/>
      </w:pPr>
      <w:r>
        <w:rPr>
          <w:rFonts w:ascii="Times New Roman" w:hAnsi="Times New Roman" w:cs="Times New Roman" w:eastAsia="Times New Roman" w:hint="default"/>
        </w:rPr>
        <w:t>2</w:t>
      </w:r>
      <w:r>
        <w:rPr/>
        <w:t>、产品适应物联网应用场景复杂性的技术优势</w:t>
      </w:r>
    </w:p>
    <w:p>
      <w:pPr>
        <w:pStyle w:val="BodyText"/>
        <w:spacing w:line="300" w:lineRule="auto" w:before="63"/>
        <w:ind w:right="184" w:firstLine="360"/>
        <w:jc w:val="left"/>
      </w:pPr>
      <w:r>
        <w:rPr/>
        <w:t>（</w:t>
      </w:r>
      <w:r>
        <w:rPr>
          <w:rFonts w:ascii="Times New Roman" w:hAnsi="Times New Roman" w:cs="Times New Roman" w:eastAsia="Times New Roman" w:hint="default"/>
        </w:rPr>
        <w:t>1</w:t>
      </w:r>
      <w:r>
        <w:rPr/>
        <w:t>）产品软件性能稳定。公司的各种不同制式的无线通信模块，能够满足物联网对数据接入、传输过程中所必需的可 靠性、及时性；产品能够应对各种复杂的通信网络环境，并实现智能化的网络切换和优选；</w:t>
      </w:r>
    </w:p>
    <w:p>
      <w:pPr>
        <w:pStyle w:val="BodyText"/>
        <w:spacing w:line="240" w:lineRule="auto" w:before="31"/>
        <w:ind w:left="472" w:right="190"/>
        <w:jc w:val="left"/>
      </w:pPr>
      <w:r>
        <w:rPr/>
        <w:t>（</w:t>
      </w:r>
      <w:r>
        <w:rPr>
          <w:rFonts w:ascii="Times New Roman" w:hAnsi="Times New Roman" w:cs="Times New Roman" w:eastAsia="Times New Roman" w:hint="default"/>
        </w:rPr>
        <w:t>2</w:t>
      </w:r>
      <w:r>
        <w:rPr/>
        <w:t>）制定高于</w:t>
      </w:r>
      <w:r>
        <w:rPr>
          <w:rFonts w:ascii="Times New Roman" w:hAnsi="Times New Roman" w:cs="Times New Roman" w:eastAsia="Times New Roman" w:hint="default"/>
        </w:rPr>
        <w:t>3GPP</w:t>
      </w:r>
      <w:r>
        <w:rPr/>
        <w:t>规范要求的产品企业标准。包括：</w:t>
      </w:r>
      <w:r>
        <w:rPr>
          <w:rFonts w:ascii="Times New Roman" w:hAnsi="Times New Roman" w:cs="Times New Roman" w:eastAsia="Times New Roman" w:hint="default"/>
        </w:rPr>
        <w:t>-110dbm</w:t>
      </w:r>
      <w:r>
        <w:rPr/>
        <w:t>的接收灵敏度、</w:t>
      </w:r>
      <w:r>
        <w:rPr>
          <w:rFonts w:ascii="Times New Roman" w:hAnsi="Times New Roman" w:cs="Times New Roman" w:eastAsia="Times New Roman" w:hint="default"/>
        </w:rPr>
        <w:t>32.5db</w:t>
      </w:r>
      <w:r>
        <w:rPr/>
        <w:t>的发射功率、网络小区选择的优</w:t>
      </w:r>
    </w:p>
    <w:p>
      <w:pPr>
        <w:spacing w:after="0" w:line="240" w:lineRule="auto"/>
        <w:jc w:val="left"/>
        <w:sectPr>
          <w:footerReference w:type="default" r:id="rId13"/>
          <w:pgSz w:w="11910" w:h="16840"/>
          <w:pgMar w:footer="1016" w:header="787" w:top="1100" w:bottom="1200" w:left="1020" w:right="940"/>
          <w:pgNumType w:start="12"/>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化算法、优化无线网络数据传输的滑动窗口设计等；</w:t>
      </w:r>
    </w:p>
    <w:p>
      <w:pPr>
        <w:pStyle w:val="BodyText"/>
        <w:spacing w:line="300" w:lineRule="auto" w:before="76"/>
        <w:ind w:right="182" w:firstLine="360"/>
        <w:jc w:val="both"/>
      </w:pPr>
      <w:r>
        <w:rPr>
          <w:spacing w:val="-4"/>
        </w:rPr>
        <w:t>（</w:t>
      </w:r>
      <w:r>
        <w:rPr>
          <w:rFonts w:ascii="Times New Roman" w:hAnsi="Times New Roman" w:cs="Times New Roman" w:eastAsia="Times New Roman" w:hint="default"/>
          <w:spacing w:val="-4"/>
        </w:rPr>
        <w:t>3</w:t>
      </w:r>
      <w:r>
        <w:rPr>
          <w:spacing w:val="-4"/>
        </w:rPr>
        <w:t>）适应复杂的应用场景。针对</w:t>
      </w:r>
      <w:r>
        <w:rPr>
          <w:rFonts w:ascii="Times New Roman" w:hAnsi="Times New Roman" w:cs="Times New Roman" w:eastAsia="Times New Roman" w:hint="default"/>
          <w:spacing w:val="-4"/>
        </w:rPr>
        <w:t>M2M</w:t>
      </w:r>
      <w:r>
        <w:rPr>
          <w:spacing w:val="-4"/>
        </w:rPr>
        <w:t>行业的应用环境非常多样化，公司设计包括：</w:t>
      </w:r>
      <w:r>
        <w:rPr>
          <w:rFonts w:ascii="Times New Roman" w:hAnsi="Times New Roman" w:cs="Times New Roman" w:eastAsia="Times New Roman" w:hint="default"/>
          <w:spacing w:val="-4"/>
        </w:rPr>
        <w:t>-40</w:t>
      </w:r>
      <w:r>
        <w:rPr>
          <w:spacing w:val="-4"/>
        </w:rPr>
        <w:t>－</w:t>
      </w:r>
      <w:r>
        <w:rPr>
          <w:rFonts w:ascii="Times New Roman" w:hAnsi="Times New Roman" w:cs="Times New Roman" w:eastAsia="Times New Roman" w:hint="default"/>
          <w:spacing w:val="-4"/>
        </w:rPr>
        <w:t>85</w:t>
      </w:r>
      <w:r>
        <w:rPr>
          <w:spacing w:val="-4"/>
        </w:rPr>
        <w:t>的超宽温度范围、</w:t>
      </w:r>
      <w:r>
        <w:rPr>
          <w:rFonts w:ascii="Times New Roman" w:hAnsi="Times New Roman" w:cs="Times New Roman" w:eastAsia="Times New Roman" w:hint="default"/>
          <w:spacing w:val="-4"/>
        </w:rPr>
        <w:t>8KV/15KV</w:t>
      </w:r>
      <w:r>
        <w:rPr>
          <w:rFonts w:ascii="Times New Roman" w:hAnsi="Times New Roman" w:cs="Times New Roman" w:eastAsia="Times New Roman" w:hint="default"/>
          <w:w w:val="99"/>
        </w:rPr>
        <w:t> </w:t>
      </w:r>
      <w:r>
        <w:rPr/>
        <w:t>的</w:t>
      </w:r>
      <w:r>
        <w:rPr>
          <w:rFonts w:ascii="Times New Roman" w:hAnsi="Times New Roman" w:cs="Times New Roman" w:eastAsia="Times New Roman" w:hint="default"/>
        </w:rPr>
        <w:t>ESD</w:t>
      </w:r>
      <w:r>
        <w:rPr/>
        <w:t>抗干扰性能、</w:t>
      </w:r>
      <w:r>
        <w:rPr>
          <w:rFonts w:ascii="Times New Roman" w:hAnsi="Times New Roman" w:cs="Times New Roman" w:eastAsia="Times New Roman" w:hint="default"/>
        </w:rPr>
        <w:t>3db</w:t>
      </w:r>
      <w:r>
        <w:rPr/>
        <w:t>以上的辐射杂散余量、</w:t>
      </w:r>
      <w:r>
        <w:rPr>
          <w:rFonts w:ascii="Times New Roman" w:hAnsi="Times New Roman" w:cs="Times New Roman" w:eastAsia="Times New Roman" w:hint="default"/>
        </w:rPr>
        <w:t>88</w:t>
      </w:r>
      <w:r>
        <w:rPr/>
        <w:t>小时</w:t>
      </w:r>
      <w:r>
        <w:rPr>
          <w:rFonts w:ascii="Times New Roman" w:hAnsi="Times New Roman" w:cs="Times New Roman" w:eastAsia="Times New Roman" w:hint="default"/>
        </w:rPr>
        <w:t>*7cycle</w:t>
      </w:r>
      <w:r>
        <w:rPr/>
        <w:t>的老化寿命试验、设计生产过程</w:t>
      </w:r>
      <w:r>
        <w:rPr>
          <w:rFonts w:ascii="Times New Roman" w:hAnsi="Times New Roman" w:cs="Times New Roman" w:eastAsia="Times New Roman" w:hint="default"/>
        </w:rPr>
        <w:t>CPK</w:t>
      </w:r>
      <w:r>
        <w:rPr/>
        <w:t>大于</w:t>
      </w:r>
      <w:r>
        <w:rPr>
          <w:rFonts w:ascii="Times New Roman" w:hAnsi="Times New Roman" w:cs="Times New Roman" w:eastAsia="Times New Roman" w:hint="default"/>
        </w:rPr>
        <w:t>1.33</w:t>
      </w:r>
      <w:r>
        <w:rPr/>
        <w:t>的质量管控体系</w:t>
      </w:r>
      <w:r>
        <w:rPr>
          <w:spacing w:val="-41"/>
        </w:rPr>
        <w:t> </w:t>
      </w:r>
      <w:r>
        <w:rPr>
          <w:spacing w:val="-41"/>
        </w:rPr>
      </w:r>
      <w:r>
        <w:rPr/>
        <w:t>等。使得产品可以适用物联网各种恶劣的工作环境，并且能够保证连续工作以及超长寿命；</w:t>
      </w:r>
    </w:p>
    <w:p>
      <w:pPr>
        <w:pStyle w:val="BodyText"/>
        <w:spacing w:line="240" w:lineRule="auto" w:before="31"/>
        <w:ind w:left="472" w:right="190"/>
        <w:jc w:val="left"/>
      </w:pPr>
      <w:r>
        <w:rPr>
          <w:spacing w:val="6"/>
        </w:rPr>
        <w:t>（</w:t>
      </w:r>
      <w:r>
        <w:rPr>
          <w:rFonts w:ascii="Times New Roman" w:hAnsi="Times New Roman" w:cs="Times New Roman" w:eastAsia="Times New Roman" w:hint="default"/>
          <w:spacing w:val="6"/>
        </w:rPr>
        <w:t>4</w:t>
      </w:r>
      <w:r>
        <w:rPr>
          <w:spacing w:val="6"/>
        </w:rPr>
        <w:t>）深度开发。对物联网不同行业应用的特殊要求，对产品进行深度的特殊功能开发，如</w:t>
      </w:r>
      <w:r>
        <w:rPr>
          <w:rFonts w:ascii="Times New Roman" w:hAnsi="Times New Roman" w:cs="Times New Roman" w:eastAsia="Times New Roman" w:hint="default"/>
          <w:spacing w:val="6"/>
        </w:rPr>
        <w:t>Jamming</w:t>
      </w:r>
      <w:r>
        <w:rPr>
          <w:spacing w:val="6"/>
        </w:rPr>
        <w:t>、</w:t>
      </w:r>
      <w:r>
        <w:rPr>
          <w:rFonts w:ascii="Times New Roman" w:hAnsi="Times New Roman" w:cs="Times New Roman" w:eastAsia="Times New Roman" w:hint="default"/>
          <w:spacing w:val="6"/>
        </w:rPr>
        <w:t>Cell-Lock</w:t>
      </w:r>
      <w:r>
        <w:rPr>
          <w:spacing w:val="6"/>
        </w:rPr>
        <w:t>、</w:t>
      </w:r>
    </w:p>
    <w:p>
      <w:pPr>
        <w:pStyle w:val="BodyText"/>
        <w:spacing w:line="300" w:lineRule="auto" w:before="63"/>
        <w:ind w:left="472" w:right="5203" w:hanging="360"/>
        <w:jc w:val="left"/>
      </w:pPr>
      <w:r>
        <w:rPr>
          <w:rFonts w:ascii="Times New Roman" w:hAnsi="Times New Roman" w:cs="Times New Roman" w:eastAsia="Times New Roman" w:hint="default"/>
        </w:rPr>
        <w:t>Remote-SIM</w:t>
      </w:r>
      <w:r>
        <w:rPr/>
        <w:t>、</w:t>
      </w:r>
      <w:r>
        <w:rPr>
          <w:rFonts w:ascii="Times New Roman" w:hAnsi="Times New Roman" w:cs="Times New Roman" w:eastAsia="Times New Roman" w:hint="default"/>
        </w:rPr>
        <w:t>AGPS</w:t>
      </w:r>
      <w:r>
        <w:rPr/>
        <w:t>和</w:t>
      </w:r>
      <w:r>
        <w:rPr>
          <w:rFonts w:ascii="Times New Roman" w:hAnsi="Times New Roman" w:cs="Times New Roman" w:eastAsia="Times New Roman" w:hint="default"/>
        </w:rPr>
        <w:t>LBS</w:t>
      </w:r>
      <w:r>
        <w:rPr/>
        <w:t>综合定位、网络休眠和唤醒等。 </w:t>
      </w:r>
      <w:r>
        <w:rPr>
          <w:rFonts w:ascii="Times New Roman" w:hAnsi="Times New Roman" w:cs="Times New Roman" w:eastAsia="Times New Roman" w:hint="default"/>
        </w:rPr>
        <w:t>3</w:t>
      </w:r>
      <w:r>
        <w:rPr/>
        <w:t>、定制化服务与客户合作开发</w:t>
      </w:r>
    </w:p>
    <w:p>
      <w:pPr>
        <w:pStyle w:val="BodyText"/>
        <w:spacing w:line="314" w:lineRule="auto" w:before="13"/>
        <w:ind w:right="189" w:firstLine="360"/>
        <w:jc w:val="both"/>
      </w:pPr>
      <w:r>
        <w:rPr/>
        <w:t>随着物联网产业不断发展，</w:t>
      </w:r>
      <w:r>
        <w:rPr>
          <w:spacing w:val="-13"/>
        </w:rPr>
        <w:t> </w:t>
      </w:r>
      <w:r>
        <w:rPr/>
        <w:t>客户已经不满足于无线通信模块仅承担物联网入口的功能；客户需要融合感知、前端数据</w:t>
      </w:r>
      <w:r>
        <w:rPr/>
        <w:t> </w:t>
      </w:r>
      <w:r>
        <w:rPr>
          <w:spacing w:val="-2"/>
        </w:rPr>
        <w:t>的处理和分析以及数据的接入和传输等复合性功能的一体化模块，这些功能和技术的融合将更加有利于降低产品成本、提高</w:t>
      </w:r>
      <w:r>
        <w:rPr>
          <w:spacing w:val="-64"/>
        </w:rPr>
        <w:t> </w:t>
      </w:r>
      <w:r>
        <w:rPr>
          <w:spacing w:val="-64"/>
        </w:rPr>
      </w:r>
      <w:r>
        <w:rPr>
          <w:spacing w:val="-2"/>
        </w:rPr>
        <w:t>数据处理和传输的及时和有效性、降低产品功耗以及提高产品稳定性。上述情形需要公司研发团队对行业规范、客户需求进</w:t>
      </w:r>
      <w:r>
        <w:rPr>
          <w:spacing w:val="-63"/>
        </w:rPr>
        <w:t> </w:t>
      </w:r>
      <w:r>
        <w:rPr>
          <w:spacing w:val="-63"/>
        </w:rPr>
      </w:r>
      <w:r>
        <w:rPr>
          <w:spacing w:val="-2"/>
        </w:rPr>
        <w:t>行分析和归类，既能满足单一客户需求，又能持续扩展行业其他应用，使产品形成新的定位和格局。一方面公司积极为客户</w:t>
      </w:r>
      <w:r>
        <w:rPr>
          <w:spacing w:val="-64"/>
        </w:rPr>
        <w:t> </w:t>
      </w:r>
      <w:r>
        <w:rPr>
          <w:spacing w:val="-64"/>
        </w:rPr>
      </w:r>
      <w:r>
        <w:rPr>
          <w:spacing w:val="-2"/>
        </w:rPr>
        <w:t>提供</w:t>
      </w:r>
      <w:r>
        <w:rPr>
          <w:rFonts w:ascii="Times New Roman" w:hAnsi="Times New Roman" w:cs="Times New Roman" w:eastAsia="Times New Roman" w:hint="default"/>
          <w:spacing w:val="-2"/>
        </w:rPr>
        <w:t>“</w:t>
      </w:r>
      <w:r>
        <w:rPr>
          <w:spacing w:val="-2"/>
        </w:rPr>
        <w:t>交钥匙</w:t>
      </w:r>
      <w:r>
        <w:rPr>
          <w:rFonts w:ascii="Times New Roman" w:hAnsi="Times New Roman" w:cs="Times New Roman" w:eastAsia="Times New Roman" w:hint="default"/>
          <w:spacing w:val="-2"/>
        </w:rPr>
        <w:t>”</w:t>
      </w:r>
      <w:r>
        <w:rPr>
          <w:spacing w:val="-2"/>
        </w:rPr>
        <w:t>的完整产品和解决方案，配合客户加快设备进入市场的时间；另一方面，公司不断开发新的研发技术，努力提</w:t>
      </w:r>
      <w:r>
        <w:rPr>
          <w:spacing w:val="-41"/>
        </w:rPr>
        <w:t> </w:t>
      </w:r>
      <w:r>
        <w:rPr>
          <w:spacing w:val="-41"/>
        </w:rPr>
      </w:r>
      <w:r>
        <w:rPr/>
        <w:t>高与客户合作的粘性。</w:t>
      </w:r>
    </w:p>
    <w:p>
      <w:pPr>
        <w:pStyle w:val="BodyText"/>
        <w:spacing w:line="300" w:lineRule="auto" w:before="20"/>
        <w:ind w:left="472" w:right="190"/>
        <w:jc w:val="left"/>
      </w:pPr>
      <w:r>
        <w:rPr>
          <w:rFonts w:ascii="Times New Roman" w:hAnsi="Times New Roman" w:cs="Times New Roman" w:eastAsia="Times New Roman" w:hint="default"/>
        </w:rPr>
        <w:t>4</w:t>
      </w:r>
      <w:r>
        <w:rPr/>
        <w:t>、产品差异化及创新优势 </w:t>
      </w:r>
      <w:r>
        <w:rPr>
          <w:spacing w:val="-2"/>
        </w:rPr>
        <w:t>在物联网传输技术中，存在着多种类的无线通信技术和制式。虽然用户在数据传输过程中可以根据自己的需要选择通信</w:t>
      </w:r>
    </w:p>
    <w:p>
      <w:pPr>
        <w:pStyle w:val="BodyText"/>
        <w:spacing w:line="316" w:lineRule="auto" w:before="31"/>
        <w:ind w:right="111"/>
        <w:jc w:val="both"/>
      </w:pPr>
      <w:r>
        <w:rPr/>
        <w:t>网络形式，但是由于很多跨制式的无线通信技术并不兼容，造成用户需要投入大量的开发时间和成本去集成多种接入技术。 公司产品在设计过程中采用了共享处理器、存储器、接口等技术，软件中加入不同制式之间数据的交换和路由功能；同时， 面向客户仍采用统一的通信协议，使得客户的设备即可实现各种通信技术之间的切换、数据分享、数据路由等。</w:t>
      </w:r>
    </w:p>
    <w:p>
      <w:pPr>
        <w:pStyle w:val="BodyText"/>
        <w:spacing w:line="300" w:lineRule="auto" w:before="19"/>
        <w:ind w:right="188" w:firstLine="360"/>
        <w:jc w:val="both"/>
      </w:pPr>
      <w:r>
        <w:rPr/>
        <w:t>此外，随着</w:t>
      </w:r>
      <w:r>
        <w:rPr>
          <w:rFonts w:ascii="Times New Roman" w:hAnsi="Times New Roman" w:cs="Times New Roman" w:eastAsia="Times New Roman" w:hint="default"/>
        </w:rPr>
        <w:t>CPU</w:t>
      </w:r>
      <w:r>
        <w:rPr/>
        <w:t>处理能力的进步和智能操作系统的发展，公司将进一步推动基于</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Android</w:t>
      </w:r>
      <w:r>
        <w:rPr/>
        <w:t>、</w:t>
      </w:r>
      <w:r>
        <w:rPr>
          <w:rFonts w:ascii="Times New Roman" w:hAnsi="Times New Roman" w:cs="Times New Roman" w:eastAsia="Times New Roman" w:hint="default"/>
        </w:rPr>
        <w:t>WIN8/10</w:t>
      </w:r>
      <w:r>
        <w:rPr/>
        <w:t>等智能开放 式一体化模块的研发以及在未来物联网中的应用。</w:t>
      </w:r>
    </w:p>
    <w:p>
      <w:pPr>
        <w:pStyle w:val="BodyText"/>
        <w:spacing w:line="300" w:lineRule="auto" w:before="31"/>
        <w:ind w:left="472" w:right="190"/>
        <w:jc w:val="left"/>
      </w:pPr>
      <w:r>
        <w:rPr>
          <w:rFonts w:ascii="Times New Roman" w:hAnsi="Times New Roman" w:cs="Times New Roman" w:eastAsia="Times New Roman" w:hint="default"/>
        </w:rPr>
        <w:t>5</w:t>
      </w:r>
      <w:r>
        <w:rPr/>
        <w:t>、丰富的研发成果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日，公司在主要产品无线通信模块及其应用行业的通信解决方案的</w:t>
      </w:r>
      <w:r>
        <w:rPr>
          <w:rFonts w:ascii="Times New Roman" w:hAnsi="Times New Roman" w:cs="Times New Roman" w:eastAsia="Times New Roman" w:hint="default"/>
        </w:rPr>
        <w:t>2G/3G/4G</w:t>
      </w:r>
      <w:r>
        <w:rPr/>
        <w:t>通信协议栈软件开发技</w:t>
      </w:r>
    </w:p>
    <w:p>
      <w:pPr>
        <w:pStyle w:val="BodyText"/>
        <w:spacing w:line="307" w:lineRule="auto" w:before="13"/>
        <w:ind w:right="190"/>
        <w:jc w:val="both"/>
      </w:pPr>
      <w:r>
        <w:rPr/>
        <w:t>术、产品性能实现工业级</w:t>
      </w:r>
      <w:r>
        <w:rPr>
          <w:rFonts w:ascii="Times New Roman" w:hAnsi="Times New Roman" w:cs="Times New Roman" w:eastAsia="Times New Roman" w:hint="default"/>
        </w:rPr>
        <w:t>-40</w:t>
      </w:r>
      <w:r>
        <w:rPr/>
        <w:t>到</w:t>
      </w:r>
      <w:r>
        <w:rPr>
          <w:rFonts w:ascii="Times New Roman" w:hAnsi="Times New Roman" w:cs="Times New Roman" w:eastAsia="Times New Roman" w:hint="default"/>
        </w:rPr>
        <w:t>+85</w:t>
      </w:r>
      <w:r>
        <w:rPr/>
        <w:t>度的技术、</w:t>
      </w:r>
      <w:r>
        <w:rPr>
          <w:rFonts w:ascii="Times New Roman" w:hAnsi="Times New Roman" w:cs="Times New Roman" w:eastAsia="Times New Roman" w:hint="default"/>
        </w:rPr>
        <w:t>RF</w:t>
      </w:r>
      <w:r>
        <w:rPr/>
        <w:t>校准控制技术、一体化产品开发设计技术、接口扩展技术、集成应用技术</w:t>
      </w:r>
      <w:r>
        <w:rPr>
          <w:spacing w:val="-26"/>
        </w:rPr>
        <w:t> </w:t>
      </w:r>
      <w:r>
        <w:rPr>
          <w:spacing w:val="-26"/>
        </w:rPr>
      </w:r>
      <w:r>
        <w:rPr>
          <w:spacing w:val="-2"/>
        </w:rPr>
        <w:t>的研发过程中已累计获得</w:t>
      </w:r>
      <w:r>
        <w:rPr>
          <w:rFonts w:ascii="Times New Roman" w:hAnsi="Times New Roman" w:cs="Times New Roman" w:eastAsia="Times New Roman" w:hint="default"/>
          <w:spacing w:val="-2"/>
        </w:rPr>
        <w:t>12</w:t>
      </w:r>
      <w:r>
        <w:rPr>
          <w:spacing w:val="-2"/>
        </w:rPr>
        <w:t>项发明专利、</w:t>
      </w:r>
      <w:r>
        <w:rPr>
          <w:rFonts w:ascii="Times New Roman" w:hAnsi="Times New Roman" w:cs="Times New Roman" w:eastAsia="Times New Roman" w:hint="default"/>
          <w:spacing w:val="-2"/>
        </w:rPr>
        <w:t>36</w:t>
      </w:r>
      <w:r>
        <w:rPr>
          <w:spacing w:val="-2"/>
        </w:rPr>
        <w:t>项实用新型专利以及</w:t>
      </w:r>
      <w:r>
        <w:rPr>
          <w:rFonts w:ascii="Times New Roman" w:hAnsi="Times New Roman" w:cs="Times New Roman" w:eastAsia="Times New Roman" w:hint="default"/>
          <w:spacing w:val="-2"/>
        </w:rPr>
        <w:t>33</w:t>
      </w:r>
      <w:r>
        <w:rPr>
          <w:spacing w:val="-2"/>
        </w:rPr>
        <w:t>项计算机软件著作权。相关技术的掌握使得公司产品能满</w:t>
      </w:r>
      <w:r>
        <w:rPr>
          <w:spacing w:val="-61"/>
        </w:rPr>
        <w:t> </w:t>
      </w:r>
      <w:r>
        <w:rPr>
          <w:spacing w:val="-61"/>
        </w:rPr>
      </w:r>
      <w:r>
        <w:rPr>
          <w:spacing w:val="-2"/>
        </w:rPr>
        <w:t>足车联网、智能电网、移动支付、移动互联网、安防监控等多个领域的应用，并为公司开拓更多物联网与移动互联网应用领</w:t>
      </w:r>
      <w:r>
        <w:rPr>
          <w:spacing w:val="-63"/>
        </w:rPr>
        <w:t> </w:t>
      </w:r>
      <w:r>
        <w:rPr>
          <w:spacing w:val="-63"/>
        </w:rPr>
      </w:r>
      <w:r>
        <w:rPr/>
        <w:t>域奠定良好的基础。</w:t>
      </w:r>
    </w:p>
    <w:p>
      <w:pPr>
        <w:pStyle w:val="BodyText"/>
        <w:spacing w:line="316" w:lineRule="auto" w:before="26"/>
        <w:ind w:left="472" w:right="94"/>
        <w:jc w:val="left"/>
      </w:pPr>
      <w:r>
        <w:rPr/>
        <w:t>（二）行业先发优势 无线通信模块在客户实际应用中需要保证与其他零部件之间的相互兼容，要达到最终的使用效果必须经过较长的开发、</w:t>
      </w:r>
    </w:p>
    <w:p>
      <w:pPr>
        <w:pStyle w:val="BodyText"/>
        <w:spacing w:line="316" w:lineRule="auto" w:before="19"/>
        <w:ind w:right="190"/>
        <w:jc w:val="both"/>
      </w:pPr>
      <w:r>
        <w:rPr>
          <w:spacing w:val="-2"/>
        </w:rPr>
        <w:t>测试阶段，客户如果更换供应商将会花费较大量的时间和资金，并且可能会影响到客户生产经营的连续性和稳定性。公司从</w:t>
      </w:r>
      <w:r>
        <w:rPr>
          <w:spacing w:val="-63"/>
        </w:rPr>
        <w:t> </w:t>
      </w:r>
      <w:r>
        <w:rPr>
          <w:spacing w:val="-63"/>
        </w:rPr>
      </w:r>
      <w:r>
        <w:rPr>
          <w:spacing w:val="-2"/>
        </w:rPr>
        <w:t>事无线通信模块研发多年，已形成完整的产品线，并开拓了智能电网、移动支付、车联网、移动互联网、安防监控等多个领</w:t>
      </w:r>
      <w:r>
        <w:rPr>
          <w:spacing w:val="-63"/>
        </w:rPr>
        <w:t> </w:t>
      </w:r>
      <w:r>
        <w:rPr>
          <w:spacing w:val="-63"/>
        </w:rPr>
      </w:r>
      <w:r>
        <w:rPr/>
        <w:t>域的优质客户。</w:t>
      </w:r>
    </w:p>
    <w:p>
      <w:pPr>
        <w:pStyle w:val="BodyText"/>
        <w:spacing w:line="316" w:lineRule="auto" w:before="19"/>
        <w:ind w:left="472" w:right="190"/>
        <w:jc w:val="left"/>
      </w:pPr>
      <w:r>
        <w:rPr/>
        <w:t>（三）客户优势 </w:t>
      </w:r>
      <w:r>
        <w:rPr>
          <w:spacing w:val="-2"/>
        </w:rPr>
        <w:t>公司深耕无线通信模块领域十余年，在移动支付领域、智能电网、车联网、移动互联网以及智能安防等领域积累了一大</w:t>
      </w:r>
    </w:p>
    <w:p>
      <w:pPr>
        <w:pStyle w:val="BodyText"/>
        <w:spacing w:line="240" w:lineRule="auto" w:before="19"/>
        <w:ind w:right="0"/>
        <w:jc w:val="both"/>
      </w:pPr>
      <w:r>
        <w:rPr/>
        <w:t>批国内外优质客户。良好的客户资源为公司持续稳定发展提供了有力保障。</w:t>
      </w:r>
    </w:p>
    <w:p>
      <w:pPr>
        <w:pStyle w:val="BodyText"/>
        <w:spacing w:line="316" w:lineRule="auto" w:before="76"/>
        <w:ind w:left="472" w:right="190"/>
        <w:jc w:val="left"/>
      </w:pPr>
      <w:r>
        <w:rPr/>
        <w:t>（四）区域优势 </w:t>
      </w:r>
      <w:r>
        <w:rPr>
          <w:spacing w:val="-2"/>
        </w:rPr>
        <w:t>公司所在珠三角区域是我国物联网产业四大集聚地之一，是我国电子整机的重要生产基地，电子信息产业链各环节发展</w:t>
      </w:r>
    </w:p>
    <w:p>
      <w:pPr>
        <w:pStyle w:val="BodyText"/>
        <w:spacing w:line="316" w:lineRule="auto" w:before="19"/>
        <w:ind w:right="94"/>
        <w:jc w:val="left"/>
      </w:pPr>
      <w:r>
        <w:rPr>
          <w:spacing w:val="-2"/>
        </w:rPr>
        <w:t>成熟。在物联网产业发展上，珠三角区域围绕物联网设备制造、软件及系统集成、网络运营服务以及应用示范领域，重点进</w:t>
      </w:r>
      <w:r>
        <w:rPr>
          <w:spacing w:val="-63"/>
        </w:rPr>
        <w:t> </w:t>
      </w:r>
      <w:r>
        <w:rPr>
          <w:spacing w:val="-63"/>
        </w:rPr>
      </w:r>
      <w:r>
        <w:rPr/>
        <w:t>行核心及关键技术突破与创新能力建设，着眼于物联网创新应用、物联网基础设施建设、城市管理信息化水平提升等方面。 良好的区域发展环境使得公司能专注于提升研发实力与巩固核心竞争优势。</w:t>
      </w:r>
    </w:p>
    <w:p>
      <w:pPr>
        <w:spacing w:after="0" w:line="316" w:lineRule="auto"/>
        <w:jc w:val="left"/>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2928" w:right="102"/>
        <w:jc w:val="left"/>
        <w:rPr>
          <w:b w:val="0"/>
          <w:bCs w:val="0"/>
        </w:rPr>
      </w:pPr>
      <w:bookmarkStart w:name="_bookmark3" w:id="4"/>
      <w:bookmarkEnd w:id="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02"/>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102"/>
        <w:jc w:val="left"/>
      </w:pPr>
      <w:r>
        <w:rPr/>
        <w:t>（一）公司经营整体情况</w:t>
      </w:r>
    </w:p>
    <w:p>
      <w:pPr>
        <w:pStyle w:val="BodyText"/>
        <w:spacing w:line="300" w:lineRule="auto" w:before="117"/>
        <w:ind w:right="102" w:firstLine="360"/>
        <w:jc w:val="left"/>
      </w:pPr>
      <w:r>
        <w:rPr>
          <w:rFonts w:ascii="Times New Roman" w:hAnsi="Times New Roman" w:cs="Times New Roman" w:eastAsia="Times New Roman" w:hint="default"/>
          <w:spacing w:val="-2"/>
        </w:rPr>
        <w:t>2017</w:t>
      </w:r>
      <w:r>
        <w:rPr>
          <w:spacing w:val="-2"/>
        </w:rPr>
        <w:t>年度，公司紧紧围绕年度经营计划，进一步加大新技术、新产品的研发投入，不断丰富公司的产品线，努力拓展国</w:t>
      </w:r>
      <w:r>
        <w:rPr/>
        <w:t> 内外市场，公司产品的市场覆盖率进一步提高。报告期内，公司营业收入</w:t>
      </w:r>
      <w:r>
        <w:rPr>
          <w:rFonts w:ascii="Times New Roman" w:hAnsi="Times New Roman" w:cs="Times New Roman" w:eastAsia="Times New Roman" w:hint="default"/>
        </w:rPr>
        <w:t>563,304,478.24</w:t>
      </w:r>
      <w:r>
        <w:rPr/>
        <w:t>元，比去年同期增长</w:t>
      </w:r>
      <w:r>
        <w:rPr>
          <w:rFonts w:ascii="Times New Roman" w:hAnsi="Times New Roman" w:cs="Times New Roman" w:eastAsia="Times New Roman" w:hint="default"/>
        </w:rPr>
        <w:t>63.58%</w:t>
      </w:r>
      <w:r>
        <w:rPr/>
        <w:t>；净利 润</w:t>
      </w:r>
      <w:r>
        <w:rPr>
          <w:rFonts w:ascii="Times New Roman" w:hAnsi="Times New Roman" w:cs="Times New Roman" w:eastAsia="Times New Roman" w:hint="default"/>
        </w:rPr>
        <w:t>43,857,380.81</w:t>
      </w:r>
      <w:r>
        <w:rPr/>
        <w:t>元，同比增长</w:t>
      </w:r>
      <w:r>
        <w:rPr>
          <w:rFonts w:ascii="Times New Roman" w:hAnsi="Times New Roman" w:cs="Times New Roman" w:eastAsia="Times New Roman" w:hint="default"/>
        </w:rPr>
        <w:t>8.77%</w:t>
      </w:r>
      <w:r>
        <w:rPr/>
        <w:t>。截至报告期末，公司总资产达</w:t>
      </w:r>
      <w:r>
        <w:rPr>
          <w:rFonts w:ascii="Times New Roman" w:hAnsi="Times New Roman" w:cs="Times New Roman" w:eastAsia="Times New Roman" w:hint="default"/>
        </w:rPr>
        <w:t>614,245,574.50</w:t>
      </w:r>
      <w:r>
        <w:rPr/>
        <w:t>元，同比增长</w:t>
      </w:r>
      <w:r>
        <w:rPr>
          <w:rFonts w:ascii="Times New Roman" w:hAnsi="Times New Roman" w:cs="Times New Roman" w:eastAsia="Times New Roman" w:hint="default"/>
        </w:rPr>
        <w:t>123.10%</w:t>
      </w:r>
      <w:r>
        <w:rPr/>
        <w:t>；归属于上市公司 所有者权益达</w:t>
      </w:r>
      <w:r>
        <w:rPr>
          <w:rFonts w:ascii="Times New Roman" w:hAnsi="Times New Roman" w:cs="Times New Roman" w:eastAsia="Times New Roman" w:hint="default"/>
        </w:rPr>
        <w:t>368,364,358.95</w:t>
      </w:r>
      <w:r>
        <w:rPr/>
        <w:t>元，同比增长</w:t>
      </w:r>
      <w:r>
        <w:rPr>
          <w:rFonts w:ascii="Times New Roman" w:hAnsi="Times New Roman" w:cs="Times New Roman" w:eastAsia="Times New Roman" w:hint="default"/>
        </w:rPr>
        <w:t>158.15%</w:t>
      </w:r>
      <w:r>
        <w:rPr/>
        <w:t>。主要财务数据变动情况详见本节</w:t>
      </w:r>
      <w:r>
        <w:rPr>
          <w:rFonts w:ascii="Times New Roman" w:hAnsi="Times New Roman" w:cs="Times New Roman" w:eastAsia="Times New Roman" w:hint="default"/>
        </w:rPr>
        <w:t>“</w:t>
      </w:r>
      <w:r>
        <w:rPr/>
        <w:t>二、主营业务分析</w:t>
      </w:r>
      <w:r>
        <w:rPr>
          <w:rFonts w:ascii="Times New Roman" w:hAnsi="Times New Roman" w:cs="Times New Roman" w:eastAsia="Times New Roman" w:hint="default"/>
        </w:rPr>
        <w:t>”</w:t>
      </w:r>
      <w:r>
        <w:rPr/>
        <w:t>。</w:t>
      </w:r>
    </w:p>
    <w:p>
      <w:pPr>
        <w:pStyle w:val="BodyText"/>
        <w:spacing w:line="360" w:lineRule="auto" w:before="51"/>
        <w:ind w:left="532" w:right="102" w:hanging="60"/>
        <w:jc w:val="left"/>
      </w:pPr>
      <w:r>
        <w:rPr/>
        <w:t>（二）公司研发情况 公司一直注重研发投入，紧跟市场前沿，不断进行技术创新与研究开发，以确保公司在日渐激烈的市场竞争中处于领</w:t>
      </w:r>
    </w:p>
    <w:p>
      <w:pPr>
        <w:pStyle w:val="BodyText"/>
        <w:spacing w:line="236" w:lineRule="exact"/>
        <w:ind w:right="102"/>
        <w:jc w:val="left"/>
      </w:pPr>
      <w:r>
        <w:rPr/>
        <w:t>先地位，同时完善公司产品线以满足各行业客户的需求。报告期内公司研发投入共计</w:t>
      </w:r>
      <w:r>
        <w:rPr>
          <w:rFonts w:ascii="Times New Roman" w:hAnsi="Times New Roman" w:cs="Times New Roman" w:eastAsia="Times New Roman" w:hint="default"/>
        </w:rPr>
        <w:t>50,908,385.94</w:t>
      </w:r>
      <w:r>
        <w:rPr/>
        <w:t>元，占同期公司营业收入</w:t>
      </w:r>
    </w:p>
    <w:p>
      <w:pPr>
        <w:pStyle w:val="BodyText"/>
        <w:spacing w:line="300" w:lineRule="auto" w:before="63"/>
        <w:ind w:right="210"/>
        <w:jc w:val="both"/>
      </w:pPr>
      <w:r>
        <w:rPr>
          <w:spacing w:val="-2"/>
        </w:rPr>
        <w:t>的比例为</w:t>
      </w:r>
      <w:r>
        <w:rPr>
          <w:rFonts w:ascii="Times New Roman" w:hAnsi="Times New Roman" w:cs="Times New Roman" w:eastAsia="Times New Roman" w:hint="default"/>
          <w:spacing w:val="-2"/>
        </w:rPr>
        <w:t>9.04%</w:t>
      </w:r>
      <w:r>
        <w:rPr>
          <w:spacing w:val="-2"/>
        </w:rPr>
        <w:t>。截至报告期末，公司员工总人数为</w:t>
      </w:r>
      <w:r>
        <w:rPr>
          <w:rFonts w:ascii="Times New Roman" w:hAnsi="Times New Roman" w:cs="Times New Roman" w:eastAsia="Times New Roman" w:hint="default"/>
          <w:spacing w:val="-2"/>
        </w:rPr>
        <w:t>388</w:t>
      </w:r>
      <w:r>
        <w:rPr>
          <w:spacing w:val="-2"/>
        </w:rPr>
        <w:t>人，其中研发人员占比高达</w:t>
      </w:r>
      <w:r>
        <w:rPr>
          <w:rFonts w:ascii="Times New Roman" w:hAnsi="Times New Roman" w:cs="Times New Roman" w:eastAsia="Times New Roman" w:hint="default"/>
          <w:spacing w:val="-2"/>
        </w:rPr>
        <w:t>50%</w:t>
      </w:r>
      <w:r>
        <w:rPr>
          <w:spacing w:val="-2"/>
        </w:rPr>
        <w:t>以上，本科及以上学历人员占比高达</w:t>
      </w:r>
      <w:r>
        <w:rPr>
          <w:spacing w:val="-42"/>
        </w:rPr>
        <w:t> </w:t>
      </w:r>
      <w:r>
        <w:rPr>
          <w:spacing w:val="-42"/>
        </w:rPr>
      </w:r>
      <w:r>
        <w:rPr>
          <w:rFonts w:ascii="Times New Roman" w:hAnsi="Times New Roman" w:cs="Times New Roman" w:eastAsia="Times New Roman" w:hint="default"/>
          <w:spacing w:val="-1"/>
        </w:rPr>
        <w:t>80%</w:t>
      </w:r>
      <w:r>
        <w:rPr>
          <w:spacing w:val="-1"/>
        </w:rPr>
        <w:t>；研发过程中已累计获得</w:t>
      </w:r>
      <w:r>
        <w:rPr>
          <w:rFonts w:ascii="Times New Roman" w:hAnsi="Times New Roman" w:cs="Times New Roman" w:eastAsia="Times New Roman" w:hint="default"/>
          <w:spacing w:val="-1"/>
        </w:rPr>
        <w:t>12</w:t>
      </w:r>
      <w:r>
        <w:rPr>
          <w:spacing w:val="-1"/>
        </w:rPr>
        <w:t>项发明专利、</w:t>
      </w:r>
      <w:r>
        <w:rPr>
          <w:rFonts w:ascii="Times New Roman" w:hAnsi="Times New Roman" w:cs="Times New Roman" w:eastAsia="Times New Roman" w:hint="default"/>
          <w:spacing w:val="-1"/>
        </w:rPr>
        <w:t>36</w:t>
      </w:r>
      <w:r>
        <w:rPr>
          <w:spacing w:val="-1"/>
        </w:rPr>
        <w:t>项实用新型专利以及</w:t>
      </w:r>
      <w:r>
        <w:rPr>
          <w:rFonts w:ascii="Times New Roman" w:hAnsi="Times New Roman" w:cs="Times New Roman" w:eastAsia="Times New Roman" w:hint="default"/>
          <w:spacing w:val="-1"/>
        </w:rPr>
        <w:t>33</w:t>
      </w:r>
      <w:r>
        <w:rPr>
          <w:spacing w:val="-1"/>
        </w:rPr>
        <w:t>项计算机软件著作权，为公司开拓更多物联网与移动</w:t>
      </w:r>
      <w:r>
        <w:rPr>
          <w:spacing w:val="-87"/>
        </w:rPr>
        <w:t> </w:t>
      </w:r>
      <w:r>
        <w:rPr>
          <w:spacing w:val="-87"/>
        </w:rPr>
      </w:r>
      <w:r>
        <w:rPr/>
        <w:t>互联网应用领域奠定良好的基础。</w:t>
      </w:r>
    </w:p>
    <w:p>
      <w:pPr>
        <w:pStyle w:val="BodyText"/>
        <w:spacing w:line="357" w:lineRule="auto" w:before="72"/>
        <w:ind w:left="652" w:right="102" w:hanging="120"/>
        <w:jc w:val="left"/>
      </w:pPr>
      <w:r>
        <w:rPr/>
        <w:t>（三）公司销售情况 </w:t>
      </w:r>
      <w:r>
        <w:rPr>
          <w:spacing w:val="-2"/>
        </w:rPr>
        <w:t>公司以直销为主的销售体系，能更好的服务大客户，及时响应客户需求。但随着物联网应用的爆发，新的应用场景不</w:t>
      </w:r>
    </w:p>
    <w:p>
      <w:pPr>
        <w:pStyle w:val="BodyText"/>
        <w:spacing w:line="224" w:lineRule="exact"/>
        <w:ind w:right="0"/>
        <w:jc w:val="left"/>
      </w:pPr>
      <w:r>
        <w:rPr/>
        <w:t>断涌现，原有直销队伍已不足以支撑业务的发展。报告期内，公司一方面加大了营销队伍的建设，增加国内的营销网点，提</w:t>
      </w:r>
    </w:p>
    <w:p>
      <w:pPr>
        <w:pStyle w:val="BodyText"/>
        <w:spacing w:line="316" w:lineRule="auto" w:before="76"/>
        <w:ind w:right="114"/>
        <w:jc w:val="left"/>
      </w:pPr>
      <w:r>
        <w:rPr/>
        <w:t>高产品的市场覆盖面，随着海外市场的重点拓展，美国、欧洲等区域销售队伍成长迅速。另一方面加大了代理渠道的拓展， </w:t>
      </w:r>
      <w:r>
        <w:rPr>
          <w:spacing w:val="-2"/>
        </w:rPr>
        <w:t>以弥补直销体系的不足。同时，公司通过产品宣讲、行业展会和新闻媒体等多种方式推广公司新技术和新产品，取得了较好</w:t>
      </w:r>
      <w:r>
        <w:rPr>
          <w:spacing w:val="-64"/>
        </w:rPr>
        <w:t> </w:t>
      </w:r>
      <w:r>
        <w:rPr>
          <w:spacing w:val="-64"/>
        </w:rPr>
      </w:r>
      <w:r>
        <w:rPr/>
        <w:t>的市场反响。</w:t>
      </w:r>
    </w:p>
    <w:p>
      <w:pPr>
        <w:pStyle w:val="BodyText"/>
        <w:spacing w:line="300" w:lineRule="auto" w:before="59"/>
        <w:ind w:right="104" w:firstLine="420"/>
        <w:jc w:val="left"/>
      </w:pPr>
      <w:r>
        <w:rPr/>
        <w:t>在市场拓展方面，公司成立了</w:t>
      </w:r>
      <w:r>
        <w:rPr>
          <w:rFonts w:ascii="Times New Roman" w:hAnsi="Times New Roman" w:cs="Times New Roman" w:eastAsia="Times New Roman" w:hint="default"/>
        </w:rPr>
        <w:t>FIA</w:t>
      </w:r>
      <w:r>
        <w:rPr/>
        <w:t>（</w:t>
      </w:r>
      <w:r>
        <w:rPr>
          <w:rFonts w:ascii="Times New Roman" w:hAnsi="Times New Roman" w:cs="Times New Roman" w:eastAsia="Times New Roman" w:hint="default"/>
        </w:rPr>
        <w:t>Fibocom International Alliance</w:t>
      </w:r>
      <w:r>
        <w:rPr/>
        <w:t>）并成功举办一系列以</w:t>
      </w:r>
      <w:r>
        <w:rPr>
          <w:rFonts w:ascii="Times New Roman" w:hAnsi="Times New Roman" w:cs="Times New Roman" w:eastAsia="Times New Roman" w:hint="default"/>
        </w:rPr>
        <w:t>“The</w:t>
      </w:r>
      <w:r>
        <w:rPr>
          <w:rFonts w:ascii="Times New Roman" w:hAnsi="Times New Roman" w:cs="Times New Roman" w:eastAsia="Times New Roman" w:hint="default"/>
          <w:spacing w:val="-31"/>
        </w:rPr>
        <w:t> </w:t>
      </w:r>
      <w:r>
        <w:rPr>
          <w:rFonts w:ascii="Times New Roman" w:hAnsi="Times New Roman" w:cs="Times New Roman" w:eastAsia="Times New Roman" w:hint="default"/>
        </w:rPr>
        <w:t>ONE”</w:t>
      </w:r>
      <w:r>
        <w:rPr/>
        <w:t>为主题的高峰论坛， </w:t>
      </w:r>
      <w:r>
        <w:rPr>
          <w:spacing w:val="-2"/>
        </w:rPr>
        <w:t>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月主办</w:t>
      </w:r>
      <w:r>
        <w:rPr>
          <w:rFonts w:ascii="Times New Roman" w:hAnsi="Times New Roman" w:cs="Times New Roman" w:eastAsia="Times New Roman" w:hint="default"/>
          <w:spacing w:val="-2"/>
        </w:rPr>
        <w:t>“</w:t>
      </w:r>
      <w:r>
        <w:rPr>
          <w:spacing w:val="-2"/>
        </w:rPr>
        <w:t>携手</w:t>
      </w:r>
      <w:r>
        <w:rPr>
          <w:rFonts w:ascii="Times New Roman" w:hAnsi="Times New Roman" w:cs="Times New Roman" w:eastAsia="Times New Roman" w:hint="default"/>
          <w:spacing w:val="-2"/>
        </w:rPr>
        <w:t>Verizon</w:t>
      </w:r>
      <w:r>
        <w:rPr>
          <w:spacing w:val="-2"/>
        </w:rPr>
        <w:t>，广和通助您进军美国</w:t>
      </w:r>
      <w:r>
        <w:rPr>
          <w:rFonts w:ascii="Times New Roman" w:hAnsi="Times New Roman" w:cs="Times New Roman" w:eastAsia="Times New Roman" w:hint="default"/>
          <w:spacing w:val="-2"/>
        </w:rPr>
        <w:t>”</w:t>
      </w:r>
      <w:r>
        <w:rPr>
          <w:spacing w:val="-2"/>
        </w:rPr>
        <w:t>高峰论坛，</w:t>
      </w:r>
      <w:r>
        <w:rPr>
          <w:rFonts w:ascii="Times New Roman" w:hAnsi="Times New Roman" w:cs="Times New Roman" w:eastAsia="Times New Roman" w:hint="default"/>
          <w:spacing w:val="-2"/>
        </w:rPr>
        <w:t>7</w:t>
      </w:r>
      <w:r>
        <w:rPr>
          <w:spacing w:val="-2"/>
        </w:rPr>
        <w:t>月主办</w:t>
      </w:r>
      <w:r>
        <w:rPr>
          <w:rFonts w:ascii="Times New Roman" w:hAnsi="Times New Roman" w:cs="Times New Roman" w:eastAsia="Times New Roman" w:hint="default"/>
          <w:spacing w:val="-2"/>
        </w:rPr>
        <w:t>“</w:t>
      </w:r>
      <w:r>
        <w:rPr>
          <w:spacing w:val="-2"/>
        </w:rPr>
        <w:t>广和通携手</w:t>
      </w:r>
      <w:r>
        <w:rPr>
          <w:rFonts w:ascii="Times New Roman" w:hAnsi="Times New Roman" w:cs="Times New Roman" w:eastAsia="Times New Roman" w:hint="default"/>
          <w:spacing w:val="-2"/>
        </w:rPr>
        <w:t>Reliance</w:t>
      </w:r>
      <w:r>
        <w:rPr>
          <w:spacing w:val="-2"/>
        </w:rPr>
        <w:t>助您进军印度</w:t>
      </w:r>
      <w:r>
        <w:rPr>
          <w:rFonts w:ascii="Times New Roman" w:hAnsi="Times New Roman" w:cs="Times New Roman" w:eastAsia="Times New Roman" w:hint="default"/>
          <w:spacing w:val="-2"/>
        </w:rPr>
        <w:t>”</w:t>
      </w:r>
      <w:r>
        <w:rPr>
          <w:spacing w:val="-2"/>
        </w:rPr>
        <w:t>高峰论坛。</w:t>
      </w:r>
      <w:r>
        <w:rPr>
          <w:spacing w:val="-39"/>
        </w:rPr>
        <w:t> </w:t>
      </w:r>
      <w:r>
        <w:rPr>
          <w:rFonts w:ascii="Times New Roman" w:hAnsi="Times New Roman" w:cs="Times New Roman" w:eastAsia="Times New Roman" w:hint="default"/>
        </w:rPr>
        <w:t>“The</w:t>
      </w:r>
      <w:r>
        <w:rPr>
          <w:rFonts w:ascii="Times New Roman" w:hAnsi="Times New Roman" w:cs="Times New Roman" w:eastAsia="Times New Roman" w:hint="default"/>
          <w:spacing w:val="-9"/>
        </w:rPr>
        <w:t> </w:t>
      </w:r>
      <w:r>
        <w:rPr>
          <w:rFonts w:ascii="Times New Roman" w:hAnsi="Times New Roman" w:cs="Times New Roman" w:eastAsia="Times New Roman" w:hint="default"/>
        </w:rPr>
        <w:t>ONE”</w:t>
      </w:r>
      <w:r>
        <w:rPr/>
        <w:t>高峰论坛获得与会企业的广泛好评和热烈反响，为公司进一步拓展国际市场打下了良好基础。同时，公司参加了 一系列极具影响的行业峰会，同时受邀参加演讲，积极展示公司成果，获得行业及众多客户认可。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月公司受邀参加</w:t>
      </w:r>
      <w:r>
        <w:rPr>
          <w:spacing w:val="-8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spacing w:val="15"/>
        </w:rPr>
        <w:t>世界移动大会</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8"/>
        </w:rPr>
        <w:t> </w:t>
      </w:r>
      <w:r>
        <w:rPr>
          <w:spacing w:val="12"/>
        </w:rPr>
        <w:t>上海</w:t>
      </w:r>
      <w:r>
        <w:rPr>
          <w:rFonts w:ascii="Times New Roman" w:hAnsi="Times New Roman" w:cs="Times New Roman" w:eastAsia="Times New Roman" w:hint="default"/>
          <w:spacing w:val="12"/>
        </w:rPr>
        <w:t>—GTI</w:t>
      </w:r>
      <w:r>
        <w:rPr>
          <w:spacing w:val="12"/>
        </w:rPr>
        <w:t>论坛并发表主题演讲；</w:t>
      </w:r>
      <w:r>
        <w:rPr>
          <w:spacing w:val="-73"/>
        </w:rPr>
        <w:t> </w:t>
      </w:r>
      <w:r>
        <w:rPr>
          <w:spacing w:val="11"/>
        </w:rPr>
        <w:t>同期，</w:t>
      </w:r>
      <w:r>
        <w:rPr>
          <w:spacing w:val="-69"/>
        </w:rPr>
        <w:t> </w:t>
      </w:r>
      <w:r>
        <w:rPr>
          <w:spacing w:val="16"/>
        </w:rPr>
        <w:t>公司作为英特尔亚太地区的重要合作伙伴，</w:t>
      </w:r>
      <w:r>
        <w:rPr>
          <w:spacing w:val="-73"/>
        </w:rPr>
        <w:t> </w:t>
      </w:r>
      <w:r>
        <w:rPr>
          <w:spacing w:val="13"/>
        </w:rPr>
        <w:t>受邀参加</w:t>
      </w:r>
      <w:r>
        <w:rPr>
          <w:spacing w:val="-74"/>
        </w:rPr>
        <w:t> </w:t>
      </w:r>
      <w:r>
        <w:rPr>
          <w:spacing w:val="-74"/>
        </w:rPr>
      </w:r>
      <w:r>
        <w:rPr>
          <w:rFonts w:ascii="Times New Roman" w:hAnsi="Times New Roman" w:cs="Times New Roman" w:eastAsia="Times New Roman" w:hint="default"/>
        </w:rPr>
        <w:t>Computex2017</w:t>
      </w:r>
      <w:r>
        <w:rPr/>
        <w:t>并展示</w:t>
      </w:r>
      <w:r>
        <w:rPr>
          <w:rFonts w:ascii="Times New Roman" w:hAnsi="Times New Roman" w:cs="Times New Roman" w:eastAsia="Times New Roman" w:hint="default"/>
        </w:rPr>
        <w:t>“One World One SKU”</w:t>
      </w:r>
      <w:r>
        <w:rPr/>
        <w:t>系列模块及消费电子领域创新成果；</w:t>
      </w:r>
      <w:r>
        <w:rPr>
          <w:rFonts w:ascii="Times New Roman" w:hAnsi="Times New Roman" w:cs="Times New Roman" w:eastAsia="Times New Roman" w:hint="default"/>
        </w:rPr>
        <w:t>7</w:t>
      </w:r>
      <w:r>
        <w:rPr/>
        <w:t>月公司参加</w:t>
      </w:r>
      <w:r>
        <w:rPr>
          <w:rFonts w:ascii="Times New Roman" w:hAnsi="Times New Roman" w:cs="Times New Roman" w:eastAsia="Times New Roman" w:hint="default"/>
        </w:rPr>
        <w:t>“</w:t>
      </w:r>
      <w:r>
        <w:rPr/>
        <w:t>天翼智能生态博览会</w:t>
      </w:r>
      <w:r>
        <w:rPr>
          <w:rFonts w:ascii="Times New Roman" w:hAnsi="Times New Roman" w:cs="Times New Roman" w:eastAsia="Times New Roman" w:hint="default"/>
        </w:rPr>
        <w:t>”</w:t>
      </w:r>
      <w:r>
        <w:rPr/>
        <w:t>，发布</w:t>
      </w:r>
      <w:r>
        <w:rPr>
          <w:spacing w:val="-22"/>
        </w:rPr>
        <w:t> </w:t>
      </w:r>
      <w:r>
        <w:rPr>
          <w:spacing w:val="-22"/>
        </w:rPr>
      </w:r>
      <w:r>
        <w:rPr/>
        <w:t>多款适用于智能行业的</w:t>
      </w:r>
      <w:r>
        <w:rPr>
          <w:rFonts w:ascii="Times New Roman" w:hAnsi="Times New Roman" w:cs="Times New Roman" w:eastAsia="Times New Roman" w:hint="default"/>
        </w:rPr>
        <w:t>SoC</w:t>
      </w:r>
      <w:r>
        <w:rPr/>
        <w:t>系列智能模组； </w:t>
      </w:r>
      <w:r>
        <w:rPr>
          <w:rFonts w:ascii="Times New Roman" w:hAnsi="Times New Roman" w:cs="Times New Roman" w:eastAsia="Times New Roman" w:hint="default"/>
        </w:rPr>
        <w:t>11</w:t>
      </w:r>
      <w:r>
        <w:rPr/>
        <w:t>月，公司主办</w:t>
      </w:r>
      <w:r>
        <w:rPr>
          <w:rFonts w:ascii="Times New Roman" w:hAnsi="Times New Roman" w:cs="Times New Roman" w:eastAsia="Times New Roman" w:hint="default"/>
        </w:rPr>
        <w:t>“NB-IoT</w:t>
      </w:r>
      <w:r>
        <w:rPr/>
        <w:t>生态链应用研讨会</w:t>
      </w:r>
      <w:r>
        <w:rPr>
          <w:rFonts w:ascii="Times New Roman" w:hAnsi="Times New Roman" w:cs="Times New Roman" w:eastAsia="Times New Roman" w:hint="default"/>
        </w:rPr>
        <w:t>”</w:t>
      </w:r>
      <w:r>
        <w:rPr/>
        <w:t>，为生态链上下游企业、客户及合</w:t>
      </w:r>
      <w:r>
        <w:rPr>
          <w:spacing w:val="-52"/>
        </w:rPr>
        <w:t> </w:t>
      </w:r>
      <w:r>
        <w:rPr>
          <w:spacing w:val="-52"/>
        </w:rPr>
      </w:r>
      <w:r>
        <w:rPr/>
        <w:t>作伙伴提供全面、丰富的行业应用，推进</w:t>
      </w:r>
      <w:r>
        <w:rPr>
          <w:rFonts w:ascii="Times New Roman" w:hAnsi="Times New Roman" w:cs="Times New Roman" w:eastAsia="Times New Roman" w:hint="default"/>
        </w:rPr>
        <w:t>NB-IoT</w:t>
      </w:r>
      <w:r>
        <w:rPr/>
        <w:t>应用落地。众多展示成果彰显了公司产品及技术优势，加速了解市场趋势</w:t>
      </w:r>
      <w:r>
        <w:rPr>
          <w:spacing w:val="-31"/>
        </w:rPr>
        <w:t> </w:t>
      </w:r>
      <w:r>
        <w:rPr>
          <w:spacing w:val="-31"/>
        </w:rPr>
      </w:r>
      <w:r>
        <w:rPr/>
        <w:t>与主流需求。公司在应用行业的拓展初显成效，继续保持移动支付领域的领先地位，同时在</w:t>
      </w:r>
      <w:r>
        <w:rPr>
          <w:rFonts w:ascii="Times New Roman" w:hAnsi="Times New Roman" w:cs="Times New Roman" w:eastAsia="Times New Roman" w:hint="default"/>
        </w:rPr>
        <w:t>PC</w:t>
      </w:r>
      <w:r>
        <w:rPr/>
        <w:t>、安防监控、智能家居和移</w:t>
      </w:r>
      <w:r>
        <w:rPr>
          <w:spacing w:val="-43"/>
        </w:rPr>
        <w:t> </w:t>
      </w:r>
      <w:r>
        <w:rPr>
          <w:spacing w:val="-43"/>
        </w:rPr>
      </w:r>
      <w:r>
        <w:rPr/>
        <w:t>动智能终端等应用领域不断提升市场份额。</w:t>
      </w:r>
    </w:p>
    <w:p>
      <w:pPr>
        <w:spacing w:line="240" w:lineRule="auto" w:before="8"/>
        <w:rPr>
          <w:rFonts w:ascii="宋体" w:hAnsi="宋体" w:cs="宋体" w:eastAsia="宋体" w:hint="default"/>
          <w:sz w:val="21"/>
          <w:szCs w:val="21"/>
        </w:rPr>
      </w:pPr>
    </w:p>
    <w:p>
      <w:pPr>
        <w:pStyle w:val="Heading2"/>
        <w:spacing w:line="240" w:lineRule="auto"/>
        <w:ind w:right="102"/>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2"/>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87" w:footer="1016" w:top="1100" w:bottom="1200" w:left="1020" w:right="9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954"/>
        <w:jc w:val="left"/>
      </w:pPr>
      <w:r>
        <w:rPr/>
        <w:t>公司是否需要遵守光伏产业链相关业的披露要求 否</w:t>
      </w:r>
    </w:p>
    <w:p>
      <w:pPr>
        <w:pStyle w:val="BodyText"/>
        <w:spacing w:line="338" w:lineRule="auto" w:before="27"/>
        <w:ind w:right="37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5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11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1"/>
        <w:ind w:right="64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right="0"/>
        <w:jc w:val="left"/>
      </w:pPr>
      <w:r>
        <w:rPr/>
        <w:t>营业收入整体情况</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563,304,478.24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344,353,621.65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M2M</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428,490,533.64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270,682,651.86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MI</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129,856,905.25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72,217,575.48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79.81%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4,957,039.35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1,453,394.31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通讯模块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549,697,743.40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342,672,263.91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13,606,734.84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1,681,357.74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709.27%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268,621,422.79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212,378,996.30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61.67%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115,189,584.13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54,781,555.90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9,099,078.03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3,993,140.26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127.87%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156,385,525.26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71,820,384.33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14,008,868.03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1,379,544.86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915.47%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否</w:t>
      </w:r>
    </w:p>
    <w:p>
      <w:pPr>
        <w:spacing w:after="0" w:line="348"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M2M</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428,490,533.64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328,221,497.30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129,856,905.25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80,245,139.16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通讯模块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549,697,743.40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399,616,468.68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268,621,422.79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198,092,046.69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115,189,584.13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91,040,255.70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156,385,525.26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103,280,088.85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-4.20%</w:t>
            </w:r>
          </w:p>
        </w:tc>
      </w:tr>
    </w:tbl>
    <w:p>
      <w:pPr>
        <w:pStyle w:val="BodyText"/>
        <w:spacing w:line="240" w:lineRule="auto" w:before="5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通信模块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9,269,477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8,541,300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r>
    </w:tbl>
    <w:p>
      <w:pPr>
        <w:pStyle w:val="BodyText"/>
        <w:spacing w:line="240" w:lineRule="auto" w:before="51"/>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产品分类</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358,233,788.41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211,517,836.71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33,047,137.02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26,186,618.49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26.20%</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7,479,395.15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5,048,377.48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13,611,821.75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4,396,728.90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209.59%</w:t>
            </w:r>
          </w:p>
        </w:tc>
      </w:tr>
    </w:tbl>
    <w:p>
      <w:pPr>
        <w:pStyle w:val="BodyText"/>
        <w:spacing w:line="240" w:lineRule="auto" w:before="51"/>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本报告期内公司合并范围增加了以自有资金全资收购的浙江诺控。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324,816,078.64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57.66%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150,365,533.83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26.69%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63,044,853.26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56,631,089.26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29,664,347.33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25,110,254.96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324,816,078.64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57.66%</w:t>
            </w:r>
          </w:p>
        </w:tc>
      </w:tr>
    </w:tbl>
    <w:p>
      <w:pPr>
        <w:pStyle w:val="BodyText"/>
        <w:spacing w:line="240" w:lineRule="auto" w:before="50"/>
        <w:ind w:right="0"/>
        <w:jc w:val="left"/>
      </w:pPr>
      <w:r>
        <w:rPr/>
        <w:t>主要客户其他情况说明</w:t>
      </w:r>
    </w:p>
    <w:p>
      <w:pPr>
        <w:pStyle w:val="BodyText"/>
        <w:spacing w:line="338" w:lineRule="auto" w:before="117"/>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213,834,045.86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80,619,870.80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18.29%</w:t>
            </w:r>
          </w:p>
        </w:tc>
      </w:tr>
      <w:tr>
        <w:trPr>
          <w:trHeight w:val="400"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40,335,652.14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9.15%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32,529,468.39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7.38%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32,205,258.39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28,143,796.14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213,834,045.86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48.52%</w:t>
            </w:r>
          </w:p>
        </w:tc>
      </w:tr>
    </w:tbl>
    <w:p>
      <w:pPr>
        <w:pStyle w:val="BodyText"/>
        <w:spacing w:line="240" w:lineRule="auto" w:before="50"/>
        <w:ind w:right="190"/>
        <w:jc w:val="left"/>
      </w:pPr>
      <w:r>
        <w:rPr/>
        <w:t>主要供应商其他情况说明</w:t>
      </w:r>
    </w:p>
    <w:p>
      <w:pPr>
        <w:pStyle w:val="BodyText"/>
        <w:spacing w:line="240" w:lineRule="auto" w:before="117"/>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9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28,227,830.58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13,881,711.01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海外市场拓展及人员差旅等增加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69,958,966.69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42,795,934.07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研发投入增加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2,334,055.10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1,010,051.89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汇率波动</w:t>
            </w:r>
          </w:p>
        </w:tc>
      </w:tr>
    </w:tbl>
    <w:p>
      <w:pPr>
        <w:spacing w:line="240" w:lineRule="auto" w:before="4"/>
        <w:rPr>
          <w:rFonts w:ascii="宋体" w:hAnsi="宋体" w:cs="宋体" w:eastAsia="宋体" w:hint="default"/>
          <w:sz w:val="19"/>
          <w:szCs w:val="19"/>
        </w:rPr>
      </w:pPr>
    </w:p>
    <w:p>
      <w:pPr>
        <w:pStyle w:val="Heading3"/>
        <w:spacing w:line="240" w:lineRule="auto" w:before="34"/>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472" w:right="783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1、高速LTE通信模块</w:t>
      </w:r>
    </w:p>
    <w:p>
      <w:pPr>
        <w:pStyle w:val="BodyText"/>
        <w:spacing w:line="316" w:lineRule="auto" w:before="2"/>
        <w:ind w:right="101" w:firstLine="360"/>
        <w:jc w:val="left"/>
      </w:pPr>
      <w:r>
        <w:rPr>
          <w:spacing w:val="-2"/>
        </w:rPr>
        <w:t>随着无线通信技术的快速发展，越来越多的用户希望其互联网设备，包括PC、平板、Chorebook等，快速便捷地接入LTE</w:t>
      </w:r>
      <w:r>
        <w:rPr/>
        <w:t> 通信网络，实现数据的高速传输和交互。同时，无线网络运营商也希望充分利用其频谱资源，为用户提供高达450Mbps或更 </w:t>
      </w:r>
      <w:r>
        <w:rPr>
          <w:spacing w:val="-2"/>
        </w:rPr>
        <w:t>高的无线宽带数据业务，以提高自身业务能力。公司与全球个人电脑主要供应商HP、Lenov、Dell，Google，MircoSoft等展</w:t>
      </w:r>
      <w:r>
        <w:rPr>
          <w:spacing w:val="-53"/>
        </w:rPr>
        <w:t> </w:t>
      </w:r>
      <w:r>
        <w:rPr>
          <w:spacing w:val="-53"/>
        </w:rPr>
      </w:r>
      <w:r>
        <w:rPr/>
        <w:t>开技术合作开发，于2017年年初定义了L850高速LTE无线通信模块产品。该产品基于LTE</w:t>
      </w:r>
      <w:r>
        <w:rPr>
          <w:spacing w:val="-8"/>
        </w:rPr>
        <w:t> </w:t>
      </w:r>
      <w:r>
        <w:rPr/>
        <w:t>CAT9技术架构，通过3CA载波技术，</w:t>
      </w:r>
      <w:r>
        <w:rPr/>
        <w:t> 实现下行450M的数据传输速率；在30*42mm的PCB上，集成了全球24个LTE频段，完美实现了One</w:t>
      </w:r>
      <w:r>
        <w:rPr>
          <w:spacing w:val="-60"/>
        </w:rPr>
        <w:t> </w:t>
      </w:r>
      <w:r>
        <w:rPr/>
        <w:t>World</w:t>
      </w:r>
      <w:r>
        <w:rPr>
          <w:spacing w:val="-60"/>
        </w:rPr>
        <w:t> </w:t>
      </w:r>
      <w:r>
        <w:rPr/>
        <w:t>One</w:t>
      </w:r>
      <w:r>
        <w:rPr>
          <w:spacing w:val="-60"/>
        </w:rPr>
        <w:t> </w:t>
      </w:r>
      <w:r>
        <w:rPr/>
        <w:t>SKU的全球化产品；</w:t>
      </w:r>
      <w:r>
        <w:rPr/>
        <w:t> 同时，集成以PCIe总线为基础的，面向WIN</w:t>
      </w:r>
      <w:r>
        <w:rPr>
          <w:spacing w:val="-61"/>
        </w:rPr>
        <w:t> </w:t>
      </w:r>
      <w:r>
        <w:rPr/>
        <w:t>RS的MBIM通用接口技术。2017年9月，与HP一起实现了全球首台支持450Mbps移动</w:t>
      </w:r>
      <w:hyperlink r:id="rId14">
        <w:r>
          <w:rPr/>
          <w:t> 通信技术的个人笔记本电脑面市，参见：http://www8.hp.com/us/en/campaigns/probook-400/overview.html</w:t>
        </w:r>
      </w:hyperlink>
      <w:r>
        <w:rPr/>
        <w:t>。</w:t>
      </w:r>
      <w:r>
        <w:rPr>
          <w:spacing w:val="-12"/>
        </w:rPr>
        <w:t> </w:t>
      </w:r>
      <w:r>
        <w:rPr/>
        <w:t>到2017年</w:t>
      </w:r>
      <w:r>
        <w:rPr/>
        <w:t> 年底，L850产品实现50+国家地区的安规性认证，通过全球最大的12家运营商的认证，为L850在全球销售打下坚实的基础。</w:t>
      </w:r>
    </w:p>
    <w:p>
      <w:pPr>
        <w:pStyle w:val="BodyText"/>
        <w:spacing w:line="316" w:lineRule="auto" w:before="19"/>
        <w:ind w:left="472" w:right="190"/>
        <w:jc w:val="left"/>
      </w:pPr>
      <w:r>
        <w:rPr/>
        <w:t>2.</w:t>
      </w:r>
      <w:r>
        <w:rPr>
          <w:spacing w:val="-1"/>
        </w:rPr>
        <w:t> </w:t>
      </w:r>
      <w:r>
        <w:rPr/>
        <w:t>SOC智能通信模块</w:t>
      </w:r>
      <w:r>
        <w:rPr/>
        <w:t> </w:t>
      </w:r>
      <w:r>
        <w:rPr>
          <w:spacing w:val="-2"/>
        </w:rPr>
        <w:t>物联网掀起信息产业的第三次革命浪潮，以车联网、移动支付、安防监控、智能家居、智能电网、智能穿戴、远程医疗</w:t>
      </w:r>
    </w:p>
    <w:p>
      <w:pPr>
        <w:pStyle w:val="BodyText"/>
        <w:spacing w:line="316" w:lineRule="auto" w:before="19"/>
        <w:ind w:right="192"/>
        <w:jc w:val="both"/>
      </w:pPr>
      <w:r>
        <w:rPr>
          <w:spacing w:val="-2"/>
        </w:rPr>
        <w:t>等应用领域为代表，为人们生活提供更大便利，提高公共服务资源调配效率，甚至改变日常生活方式。其中，物联网设备向</w:t>
      </w:r>
      <w:r>
        <w:rPr>
          <w:spacing w:val="-65"/>
        </w:rPr>
        <w:t> </w:t>
      </w:r>
      <w:r>
        <w:rPr>
          <w:spacing w:val="-65"/>
        </w:rPr>
      </w:r>
      <w:r>
        <w:rPr>
          <w:spacing w:val="-2"/>
        </w:rPr>
        <w:t>智能化更新换代已成为产业升级的必要条件。公司与车联网行业、移动支付行业的龙头企业形成战略合作关系，于2017年年</w:t>
      </w:r>
      <w:r>
        <w:rPr>
          <w:spacing w:val="-63"/>
        </w:rPr>
        <w:t> </w:t>
      </w:r>
      <w:r>
        <w:rPr>
          <w:spacing w:val="-63"/>
        </w:rPr>
      </w:r>
      <w:r>
        <w:rPr/>
        <w:t>初定义了SC800、SC906、SC808、SC820等一些列智能模块产品。该系列产品包括：强大的CPU，支持 4核A7</w:t>
      </w:r>
      <w:r>
        <w:rPr>
          <w:spacing w:val="-13"/>
        </w:rPr>
        <w:t> </w:t>
      </w:r>
      <w:r>
        <w:rPr/>
        <w:t>1.1G主频和8核</w:t>
      </w:r>
      <w:r>
        <w:rPr/>
        <w:t> A53</w:t>
      </w:r>
      <w:r>
        <w:rPr>
          <w:spacing w:val="-48"/>
        </w:rPr>
        <w:t> </w:t>
      </w:r>
      <w:r>
        <w:rPr/>
        <w:t>2G主频；Android智能操作系统；支持LTE</w:t>
      </w:r>
      <w:r>
        <w:rPr>
          <w:spacing w:val="-48"/>
        </w:rPr>
        <w:t> </w:t>
      </w:r>
      <w:r>
        <w:rPr/>
        <w:t>CAT4、WIFI、BT、GNSS等丰富多样的无线通信技术；高性能的GPU支持双屏异</w:t>
      </w:r>
      <w:r>
        <w:rPr/>
        <w:t> </w:t>
      </w:r>
      <w:r>
        <w:rPr>
          <w:spacing w:val="-2"/>
        </w:rPr>
        <w:t>显，提供丰富的人机交互界面；高可靠性、高集成度的核心硬件平台。产品推出后，获得行业一致好评。在车联网行业，获</w:t>
      </w:r>
      <w:r>
        <w:rPr>
          <w:spacing w:val="-64"/>
        </w:rPr>
        <w:t> </w:t>
      </w:r>
      <w:r>
        <w:rPr>
          <w:spacing w:val="-64"/>
        </w:rPr>
      </w:r>
      <w:r>
        <w:rPr>
          <w:spacing w:val="-2"/>
        </w:rPr>
        <w:t>得“突出创新产品奖”，参见：</w:t>
      </w:r>
      <w:hyperlink r:id="rId15">
        <w:r>
          <w:rPr>
            <w:spacing w:val="-2"/>
          </w:rPr>
          <w:t>http://www.mingtaihotel.com/keji/2018/0405/16.html</w:t>
        </w:r>
      </w:hyperlink>
      <w:r>
        <w:rPr>
          <w:spacing w:val="-2"/>
        </w:rPr>
        <w:t>；在移动支付行业，通过对加密安</w:t>
      </w:r>
      <w:r>
        <w:rPr>
          <w:spacing w:val="-40"/>
        </w:rPr>
        <w:t> </w:t>
      </w:r>
      <w:r>
        <w:rPr>
          <w:spacing w:val="-40"/>
        </w:rPr>
      </w:r>
      <w:r>
        <w:rPr/>
        <w:t>全特性支持，形成行业标准化产品。到2017年年底，SOC系列智能模块实现当年投入当年产出。接下来，公司将持续在物联</w:t>
      </w:r>
      <w:r>
        <w:rPr/>
        <w:t> 网其他行业进行推广，加速客户产品智能化进程。</w:t>
      </w:r>
    </w:p>
    <w:p>
      <w:pPr>
        <w:pStyle w:val="BodyText"/>
        <w:spacing w:line="316" w:lineRule="auto" w:before="19"/>
        <w:ind w:left="472" w:right="190"/>
        <w:jc w:val="left"/>
      </w:pPr>
      <w:r>
        <w:rPr/>
        <w:t>3. 窄带物联网通信模块 </w:t>
      </w:r>
      <w:r>
        <w:rPr>
          <w:spacing w:val="-2"/>
        </w:rPr>
        <w:t>共享经济的发展，让大家体验到物联网技术带来的便捷高效，在这些共享经济产品中，窄带物联网通信技术的应用，已</w:t>
      </w:r>
    </w:p>
    <w:p>
      <w:pPr>
        <w:pStyle w:val="BodyText"/>
        <w:spacing w:line="316" w:lineRule="auto" w:before="19"/>
        <w:ind w:right="101"/>
        <w:jc w:val="both"/>
      </w:pPr>
      <w:r>
        <w:rPr>
          <w:spacing w:val="-2"/>
        </w:rPr>
        <w:t>经变成必不可少的技术环节。相较于高速、高集成度无线通信模块，窄带物联网通信模块，更需要低成本、小数据量、低功</w:t>
      </w:r>
      <w:r>
        <w:rPr>
          <w:spacing w:val="-66"/>
        </w:rPr>
        <w:t> </w:t>
      </w:r>
      <w:r>
        <w:rPr>
          <w:spacing w:val="-66"/>
        </w:rPr>
      </w:r>
      <w:r>
        <w:rPr>
          <w:spacing w:val="-2"/>
        </w:rPr>
        <w:t>耗、小体积、高可靠性等特性。NB-IOT，eMTC，传统2G(GPRS)等无线通信技术以及对应的产品恰恰满足以上特性需求。公司</w:t>
      </w:r>
      <w:r>
        <w:rPr>
          <w:spacing w:val="-57"/>
        </w:rPr>
        <w:t> </w:t>
      </w:r>
      <w:r>
        <w:rPr>
          <w:spacing w:val="-57"/>
        </w:rPr>
      </w:r>
      <w:r>
        <w:rPr>
          <w:spacing w:val="-2"/>
        </w:rPr>
        <w:t>在窄带物联网通信模块中持续投入，形成了2G(GPRS)系列产品G510\G500；</w:t>
      </w:r>
      <w:r>
        <w:rPr>
          <w:spacing w:val="-69"/>
        </w:rPr>
        <w:t> </w:t>
      </w:r>
      <w:r>
        <w:rPr>
          <w:spacing w:val="-1"/>
        </w:rPr>
        <w:t>NB-IOT系列产品N700；</w:t>
      </w:r>
      <w:r>
        <w:rPr>
          <w:spacing w:val="-65"/>
        </w:rPr>
        <w:t> </w:t>
      </w:r>
      <w:r>
        <w:rPr>
          <w:spacing w:val="-1"/>
        </w:rPr>
        <w:t>eMTC系列产品M210,</w:t>
      </w:r>
      <w:r>
        <w:rPr>
          <w:spacing w:val="-33"/>
        </w:rPr>
        <w:t> </w:t>
      </w:r>
      <w:r>
        <w:rPr>
          <w:spacing w:val="-1"/>
        </w:rPr>
        <w:t>M910。</w:t>
      </w:r>
    </w:p>
    <w:p>
      <w:pPr>
        <w:spacing w:after="0" w:line="316"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674" w:lineRule="auto" w:before="44"/>
        <w:ind w:right="4694"/>
        <w:jc w:val="left"/>
      </w:pPr>
      <w:r>
        <w:rPr/>
        <w:pict>
          <v:shape style="position:absolute;margin-left:56.459999pt;margin-top:52.421715pt;width:479.15pt;height:192.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50,908,385.94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30,678,683.59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27,109,896.94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这些产品的推出，能够全面覆盖窄带物联网对通信接入的需求。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right="0"/>
        <w:jc w:val="left"/>
      </w:pPr>
      <w:r>
        <w:rPr/>
        <w:t>研发投入总额占营业收入的比重较上年发生显著变化的原因</w:t>
      </w:r>
    </w:p>
    <w:p>
      <w:pPr>
        <w:pStyle w:val="BodyText"/>
        <w:spacing w:line="34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501,605,183.60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345,789,295.59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624,440,488.00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296,966,932.30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110.27%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-122,835,304.40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48,822,363.29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254,504,276.25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2,000,860.00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383,202,520.11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4,515,899.89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8,385.63%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-128,698,243.86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-2,515,039.89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5,017.15%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234,199,400.00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25,153,610.92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831.08%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22,711,089.09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18,053,851.08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211,488,310.91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7,099,759.84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2,878.81%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-41,782,232.83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52,436,762.35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-179.68%</w:t>
            </w:r>
          </w:p>
        </w:tc>
      </w:tr>
    </w:tbl>
    <w:p>
      <w:pPr>
        <w:pStyle w:val="BodyText"/>
        <w:spacing w:line="240" w:lineRule="auto" w:before="50"/>
        <w:ind w:right="0"/>
        <w:jc w:val="left"/>
      </w:pPr>
      <w:r>
        <w:rPr/>
        <w:t>相关数据同比发生重大变动的主要影响因素说明</w:t>
      </w:r>
    </w:p>
    <w:p>
      <w:pPr>
        <w:pStyle w:val="BodyText"/>
        <w:spacing w:line="3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一：经营活动产生的现金流量当期为负，主要是随着公司市场的开拓，大客户的规模发货，其应收账款回收账期较公司采购</w:t>
      </w:r>
    </w:p>
    <w:p>
      <w:pPr>
        <w:spacing w:after="0" w:line="340" w:lineRule="auto"/>
        <w:jc w:val="left"/>
        <w:sectPr>
          <w:footerReference w:type="default" r:id="rId16"/>
          <w:pgSz w:w="11910" w:h="16840"/>
          <w:pgMar w:footer="1016" w:header="787" w:top="1100" w:bottom="1200" w:left="1020" w:right="1020"/>
          <w:pgNumType w:start="19"/>
        </w:sectPr>
      </w:pPr>
    </w:p>
    <w:p>
      <w:pPr>
        <w:spacing w:line="240" w:lineRule="auto" w:before="13"/>
        <w:rPr>
          <w:rFonts w:ascii="宋体" w:hAnsi="宋体" w:cs="宋体" w:eastAsia="宋体" w:hint="default"/>
          <w:sz w:val="22"/>
          <w:szCs w:val="22"/>
        </w:rPr>
      </w:pPr>
    </w:p>
    <w:p>
      <w:pPr>
        <w:pStyle w:val="BodyText"/>
        <w:spacing w:line="324" w:lineRule="auto" w:before="44"/>
        <w:ind w:right="2174"/>
        <w:jc w:val="left"/>
      </w:pPr>
      <w:r>
        <w:rPr/>
        <w:t>端支付主芯片货款的账期长，以及公司规模的扩大，备货增加、支付员工及相关经营费用增加； 二：投资活动产生的现金流量净额为负，主要是当期购买了保本理财； 三：筹资活动产生的现金流量净额为正，主要是公司当期首次公开发行</w:t>
      </w:r>
      <w:r>
        <w:rPr>
          <w:rFonts w:ascii="Times New Roman" w:hAnsi="Times New Roman" w:cs="Times New Roman" w:eastAsia="Times New Roman" w:hint="default"/>
        </w:rPr>
        <w:t>A</w:t>
      </w:r>
      <w:r>
        <w:rPr/>
        <w:t>股，收到募集资金。 报告期内公司经营活动产生的现金净流量与本年度净利润存在重大差异的原因说明</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0"/>
        <w:jc w:val="left"/>
      </w:pPr>
      <w:r>
        <w:rPr/>
        <w:t>公司本年的净利润为</w:t>
      </w:r>
      <w:r>
        <w:rPr>
          <w:rFonts w:ascii="Times New Roman" w:hAnsi="Times New Roman" w:cs="Times New Roman" w:eastAsia="Times New Roman" w:hint="default"/>
        </w:rPr>
        <w:t>4,385.74</w:t>
      </w:r>
      <w:r>
        <w:rPr/>
        <w:t>万元，较去年同期增长</w:t>
      </w:r>
      <w:r>
        <w:rPr>
          <w:rFonts w:ascii="Times New Roman" w:hAnsi="Times New Roman" w:cs="Times New Roman" w:eastAsia="Times New Roman" w:hint="default"/>
        </w:rPr>
        <w:t>8.77%</w:t>
      </w:r>
      <w:r>
        <w:rPr/>
        <w:t>；经营活动产生的现金净流量当期为</w:t>
      </w:r>
      <w:r>
        <w:rPr>
          <w:rFonts w:ascii="Times New Roman" w:hAnsi="Times New Roman" w:cs="Times New Roman" w:eastAsia="Times New Roman" w:hint="default"/>
        </w:rPr>
        <w:t>-12,283.53</w:t>
      </w:r>
      <w:r>
        <w:rPr/>
        <w:t>万元，去年同期为 </w:t>
      </w:r>
      <w:r>
        <w:rPr>
          <w:rFonts w:ascii="Times New Roman" w:hAnsi="Times New Roman" w:cs="Times New Roman" w:eastAsia="Times New Roman" w:hint="default"/>
        </w:rPr>
        <w:t>4,882.24</w:t>
      </w:r>
      <w:r>
        <w:rPr/>
        <w:t>万元。形成这些的原因主要是： </w:t>
      </w:r>
      <w:r>
        <w:rPr>
          <w:spacing w:val="-2"/>
        </w:rPr>
        <w:t>一：公司紧紧围绕大客户战略，当期收入实现较大增长，实现收入</w:t>
      </w:r>
      <w:r>
        <w:rPr>
          <w:rFonts w:ascii="Times New Roman" w:hAnsi="Times New Roman" w:cs="Times New Roman" w:eastAsia="Times New Roman" w:hint="default"/>
          <w:spacing w:val="-2"/>
        </w:rPr>
        <w:t>56,330.45</w:t>
      </w:r>
      <w:r>
        <w:rPr>
          <w:spacing w:val="-2"/>
        </w:rPr>
        <w:t>万元，较去年同期增加</w:t>
      </w:r>
      <w:r>
        <w:rPr>
          <w:rFonts w:ascii="Times New Roman" w:hAnsi="Times New Roman" w:cs="Times New Roman" w:eastAsia="Times New Roman" w:hint="default"/>
          <w:spacing w:val="-2"/>
        </w:rPr>
        <w:t>21,895.09</w:t>
      </w:r>
      <w:r>
        <w:rPr>
          <w:spacing w:val="-2"/>
        </w:rPr>
        <w:t>万元，但大客户</w:t>
      </w:r>
      <w:r>
        <w:rPr>
          <w:spacing w:val="-54"/>
        </w:rPr>
        <w:t> </w:t>
      </w:r>
      <w:r>
        <w:rPr>
          <w:spacing w:val="-54"/>
        </w:rPr>
      </w:r>
      <w:r>
        <w:rPr/>
        <w:t>的账期与公司采购端对应的芯片支付账期相比较长；</w:t>
      </w:r>
    </w:p>
    <w:p>
      <w:pPr>
        <w:pStyle w:val="BodyText"/>
        <w:spacing w:line="240" w:lineRule="auto" w:before="31"/>
        <w:ind w:right="0"/>
        <w:jc w:val="left"/>
      </w:pPr>
      <w:r>
        <w:rPr/>
        <w:t>二：公司在研发以及营销方面持续投入，对应的现金支出增多。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2,539,341.58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权益法核算的长期股权投 </w:t>
            </w:r>
            <w:r>
              <w:rPr>
                <w:rFonts w:ascii="宋体" w:hAnsi="宋体" w:cs="宋体" w:eastAsia="宋体" w:hint="default"/>
                <w:spacing w:val="-5"/>
                <w:sz w:val="18"/>
                <w:szCs w:val="18"/>
              </w:rPr>
              <w:t>资收益、理财产品产生的投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8,270,200.96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5"/>
                <w:sz w:val="18"/>
                <w:szCs w:val="18"/>
              </w:rPr>
              <w:t>应收、其他应收坏帐计提及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存货跌价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补交印花税滞纳金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本期首发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股，收到募集资金，但报</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82,822,371.75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13.48%</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119,195,432.59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43.29%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-29.81%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告期末存在归入其他流动资产的购</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买保本理财产品本金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195,010,995.5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55,143,414.91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2"/>
                <w:sz w:val="18"/>
                <w:szCs w:val="18"/>
              </w:rPr>
              <w:t>系公司销售收入增长，大客户账期较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长。</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79,953,082.52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2"/>
                <w:sz w:val="18"/>
              </w:rPr>
              <w:t>31,117,646.57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系公司销售规模扩大，备货增加。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445,001.26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378,835.93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12,997,834.15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8,869,717.44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-1.10%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系公司规模扩大，购买的研发及办公</w:t>
            </w:r>
          </w:p>
        </w:tc>
      </w:tr>
    </w:tbl>
    <w:p>
      <w:pPr>
        <w:spacing w:after="0" w:line="240" w:lineRule="auto"/>
        <w:jc w:val="left"/>
        <w:rPr>
          <w:rFonts w:ascii="宋体" w:hAnsi="宋体" w:cs="宋体" w:eastAsia="宋体" w:hint="default"/>
          <w:sz w:val="18"/>
          <w:szCs w:val="18"/>
        </w:rPr>
        <w:sectPr>
          <w:footerReference w:type="default" r:id="rId17"/>
          <w:pgSz w:w="11910" w:h="16840"/>
          <w:pgMar w:footer="1016" w:header="787" w:top="1100" w:bottom="1200" w:left="1020" w:right="1020"/>
          <w:pgNumType w:start="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设备增加。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53,568,400.00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13,550,000.00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系公司加速发展，借入资金支付相关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运营资金。</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86"/>
        <w:gridCol w:w="1155"/>
        <w:gridCol w:w="1154"/>
        <w:gridCol w:w="1154"/>
        <w:gridCol w:w="1154"/>
        <w:gridCol w:w="1154"/>
        <w:gridCol w:w="1154"/>
        <w:gridCol w:w="1154"/>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1" w:right="3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日广东省深圳市南山区人民法院受理了原告深圳市深联电电子科技有限公司民事起诉状，诉讼请求法院判 </w:t>
      </w:r>
      <w:r>
        <w:rPr>
          <w:spacing w:val="4"/>
        </w:rPr>
        <w:t>令本公司向原告支付货款</w:t>
      </w:r>
      <w:r>
        <w:rPr>
          <w:rFonts w:ascii="Times New Roman" w:hAnsi="Times New Roman" w:cs="Times New Roman" w:eastAsia="Times New Roman" w:hint="default"/>
          <w:spacing w:val="4"/>
        </w:rPr>
        <w:t>2,340,689.90</w:t>
      </w:r>
      <w:r>
        <w:rPr>
          <w:spacing w:val="4"/>
        </w:rPr>
        <w:t>元（包含</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3</w:t>
      </w:r>
      <w:r>
        <w:rPr>
          <w:spacing w:val="4"/>
        </w:rPr>
        <w:t>月分别欠款</w:t>
      </w:r>
      <w:r>
        <w:rPr>
          <w:rFonts w:ascii="Times New Roman" w:hAnsi="Times New Roman" w:cs="Times New Roman" w:eastAsia="Times New Roman" w:hint="default"/>
          <w:spacing w:val="4"/>
        </w:rPr>
        <w:t>22,377.90</w:t>
      </w:r>
      <w:r>
        <w:rPr>
          <w:spacing w:val="4"/>
        </w:rPr>
        <w:t>元、</w:t>
      </w:r>
      <w:r>
        <w:rPr/>
        <w:t> </w:t>
      </w:r>
      <w:r>
        <w:rPr>
          <w:rFonts w:ascii="Times New Roman" w:hAnsi="Times New Roman" w:cs="Times New Roman" w:eastAsia="Times New Roman" w:hint="default"/>
        </w:rPr>
        <w:t>848,420.80</w:t>
      </w:r>
      <w:r>
        <w:rPr/>
        <w:t>元、</w:t>
      </w:r>
      <w:r>
        <w:rPr>
          <w:rFonts w:ascii="Times New Roman" w:hAnsi="Times New Roman" w:cs="Times New Roman" w:eastAsia="Times New Roman" w:hint="default"/>
        </w:rPr>
        <w:t>243,980.80</w:t>
      </w:r>
      <w:r>
        <w:rPr/>
        <w:t>元、</w:t>
      </w:r>
      <w:r>
        <w:rPr>
          <w:rFonts w:ascii="Times New Roman" w:hAnsi="Times New Roman" w:cs="Times New Roman" w:eastAsia="Times New Roman" w:hint="default"/>
        </w:rPr>
        <w:t>245,771.00</w:t>
      </w:r>
      <w:r>
        <w:rPr/>
        <w:t>元以及按订单要求备货的价值</w:t>
      </w:r>
      <w:r>
        <w:rPr>
          <w:rFonts w:ascii="Times New Roman" w:hAnsi="Times New Roman" w:cs="Times New Roman" w:eastAsia="Times New Roman" w:hint="default"/>
        </w:rPr>
        <w:t>980,139.40</w:t>
      </w:r>
      <w:r>
        <w:rPr/>
        <w:t>元的</w:t>
      </w:r>
      <w:r>
        <w:rPr>
          <w:rFonts w:ascii="Times New Roman" w:hAnsi="Times New Roman" w:cs="Times New Roman" w:eastAsia="Times New Roman" w:hint="default"/>
        </w:rPr>
        <w:t>66</w:t>
      </w:r>
      <w:r>
        <w:rPr/>
        <w:t>万片电路板）。</w:t>
      </w:r>
    </w:p>
    <w:p>
      <w:pPr>
        <w:pStyle w:val="BodyText"/>
        <w:spacing w:line="300" w:lineRule="auto" w:before="51"/>
        <w:ind w:right="112"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日本公司收到广东省深圳市南山区人民法院编号为（</w:t>
      </w:r>
      <w:r>
        <w:rPr>
          <w:rFonts w:ascii="Times New Roman" w:hAnsi="Times New Roman" w:cs="Times New Roman" w:eastAsia="Times New Roman" w:hint="default"/>
        </w:rPr>
        <w:t>2016</w:t>
      </w:r>
      <w:r>
        <w:rPr/>
        <w:t>）粤</w:t>
      </w:r>
      <w:r>
        <w:rPr>
          <w:rFonts w:ascii="Times New Roman" w:hAnsi="Times New Roman" w:cs="Times New Roman" w:eastAsia="Times New Roman" w:hint="default"/>
        </w:rPr>
        <w:t>0305</w:t>
      </w:r>
      <w:r>
        <w:rPr/>
        <w:t>民初</w:t>
      </w:r>
      <w:r>
        <w:rPr>
          <w:rFonts w:ascii="Times New Roman" w:hAnsi="Times New Roman" w:cs="Times New Roman" w:eastAsia="Times New Roman" w:hint="default"/>
        </w:rPr>
        <w:t>7936</w:t>
      </w:r>
      <w:r>
        <w:rPr/>
        <w:t>号民事裁定书，原告深圳市深 联电电子科技有限公司提请财产保全要求冻结本公司名下江苏银行深圳分行账户价值人民币</w:t>
      </w:r>
      <w:r>
        <w:rPr>
          <w:rFonts w:ascii="Times New Roman" w:hAnsi="Times New Roman" w:cs="Times New Roman" w:eastAsia="Times New Roman" w:hint="default"/>
        </w:rPr>
        <w:t>2,350,689.00</w:t>
      </w:r>
      <w:r>
        <w:rPr/>
        <w:t>元的财产，担保人</w:t>
      </w:r>
      <w:r>
        <w:rPr>
          <w:spacing w:val="-53"/>
        </w:rPr>
        <w:t> </w:t>
      </w:r>
      <w:r>
        <w:rPr>
          <w:spacing w:val="-53"/>
        </w:rPr>
      </w:r>
      <w:r>
        <w:rPr/>
        <w:t>中国人民财产保险股份有限公司深圳市分公司出具了编号为</w:t>
      </w:r>
      <w:r>
        <w:rPr>
          <w:rFonts w:ascii="Times New Roman" w:hAnsi="Times New Roman" w:cs="Times New Roman" w:eastAsia="Times New Roman" w:hint="default"/>
        </w:rPr>
        <w:t>PZDM201644030000000055</w:t>
      </w:r>
      <w:r>
        <w:rPr/>
        <w:t>保单保函提供信用担保。</w:t>
      </w:r>
    </w:p>
    <w:p>
      <w:pPr>
        <w:pStyle w:val="BodyText"/>
        <w:spacing w:line="300" w:lineRule="auto" w:before="53"/>
        <w:ind w:right="11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日江苏银行深圳分行收到广东省南山区人民法院编号为（</w:t>
      </w:r>
      <w:r>
        <w:rPr>
          <w:rFonts w:ascii="Times New Roman" w:hAnsi="Times New Roman" w:cs="Times New Roman" w:eastAsia="Times New Roman" w:hint="default"/>
        </w:rPr>
        <w:t>2016</w:t>
      </w:r>
      <w:r>
        <w:rPr/>
        <w:t>）粤</w:t>
      </w:r>
      <w:r>
        <w:rPr>
          <w:rFonts w:ascii="Times New Roman" w:hAnsi="Times New Roman" w:cs="Times New Roman" w:eastAsia="Times New Roman" w:hint="default"/>
        </w:rPr>
        <w:t>0305</w:t>
      </w:r>
      <w:r>
        <w:rPr/>
        <w:t>民初</w:t>
      </w:r>
      <w:r>
        <w:rPr>
          <w:rFonts w:ascii="Times New Roman" w:hAnsi="Times New Roman" w:cs="Times New Roman" w:eastAsia="Times New Roman" w:hint="default"/>
        </w:rPr>
        <w:t>7936</w:t>
      </w:r>
      <w:r>
        <w:rPr/>
        <w:t>号协助冻结存款通知书， 继续冻结公司江苏银行深圳分行账户价值人民币</w:t>
      </w:r>
      <w:r>
        <w:rPr>
          <w:rFonts w:ascii="Times New Roman" w:hAnsi="Times New Roman" w:cs="Times New Roman" w:eastAsia="Times New Roman" w:hint="default"/>
        </w:rPr>
        <w:t>2,350,689.00</w:t>
      </w:r>
      <w:r>
        <w:rPr/>
        <w:t>元的财产，担保人中国人民财产保险股份有限公司深圳市分公</w:t>
      </w:r>
      <w:r>
        <w:rPr>
          <w:spacing w:val="-53"/>
        </w:rPr>
        <w:t> </w:t>
      </w:r>
      <w:r>
        <w:rPr>
          <w:spacing w:val="-53"/>
        </w:rPr>
      </w:r>
      <w:r>
        <w:rPr/>
        <w:t>司继续提供信用担保。</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3" w:right="6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浙江诺 控</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无线通 信模块</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7"/>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84"/>
              <w:jc w:val="left"/>
              <w:rPr>
                <w:rFonts w:ascii="宋体" w:hAnsi="宋体" w:cs="宋体" w:eastAsia="宋体" w:hint="default"/>
                <w:sz w:val="18"/>
                <w:szCs w:val="18"/>
              </w:rPr>
            </w:pPr>
            <w:r>
              <w:rPr>
                <w:rFonts w:ascii="宋体" w:hAnsi="宋体" w:cs="宋体" w:eastAsia="宋体" w:hint="default"/>
                <w:sz w:val="18"/>
                <w:szCs w:val="18"/>
              </w:rPr>
              <w:t>无线通 信模块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-452,373</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9"/>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left"/>
              <w:rPr>
                <w:rFonts w:ascii="Times New Roman" w:hAnsi="Times New Roman" w:cs="Times New Roman" w:eastAsia="Times New Roman" w:hint="default"/>
                <w:sz w:val="18"/>
                <w:szCs w:val="18"/>
              </w:rPr>
            </w:pPr>
            <w:r>
              <w:rPr>
                <w:rFonts w:ascii="Times New Roman"/>
                <w:sz w:val="18"/>
              </w:rPr>
              <w:t>-452,373</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pict>
          <v:shape style="position:absolute;margin-left:485.279999pt;margin-top:89.521729pt;width:49.5pt;height:160.1pt;mso-position-horizontal-relative:page;mso-position-vertical-relative:paragraph;z-index:-11615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491.549988pt;margin-top:89.521729pt;width:43.2pt;height:160.25pt;mso-position-horizontal-relative:page;mso-position-vertical-relative:paragraph;z-index:-1161568" coordorigin="9831,1790" coordsize="864,3205">
            <v:shape style="position:absolute;left:9831;top:1790;width:864;height:3205" coordorigin="9831,1790" coordsize="864,3205" path="m9831,1790l10695,1790,10695,4995,9831,4995,9831,1790xe" filled="true" fillcolor="#ffffff" stroked="false">
              <v:path arrowok="t"/>
              <v:fill type="solid"/>
            </v:shape>
            <w10:wrap type="none"/>
          </v:group>
        </w:pict>
      </w: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1"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1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114"/>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18,059.29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2,587.03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15,472.26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公司尚未 使用的募 集资金将 用于募投 项目后续 资金支付 其将存于 募集资金 专项账户 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18,059.29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15,472.26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70"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报告期内，公司首次公开发行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万股，发行价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万元，扣除相关</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宋体" w:hAnsi="宋体" w:cs="宋体" w:eastAsia="宋体" w:hint="default"/>
          <w:sz w:val="25"/>
          <w:szCs w:val="25"/>
        </w:rPr>
      </w:pPr>
    </w:p>
    <w:p>
      <w:pPr>
        <w:spacing w:line="674" w:lineRule="exact"/>
        <w:ind w:left="11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15pt;height:33.7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rPr>
                      <w:rFonts w:ascii="Times New Roman" w:hAnsi="Times New Roman" w:cs="Times New Roman" w:eastAsia="Times New Roman" w:hint="default"/>
                    </w:rPr>
                  </w:pPr>
                  <w:r>
                    <w:rPr/>
                    <w:t>发行费用后募集资金净额为 </w:t>
                  </w:r>
                  <w:r>
                    <w:rPr>
                      <w:rFonts w:ascii="Times New Roman" w:hAnsi="Times New Roman" w:cs="Times New Roman" w:eastAsia="Times New Roman" w:hint="default"/>
                    </w:rPr>
                    <w:t>18,059.29 </w:t>
                  </w:r>
                  <w:r>
                    <w:rPr/>
                    <w:t>万元，报告期内置换前期已以自筹资金预先投入募集资金投资项目的资金</w:t>
                  </w:r>
                  <w:r>
                    <w:rPr>
                      <w:spacing w:val="-54"/>
                    </w:rPr>
                    <w:t> </w:t>
                  </w:r>
                  <w:r>
                    <w:rPr>
                      <w:rFonts w:ascii="Times New Roman" w:hAnsi="Times New Roman" w:cs="Times New Roman" w:eastAsia="Times New Roman" w:hint="default"/>
                    </w:rPr>
                    <w:t>2,180.25</w:t>
                  </w:r>
                </w:p>
                <w:p>
                  <w:pPr>
                    <w:pStyle w:val="BodyText"/>
                    <w:spacing w:line="240" w:lineRule="auto" w:before="63"/>
                    <w:ind w:left="22" w:right="0"/>
                    <w:jc w:val="left"/>
                  </w:pPr>
                  <w:r>
                    <w:rPr/>
                    <w:t>万元，本报告期投入使用 </w:t>
                  </w:r>
                  <w:r>
                    <w:rPr>
                      <w:rFonts w:ascii="Times New Roman" w:hAnsi="Times New Roman" w:cs="Times New Roman" w:eastAsia="Times New Roman" w:hint="default"/>
                    </w:rPr>
                    <w:t>619.54 </w:t>
                  </w:r>
                  <w:r>
                    <w:rPr/>
                    <w:t>万元，募集资金利息扣减手续费净额</w:t>
                  </w:r>
                  <w:r>
                    <w:rPr>
                      <w:rFonts w:ascii="Times New Roman" w:hAnsi="Times New Roman" w:cs="Times New Roman" w:eastAsia="Times New Roman" w:hint="default"/>
                    </w:rPr>
                    <w:t>-307.12</w:t>
                  </w:r>
                  <w:r>
                    <w:rPr>
                      <w:rFonts w:ascii="Times New Roman" w:hAnsi="Times New Roman" w:cs="Times New Roman" w:eastAsia="Times New Roman" w:hint="default"/>
                      <w:spacing w:val="-6"/>
                    </w:rPr>
                    <w:t> </w:t>
                  </w:r>
                  <w:r>
                    <w:rPr/>
                    <w:t>万元。</w:t>
                  </w:r>
                </w:p>
              </w:txbxContent>
            </v:textbox>
          </v:shape>
        </w:pict>
      </w:r>
      <w:r>
        <w:rPr>
          <w:rFonts w:ascii="宋体" w:hAnsi="宋体" w:cs="宋体" w:eastAsia="宋体" w:hint="default"/>
          <w:position w:val="-12"/>
          <w:sz w:val="20"/>
          <w:szCs w:val="20"/>
        </w:rPr>
      </w:r>
    </w:p>
    <w:p>
      <w:pPr>
        <w:spacing w:line="240" w:lineRule="auto" w:before="8"/>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0"/>
              <w:ind w:left="25"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4G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无线通信 模块建设项目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6,660.52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、车规级无线通信模 块建设项目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、物联网移动终端解 决方案建设项目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1,515.02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1,515.02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、物联网研发中心建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4,899.45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4,899.45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18,059.29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18,059.29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2,587.03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18,059.29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公司于第一届董事会第十四次会议审议并通过了《关于使用募集资金置换预先投入募投项目自筹资 </w:t>
            </w:r>
            <w:r>
              <w:rPr>
                <w:rFonts w:ascii="宋体" w:hAnsi="宋体" w:cs="宋体" w:eastAsia="宋体" w:hint="default"/>
                <w:spacing w:val="-10"/>
                <w:sz w:val="18"/>
                <w:szCs w:val="18"/>
              </w:rPr>
              <w:t>金的议案》，同意公司使用募集资金置换截至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日预先投入募投项目的自筹资金共计人</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2,180.25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3"/>
                <w:sz w:val="18"/>
                <w:szCs w:val="18"/>
              </w:rPr>
              <w:t>日召开第一届董事会第十八次会议，审议通过《关于使用部分闲置募集资金</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同意公司使用闲置募集资金不超过人民币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w:t>
            </w:r>
            <w:r>
              <w:rPr>
                <w:rFonts w:ascii="宋体" w:hAnsi="宋体" w:cs="宋体" w:eastAsia="宋体" w:hint="default"/>
                <w:spacing w:val="-22"/>
                <w:sz w:val="18"/>
                <w:szCs w:val="18"/>
              </w:rPr>
              <w:t>元</w:t>
            </w:r>
            <w:r>
              <w:rPr>
                <w:rFonts w:ascii="宋体" w:hAnsi="宋体" w:cs="宋体" w:eastAsia="宋体" w:hint="default"/>
                <w:sz w:val="18"/>
                <w:szCs w:val="18"/>
              </w:rPr>
              <w:t>（含人民币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万元）暂时补充流动资金，使用期限自公司董事会审议批准之日起不超过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个月，到期归还至募 集资金专项账户。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日止，除部分暂时闲置的募集资金用于暂时补充流动资金以外，公司尚未使用</w:t>
            </w:r>
            <w:r>
              <w:rPr>
                <w:rFonts w:ascii="宋体" w:hAnsi="宋体" w:cs="宋体" w:eastAsia="宋体" w:hint="default"/>
                <w:sz w:val="18"/>
                <w:szCs w:val="18"/>
              </w:rPr>
              <w:t> 的募集资金全部存放于募集资金专用账户之中。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6" w:top="1100" w:bottom="1200" w:left="1020" w:right="102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1020"/>
          <w:cols w:num="2" w:equalWidth="0">
            <w:col w:w="4808" w:space="4111"/>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both"/>
              <w:rPr>
                <w:rFonts w:ascii="宋体" w:hAnsi="宋体" w:cs="宋体" w:eastAsia="宋体" w:hint="default"/>
                <w:sz w:val="18"/>
                <w:szCs w:val="18"/>
              </w:rPr>
            </w:pPr>
            <w:r>
              <w:rPr>
                <w:rFonts w:ascii="宋体" w:hAnsi="宋体" w:cs="宋体" w:eastAsia="宋体" w:hint="default"/>
                <w:sz w:val="18"/>
                <w:szCs w:val="18"/>
              </w:rPr>
              <w:t>深圳市广和 通无线通信 软件有限公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both"/>
              <w:rPr>
                <w:rFonts w:ascii="宋体" w:hAnsi="宋体" w:cs="宋体" w:eastAsia="宋体" w:hint="default"/>
                <w:sz w:val="18"/>
                <w:szCs w:val="18"/>
              </w:rPr>
            </w:pPr>
            <w:r>
              <w:rPr>
                <w:rFonts w:ascii="宋体" w:hAnsi="宋体" w:cs="宋体" w:eastAsia="宋体" w:hint="default"/>
                <w:sz w:val="18"/>
                <w:szCs w:val="18"/>
              </w:rPr>
              <w:t>向广和通销 售无线通信 模块软件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53,470,692.0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47,306,307.2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42,847,547.5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33,879,797.6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30,100,606.7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广和通无线</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pacing w:val="-14"/>
                <w:sz w:val="18"/>
                <w:szCs w:val="18"/>
              </w:rPr>
              <w:t>（美国）股份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both"/>
              <w:rPr>
                <w:rFonts w:ascii="宋体" w:hAnsi="宋体" w:cs="宋体" w:eastAsia="宋体" w:hint="default"/>
                <w:sz w:val="18"/>
                <w:szCs w:val="18"/>
              </w:rPr>
            </w:pPr>
            <w:r>
              <w:rPr>
                <w:rFonts w:ascii="宋体" w:hAnsi="宋体" w:cs="宋体" w:eastAsia="宋体" w:hint="default"/>
                <w:sz w:val="18"/>
                <w:szCs w:val="18"/>
              </w:rPr>
              <w:t>主要负责拓 展美国客户 并提供相应 销售支持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1,368,009.46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756,774.78</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-4,870,800.9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-4,870,800.9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102"/>
        <w:jc w:val="left"/>
      </w:pPr>
      <w:r>
        <w:rPr/>
        <w:t>报告期内取得和处置子公司的情况</w:t>
      </w:r>
    </w:p>
    <w:p>
      <w:pPr>
        <w:pStyle w:val="BodyText"/>
        <w:spacing w:line="240" w:lineRule="auto" w:before="115"/>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报告期内影响较小</w:t>
            </w:r>
          </w:p>
        </w:tc>
      </w:tr>
    </w:tbl>
    <w:p>
      <w:pPr>
        <w:pStyle w:val="BodyText"/>
        <w:spacing w:line="240" w:lineRule="auto" w:before="51"/>
        <w:ind w:right="102"/>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102"/>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2"/>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10" w:firstLine="360"/>
        <w:jc w:val="both"/>
      </w:pPr>
      <w:r>
        <w:rPr>
          <w:spacing w:val="-2"/>
        </w:rPr>
        <w:t>大数据开启大时代，大数据又来源于大连接，从万物互联到万物智能，受益于物联网连接数的爆发，公司将紧抓市场机</w:t>
      </w:r>
      <w:r>
        <w:rPr/>
        <w:t> </w:t>
      </w:r>
      <w:r>
        <w:rPr>
          <w:spacing w:val="-2"/>
        </w:rPr>
        <w:t>遇，继续加大技术研发投入和营销体系建设，加强供应链保障，完善内控制度，严控经营风险，提升企业运营效率，提高公</w:t>
      </w:r>
      <w:r>
        <w:rPr>
          <w:spacing w:val="-63"/>
        </w:rPr>
        <w:t> </w:t>
      </w:r>
      <w:r>
        <w:rPr>
          <w:spacing w:val="-63"/>
        </w:rPr>
      </w:r>
      <w:r>
        <w:rPr/>
        <w:t>司核心竞争力，实现公司业绩平稳增长。</w:t>
      </w:r>
      <w:r>
        <w:rPr>
          <w:rFonts w:ascii="Times New Roman" w:hAnsi="Times New Roman" w:cs="Times New Roman" w:eastAsia="Times New Roman" w:hint="default"/>
        </w:rPr>
        <w:t>2018</w:t>
      </w:r>
      <w:r>
        <w:rPr/>
        <w:t>年经营计划主要为：</w:t>
      </w:r>
    </w:p>
    <w:p>
      <w:pPr>
        <w:pStyle w:val="BodyText"/>
        <w:spacing w:line="340" w:lineRule="auto" w:before="37"/>
        <w:ind w:left="472" w:right="102"/>
        <w:jc w:val="left"/>
      </w:pPr>
      <w:r>
        <w:rPr>
          <w:rFonts w:ascii="Times New Roman" w:hAnsi="Times New Roman" w:cs="Times New Roman" w:eastAsia="Times New Roman" w:hint="default"/>
        </w:rPr>
        <w:t>1</w:t>
      </w:r>
      <w:r>
        <w:rPr/>
        <w:t>、研发投入 </w:t>
      </w:r>
      <w:r>
        <w:rPr>
          <w:spacing w:val="-2"/>
        </w:rPr>
        <w:t>公司将持续加大研发技术投入，完善研发队伍建设，加速完善公司产品线，模块产品和解决方案业务并举，满足全球客</w:t>
      </w:r>
    </w:p>
    <w:p>
      <w:pPr>
        <w:pStyle w:val="BodyText"/>
        <w:spacing w:line="240" w:lineRule="auto" w:before="1"/>
        <w:ind w:right="102"/>
        <w:jc w:val="left"/>
      </w:pPr>
      <w:r>
        <w:rPr/>
        <w:t>户的需求。</w:t>
      </w:r>
    </w:p>
    <w:p>
      <w:pPr>
        <w:pStyle w:val="BodyText"/>
        <w:spacing w:line="338" w:lineRule="auto" w:before="117"/>
        <w:ind w:left="472" w:right="102"/>
        <w:jc w:val="left"/>
      </w:pPr>
      <w:r>
        <w:rPr>
          <w:rFonts w:ascii="Times New Roman" w:hAnsi="Times New Roman" w:cs="Times New Roman" w:eastAsia="Times New Roman" w:hint="default"/>
        </w:rPr>
        <w:t>2</w:t>
      </w:r>
      <w:r>
        <w:rPr/>
        <w:t>、营销体系建设 </w:t>
      </w:r>
      <w:r>
        <w:rPr>
          <w:spacing w:val="-2"/>
        </w:rPr>
        <w:t>围绕新的三年业务规划，加大市场开拓和队伍建设，逐渐形成全球销售服务体系。国内业务保持稳定增长，海外业务持</w:t>
      </w:r>
    </w:p>
    <w:p>
      <w:pPr>
        <w:pStyle w:val="BodyText"/>
        <w:spacing w:line="240" w:lineRule="auto" w:before="2"/>
        <w:ind w:right="102"/>
        <w:jc w:val="left"/>
      </w:pPr>
      <w:r>
        <w:rPr/>
        <w:t>续发力，不断提高市场占有率。</w:t>
      </w:r>
    </w:p>
    <w:p>
      <w:pPr>
        <w:pStyle w:val="BodyText"/>
        <w:spacing w:line="340" w:lineRule="auto" w:before="117"/>
        <w:ind w:left="472" w:right="115"/>
        <w:jc w:val="left"/>
      </w:pPr>
      <w:r>
        <w:rPr>
          <w:rFonts w:ascii="Times New Roman" w:hAnsi="Times New Roman" w:cs="Times New Roman" w:eastAsia="Times New Roman" w:hint="default"/>
        </w:rPr>
        <w:t>3</w:t>
      </w:r>
      <w:r>
        <w:rPr/>
        <w:t>、供应链和质量保障 </w:t>
      </w:r>
      <w:r>
        <w:rPr>
          <w:spacing w:val="-3"/>
        </w:rPr>
        <w:t>构建完善的供应链和质量管理体系，提升公司整体运营、品质及交付能力，满足国际</w:t>
      </w:r>
      <w:r>
        <w:rPr>
          <w:rFonts w:ascii="Times New Roman" w:hAnsi="Times New Roman" w:cs="Times New Roman" w:eastAsia="Times New Roman" w:hint="default"/>
          <w:spacing w:val="-3"/>
        </w:rPr>
        <w:t>TOP</w:t>
      </w:r>
      <w:r>
        <w:rPr>
          <w:spacing w:val="-3"/>
        </w:rPr>
        <w:t>客户需求。提高全员质量意识，</w:t>
      </w:r>
    </w:p>
    <w:p>
      <w:pPr>
        <w:pStyle w:val="BodyText"/>
        <w:spacing w:line="215" w:lineRule="exact"/>
        <w:ind w:right="102"/>
        <w:jc w:val="left"/>
      </w:pPr>
      <w:r>
        <w:rPr/>
        <w:t>渗透在公司业务的各个环节，切实保证产品研发质量、交付质量和服务质量。</w:t>
      </w:r>
    </w:p>
    <w:p>
      <w:pPr>
        <w:pStyle w:val="BodyText"/>
        <w:spacing w:line="340" w:lineRule="auto" w:before="115"/>
        <w:ind w:left="472" w:right="102"/>
        <w:jc w:val="left"/>
      </w:pPr>
      <w:r>
        <w:rPr>
          <w:rFonts w:ascii="Times New Roman" w:hAnsi="Times New Roman" w:cs="Times New Roman" w:eastAsia="Times New Roman" w:hint="default"/>
        </w:rPr>
        <w:t>4</w:t>
      </w:r>
      <w:r>
        <w:rPr/>
        <w:t>、公司治理 </w:t>
      </w:r>
      <w:r>
        <w:rPr>
          <w:spacing w:val="-2"/>
        </w:rPr>
        <w:t>进一步加强和完善公司内控建设，实现公司管理的全面提升。完善子公司系统管理和制度管理，积极发挥董事会在董监</w:t>
      </w:r>
    </w:p>
    <w:p>
      <w:pPr>
        <w:pStyle w:val="BodyText"/>
        <w:spacing w:line="316" w:lineRule="auto" w:before="1"/>
        <w:ind w:right="102"/>
        <w:jc w:val="left"/>
      </w:pPr>
      <w:r>
        <w:rPr>
          <w:spacing w:val="-2"/>
        </w:rPr>
        <w:t>高履职、制度有效执行、决策程序合法合规等公司治理方面的引导和监督作用。组织公司经营层积极贯彻执行，积极配合监</w:t>
      </w:r>
      <w:r>
        <w:rPr>
          <w:spacing w:val="-64"/>
        </w:rPr>
        <w:t> </w:t>
      </w:r>
      <w:r>
        <w:rPr>
          <w:spacing w:val="-64"/>
        </w:rPr>
      </w:r>
      <w:r>
        <w:rPr/>
        <w:t>管机构做好公司治理和规范运作的监管工作。</w:t>
      </w:r>
    </w:p>
    <w:p>
      <w:pPr>
        <w:spacing w:line="240" w:lineRule="auto" w:before="9"/>
        <w:rPr>
          <w:rFonts w:ascii="宋体" w:hAnsi="宋体" w:cs="宋体" w:eastAsia="宋体" w:hint="default"/>
          <w:sz w:val="20"/>
          <w:szCs w:val="20"/>
        </w:rPr>
      </w:pPr>
    </w:p>
    <w:p>
      <w:pPr>
        <w:pStyle w:val="Heading2"/>
        <w:spacing w:line="240" w:lineRule="auto"/>
        <w:ind w:right="102"/>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382"/>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公司的现金分红政策符合中国证监会关于现金分红的规定，符合《公司章程》、公司《未来三年股东分红回报规划》等制度</w:t>
      </w:r>
      <w:r>
        <w:rPr>
          <w:spacing w:val="-66"/>
        </w:rPr>
        <w:t> </w:t>
      </w:r>
      <w:r>
        <w:rPr>
          <w:spacing w:val="-66"/>
        </w:rPr>
      </w:r>
      <w:r>
        <w:rPr/>
        <w:t>规定，审议程序合法合规，符合监管要求。</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48" w:lineRule="auto" w:before="117"/>
        <w:ind w:right="3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105,104,517.72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年度利润分配及资本公积转增股本方案：拟以截至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日的总股本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股为基数，向全体股东每</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，送红股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股（含税</w:t>
            </w:r>
            <w:r>
              <w:rPr>
                <w:rFonts w:ascii="宋体" w:hAnsi="宋体" w:cs="宋体" w:eastAsia="宋体" w:hint="default"/>
                <w:spacing w:val="-89"/>
                <w:sz w:val="18"/>
                <w:szCs w:val="18"/>
              </w:rPr>
              <w:t>）</w:t>
            </w:r>
            <w:r>
              <w:rPr>
                <w:rFonts w:ascii="宋体" w:hAnsi="宋体" w:cs="宋体" w:eastAsia="宋体" w:hint="default"/>
                <w:sz w:val="18"/>
                <w:szCs w:val="18"/>
              </w:rPr>
              <w:t>，以资本公积金向全体股东每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319" w:lineRule="auto" w:before="49"/>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1"/>
        </w:rPr>
        <w:t>2015</w:t>
      </w:r>
      <w:r>
        <w:rPr>
          <w:spacing w:val="-1"/>
        </w:rPr>
        <w:t>年度利润分配方案：以截至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日的总股本</w:t>
      </w:r>
      <w:r>
        <w:rPr>
          <w:rFonts w:ascii="Times New Roman" w:hAnsi="Times New Roman" w:cs="Times New Roman" w:eastAsia="Times New Roman" w:hint="default"/>
          <w:spacing w:val="-1"/>
        </w:rPr>
        <w:t>6000</w:t>
      </w:r>
      <w:r>
        <w:rPr>
          <w:spacing w:val="-1"/>
        </w:rPr>
        <w:t>万股为基数，以未分配利润</w:t>
      </w:r>
      <w:r>
        <w:rPr>
          <w:rFonts w:ascii="Times New Roman" w:hAnsi="Times New Roman" w:cs="Times New Roman" w:eastAsia="Times New Roman" w:hint="default"/>
          <w:spacing w:val="-1"/>
        </w:rPr>
        <w:t>1,500</w:t>
      </w:r>
      <w:r>
        <w:rPr>
          <w:spacing w:val="-1"/>
        </w:rPr>
        <w:t>万元向全体股东分配利润；以</w:t>
      </w:r>
      <w:r>
        <w:rPr>
          <w:spacing w:val="-72"/>
        </w:rPr>
        <w:t> </w:t>
      </w:r>
      <w:r>
        <w:rPr>
          <w:spacing w:val="-72"/>
        </w:rPr>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6000</w:t>
      </w:r>
      <w:r>
        <w:rPr/>
        <w:t>万股为基数，以未分配利润</w:t>
      </w:r>
      <w:r>
        <w:rPr>
          <w:rFonts w:ascii="Times New Roman" w:hAnsi="Times New Roman" w:cs="Times New Roman" w:eastAsia="Times New Roman" w:hint="default"/>
        </w:rPr>
        <w:t>1,000</w:t>
      </w:r>
      <w:r>
        <w:rPr/>
        <w:t>万元向全体股东分配利润。</w:t>
      </w:r>
    </w:p>
    <w:p>
      <w:pPr>
        <w:spacing w:after="0" w:line="319"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139"/>
        <w:jc w:val="left"/>
      </w:pPr>
      <w:r>
        <w:rPr>
          <w:rFonts w:ascii="Times New Roman" w:hAnsi="Times New Roman" w:cs="Times New Roman" w:eastAsia="Times New Roman" w:hint="default"/>
        </w:rPr>
        <w:t>2016</w:t>
      </w:r>
      <w:r>
        <w:rPr/>
        <w:t>年度利润分配方案：不进行现金分红，不送红股，不以资本公积金转增股本。</w:t>
      </w:r>
    </w:p>
    <w:p>
      <w:pPr>
        <w:pStyle w:val="BodyText"/>
        <w:spacing w:line="319" w:lineRule="auto" w:before="101"/>
        <w:ind w:right="139"/>
        <w:jc w:val="left"/>
      </w:pPr>
      <w:r>
        <w:rPr>
          <w:rFonts w:ascii="Times New Roman" w:hAnsi="Times New Roman" w:cs="Times New Roman" w:eastAsia="Times New Roman" w:hint="default"/>
        </w:rPr>
        <w:t>2017</w:t>
      </w:r>
      <w:r>
        <w:rPr/>
        <w:t>年度利润分配及资本公积转增股本方案：拟以截至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80,000,000</w:t>
      </w:r>
      <w:r>
        <w:rPr>
          <w:rFonts w:ascii="Times New Roman" w:hAnsi="Times New Roman" w:cs="Times New Roman" w:eastAsia="Times New Roman" w:hint="default"/>
          <w:spacing w:val="5"/>
        </w:rPr>
        <w:t> </w:t>
      </w:r>
      <w:r>
        <w:rPr>
          <w:spacing w:val="-3"/>
        </w:rPr>
        <w:t>股为基数，向全体股东每</w:t>
      </w:r>
      <w:r>
        <w:rPr>
          <w:rFonts w:ascii="Times New Roman" w:hAnsi="Times New Roman" w:cs="Times New Roman" w:eastAsia="Times New Roman" w:hint="default"/>
          <w:spacing w:val="-3"/>
        </w:rPr>
        <w:t>10</w:t>
      </w:r>
      <w:r>
        <w:rPr>
          <w:spacing w:val="-3"/>
        </w:rPr>
        <w:t>股派</w:t>
      </w:r>
      <w:r>
        <w:rPr/>
        <w:t> 发现金红利</w:t>
      </w:r>
      <w:r>
        <w:rPr>
          <w:rFonts w:ascii="Times New Roman" w:hAnsi="Times New Roman" w:cs="Times New Roman" w:eastAsia="Times New Roman" w:hint="default"/>
        </w:rPr>
        <w:t>1.25</w:t>
      </w:r>
      <w:r>
        <w:rPr/>
        <w:t>元（含税），送红股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公司近三年（包括本报告期）普通股现金分红情况表</w:t>
      </w:r>
    </w:p>
    <w:p>
      <w:pPr>
        <w:pStyle w:val="BodyText"/>
        <w:spacing w:line="240" w:lineRule="auto" w:before="58"/>
        <w:ind w:left="0" w:right="15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69"/>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69"/>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70"/>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43,857,380.81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40,321,549.87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34,918,286.70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139"/>
        <w:jc w:val="left"/>
      </w:pPr>
      <w:r>
        <w:rPr/>
        <w:t>公司报告期内盈利且母公司可供普通股股东分配利润为正但未提出普通股现金红利分配预案</w:t>
      </w:r>
    </w:p>
    <w:p>
      <w:pPr>
        <w:pStyle w:val="BodyText"/>
        <w:spacing w:line="240" w:lineRule="auto" w:before="117"/>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139"/>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赵松尧、车祎 瑜、甘红波、 宁新林、李建 严、马志强、 段东锋、张 严、姚肖飞、 宋成林、蒲 </w:t>
            </w:r>
            <w:r>
              <w:rPr>
                <w:rFonts w:ascii="宋体" w:hAnsi="宋体" w:cs="宋体" w:eastAsia="宋体" w:hint="default"/>
                <w:spacing w:val="-3"/>
                <w:sz w:val="18"/>
                <w:szCs w:val="18"/>
              </w:rPr>
              <w:t>龙、王伟、曹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刚、谢相存、 高文生、于海</w:t>
            </w:r>
            <w:r>
              <w:rPr>
                <w:rFonts w:ascii="宋体" w:hAnsi="宋体" w:cs="宋体" w:eastAsia="宋体" w:hint="default"/>
                <w:sz w:val="18"/>
                <w:szCs w:val="18"/>
              </w:rPr>
              <w:t> </w:t>
            </w:r>
            <w:r>
              <w:rPr>
                <w:rFonts w:ascii="宋体" w:hAnsi="宋体" w:cs="宋体" w:eastAsia="宋体" w:hint="default"/>
                <w:spacing w:val="-3"/>
                <w:sz w:val="18"/>
                <w:szCs w:val="18"/>
              </w:rPr>
              <w:t>华、李龙、姜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浙江诺控</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p>
          <w:p>
            <w:pPr>
              <w:pStyle w:val="TableParagraph"/>
              <w:spacing w:line="314" w:lineRule="auto" w:before="63"/>
              <w:ind w:left="23"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三个会 计年度经审 计的销售收 入合计不低 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60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张天瑜、应凌</w:t>
            </w:r>
            <w:r>
              <w:rPr>
                <w:rFonts w:ascii="宋体" w:hAnsi="宋体" w:cs="宋体" w:eastAsia="宋体" w:hint="default"/>
                <w:sz w:val="18"/>
                <w:szCs w:val="18"/>
              </w:rPr>
              <w:t> 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
              <w:jc w:val="left"/>
              <w:rPr>
                <w:rFonts w:ascii="宋体" w:hAnsi="宋体" w:cs="宋体" w:eastAsia="宋体" w:hint="default"/>
                <w:sz w:val="18"/>
                <w:szCs w:val="18"/>
              </w:rPr>
            </w:pPr>
            <w:r>
              <w:rPr>
                <w:rFonts w:ascii="宋体" w:hAnsi="宋体" w:cs="宋体" w:eastAsia="宋体" w:hint="default"/>
                <w:sz w:val="18"/>
                <w:szCs w:val="18"/>
              </w:rPr>
              <w:t>本人在所持 公司股份的 锁定期满后 两年内，若本 人进行减持，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9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则每年减持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数量的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本人在所持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价格将不得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价；上述发行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价如遇除权、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除息事项，应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未来本人减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持股份时，将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至少提前三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个交易日通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人的转股意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向予以公告，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并明确预计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数量；自本人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做出转让股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份决定并公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告之日起至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完成股份转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让的期限将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不少于四个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交易日，且不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超过二十个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本企业在所</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持公司股份 的锁定期满 </w:t>
            </w:r>
            <w:r>
              <w:rPr>
                <w:rFonts w:ascii="宋体" w:hAnsi="宋体" w:cs="宋体" w:eastAsia="宋体" w:hint="default"/>
                <w:spacing w:val="-2"/>
                <w:sz w:val="18"/>
                <w:szCs w:val="18"/>
              </w:rPr>
              <w:t>后两年内，若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本企业进行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减持，则每年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业在所持公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年内减持股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格将不得低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如遇除权、除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息事项，应作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相应调整；未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来本企业减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持股份时，将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至少提前三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个交易日通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企业的转股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意向予以公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告，并明确预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计减持的股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企业做出转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让股份决定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并公告之日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起至完成股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份转让的期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限将不少于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且不超过二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十个交易日。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4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票在锁定期 </w:t>
            </w:r>
            <w:r>
              <w:rPr>
                <w:rFonts w:ascii="宋体" w:hAnsi="宋体" w:cs="宋体" w:eastAsia="宋体" w:hint="default"/>
                <w:spacing w:val="-2"/>
                <w:sz w:val="18"/>
                <w:szCs w:val="18"/>
              </w:rPr>
              <w:t>满后，可根据</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需要以任何</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合法方式转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让全部或部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限于公开市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场交易、集中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竞价交易、大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宗交易、协议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转让等</w:t>
            </w:r>
            <w:r>
              <w:rPr>
                <w:rFonts w:ascii="宋体" w:hAnsi="宋体" w:cs="宋体" w:eastAsia="宋体" w:hint="default"/>
                <w:spacing w:val="-92"/>
                <w:sz w:val="18"/>
                <w:szCs w:val="18"/>
              </w:rPr>
              <w:t>）</w:t>
            </w:r>
            <w:r>
              <w:rPr>
                <w:rFonts w:ascii="宋体" w:hAnsi="宋体" w:cs="宋体" w:eastAsia="宋体" w:hint="default"/>
                <w:sz w:val="18"/>
                <w:szCs w:val="18"/>
              </w:rPr>
              <w:t>。拟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在上述锁定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期满后六十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个月内，以市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场价格减持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完毕所持有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66"/>
              <w:jc w:val="center"/>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应凌鹏、许宁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人管理本次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发行前本人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66"/>
              <w:jc w:val="center"/>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或者委托他 人管理本次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发行前本人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6"/>
              <w:jc w:val="center"/>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footerReference w:type="default" r:id="rId18"/>
          <w:pgSz w:w="11910" w:h="16840"/>
          <w:pgMar w:footer="1016" w:header="787" w:top="1100" w:bottom="1200" w:left="1020" w:right="1020"/>
          <w:pgNumType w:start="3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人管理本次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发行前本合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伙企业持有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回购该部分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自广和通股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内（以下简称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根据广和通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案公开发售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的股份外，不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广和通股票 上市前本公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司直接持有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广和通的股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份，也不由广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和通回购该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部分股份。如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未能履行前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司承诺及时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通知广和通，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并依法承担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张天瑜、应凌</w:t>
            </w:r>
            <w:r>
              <w:rPr>
                <w:rFonts w:ascii="宋体" w:hAnsi="宋体" w:cs="宋体" w:eastAsia="宋体" w:hint="default"/>
                <w:sz w:val="18"/>
                <w:szCs w:val="18"/>
              </w:rPr>
              <w:t> </w:t>
            </w:r>
            <w:r>
              <w:rPr>
                <w:rFonts w:ascii="宋体" w:hAnsi="宋体" w:cs="宋体" w:eastAsia="宋体" w:hint="default"/>
                <w:spacing w:val="-3"/>
                <w:sz w:val="18"/>
                <w:szCs w:val="18"/>
              </w:rPr>
              <w:t>鹏、许宁、陈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仕江、邓忠忠</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0"/>
              <w:jc w:val="left"/>
              <w:rPr>
                <w:rFonts w:ascii="宋体" w:hAnsi="宋体" w:cs="宋体" w:eastAsia="宋体" w:hint="default"/>
                <w:sz w:val="18"/>
                <w:szCs w:val="18"/>
              </w:rPr>
            </w:pPr>
            <w:r>
              <w:rPr>
                <w:rFonts w:ascii="宋体" w:hAnsi="宋体" w:cs="宋体" w:eastAsia="宋体" w:hint="default"/>
                <w:spacing w:val="-2"/>
                <w:sz w:val="18"/>
                <w:szCs w:val="18"/>
              </w:rPr>
              <w:t>事、监事、高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 </w:t>
            </w:r>
            <w:r>
              <w:rPr>
                <w:rFonts w:ascii="宋体" w:hAnsi="宋体" w:cs="宋体" w:eastAsia="宋体" w:hint="default"/>
                <w:spacing w:val="-2"/>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职后半年内</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超过本人持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有公司股份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日起十八个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份；在公司首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的发行价（若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在此期间发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转增股本等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项的，发行价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应相应调</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2"/>
                <w:sz w:val="18"/>
                <w:szCs w:val="18"/>
              </w:rPr>
              <w:t>）</w:t>
            </w:r>
            <w:r>
              <w:rPr>
                <w:rFonts w:ascii="宋体" w:hAnsi="宋体" w:cs="宋体" w:eastAsia="宋体" w:hint="default"/>
                <w:sz w:val="18"/>
                <w:szCs w:val="18"/>
              </w:rPr>
              <w:t>；公司上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如公司股票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于发行价，本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长至少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3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违反上述股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份变动相关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承诺的，除按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规、中国证券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监督管理委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员会和深圳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任外，本人还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应将因违反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的全部收益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上缴给公司，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本人保证在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接到董事会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发出的收益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上缴通知之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将该等收益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上缴公司；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生职务变更、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离职情况的，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仍将遵守上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超过本人持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89"/>
              <w:jc w:val="left"/>
              <w:rPr>
                <w:rFonts w:ascii="宋体" w:hAnsi="宋体" w:cs="宋体" w:eastAsia="宋体" w:hint="default"/>
                <w:sz w:val="18"/>
                <w:szCs w:val="18"/>
              </w:rPr>
            </w:pPr>
            <w:r>
              <w:rPr>
                <w:rFonts w:ascii="宋体" w:hAnsi="宋体" w:cs="宋体" w:eastAsia="宋体" w:hint="default"/>
                <w:sz w:val="18"/>
                <w:szCs w:val="18"/>
              </w:rPr>
              <w:t>舒敏、陈绮 华、赵明月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0"/>
              <w:jc w:val="both"/>
              <w:rPr>
                <w:rFonts w:ascii="宋体" w:hAnsi="宋体" w:cs="宋体" w:eastAsia="宋体" w:hint="default"/>
                <w:sz w:val="18"/>
                <w:szCs w:val="18"/>
              </w:rPr>
            </w:pPr>
            <w:r>
              <w:rPr>
                <w:rFonts w:ascii="宋体" w:hAnsi="宋体" w:cs="宋体" w:eastAsia="宋体" w:hint="default"/>
                <w:sz w:val="18"/>
                <w:szCs w:val="18"/>
              </w:rPr>
              <w:t>申报离职之 日起十八个 月内不转让</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职后半年内</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份；在公司首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如违反上述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股份变动相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关承诺的，除</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361.440002pt;margin-top:449.300018pt;width:62.15pt;height:314.150pt;mso-position-horizontal-relative:page;mso-position-vertical-relative:page;z-index:-1161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group style="position:absolute;margin-left:367.5pt;margin-top:449.300018pt;width:56.05pt;height:314.25pt;mso-position-horizontal-relative:page;mso-position-vertical-relative:page;z-index:-1161472" coordorigin="7350,8986" coordsize="1121,6285">
            <v:shape style="position:absolute;left:7350;top:8986;width:1121;height:6285" coordorigin="7350,8986" coordsize="1121,6285" path="m7350,8986l8471,8986,8471,15271,7350,15271,7350,8986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按照法律、法</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规、中国证券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监督管理委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员会和深圳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任外，本人还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应将因违反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的全部收益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上缴给公司，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本人保证在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接到董事会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发出的收益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上缴通知之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将该等收益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生职务变更、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离职情况的，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仍将遵守上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不无偿或以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不公平条件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向其他单位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或者个人输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送利益，也不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采用其他方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9"/>
              <w:jc w:val="both"/>
              <w:rPr>
                <w:rFonts w:ascii="宋体" w:hAnsi="宋体" w:cs="宋体" w:eastAsia="宋体" w:hint="default"/>
                <w:sz w:val="18"/>
                <w:szCs w:val="18"/>
              </w:rPr>
            </w:pPr>
            <w:r>
              <w:rPr>
                <w:rFonts w:ascii="宋体" w:hAnsi="宋体" w:cs="宋体" w:eastAsia="宋体" w:hint="default"/>
                <w:sz w:val="18"/>
                <w:szCs w:val="18"/>
              </w:rPr>
              <w:t>陈仕江、邓忠 </w:t>
            </w:r>
            <w:r>
              <w:rPr>
                <w:rFonts w:ascii="宋体" w:hAnsi="宋体" w:cs="宋体" w:eastAsia="宋体" w:hint="default"/>
                <w:spacing w:val="-3"/>
                <w:sz w:val="18"/>
                <w:szCs w:val="18"/>
              </w:rPr>
              <w:t>忠、王宁、韦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传军、许宁、 应凌鹏、张天</w:t>
            </w:r>
            <w:r>
              <w:rPr>
                <w:rFonts w:ascii="宋体" w:hAnsi="宋体" w:cs="宋体" w:eastAsia="宋体" w:hint="default"/>
                <w:sz w:val="18"/>
                <w:szCs w:val="18"/>
              </w:rPr>
              <w:t> 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01"/>
              <w:jc w:val="left"/>
              <w:rPr>
                <w:rFonts w:ascii="宋体" w:hAnsi="宋体" w:cs="宋体" w:eastAsia="宋体" w:hint="default"/>
                <w:sz w:val="18"/>
                <w:szCs w:val="18"/>
              </w:rPr>
            </w:pPr>
            <w:r>
              <w:rPr>
                <w:rFonts w:ascii="宋体" w:hAnsi="宋体" w:cs="宋体" w:eastAsia="宋体" w:hint="default"/>
                <w:sz w:val="18"/>
                <w:szCs w:val="18"/>
              </w:rPr>
              <w:t>式损害公司 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人承诺对职 务消费行为 进行约束；</w:t>
            </w:r>
            <w:r>
              <w:rPr>
                <w:rFonts w:ascii="Times New Roman" w:hAnsi="Times New Roman" w:cs="Times New Roman" w:eastAsia="Times New Roman" w:hint="default"/>
                <w:sz w:val="18"/>
                <w:szCs w:val="18"/>
              </w:rPr>
              <w:t>3 </w:t>
            </w:r>
            <w:r>
              <w:rPr>
                <w:rFonts w:ascii="宋体" w:hAnsi="宋体" w:cs="宋体" w:eastAsia="宋体" w:hint="default"/>
                <w:sz w:val="18"/>
                <w:szCs w:val="18"/>
              </w:rPr>
              <w:t>本人承诺不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动用公司资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产从事与本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人履行职责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无关的投资、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消费活动；</w:t>
            </w:r>
            <w:r>
              <w:rPr>
                <w:rFonts w:ascii="Times New Roman" w:hAnsi="Times New Roman" w:cs="Times New Roman" w:eastAsia="Times New Roman" w:hint="default"/>
                <w:sz w:val="18"/>
                <w:szCs w:val="18"/>
              </w:rPr>
              <w:t>4</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本人承诺由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董事会或薪</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酬与考核委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钩；</w:t>
            </w:r>
            <w:r>
              <w:rPr>
                <w:rFonts w:ascii="Times New Roman" w:hAnsi="Times New Roman" w:cs="Times New Roman" w:eastAsia="Times New Roman" w:hint="default"/>
                <w:sz w:val="18"/>
                <w:szCs w:val="18"/>
              </w:rPr>
              <w:t>5</w:t>
            </w:r>
            <w:r>
              <w:rPr>
                <w:rFonts w:ascii="宋体" w:hAnsi="宋体" w:cs="宋体" w:eastAsia="宋体" w:hint="default"/>
                <w:sz w:val="18"/>
                <w:szCs w:val="18"/>
              </w:rPr>
              <w:t>）若公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司后续推出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励政策，本人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承诺拟公布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的行权条件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挂钩。作为填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相关责任主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体之一，本人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承诺或拒不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诺，本人同意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所等证券监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管机构按照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其制定或发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定、规则，对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本人作出相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关处罚或采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取相关管理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在启动股价</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公司、张天</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条件满足时，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
              <w:jc w:val="both"/>
              <w:rPr>
                <w:rFonts w:ascii="宋体" w:hAnsi="宋体" w:cs="宋体" w:eastAsia="宋体" w:hint="default"/>
                <w:sz w:val="18"/>
                <w:szCs w:val="18"/>
              </w:rPr>
            </w:pPr>
            <w:r>
              <w:rPr>
                <w:rFonts w:ascii="宋体" w:hAnsi="宋体" w:cs="宋体" w:eastAsia="宋体" w:hint="default"/>
                <w:sz w:val="18"/>
                <w:szCs w:val="18"/>
              </w:rPr>
              <w:t>瑜、应凌鹏、 许宁、王宁、 韦传军、陈仕</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57"/>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稳定股价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pacing w:val="-2"/>
                <w:sz w:val="18"/>
                <w:szCs w:val="18"/>
              </w:rPr>
              <w:t>如公司、控股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股东及实际 控制人、董</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江、邓忠忠</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人员未采取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价的具体措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施，公司、控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股股东及实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际控制人、董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人员承诺接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受以下约束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东及实际控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制人、董事、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员将在公司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指定报刊上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公开说明未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采取上述稳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的具体原因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并向公司股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东和社会公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众投资者道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歉</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自稳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的启动条件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触发之日起，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应在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易日内召开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并及时公告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将采取的具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体措施并履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行后续法律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程序。董事会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义务的，全体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董事以上一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年度薪酬为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限对股东承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担赔偿责任。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东负有增持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股票义务，但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未按本预案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的规定向公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司送达增持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通知或虽送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达增持通知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未按披露的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施的，公司有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权责令控股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控制人在限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期内履行增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持股票义务。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仍不履行的，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公司有权将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该年度及以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后年度应向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付的现金分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红收归公司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所有，直至累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计金额达到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管理人员未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履行股票增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持义务时，公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司有权责令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未履行股票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增持义务的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该项义务。董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人员仍不履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行的，公司有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权扣减应向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该董事、高级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管理人员支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付的当年税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后薪酬；公司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规定的股票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增持义务情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节严重的，控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会、监事会及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半数以上的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独立董事有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权提请股东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大会更换相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关董事，公司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董事会有权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解聘相关高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、本人已了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解并知悉深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圳市广和通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无线股份有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后三年内公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司股价低于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时稳定公司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股价的预案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的全部内容；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1"/>
              <w:jc w:val="both"/>
              <w:rPr>
                <w:rFonts w:ascii="宋体" w:hAnsi="宋体" w:cs="宋体" w:eastAsia="宋体" w:hint="default"/>
                <w:sz w:val="18"/>
                <w:szCs w:val="18"/>
              </w:rPr>
            </w:pPr>
            <w:r>
              <w:rPr>
                <w:rFonts w:ascii="宋体" w:hAnsi="宋体" w:cs="宋体" w:eastAsia="宋体" w:hint="default"/>
                <w:spacing w:val="-2"/>
                <w:sz w:val="18"/>
                <w:szCs w:val="18"/>
              </w:rPr>
              <w:t>陈仕江、邓忠</w:t>
            </w:r>
            <w:r>
              <w:rPr>
                <w:rFonts w:ascii="宋体" w:hAnsi="宋体" w:cs="宋体" w:eastAsia="宋体" w:hint="default"/>
                <w:sz w:val="18"/>
                <w:szCs w:val="18"/>
              </w:rPr>
              <w:t> </w:t>
            </w:r>
            <w:r>
              <w:rPr>
                <w:rFonts w:ascii="宋体" w:hAnsi="宋体" w:cs="宋体" w:eastAsia="宋体" w:hint="default"/>
                <w:spacing w:val="-3"/>
                <w:sz w:val="18"/>
                <w:szCs w:val="18"/>
              </w:rPr>
              <w:t>忠、许宁、应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凌鹏、张天瑜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、本人愿意 遵守深圳市 广和通无线 股份有限公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司上市后三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年内公司股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价低于每股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净资产时稳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定公司股价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的预案的内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容，并按照预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案的要求履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行相关措施，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并承担相应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的法律责任。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、公司上市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后三年内新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先行签署本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后三年内新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有同样的约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束力。</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、若公司招</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对判断发行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人是否符合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法律规定的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发行条件构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成重大、实质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影响的，在该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等违法事实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0"/>
              <w:jc w:val="left"/>
              <w:rPr>
                <w:rFonts w:ascii="宋体" w:hAnsi="宋体" w:cs="宋体" w:eastAsia="宋体" w:hint="default"/>
                <w:sz w:val="18"/>
                <w:szCs w:val="18"/>
              </w:rPr>
            </w:pPr>
            <w:r>
              <w:rPr>
                <w:rFonts w:ascii="宋体" w:hAnsi="宋体" w:cs="宋体" w:eastAsia="宋体" w:hint="default"/>
                <w:sz w:val="18"/>
                <w:szCs w:val="18"/>
              </w:rPr>
              <w:t>会或人民法 院等有权部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门认定后，将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依法回购首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的全部新股。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回购价格以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行价加算同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期银行存款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利息与违规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事实被确认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之日前一个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股票均价（股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016" w:header="787" w:top="1100" w:bottom="1200" w:left="1020" w:right="1020"/>
          <w:pgNumType w:start="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67"/>
              <w:jc w:val="center"/>
              <w:rPr>
                <w:rFonts w:ascii="宋体" w:hAnsi="宋体" w:cs="宋体" w:eastAsia="宋体" w:hint="default"/>
                <w:sz w:val="18"/>
                <w:szCs w:val="18"/>
              </w:rPr>
            </w:pPr>
            <w:r>
              <w:rPr>
                <w:rFonts w:ascii="宋体" w:hAnsi="宋体" w:cs="宋体" w:eastAsia="宋体" w:hint="default"/>
                <w:sz w:val="18"/>
                <w:szCs w:val="18"/>
              </w:rPr>
              <w:t>票均价</w:t>
            </w:r>
            <w:r>
              <w:rPr>
                <w:rFonts w:ascii="Times New Roman" w:hAnsi="Times New Roman" w:cs="Times New Roman" w:eastAsia="Times New Roman" w:hint="default"/>
                <w:sz w:val="18"/>
                <w:szCs w:val="18"/>
              </w:rPr>
              <w:t>=</w:t>
            </w:r>
            <w:r>
              <w:rPr>
                <w:rFonts w:ascii="宋体" w:hAnsi="宋体" w:cs="宋体" w:eastAsia="宋体" w:hint="default"/>
                <w:sz w:val="18"/>
                <w:szCs w:val="18"/>
              </w:rPr>
              <w:t>当日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8"/>
              <w:jc w:val="center"/>
              <w:rPr>
                <w:rFonts w:ascii="宋体" w:hAnsi="宋体" w:cs="宋体" w:eastAsia="宋体" w:hint="default"/>
                <w:sz w:val="18"/>
                <w:szCs w:val="18"/>
              </w:rPr>
            </w:pPr>
            <w:r>
              <w:rPr>
                <w:rFonts w:ascii="宋体" w:hAnsi="宋体" w:cs="宋体" w:eastAsia="宋体" w:hint="default"/>
                <w:sz w:val="18"/>
                <w:szCs w:val="18"/>
              </w:rPr>
              <w:t>总成交额</w:t>
            </w:r>
            <w:r>
              <w:rPr>
                <w:rFonts w:ascii="Times New Roman" w:hAnsi="Times New Roman" w:cs="Times New Roman" w:eastAsia="Times New Roman" w:hint="default"/>
                <w:sz w:val="18"/>
                <w:szCs w:val="18"/>
              </w:rPr>
              <w:t>÷</w:t>
            </w:r>
            <w:r>
              <w:rPr>
                <w:rFonts w:ascii="宋体" w:hAnsi="宋体" w:cs="宋体" w:eastAsia="宋体" w:hint="default"/>
                <w:sz w:val="18"/>
                <w:szCs w:val="18"/>
              </w:rPr>
              <w:t>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 w:right="0"/>
              <w:jc w:val="center"/>
              <w:rPr>
                <w:rFonts w:ascii="宋体" w:hAnsi="宋体" w:cs="宋体" w:eastAsia="宋体" w:hint="default"/>
                <w:sz w:val="18"/>
                <w:szCs w:val="18"/>
              </w:rPr>
            </w:pPr>
            <w:r>
              <w:rPr>
                <w:rFonts w:ascii="宋体" w:hAnsi="宋体" w:cs="宋体" w:eastAsia="宋体" w:hint="default"/>
                <w:sz w:val="18"/>
                <w:szCs w:val="18"/>
              </w:rPr>
              <w:t>日总成交量）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孰高者确定。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遗漏，致使投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损失的，公司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投资者损失。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、若本次公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书被中国证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监会、公司上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市所在证券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交易所或司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法机关认定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为有虚假记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遗漏，在公司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收到相关认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定文件后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交易日内，相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关各方应就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该等事项进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行公告，并在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前述事项公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告后及时公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告相应的回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购新股、购回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股份、赔偿损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失的方案的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制定和进展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4</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公司未及时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诺，将在股东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报刊上公开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述回购、赔偿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措施向股东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并按中国证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监会及有关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司法机关认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定的实际损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失向投资者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进行赔偿。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、招股说明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遗漏，致使投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损失的，将依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法赔偿投资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者损失。</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若本次公开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陈绮华、陈仕</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江、邓忠忠、</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
              <w:jc w:val="left"/>
              <w:rPr>
                <w:rFonts w:ascii="宋体" w:hAnsi="宋体" w:cs="宋体" w:eastAsia="宋体" w:hint="default"/>
                <w:sz w:val="18"/>
                <w:szCs w:val="18"/>
              </w:rPr>
            </w:pPr>
            <w:r>
              <w:rPr>
                <w:rFonts w:ascii="宋体" w:hAnsi="宋体" w:cs="宋体" w:eastAsia="宋体" w:hint="default"/>
                <w:sz w:val="18"/>
                <w:szCs w:val="18"/>
              </w:rPr>
              <w:t>舒敏、王宁、 韦传军、许 宁、应凌鹏、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pacing w:val="-2"/>
                <w:sz w:val="18"/>
                <w:szCs w:val="18"/>
              </w:rPr>
              <w:t>会、公司上市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所在证券交 易所或司法</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张天瑜、赵明</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机关认定为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漏</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在公司收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到相关认定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易日内</w:t>
            </w:r>
            <w:r>
              <w:rPr>
                <w:rFonts w:ascii="Times New Roman" w:hAnsi="Times New Roman" w:cs="Times New Roman" w:eastAsia="Times New Roman" w:hint="default"/>
                <w:sz w:val="18"/>
                <w:szCs w:val="18"/>
              </w:rPr>
              <w:t>,</w:t>
            </w:r>
            <w:r>
              <w:rPr>
                <w:rFonts w:ascii="宋体" w:hAnsi="宋体" w:cs="宋体" w:eastAsia="宋体" w:hint="default"/>
                <w:sz w:val="18"/>
                <w:szCs w:val="18"/>
              </w:rPr>
              <w:t>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各方应就该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等事项进行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公告，并在前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述事项公告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后及时公告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相应的回购</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新股、购回股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份、赔偿损失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的方案的制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定和进展情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3</w:t>
            </w:r>
            <w:r>
              <w:rPr>
                <w:rFonts w:ascii="宋体" w:hAnsi="宋体" w:cs="宋体" w:eastAsia="宋体" w:hint="default"/>
                <w:sz w:val="18"/>
                <w:szCs w:val="18"/>
              </w:rPr>
              <w:t>、若董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事、监事及高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未及时履行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上述承诺，将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报刊上公开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就未履行上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述赔偿措施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向公司股东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并在违反上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述赔偿措施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停止在公司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领取薪酬（或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津贴）及股东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现金分红（如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2"/>
                <w:sz w:val="18"/>
                <w:szCs w:val="18"/>
              </w:rPr>
              <w:t>）</w:t>
            </w:r>
            <w:r>
              <w:rPr>
                <w:rFonts w:ascii="宋体" w:hAnsi="宋体" w:cs="宋体" w:eastAsia="宋体" w:hint="default"/>
                <w:sz w:val="18"/>
                <w:szCs w:val="18"/>
              </w:rPr>
              <w:t>，同时其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股票（如有）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将不得转让，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直至其按上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述承诺采取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相应的赔偿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措施并实施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完毕时为止。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、招股说明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pacing w:val="-2"/>
                <w:sz w:val="18"/>
                <w:szCs w:val="18"/>
              </w:rPr>
              <w:t>遗漏，致使投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资者在证券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损失的，将依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法赔偿投资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者损失。</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若本次公开</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所在证券交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易所或司法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机关认定为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有虚假记载、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漏，在公司收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到相关认定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文件后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易日内，相关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各方应就该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等事项进行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公告，并在前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述事项公告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后及时公告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相应的回购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新股、购回股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份、赔偿损失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的方案的制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定和进展情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3</w:t>
            </w:r>
            <w:r>
              <w:rPr>
                <w:rFonts w:ascii="宋体" w:hAnsi="宋体" w:cs="宋体" w:eastAsia="宋体" w:hint="default"/>
                <w:sz w:val="18"/>
                <w:szCs w:val="18"/>
              </w:rPr>
              <w:t>、若本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人未及时履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定报刊上公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开就未履行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上述购回、赔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偿措施向公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者道歉，并在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诺发生之日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起停止在公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司领取薪酬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及股东分红，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以其在违规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事实认定当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年度或以后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年度公司利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中其享有的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为履约担保；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直至其按上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相应的购回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或赔偿措施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时为止。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Times New Roman" w:hAnsi="Times New Roman" w:cs="Times New Roman" w:eastAsia="Times New Roman" w:hint="default"/>
          <w:sz w:val="22"/>
          <w:szCs w:val="22"/>
        </w:rPr>
      </w:pPr>
    </w:p>
    <w:p>
      <w:pPr>
        <w:pStyle w:val="Heading3"/>
        <w:spacing w:line="256" w:lineRule="auto" w:before="34"/>
        <w:ind w:right="139"/>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39"/>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9"/>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980"/>
        </w:sectPr>
      </w:pPr>
    </w:p>
    <w:p>
      <w:pPr>
        <w:spacing w:line="240" w:lineRule="auto" w:before="9"/>
        <w:rPr>
          <w:rFonts w:ascii="宋体" w:hAnsi="宋体" w:cs="宋体" w:eastAsia="宋体" w:hint="default"/>
          <w:sz w:val="20"/>
          <w:szCs w:val="20"/>
        </w:rPr>
      </w:pPr>
    </w:p>
    <w:p>
      <w:pPr>
        <w:pStyle w:val="Heading2"/>
        <w:spacing w:line="240" w:lineRule="auto" w:before="26"/>
        <w:ind w:right="16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日，公司召开第一届董事会第十三次会议审议通过了《关于认证费会计政策变更的议案》，为更加符合会计 </w:t>
      </w:r>
      <w:r>
        <w:rPr>
          <w:spacing w:val="-2"/>
        </w:rPr>
        <w:t>信息质量要求的谨慎性原则，公司将原计入长期待摊费用的认证费于发生当期计入管理费用。此次会计政策变更对公司财务</w:t>
      </w:r>
    </w:p>
    <w:p>
      <w:pPr>
        <w:pStyle w:val="BodyText"/>
        <w:spacing w:line="300" w:lineRule="auto" w:before="17"/>
        <w:ind w:right="164"/>
        <w:jc w:val="left"/>
      </w:pPr>
      <w:r>
        <w:rPr>
          <w:spacing w:val="-2"/>
        </w:rPr>
        <w:t>报表项目的影响为：</w:t>
      </w:r>
      <w:r>
        <w:rPr>
          <w:rFonts w:ascii="Times New Roman" w:hAnsi="Times New Roman" w:cs="Times New Roman" w:eastAsia="Times New Roman" w:hint="default"/>
          <w:spacing w:val="-2"/>
        </w:rPr>
        <w:t>2015</w:t>
      </w:r>
      <w:r>
        <w:rPr>
          <w:spacing w:val="-2"/>
        </w:rPr>
        <w:t>年度，管理费用增加</w:t>
      </w:r>
      <w:r>
        <w:rPr>
          <w:rFonts w:ascii="Times New Roman" w:hAnsi="Times New Roman" w:cs="Times New Roman" w:eastAsia="Times New Roman" w:hint="default"/>
          <w:spacing w:val="-2"/>
        </w:rPr>
        <w:t>1,632,029.98</w:t>
      </w:r>
      <w:r>
        <w:rPr>
          <w:spacing w:val="-2"/>
        </w:rPr>
        <w:t>元，所得税费用减少</w:t>
      </w:r>
      <w:r>
        <w:rPr>
          <w:rFonts w:ascii="Times New Roman" w:hAnsi="Times New Roman" w:cs="Times New Roman" w:eastAsia="Times New Roman" w:hint="default"/>
          <w:spacing w:val="-2"/>
        </w:rPr>
        <w:t>244,804.50</w:t>
      </w:r>
      <w:r>
        <w:rPr>
          <w:spacing w:val="-2"/>
        </w:rPr>
        <w:t>元</w:t>
      </w:r>
      <w:r>
        <w:rPr>
          <w:rFonts w:ascii="Times New Roman" w:hAnsi="Times New Roman" w:cs="Times New Roman" w:eastAsia="Times New Roman" w:hint="default"/>
          <w:spacing w:val="-2"/>
        </w:rPr>
        <w:t>.</w:t>
      </w:r>
      <w:r>
        <w:rPr>
          <w:spacing w:val="-2"/>
        </w:rPr>
        <w:t>资产负债表项目：长期待摊费用</w:t>
      </w:r>
      <w:r>
        <w:rPr>
          <w:spacing w:val="-50"/>
        </w:rPr>
        <w:t> </w:t>
      </w:r>
      <w:r>
        <w:rPr>
          <w:spacing w:val="-50"/>
        </w:rPr>
      </w:r>
      <w:r>
        <w:rPr/>
        <w:t>减少</w:t>
      </w:r>
      <w:r>
        <w:rPr>
          <w:rFonts w:ascii="Times New Roman" w:hAnsi="Times New Roman" w:cs="Times New Roman" w:eastAsia="Times New Roman" w:hint="default"/>
        </w:rPr>
        <w:t>1,632,029.98</w:t>
      </w:r>
      <w:r>
        <w:rPr/>
        <w:t>元，应交税费减少</w:t>
      </w:r>
      <w:r>
        <w:rPr>
          <w:rFonts w:ascii="Times New Roman" w:hAnsi="Times New Roman" w:cs="Times New Roman" w:eastAsia="Times New Roman" w:hint="default"/>
        </w:rPr>
        <w:t>244,804.50</w:t>
      </w:r>
      <w:r>
        <w:rPr/>
        <w:t>元，盈余公积减少</w:t>
      </w:r>
      <w:r>
        <w:rPr>
          <w:rFonts w:ascii="Times New Roman" w:hAnsi="Times New Roman" w:cs="Times New Roman" w:eastAsia="Times New Roman" w:hint="default"/>
        </w:rPr>
        <w:t>138,722.55</w:t>
      </w:r>
      <w:r>
        <w:rPr/>
        <w:t>元，未分配利润减少</w:t>
      </w:r>
      <w:r>
        <w:rPr>
          <w:rFonts w:ascii="Times New Roman" w:hAnsi="Times New Roman" w:cs="Times New Roman" w:eastAsia="Times New Roman" w:hint="default"/>
        </w:rPr>
        <w:t>1,248,502.93</w:t>
      </w:r>
      <w:r>
        <w:rPr/>
        <w:t>元；</w:t>
      </w:r>
      <w:r>
        <w:rPr>
          <w:rFonts w:ascii="Times New Roman" w:hAnsi="Times New Roman" w:cs="Times New Roman" w:eastAsia="Times New Roman" w:hint="default"/>
        </w:rPr>
        <w:t>2016</w:t>
      </w:r>
      <w:r>
        <w:rPr/>
        <w:t>年度， 管理费用增加</w:t>
      </w:r>
      <w:r>
        <w:rPr>
          <w:rFonts w:ascii="Times New Roman" w:hAnsi="Times New Roman" w:cs="Times New Roman" w:eastAsia="Times New Roman" w:hint="default"/>
        </w:rPr>
        <w:t>1,174,043.16</w:t>
      </w:r>
      <w:r>
        <w:rPr/>
        <w:t>元，所得税费用减少</w:t>
      </w:r>
      <w:r>
        <w:rPr>
          <w:rFonts w:ascii="Times New Roman" w:hAnsi="Times New Roman" w:cs="Times New Roman" w:eastAsia="Times New Roman" w:hint="default"/>
        </w:rPr>
        <w:t>176,106.47</w:t>
      </w:r>
      <w:r>
        <w:rPr/>
        <w:t>元</w:t>
      </w:r>
      <w:r>
        <w:rPr>
          <w:rFonts w:ascii="Times New Roman" w:hAnsi="Times New Roman" w:cs="Times New Roman" w:eastAsia="Times New Roman" w:hint="default"/>
        </w:rPr>
        <w:t>.</w:t>
      </w:r>
      <w:r>
        <w:rPr/>
        <w:t>资产负债表项目：长期待摊费用减少</w:t>
      </w:r>
      <w:r>
        <w:rPr>
          <w:rFonts w:ascii="Times New Roman" w:hAnsi="Times New Roman" w:cs="Times New Roman" w:eastAsia="Times New Roman" w:hint="default"/>
        </w:rPr>
        <w:t>3,547,647.47</w:t>
      </w:r>
      <w:r>
        <w:rPr/>
        <w:t>元，应交税费 减少</w:t>
      </w:r>
      <w:r>
        <w:rPr>
          <w:rFonts w:ascii="Times New Roman" w:hAnsi="Times New Roman" w:cs="Times New Roman" w:eastAsia="Times New Roman" w:hint="default"/>
        </w:rPr>
        <w:t>532,147.12</w:t>
      </w:r>
      <w:r>
        <w:rPr/>
        <w:t>元，盈余公积减少</w:t>
      </w:r>
      <w:r>
        <w:rPr>
          <w:rFonts w:ascii="Times New Roman" w:hAnsi="Times New Roman" w:cs="Times New Roman" w:eastAsia="Times New Roman" w:hint="default"/>
        </w:rPr>
        <w:t>301,550.03</w:t>
      </w:r>
      <w:r>
        <w:rPr/>
        <w:t>元，未分配利润减少</w:t>
      </w:r>
      <w:r>
        <w:rPr>
          <w:rFonts w:ascii="Times New Roman" w:hAnsi="Times New Roman" w:cs="Times New Roman" w:eastAsia="Times New Roman" w:hint="default"/>
        </w:rPr>
        <w:t>2,713,950.31</w:t>
      </w:r>
      <w:r>
        <w:rPr/>
        <w:t>元。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日，公司召开第一届董事会第十六次会议审议通过了《关于变更会计政策的议案》，根据财政部制定的《企</w:t>
      </w:r>
      <w:r>
        <w:rPr>
          <w:spacing w:val="-62"/>
        </w:rPr>
        <w:t> </w:t>
      </w:r>
      <w:r>
        <w:rPr>
          <w:spacing w:val="-62"/>
        </w:rPr>
      </w:r>
      <w:r>
        <w:rPr/>
        <w:t>业会计准则第</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p>
    <w:p>
      <w:pPr>
        <w:pStyle w:val="BodyText"/>
        <w:spacing w:line="304" w:lineRule="auto" w:before="13"/>
        <w:ind w:right="16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日至本准则施行日之间新增的政府补助根据本准则进行调整。该会计政策变更将修改财务报表列报，与日常活 </w:t>
      </w:r>
      <w:r>
        <w:rPr>
          <w:spacing w:val="-1"/>
        </w:rPr>
        <w:t>动相关的政府补助从利润表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项目调整为利润表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项目列报，本次会计政策变更不影响损益，不涉及以</w:t>
      </w:r>
      <w:r>
        <w:rPr>
          <w:spacing w:val="-79"/>
        </w:rPr>
        <w:t> </w:t>
      </w:r>
      <w:r>
        <w:rPr>
          <w:spacing w:val="-79"/>
        </w:rPr>
      </w:r>
      <w:r>
        <w:rPr/>
        <w:t>往年度的追溯调整。 </w:t>
      </w:r>
      <w:r>
        <w:rPr>
          <w:rFonts w:ascii="Times New Roman" w:hAnsi="Times New Roman" w:cs="Times New Roman" w:eastAsia="Times New Roman" w:hint="default"/>
        </w:rPr>
        <w:t>3</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月发布了《财政部关于修订印发一般企业财务报表格式的通知》（财会</w:t>
      </w:r>
      <w:r>
        <w:rPr>
          <w:rFonts w:ascii="Times New Roman" w:hAnsi="Times New Roman" w:cs="Times New Roman" w:eastAsia="Times New Roman" w:hint="default"/>
        </w:rPr>
        <w:t>[2017]30</w:t>
      </w:r>
      <w:r>
        <w:rPr/>
        <w:t>号），对一般企业财 </w:t>
      </w:r>
      <w:r>
        <w:rPr>
          <w:spacing w:val="-2"/>
        </w:rPr>
        <w:t>务报表格式进行了修订，适用于</w:t>
      </w:r>
      <w:r>
        <w:rPr>
          <w:rFonts w:ascii="Times New Roman" w:hAnsi="Times New Roman" w:cs="Times New Roman" w:eastAsia="Times New Roman" w:hint="default"/>
          <w:spacing w:val="-2"/>
        </w:rPr>
        <w:t>2017</w:t>
      </w:r>
      <w:r>
        <w:rPr>
          <w:spacing w:val="-2"/>
        </w:rPr>
        <w:t>年度及以后期间的财务报表。公司第一届董事会第二十二次会议审议通过了《关于变更</w:t>
      </w:r>
      <w:r>
        <w:rPr>
          <w:spacing w:val="-63"/>
        </w:rPr>
        <w:t> </w:t>
      </w:r>
      <w:r>
        <w:rPr>
          <w:spacing w:val="-63"/>
        </w:rPr>
      </w:r>
      <w:r>
        <w:rPr/>
        <w:t>会计政策的议案》，审议通过了上述变更。</w:t>
      </w:r>
    </w:p>
    <w:p>
      <w:pPr>
        <w:spacing w:line="240" w:lineRule="auto" w:before="5"/>
        <w:rPr>
          <w:rFonts w:ascii="宋体" w:hAnsi="宋体" w:cs="宋体" w:eastAsia="宋体" w:hint="default"/>
          <w:sz w:val="21"/>
          <w:szCs w:val="21"/>
        </w:rPr>
      </w:pPr>
    </w:p>
    <w:p>
      <w:pPr>
        <w:pStyle w:val="Heading2"/>
        <w:spacing w:line="240" w:lineRule="auto"/>
        <w:ind w:right="164"/>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日，公司召开第一届董事会第十七次会议，审议通过了《关于现金收购浙江诺控通信技术有限公司</w:t>
      </w:r>
      <w:r>
        <w:rPr>
          <w:rFonts w:ascii="Times New Roman" w:hAnsi="Times New Roman" w:cs="Times New Roman" w:eastAsia="Times New Roman" w:hint="default"/>
        </w:rPr>
        <w:t>100%</w:t>
      </w:r>
      <w:r>
        <w:rPr/>
        <w:t>股权 </w:t>
      </w:r>
      <w:r>
        <w:rPr>
          <w:spacing w:val="-5"/>
        </w:rPr>
        <w:t>的议案》，并于同日与赵松尧、车祎瑜、甘红波等</w:t>
      </w:r>
      <w:r>
        <w:rPr>
          <w:rFonts w:ascii="Times New Roman" w:hAnsi="Times New Roman" w:cs="Times New Roman" w:eastAsia="Times New Roman" w:hint="default"/>
          <w:spacing w:val="-5"/>
        </w:rPr>
        <w:t>18</w:t>
      </w:r>
      <w:r>
        <w:rPr>
          <w:spacing w:val="-5"/>
        </w:rPr>
        <w:t>人及浙江诺控通信技术有限公司（以下简称</w:t>
      </w:r>
      <w:r>
        <w:rPr>
          <w:rFonts w:ascii="Times New Roman" w:hAnsi="Times New Roman" w:cs="Times New Roman" w:eastAsia="Times New Roman" w:hint="default"/>
          <w:spacing w:val="-5"/>
        </w:rPr>
        <w:t>“</w:t>
      </w:r>
      <w:r>
        <w:rPr>
          <w:spacing w:val="-5"/>
        </w:rPr>
        <w:t>浙江诺控</w:t>
      </w:r>
      <w:r>
        <w:rPr>
          <w:rFonts w:ascii="Times New Roman" w:hAnsi="Times New Roman" w:cs="Times New Roman" w:eastAsia="Times New Roman" w:hint="default"/>
          <w:spacing w:val="-5"/>
        </w:rPr>
        <w:t>“</w:t>
      </w:r>
      <w:r>
        <w:rPr>
          <w:spacing w:val="-5"/>
        </w:rPr>
        <w:t>）共同签署了《关</w:t>
      </w:r>
    </w:p>
    <w:p>
      <w:pPr>
        <w:pStyle w:val="BodyText"/>
        <w:spacing w:line="300" w:lineRule="auto"/>
        <w:ind w:right="89"/>
        <w:jc w:val="left"/>
      </w:pPr>
      <w:r>
        <w:rPr/>
        <w:t>于浙江诺控通信技术有限公司</w:t>
      </w:r>
      <w:r>
        <w:rPr>
          <w:rFonts w:ascii="Times New Roman" w:hAnsi="Times New Roman" w:cs="Times New Roman" w:eastAsia="Times New Roman" w:hint="default"/>
        </w:rPr>
        <w:t>100%</w:t>
      </w:r>
      <w:r>
        <w:rPr/>
        <w:t>股权的股权转让协议》，公司以人民币</w:t>
      </w:r>
      <w:r>
        <w:rPr>
          <w:rFonts w:ascii="Times New Roman" w:hAnsi="Times New Roman" w:cs="Times New Roman" w:eastAsia="Times New Roman" w:hint="default"/>
        </w:rPr>
        <w:t>3,000</w:t>
      </w:r>
      <w:r>
        <w:rPr/>
        <w:t>万元收购浙江诺控</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 浙江诺控完成工商变更登记，公司持有浙江诺控</w:t>
      </w:r>
      <w:r>
        <w:rPr>
          <w:rFonts w:ascii="Times New Roman" w:hAnsi="Times New Roman" w:cs="Times New Roman" w:eastAsia="Times New Roman" w:hint="default"/>
        </w:rPr>
        <w:t>100%</w:t>
      </w:r>
      <w:r>
        <w:rPr/>
        <w:t>的股权，浙江诺控成为公司全资子公司。</w:t>
      </w:r>
    </w:p>
    <w:p>
      <w:pPr>
        <w:spacing w:line="240" w:lineRule="auto" w:before="3"/>
        <w:rPr>
          <w:rFonts w:ascii="宋体" w:hAnsi="宋体" w:cs="宋体" w:eastAsia="宋体" w:hint="default"/>
          <w:sz w:val="20"/>
          <w:szCs w:val="20"/>
        </w:rPr>
      </w:pPr>
    </w:p>
    <w:p>
      <w:pPr>
        <w:pStyle w:val="Heading2"/>
        <w:spacing w:line="240" w:lineRule="auto"/>
        <w:ind w:right="16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64"/>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黄声森、赵娟娟</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64"/>
        <w:jc w:val="left"/>
      </w:pPr>
      <w:r>
        <w:rPr/>
        <w:t>是否改聘会计师事务所</w:t>
      </w:r>
    </w:p>
    <w:p>
      <w:pPr>
        <w:pStyle w:val="BodyText"/>
        <w:spacing w:line="340" w:lineRule="auto" w:before="117"/>
        <w:ind w:right="5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39"/>
        <w:ind w:right="1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64"/>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96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51"/>
        <w:gridCol w:w="1086"/>
        <w:gridCol w:w="1265"/>
        <w:gridCol w:w="953"/>
        <w:gridCol w:w="1393"/>
        <w:gridCol w:w="1265"/>
        <w:gridCol w:w="1080"/>
        <w:gridCol w:w="1077"/>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7" w:right="21"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7" w:right="86"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1" w:right="50"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0" w:right="89" w:hanging="14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65" w:right="27" w:hanging="23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tc>
        <w:tc>
          <w:tcPr>
            <w:tcW w:w="126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日起，冻结公司</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深圳市深联电电 子科技有限公司 诉公司诉讼案</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审理当中</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银行存款人民币</w:t>
            </w:r>
          </w:p>
          <w:p>
            <w:pPr>
              <w:pStyle w:val="TableParagraph"/>
              <w:spacing w:line="300" w:lineRule="auto" w:before="76"/>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235.07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万元，冻 结期限为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起继续冻结一</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26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6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日起，冻结深</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圳市深联电电子</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25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公司与深圳市深 联电电子科技有 限公司仲裁案件</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542.56</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撤销仲裁</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科技有限公司的 银行存款人民币 </w:t>
            </w:r>
            <w:r>
              <w:rPr>
                <w:rFonts w:ascii="Times New Roman" w:hAnsi="Times New Roman" w:cs="Times New Roman" w:eastAsia="Times New Roman" w:hint="default"/>
                <w:sz w:val="18"/>
                <w:szCs w:val="18"/>
              </w:rPr>
              <w:t>11.08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撤销仲裁</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公司撤销仲裁申</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请，上述存款冻</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结解除。</w:t>
            </w:r>
          </w:p>
        </w:tc>
        <w:tc>
          <w:tcPr>
            <w:tcW w:w="126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6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华南国际经济贸</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易仲裁庭裁决深</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公司与深圳市深 联电电子科技有 限公司仲裁案件</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已裁决</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
              <w:jc w:val="both"/>
              <w:rPr>
                <w:rFonts w:ascii="宋体" w:hAnsi="宋体" w:cs="宋体" w:eastAsia="宋体" w:hint="default"/>
                <w:sz w:val="18"/>
                <w:szCs w:val="18"/>
              </w:rPr>
            </w:pPr>
            <w:r>
              <w:rPr>
                <w:rFonts w:ascii="宋体" w:hAnsi="宋体" w:cs="宋体" w:eastAsia="宋体" w:hint="default"/>
                <w:sz w:val="18"/>
                <w:szCs w:val="18"/>
              </w:rPr>
              <w:t>联电电子科技有 限公司向公司支 付违约损失人民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55,550.88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并向公司支付律</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师费人民币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7,507</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6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358.200012pt;margin-top:-172.414383pt;width:69.05pt;height:160.25pt;mso-position-horizontal-relative:page;mso-position-vertical-relative:paragraph;z-index:-116144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364.25pt;margin-top:-172.414383pt;width:63pt;height:160.25pt;mso-position-horizontal-relative:page;mso-position-vertical-relative:paragraph;z-index:-1161424" coordorigin="7285,-3448" coordsize="1260,3205">
            <v:shape style="position:absolute;left:7285;top:-3448;width:1260;height:3205" coordorigin="7285,-3448" coordsize="1260,3205" path="m7285,-3448l8545,-3448,8545,-243,7285,-243,7285,-3448xe" filled="true" fillcolor="#ffffff" stroked="false">
              <v:path arrowok="t"/>
              <v:fill type="solid"/>
            </v:shape>
            <w10:wrap type="none"/>
          </v:group>
        </w:pict>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after="0" w:line="340" w:lineRule="auto"/>
        <w:jc w:val="left"/>
        <w:sectPr>
          <w:pgSz w:w="11910" w:h="16840"/>
          <w:pgMar w:header="787" w:footer="1016"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9"/>
        <w:gridCol w:w="677"/>
        <w:gridCol w:w="677"/>
        <w:gridCol w:w="703"/>
        <w:gridCol w:w="680"/>
        <w:gridCol w:w="674"/>
        <w:gridCol w:w="674"/>
        <w:gridCol w:w="674"/>
        <w:gridCol w:w="674"/>
        <w:gridCol w:w="674"/>
        <w:gridCol w:w="674"/>
        <w:gridCol w:w="674"/>
        <w:gridCol w:w="670"/>
        <w:gridCol w:w="645"/>
      </w:tblGrid>
      <w:tr>
        <w:trPr>
          <w:trHeight w:val="1338"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32"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75" w:right="7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0" w:right="5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2" w:lineRule="auto"/>
              <w:ind w:left="22" w:right="44"/>
              <w:jc w:val="left"/>
              <w:rPr>
                <w:rFonts w:ascii="Times New Roman" w:hAnsi="Times New Roman" w:cs="Times New Roman" w:eastAsia="Times New Roman" w:hint="default"/>
                <w:sz w:val="18"/>
                <w:szCs w:val="18"/>
              </w:rPr>
            </w:pPr>
            <w:r>
              <w:rPr>
                <w:rFonts w:ascii="Times New Roman"/>
                <w:sz w:val="18"/>
              </w:rPr>
              <w:t>Intel</w:t>
            </w:r>
            <w:r>
              <w:rPr>
                <w:rFonts w:ascii="Times New Roman"/>
                <w:w w:val="99"/>
                <w:sz w:val="18"/>
              </w:rPr>
              <w:t> </w:t>
            </w:r>
            <w:r>
              <w:rPr>
                <w:rFonts w:ascii="Times New Roman"/>
                <w:sz w:val="18"/>
              </w:rPr>
              <w:t>Deutschla</w:t>
            </w:r>
            <w:r>
              <w:rPr>
                <w:rFonts w:ascii="Times New Roman"/>
                <w:w w:val="99"/>
                <w:sz w:val="18"/>
              </w:rPr>
              <w:t> </w:t>
            </w:r>
            <w:r>
              <w:rPr>
                <w:rFonts w:ascii="Times New Roman"/>
                <w:sz w:val="18"/>
              </w:rPr>
              <w:t>nd</w:t>
            </w:r>
            <w:r>
              <w:rPr>
                <w:rFonts w:ascii="Times New Roman"/>
                <w:sz w:val="18"/>
              </w:rPr>
              <w:t> GMBH</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85.50%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英特尔亚 太研发有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英特尔</w:t>
            </w:r>
          </w:p>
          <w:p>
            <w:pPr>
              <w:pStyle w:val="TableParagraph"/>
              <w:spacing w:line="316" w:lineRule="auto" w:before="76"/>
              <w:ind w:left="22" w:right="44"/>
              <w:jc w:val="left"/>
              <w:rPr>
                <w:rFonts w:ascii="宋体" w:hAnsi="宋体" w:cs="宋体" w:eastAsia="宋体" w:hint="default"/>
                <w:sz w:val="18"/>
                <w:szCs w:val="18"/>
              </w:rPr>
            </w:pPr>
            <w:r>
              <w:rPr>
                <w:rFonts w:ascii="宋体" w:hAnsi="宋体" w:cs="宋体" w:eastAsia="宋体" w:hint="default"/>
                <w:sz w:val="18"/>
                <w:szCs w:val="18"/>
              </w:rPr>
              <w:t>（中国）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44"/>
              <w:jc w:val="left"/>
              <w:rPr>
                <w:rFonts w:ascii="Times New Roman" w:hAnsi="Times New Roman" w:cs="Times New Roman" w:eastAsia="Times New Roman" w:hint="default"/>
                <w:sz w:val="18"/>
                <w:szCs w:val="18"/>
              </w:rPr>
            </w:pPr>
            <w:r>
              <w:rPr>
                <w:rFonts w:ascii="Times New Roman"/>
                <w:sz w:val="18"/>
              </w:rPr>
              <w:t>Intel</w:t>
            </w:r>
            <w:r>
              <w:rPr>
                <w:rFonts w:ascii="Times New Roman"/>
                <w:w w:val="99"/>
                <w:sz w:val="18"/>
              </w:rPr>
              <w:t> </w:t>
            </w:r>
            <w:r>
              <w:rPr>
                <w:rFonts w:ascii="Times New Roman"/>
                <w:sz w:val="18"/>
              </w:rPr>
              <w:t>Deutschla</w:t>
            </w:r>
            <w:r>
              <w:rPr>
                <w:rFonts w:ascii="Times New Roman"/>
                <w:w w:val="99"/>
                <w:sz w:val="18"/>
              </w:rPr>
              <w:t> </w:t>
            </w:r>
            <w:r>
              <w:rPr>
                <w:rFonts w:ascii="Times New Roman"/>
                <w:sz w:val="18"/>
              </w:rPr>
              <w:t>nd</w:t>
            </w:r>
            <w:r>
              <w:rPr>
                <w:rFonts w:ascii="Times New Roman"/>
                <w:sz w:val="18"/>
              </w:rPr>
              <w:t> GMBH</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4"/>
              <w:jc w:val="left"/>
              <w:rPr>
                <w:rFonts w:ascii="宋体" w:hAnsi="宋体" w:cs="宋体" w:eastAsia="宋体" w:hint="default"/>
                <w:sz w:val="18"/>
                <w:szCs w:val="18"/>
              </w:rPr>
            </w:pPr>
            <w:r>
              <w:rPr>
                <w:rFonts w:ascii="宋体" w:hAnsi="宋体" w:cs="宋体" w:eastAsia="宋体" w:hint="default"/>
                <w:sz w:val="18"/>
                <w:szCs w:val="18"/>
              </w:rPr>
              <w:t>英特尔移 动通信技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按市场</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90.720001pt;margin-top:72.400024pt;width:39.7pt;height:64.5pt;mso-position-horizontal-relative:page;mso-position-vertical-relative:page;z-index:-1161400" type="#_x0000_t202" filled="false" stroked="false">
            <v:textbox inset="0,0,0,0">
              <w:txbxContent>
                <w:p>
                  <w:pPr>
                    <w:pStyle w:val="BodyText"/>
                    <w:spacing w:line="240" w:lineRule="auto" w:before="13"/>
                    <w:ind w:left="0" w:right="0"/>
                    <w:jc w:val="left"/>
                  </w:pPr>
                  <w:r>
                    <w:rPr/>
                    <w:t>）</w:t>
                  </w:r>
                </w:p>
              </w:txbxContent>
            </v:textbox>
            <w10:wrap type="none"/>
          </v:shape>
        </w:pict>
      </w:r>
      <w:r>
        <w:rPr/>
        <w:pict>
          <v:group style="position:absolute;margin-left:96.800003pt;margin-top:72.400024pt;width:33.6pt;height:64.6500pt;mso-position-horizontal-relative:page;mso-position-vertical-relative:page;z-index:-1161376" coordorigin="1936,1448" coordsize="672,1293">
            <v:shape style="position:absolute;left:1936;top:1448;width:672;height:1293" coordorigin="1936,1448" coordsize="672,1293" path="m1936,1448l2608,1448,2608,2741,1936,2741,1936,1448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799"/>
        <w:gridCol w:w="677"/>
        <w:gridCol w:w="677"/>
        <w:gridCol w:w="703"/>
        <w:gridCol w:w="680"/>
        <w:gridCol w:w="674"/>
        <w:gridCol w:w="674"/>
        <w:gridCol w:w="674"/>
        <w:gridCol w:w="674"/>
        <w:gridCol w:w="674"/>
        <w:gridCol w:w="674"/>
        <w:gridCol w:w="674"/>
        <w:gridCol w:w="670"/>
        <w:gridCol w:w="645"/>
      </w:tblGrid>
      <w:tr>
        <w:trPr>
          <w:trHeight w:val="318"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7"/>
                <w:sz w:val="18"/>
                <w:szCs w:val="18"/>
              </w:rPr>
              <w:t>术（上海</w:t>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股东的</w:t>
            </w:r>
          </w:p>
        </w:tc>
        <w:tc>
          <w:tcPr>
            <w:tcW w:w="677" w:type="dxa"/>
            <w:vMerge w:val="restart"/>
            <w:tcBorders>
              <w:top w:val="single" w:sz="4" w:space="0" w:color="000000"/>
              <w:left w:val="single" w:sz="4" w:space="0" w:color="000000"/>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格</w:t>
            </w:r>
          </w:p>
        </w:tc>
        <w:tc>
          <w:tcPr>
            <w:tcW w:w="670" w:type="dxa"/>
            <w:vMerge w:val="restart"/>
            <w:tcBorders>
              <w:top w:val="single" w:sz="4" w:space="0" w:color="000000"/>
              <w:left w:val="single" w:sz="4" w:space="0" w:color="000000"/>
              <w:right w:val="single" w:sz="4" w:space="0" w:color="000000"/>
            </w:tcBorders>
          </w:tcPr>
          <w:p>
            <w:pPr/>
          </w:p>
        </w:tc>
        <w:tc>
          <w:tcPr>
            <w:tcW w:w="645"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控股公</w:t>
            </w:r>
          </w:p>
        </w:tc>
        <w:tc>
          <w:tcPr>
            <w:tcW w:w="677" w:type="dxa"/>
            <w:vMerge/>
            <w:tcBorders>
              <w:left w:val="single" w:sz="4" w:space="0" w:color="000000"/>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5" w:type="dxa"/>
            <w:vMerge/>
            <w:tcBorders>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司控制</w:t>
            </w:r>
          </w:p>
        </w:tc>
        <w:tc>
          <w:tcPr>
            <w:tcW w:w="677" w:type="dxa"/>
            <w:vMerge/>
            <w:tcBorders>
              <w:left w:val="single" w:sz="4" w:space="0" w:color="000000"/>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5" w:type="dxa"/>
            <w:vMerge/>
            <w:tcBorders>
              <w:left w:val="single" w:sz="4" w:space="0" w:color="000000"/>
              <w:right w:val="single" w:sz="4" w:space="0" w:color="000000"/>
            </w:tcBorders>
          </w:tcPr>
          <w:p>
            <w:pP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w:t>
            </w:r>
          </w:p>
        </w:tc>
        <w:tc>
          <w:tcPr>
            <w:tcW w:w="677" w:type="dxa"/>
            <w:vMerge/>
            <w:tcBorders>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45" w:type="dxa"/>
            <w:vMerge/>
            <w:tcBorders>
              <w:left w:val="single" w:sz="4" w:space="0" w:color="000000"/>
              <w:bottom w:val="single" w:sz="4" w:space="0" w:color="000000"/>
              <w:right w:val="single" w:sz="4" w:space="0" w:color="000000"/>
            </w:tcBorders>
          </w:tcPr>
          <w:p>
            <w:pP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62" w:lineRule="auto"/>
              <w:ind w:left="22" w:right="43"/>
              <w:jc w:val="left"/>
              <w:rPr>
                <w:rFonts w:ascii="Times New Roman" w:hAnsi="Times New Roman" w:cs="Times New Roman" w:eastAsia="Times New Roman" w:hint="default"/>
                <w:sz w:val="18"/>
                <w:szCs w:val="18"/>
              </w:rPr>
            </w:pPr>
            <w:r>
              <w:rPr>
                <w:rFonts w:ascii="Times New Roman"/>
                <w:sz w:val="18"/>
              </w:rPr>
              <w:t>Intel</w:t>
            </w:r>
            <w:r>
              <w:rPr>
                <w:rFonts w:ascii="Times New Roman"/>
                <w:w w:val="99"/>
                <w:sz w:val="18"/>
              </w:rPr>
              <w:t> </w:t>
            </w:r>
            <w:r>
              <w:rPr>
                <w:rFonts w:ascii="Times New Roman"/>
                <w:sz w:val="18"/>
              </w:rPr>
              <w:t>Semicond</w:t>
            </w:r>
            <w:r>
              <w:rPr>
                <w:rFonts w:ascii="Times New Roman"/>
                <w:sz w:val="18"/>
              </w:rPr>
              <w:t> uctor (US)</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Limited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84.89%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96"/>
              <w:jc w:val="left"/>
              <w:rPr>
                <w:rFonts w:ascii="Times New Roman" w:hAnsi="Times New Roman" w:cs="Times New Roman" w:eastAsia="Times New Roman" w:hint="default"/>
                <w:sz w:val="18"/>
                <w:szCs w:val="18"/>
              </w:rPr>
            </w:pPr>
            <w:r>
              <w:rPr>
                <w:rFonts w:ascii="Times New Roman"/>
                <w:sz w:val="18"/>
              </w:rPr>
              <w:t>Intel</w:t>
            </w:r>
            <w:r>
              <w:rPr>
                <w:rFonts w:ascii="Times New Roman"/>
                <w:w w:val="99"/>
                <w:sz w:val="18"/>
              </w:rPr>
              <w:t> </w:t>
            </w:r>
            <w:r>
              <w:rPr>
                <w:rFonts w:ascii="Times New Roman"/>
                <w:spacing w:val="-2"/>
                <w:sz w:val="18"/>
              </w:rPr>
              <w:t>Technolo</w:t>
            </w:r>
            <w:r>
              <w:rPr>
                <w:rFonts w:ascii="Times New Roman"/>
                <w:spacing w:val="-43"/>
                <w:sz w:val="18"/>
              </w:rPr>
              <w:t> </w:t>
            </w:r>
            <w:r>
              <w:rPr>
                <w:rFonts w:ascii="Times New Roman"/>
                <w:spacing w:val="-43"/>
                <w:sz w:val="18"/>
              </w:rPr>
            </w:r>
            <w:r>
              <w:rPr>
                <w:rFonts w:ascii="Times New Roman"/>
                <w:sz w:val="18"/>
              </w:rPr>
              <w:t>gy</w:t>
            </w:r>
            <w:r>
              <w:rPr>
                <w:rFonts w:ascii="Times New Roman"/>
                <w:spacing w:val="-1"/>
                <w:sz w:val="18"/>
              </w:rPr>
              <w:t> </w:t>
            </w:r>
            <w:r>
              <w:rPr>
                <w:rFonts w:ascii="Times New Roman"/>
                <w:sz w:val="18"/>
              </w:rPr>
              <w:t>India</w:t>
            </w:r>
            <w:r>
              <w:rPr>
                <w:rFonts w:ascii="Times New Roman"/>
                <w:w w:val="99"/>
                <w:sz w:val="18"/>
              </w:rPr>
              <w:t> </w:t>
            </w:r>
            <w:r>
              <w:rPr>
                <w:rFonts w:ascii="Times New Roman"/>
                <w:sz w:val="18"/>
              </w:rPr>
              <w:t>Private</w:t>
            </w:r>
            <w:r>
              <w:rPr>
                <w:rFonts w:ascii="Times New Roman"/>
                <w:w w:val="99"/>
                <w:sz w:val="18"/>
              </w:rPr>
              <w:t> </w:t>
            </w:r>
            <w:r>
              <w:rPr>
                <w:rFonts w:ascii="Times New Roman"/>
                <w:sz w:val="18"/>
              </w:rPr>
              <w:t>Limited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w:t>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77"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Mobile</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83"/>
              <w:jc w:val="left"/>
              <w:rPr>
                <w:rFonts w:ascii="Times New Roman" w:hAnsi="Times New Roman" w:cs="Times New Roman" w:eastAsia="Times New Roman" w:hint="default"/>
                <w:sz w:val="18"/>
                <w:szCs w:val="18"/>
              </w:rPr>
            </w:pPr>
            <w:r>
              <w:rPr>
                <w:rFonts w:ascii="Times New Roman"/>
                <w:sz w:val="18"/>
              </w:rPr>
              <w:t>communi</w:t>
            </w:r>
            <w:r>
              <w:rPr>
                <w:rFonts w:ascii="Times New Roman"/>
                <w:w w:val="99"/>
                <w:sz w:val="18"/>
              </w:rPr>
              <w:t> </w:t>
            </w:r>
            <w:r>
              <w:rPr>
                <w:rFonts w:ascii="Times New Roman"/>
                <w:sz w:val="18"/>
              </w:rPr>
              <w:t>cations</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2"/>
              <w:jc w:val="left"/>
              <w:rPr>
                <w:rFonts w:ascii="宋体" w:hAnsi="宋体" w:cs="宋体" w:eastAsia="宋体" w:hint="default"/>
                <w:sz w:val="18"/>
                <w:szCs w:val="18"/>
              </w:rPr>
            </w:pPr>
            <w:r>
              <w:rPr>
                <w:rFonts w:ascii="宋体" w:hAnsi="宋体" w:cs="宋体" w:eastAsia="宋体" w:hint="default"/>
                <w:sz w:val="18"/>
                <w:szCs w:val="18"/>
              </w:rPr>
              <w:t>股东的 控股公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26.53</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0.05%</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Korea</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司控制</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1"/>
                <w:sz w:val="18"/>
              </w:rPr>
              <w:t> </w:t>
            </w:r>
            <w:r>
              <w:rPr>
                <w:rFonts w:ascii="Times New Roman"/>
                <w:spacing w:val="-6"/>
                <w:sz w:val="18"/>
              </w:rPr>
              <w:t>LTD</w:t>
            </w: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的公司</w:t>
            </w:r>
          </w:p>
        </w:tc>
        <w:tc>
          <w:tcPr>
            <w:tcW w:w="677"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77"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r>
      <w:tr>
        <w:trPr>
          <w:trHeight w:val="940"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62" w:lineRule="auto" w:before="50"/>
              <w:ind w:left="22" w:right="75"/>
              <w:jc w:val="left"/>
              <w:rPr>
                <w:rFonts w:ascii="Times New Roman" w:hAnsi="Times New Roman" w:cs="Times New Roman" w:eastAsia="Times New Roman" w:hint="default"/>
                <w:sz w:val="18"/>
                <w:szCs w:val="18"/>
              </w:rPr>
            </w:pPr>
            <w:r>
              <w:rPr>
                <w:rFonts w:ascii="Times New Roman"/>
                <w:sz w:val="18"/>
              </w:rPr>
              <w:t>Intel</w:t>
            </w:r>
            <w:r>
              <w:rPr>
                <w:rFonts w:ascii="Times New Roman"/>
                <w:w w:val="99"/>
                <w:sz w:val="18"/>
              </w:rPr>
              <w:t> </w:t>
            </w:r>
            <w:r>
              <w:rPr>
                <w:rFonts w:ascii="Times New Roman"/>
                <w:sz w:val="18"/>
              </w:rPr>
              <w:t>Corporati</w:t>
            </w:r>
            <w:r>
              <w:rPr>
                <w:rFonts w:ascii="Times New Roman"/>
                <w:w w:val="99"/>
                <w:sz w:val="18"/>
              </w:rPr>
              <w:t> </w:t>
            </w:r>
            <w:r>
              <w:rPr>
                <w:rFonts w:ascii="Times New Roman"/>
                <w:sz w:val="18"/>
              </w:rPr>
              <w:t>on</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6.8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5"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6.8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77"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Intel</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133"/>
              <w:jc w:val="left"/>
              <w:rPr>
                <w:rFonts w:ascii="Times New Roman" w:hAnsi="Times New Roman" w:cs="Times New Roman" w:eastAsia="Times New Roman" w:hint="default"/>
                <w:sz w:val="18"/>
                <w:szCs w:val="18"/>
              </w:rPr>
            </w:pPr>
            <w:r>
              <w:rPr>
                <w:rFonts w:ascii="Times New Roman"/>
                <w:sz w:val="18"/>
              </w:rPr>
              <w:t>Products</w:t>
            </w:r>
            <w:r>
              <w:rPr>
                <w:rFonts w:ascii="Times New Roman"/>
                <w:w w:val="99"/>
                <w:sz w:val="18"/>
              </w:rPr>
              <w:t> </w:t>
            </w:r>
            <w:r>
              <w:rPr>
                <w:rFonts w:ascii="Times New Roman"/>
                <w:sz w:val="18"/>
              </w:rPr>
              <w:t>(M)</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2"/>
              <w:jc w:val="left"/>
              <w:rPr>
                <w:rFonts w:ascii="宋体" w:hAnsi="宋体" w:cs="宋体" w:eastAsia="宋体" w:hint="default"/>
                <w:sz w:val="18"/>
                <w:szCs w:val="18"/>
              </w:rPr>
            </w:pPr>
            <w:r>
              <w:rPr>
                <w:rFonts w:ascii="宋体" w:hAnsi="宋体" w:cs="宋体" w:eastAsia="宋体" w:hint="default"/>
                <w:sz w:val="18"/>
                <w:szCs w:val="18"/>
              </w:rPr>
              <w:t>股东的 控股公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Sdn.Bhd.</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司控制</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的公司</w:t>
            </w:r>
          </w:p>
        </w:tc>
        <w:tc>
          <w:tcPr>
            <w:tcW w:w="677"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w:t>
            </w:r>
          </w:p>
        </w:tc>
        <w:tc>
          <w:tcPr>
            <w:tcW w:w="677"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MOBILE</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COMMU</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44"/>
              <w:jc w:val="left"/>
              <w:rPr>
                <w:rFonts w:ascii="Times New Roman" w:hAnsi="Times New Roman" w:cs="Times New Roman" w:eastAsia="Times New Roman" w:hint="default"/>
                <w:sz w:val="18"/>
                <w:szCs w:val="18"/>
              </w:rPr>
            </w:pPr>
            <w:r>
              <w:rPr>
                <w:rFonts w:ascii="Times New Roman"/>
                <w:spacing w:val="-3"/>
                <w:sz w:val="18"/>
              </w:rPr>
              <w:t>NICATIO</w:t>
            </w:r>
            <w:r>
              <w:rPr>
                <w:rFonts w:ascii="Times New Roman"/>
                <w:w w:val="99"/>
                <w:sz w:val="18"/>
              </w:rPr>
              <w:t> </w:t>
            </w:r>
            <w:r>
              <w:rPr>
                <w:rFonts w:ascii="Times New Roman"/>
                <w:sz w:val="18"/>
              </w:rPr>
              <w:t>NS</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02"/>
              <w:jc w:val="left"/>
              <w:rPr>
                <w:rFonts w:ascii="宋体" w:hAnsi="宋体" w:cs="宋体" w:eastAsia="宋体" w:hint="default"/>
                <w:sz w:val="18"/>
                <w:szCs w:val="18"/>
              </w:rPr>
            </w:pPr>
            <w:r>
              <w:rPr>
                <w:rFonts w:ascii="宋体" w:hAnsi="宋体" w:cs="宋体" w:eastAsia="宋体" w:hint="default"/>
                <w:sz w:val="18"/>
                <w:szCs w:val="18"/>
              </w:rPr>
              <w:t>股东的 控股公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INDIA</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司控制</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pacing w:val="-7"/>
                <w:sz w:val="18"/>
              </w:rPr>
              <w:t>PRIVATE</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的公司</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5"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5"/>
                <w:sz w:val="18"/>
              </w:rPr>
              <w:t>LTD.</w:t>
            </w:r>
          </w:p>
        </w:tc>
        <w:tc>
          <w:tcPr>
            <w:tcW w:w="677"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Intel</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 w:right="0"/>
              <w:jc w:val="left"/>
              <w:rPr>
                <w:rFonts w:ascii="宋体" w:hAnsi="宋体" w:cs="宋体" w:eastAsia="宋体" w:hint="default"/>
                <w:sz w:val="18"/>
                <w:szCs w:val="18"/>
              </w:rPr>
            </w:pPr>
            <w:r>
              <w:rPr>
                <w:rFonts w:ascii="宋体" w:hAnsi="宋体" w:cs="宋体" w:eastAsia="宋体" w:hint="default"/>
                <w:sz w:val="18"/>
                <w:szCs w:val="18"/>
              </w:rPr>
              <w:t>按市场</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9"/>
        <w:gridCol w:w="677"/>
        <w:gridCol w:w="677"/>
        <w:gridCol w:w="703"/>
        <w:gridCol w:w="680"/>
        <w:gridCol w:w="674"/>
        <w:gridCol w:w="674"/>
        <w:gridCol w:w="674"/>
        <w:gridCol w:w="674"/>
        <w:gridCol w:w="674"/>
        <w:gridCol w:w="674"/>
        <w:gridCol w:w="674"/>
        <w:gridCol w:w="670"/>
        <w:gridCol w:w="645"/>
      </w:tblGrid>
      <w:tr>
        <w:trPr>
          <w:trHeight w:val="192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2" w:right="45"/>
              <w:jc w:val="left"/>
              <w:rPr>
                <w:rFonts w:ascii="Times New Roman" w:hAnsi="Times New Roman" w:cs="Times New Roman" w:eastAsia="Times New Roman" w:hint="default"/>
                <w:sz w:val="18"/>
                <w:szCs w:val="18"/>
              </w:rPr>
            </w:pPr>
            <w:r>
              <w:rPr>
                <w:rFonts w:ascii="Times New Roman"/>
                <w:sz w:val="18"/>
              </w:rPr>
              <w:t>Mobile</w:t>
            </w:r>
            <w:r>
              <w:rPr>
                <w:rFonts w:ascii="Times New Roman"/>
                <w:w w:val="99"/>
                <w:sz w:val="18"/>
              </w:rPr>
              <w:t> </w:t>
            </w:r>
            <w:r>
              <w:rPr>
                <w:rFonts w:ascii="Times New Roman"/>
                <w:sz w:val="18"/>
              </w:rPr>
              <w:t>Communi</w:t>
            </w:r>
            <w:r>
              <w:rPr>
                <w:rFonts w:ascii="Times New Roman"/>
                <w:w w:val="99"/>
                <w:sz w:val="18"/>
              </w:rPr>
              <w:t> </w:t>
            </w:r>
            <w:r>
              <w:rPr>
                <w:rFonts w:ascii="Times New Roman"/>
                <w:sz w:val="18"/>
              </w:rPr>
              <w:t>cations</w:t>
            </w:r>
            <w:r>
              <w:rPr>
                <w:rFonts w:ascii="Times New Roman"/>
                <w:w w:val="99"/>
                <w:sz w:val="18"/>
              </w:rPr>
              <w:t> </w:t>
            </w:r>
            <w:r>
              <w:rPr>
                <w:rFonts w:ascii="Times New Roman"/>
                <w:sz w:val="18"/>
              </w:rPr>
              <w:t>North</w:t>
            </w:r>
            <w:r>
              <w:rPr>
                <w:rFonts w:ascii="Times New Roman"/>
                <w:sz w:val="18"/>
              </w:rPr>
              <w:t> America</w:t>
            </w:r>
            <w:r>
              <w:rPr>
                <w:rFonts w:ascii="Times New Roman"/>
                <w:w w:val="99"/>
                <w:sz w:val="18"/>
              </w:rPr>
              <w:t> </w:t>
            </w:r>
            <w:r>
              <w:rPr>
                <w:rFonts w:ascii="Times New Roman"/>
                <w:sz w:val="18"/>
              </w:rPr>
              <w:t>Inc.</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0"/>
              <w:jc w:val="right"/>
              <w:rPr>
                <w:rFonts w:ascii="宋体" w:hAnsi="宋体" w:cs="宋体" w:eastAsia="宋体" w:hint="default"/>
                <w:sz w:val="18"/>
                <w:szCs w:val="18"/>
              </w:rPr>
            </w:pPr>
            <w:r>
              <w:rPr>
                <w:rFonts w:ascii="宋体" w:hAnsi="宋体" w:cs="宋体" w:eastAsia="宋体" w:hint="default"/>
                <w:sz w:val="18"/>
                <w:szCs w:val="18"/>
              </w:rPr>
              <w:t>价格</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格</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62" w:lineRule="auto"/>
              <w:ind w:left="22" w:right="26"/>
              <w:jc w:val="left"/>
              <w:rPr>
                <w:rFonts w:ascii="Times New Roman" w:hAnsi="Times New Roman" w:cs="Times New Roman" w:eastAsia="Times New Roman" w:hint="default"/>
                <w:sz w:val="18"/>
                <w:szCs w:val="18"/>
              </w:rPr>
            </w:pPr>
            <w:r>
              <w:rPr>
                <w:rFonts w:ascii="Times New Roman"/>
                <w:sz w:val="18"/>
              </w:rPr>
              <w:t>Intel</w:t>
            </w:r>
            <w:r>
              <w:rPr>
                <w:rFonts w:ascii="Times New Roman"/>
                <w:w w:val="99"/>
                <w:sz w:val="18"/>
              </w:rPr>
              <w:t> </w:t>
            </w:r>
            <w:r>
              <w:rPr>
                <w:rFonts w:ascii="Times New Roman"/>
                <w:sz w:val="18"/>
              </w:rPr>
              <w:t>Mobile</w:t>
            </w:r>
            <w:r>
              <w:rPr>
                <w:rFonts w:ascii="Times New Roman"/>
                <w:w w:val="99"/>
                <w:sz w:val="18"/>
              </w:rPr>
              <w:t> </w:t>
            </w:r>
            <w:r>
              <w:rPr>
                <w:rFonts w:ascii="Times New Roman"/>
                <w:sz w:val="18"/>
              </w:rPr>
              <w:t>Communi</w:t>
            </w:r>
            <w:r>
              <w:rPr>
                <w:rFonts w:ascii="Times New Roman"/>
                <w:w w:val="99"/>
                <w:sz w:val="18"/>
              </w:rPr>
              <w:t> </w:t>
            </w:r>
            <w:r>
              <w:rPr>
                <w:rFonts w:ascii="Times New Roman"/>
                <w:sz w:val="18"/>
              </w:rPr>
              <w:t>cations</w:t>
            </w:r>
            <w:r>
              <w:rPr>
                <w:rFonts w:ascii="Times New Roman"/>
                <w:w w:val="99"/>
                <w:sz w:val="18"/>
              </w:rPr>
              <w:t> </w:t>
            </w:r>
            <w:r>
              <w:rPr>
                <w:rFonts w:ascii="Times New Roman"/>
                <w:sz w:val="18"/>
              </w:rPr>
              <w:t>Israel</w:t>
            </w:r>
            <w:r>
              <w:rPr>
                <w:rFonts w:ascii="Times New Roman"/>
                <w:spacing w:val="-4"/>
                <w:sz w:val="18"/>
              </w:rPr>
              <w:t> </w:t>
            </w:r>
            <w:r>
              <w:rPr>
                <w:rFonts w:ascii="Times New Roman"/>
                <w:sz w:val="18"/>
              </w:rPr>
              <w:t>Ltd.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控股公 司控制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1" w:right="100"/>
              <w:jc w:val="left"/>
              <w:rPr>
                <w:rFonts w:ascii="宋体" w:hAnsi="宋体" w:cs="宋体" w:eastAsia="宋体" w:hint="default"/>
                <w:sz w:val="18"/>
                <w:szCs w:val="18"/>
              </w:rPr>
            </w:pPr>
            <w:r>
              <w:rPr>
                <w:rFonts w:ascii="宋体" w:hAnsi="宋体" w:cs="宋体" w:eastAsia="宋体" w:hint="default"/>
                <w:sz w:val="18"/>
                <w:szCs w:val="18"/>
              </w:rPr>
              <w:t>按市场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0.77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日召开第一届董事会第十五次会议，审议通过了《关于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年度与英特尔及其附属公司日常关联交易预计的议案</w:t>
            </w:r>
            <w:r>
              <w:rPr>
                <w:rFonts w:ascii="宋体" w:hAnsi="宋体" w:cs="宋体" w:eastAsia="宋体" w:hint="default"/>
                <w:spacing w:val="-89"/>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年度与英特尔及其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附属公司发生日常关联交易（销售商品）不超过人民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万元，实际发生金额为人民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after="0" w:line="340" w:lineRule="auto"/>
        <w:jc w:val="left"/>
        <w:sectPr>
          <w:footerReference w:type="default" r:id="rId20"/>
          <w:pgSz w:w="11910" w:h="16840"/>
          <w:pgMar w:footer="1016" w:header="787" w:top="1100" w:bottom="1200" w:left="1020" w:right="1020"/>
          <w:pgNumType w:start="5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租赁情况说明</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52"/>
        <w:gridCol w:w="1810"/>
        <w:gridCol w:w="1232"/>
        <w:gridCol w:w="1562"/>
        <w:gridCol w:w="902"/>
        <w:gridCol w:w="1232"/>
        <w:gridCol w:w="1232"/>
      </w:tblGrid>
      <w:tr>
        <w:trPr>
          <w:trHeight w:val="347"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出租人</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37" w:right="0"/>
              <w:jc w:val="left"/>
              <w:rPr>
                <w:rFonts w:ascii="宋体" w:hAnsi="宋体" w:cs="宋体" w:eastAsia="宋体" w:hint="default"/>
                <w:sz w:val="18"/>
                <w:szCs w:val="18"/>
              </w:rPr>
            </w:pPr>
            <w:r>
              <w:rPr>
                <w:rFonts w:ascii="宋体" w:hAnsi="宋体" w:cs="宋体" w:eastAsia="宋体" w:hint="default"/>
                <w:sz w:val="18"/>
                <w:szCs w:val="18"/>
              </w:rPr>
              <w:t>承租人</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13" w:right="0"/>
              <w:jc w:val="left"/>
              <w:rPr>
                <w:rFonts w:ascii="宋体" w:hAnsi="宋体" w:cs="宋体" w:eastAsia="宋体" w:hint="default"/>
                <w:sz w:val="18"/>
                <w:szCs w:val="18"/>
              </w:rPr>
            </w:pPr>
            <w:r>
              <w:rPr>
                <w:rFonts w:ascii="宋体" w:hAnsi="宋体" w:cs="宋体" w:eastAsia="宋体" w:hint="default"/>
                <w:sz w:val="18"/>
                <w:szCs w:val="18"/>
              </w:rPr>
              <w:t>房屋坐落</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用途</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租赁面积（</w:t>
            </w:r>
            <w:r>
              <w:rPr>
                <w:rFonts w:ascii="Times New Roman" w:hAnsi="Times New Roman" w:cs="Times New Roman" w:eastAsia="Times New Roman" w:hint="default"/>
                <w:spacing w:val="-2"/>
                <w:sz w:val="18"/>
                <w:szCs w:val="18"/>
              </w:rPr>
              <w:t>m2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租赁期限</w:t>
            </w:r>
          </w:p>
        </w:tc>
      </w:tr>
      <w:tr>
        <w:trPr>
          <w:trHeight w:val="333"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pacing w:val="18"/>
                <w:sz w:val="18"/>
                <w:szCs w:val="18"/>
              </w:rPr>
              <w:t>深圳市科大二期置业</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12"/>
                <w:sz w:val="18"/>
                <w:szCs w:val="18"/>
              </w:rPr>
              <w:t>深圳市南山区南海</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1,876.26</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93" w:right="0"/>
              <w:jc w:val="left"/>
              <w:rPr>
                <w:rFonts w:ascii="Times New Roman" w:hAnsi="Times New Roman" w:cs="Times New Roman" w:eastAsia="Times New Roman" w:hint="default"/>
                <w:sz w:val="18"/>
                <w:szCs w:val="18"/>
              </w:rPr>
            </w:pPr>
            <w:r>
              <w:rPr>
                <w:rFonts w:ascii="Times New Roman"/>
                <w:sz w:val="18"/>
              </w:rPr>
              <w:t>2015.3.1</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pacing w:val="8"/>
                <w:sz w:val="18"/>
                <w:szCs w:val="18"/>
              </w:rPr>
              <w:t>大道</w:t>
            </w:r>
            <w:r>
              <w:rPr>
                <w:rFonts w:ascii="宋体" w:hAnsi="宋体" w:cs="宋体" w:eastAsia="宋体" w:hint="default"/>
                <w:spacing w:val="-67"/>
                <w:sz w:val="18"/>
                <w:szCs w:val="18"/>
              </w:rPr>
              <w:t> </w:t>
            </w:r>
            <w:r>
              <w:rPr>
                <w:rFonts w:ascii="Times New Roman" w:hAnsi="Times New Roman" w:cs="Times New Roman" w:eastAsia="Times New Roman" w:hint="default"/>
                <w:spacing w:val="7"/>
                <w:sz w:val="18"/>
                <w:szCs w:val="18"/>
              </w:rPr>
              <w:t>1057</w:t>
            </w:r>
            <w:r>
              <w:rPr>
                <w:rFonts w:ascii="宋体" w:hAnsi="宋体" w:cs="宋体" w:eastAsia="宋体" w:hint="default"/>
                <w:spacing w:val="7"/>
                <w:sz w:val="18"/>
                <w:szCs w:val="18"/>
              </w:rPr>
              <w:t>号科技大</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19" w:right="0"/>
              <w:jc w:val="left"/>
              <w:rPr>
                <w:rFonts w:ascii="Times New Roman" w:hAnsi="Times New Roman" w:cs="Times New Roman" w:eastAsia="Times New Roman" w:hint="default"/>
                <w:sz w:val="18"/>
                <w:szCs w:val="18"/>
              </w:rPr>
            </w:pPr>
            <w:r>
              <w:rPr>
                <w:rFonts w:ascii="Times New Roman"/>
                <w:sz w:val="18"/>
              </w:rPr>
              <w:t>-2019.2.28</w:t>
            </w:r>
          </w:p>
        </w:tc>
      </w:tr>
      <w:tr>
        <w:trPr>
          <w:trHeight w:val="326"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厦二期</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501A</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pacing w:val="18"/>
                <w:sz w:val="18"/>
                <w:szCs w:val="18"/>
              </w:rPr>
              <w:t>深圳市科大二期置业</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广 和 通 软</w:t>
            </w:r>
            <w:r>
              <w:rPr>
                <w:rFonts w:ascii="宋体" w:hAnsi="宋体" w:cs="宋体" w:eastAsia="宋体" w:hint="default"/>
                <w:spacing w:val="-50"/>
                <w:sz w:val="18"/>
                <w:szCs w:val="18"/>
              </w:rPr>
              <w:t> </w:t>
            </w:r>
            <w:r>
              <w:rPr>
                <w:rFonts w:ascii="宋体" w:hAnsi="宋体" w:cs="宋体" w:eastAsia="宋体" w:hint="default"/>
                <w:sz w:val="18"/>
                <w:szCs w:val="18"/>
              </w:rPr>
              <w:t>件</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pacing w:val="12"/>
                <w:sz w:val="18"/>
                <w:szCs w:val="18"/>
              </w:rPr>
              <w:t>深圳市南山区南海</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302.00</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93" w:right="0"/>
              <w:jc w:val="left"/>
              <w:rPr>
                <w:rFonts w:ascii="Times New Roman" w:hAnsi="Times New Roman" w:cs="Times New Roman" w:eastAsia="Times New Roman" w:hint="default"/>
                <w:sz w:val="18"/>
                <w:szCs w:val="18"/>
              </w:rPr>
            </w:pPr>
            <w:r>
              <w:rPr>
                <w:rFonts w:ascii="Times New Roman"/>
                <w:sz w:val="18"/>
              </w:rPr>
              <w:t>2015.3.1</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8"/>
                <w:sz w:val="18"/>
                <w:szCs w:val="18"/>
              </w:rPr>
              <w:t>大道</w:t>
            </w:r>
            <w:r>
              <w:rPr>
                <w:rFonts w:ascii="宋体" w:hAnsi="宋体" w:cs="宋体" w:eastAsia="宋体" w:hint="default"/>
                <w:spacing w:val="-67"/>
                <w:sz w:val="18"/>
                <w:szCs w:val="18"/>
              </w:rPr>
              <w:t> </w:t>
            </w:r>
            <w:r>
              <w:rPr>
                <w:rFonts w:ascii="Times New Roman" w:hAnsi="Times New Roman" w:cs="Times New Roman" w:eastAsia="Times New Roman" w:hint="default"/>
                <w:spacing w:val="7"/>
                <w:sz w:val="18"/>
                <w:szCs w:val="18"/>
              </w:rPr>
              <w:t>1057</w:t>
            </w:r>
            <w:r>
              <w:rPr>
                <w:rFonts w:ascii="宋体" w:hAnsi="宋体" w:cs="宋体" w:eastAsia="宋体" w:hint="default"/>
                <w:spacing w:val="7"/>
                <w:sz w:val="18"/>
                <w:szCs w:val="18"/>
              </w:rPr>
              <w:t>号科技大</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19" w:right="0"/>
              <w:jc w:val="left"/>
              <w:rPr>
                <w:rFonts w:ascii="Times New Roman" w:hAnsi="Times New Roman" w:cs="Times New Roman" w:eastAsia="Times New Roman" w:hint="default"/>
                <w:sz w:val="18"/>
                <w:szCs w:val="18"/>
              </w:rPr>
            </w:pPr>
            <w:r>
              <w:rPr>
                <w:rFonts w:ascii="Times New Roman"/>
                <w:sz w:val="18"/>
              </w:rPr>
              <w:t>-2019.2.28</w:t>
            </w:r>
          </w:p>
        </w:tc>
      </w:tr>
      <w:tr>
        <w:trPr>
          <w:trHeight w:val="326"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厦二期</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501B</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pacing w:val="18"/>
                <w:sz w:val="18"/>
                <w:szCs w:val="18"/>
              </w:rPr>
              <w:t>杭州华星科技大厦有</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12"/>
                <w:sz w:val="18"/>
                <w:szCs w:val="18"/>
              </w:rPr>
              <w:t>浙江省杭州市文三</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86</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173" w:right="0"/>
              <w:jc w:val="left"/>
              <w:rPr>
                <w:rFonts w:ascii="Times New Roman" w:hAnsi="Times New Roman" w:cs="Times New Roman" w:eastAsia="Times New Roman" w:hint="default"/>
                <w:sz w:val="18"/>
                <w:szCs w:val="18"/>
              </w:rPr>
            </w:pPr>
            <w:r>
              <w:rPr>
                <w:rFonts w:ascii="Times New Roman"/>
                <w:sz w:val="18"/>
              </w:rPr>
              <w:t>2016.10.18-</w:t>
            </w:r>
          </w:p>
        </w:tc>
      </w:tr>
      <w:tr>
        <w:trPr>
          <w:trHeight w:val="325"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路</w:t>
            </w:r>
            <w:r>
              <w:rPr>
                <w:rFonts w:ascii="Times New Roman" w:hAnsi="Times New Roman" w:cs="Times New Roman" w:eastAsia="Times New Roman" w:hint="default"/>
                <w:sz w:val="18"/>
                <w:szCs w:val="18"/>
              </w:rPr>
              <w:t>477</w:t>
            </w:r>
            <w:r>
              <w:rPr>
                <w:rFonts w:ascii="宋体" w:hAnsi="宋体" w:cs="宋体" w:eastAsia="宋体" w:hint="default"/>
                <w:sz w:val="18"/>
                <w:szCs w:val="18"/>
              </w:rPr>
              <w:t>号</w:t>
            </w:r>
            <w:r>
              <w:rPr>
                <w:rFonts w:ascii="Times New Roman" w:hAnsi="Times New Roman" w:cs="Times New Roman" w:eastAsia="Times New Roman" w:hint="default"/>
                <w:sz w:val="18"/>
                <w:szCs w:val="18"/>
              </w:rPr>
              <w:t>417</w:t>
            </w:r>
            <w:r>
              <w:rPr>
                <w:rFonts w:ascii="宋体" w:hAnsi="宋体" w:cs="宋体" w:eastAsia="宋体" w:hint="default"/>
                <w:sz w:val="18"/>
                <w:szCs w:val="18"/>
              </w:rPr>
              <w:t>室</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left="204" w:right="0"/>
              <w:jc w:val="left"/>
              <w:rPr>
                <w:rFonts w:ascii="Times New Roman" w:hAnsi="Times New Roman" w:cs="Times New Roman" w:eastAsia="Times New Roman" w:hint="default"/>
                <w:sz w:val="18"/>
                <w:szCs w:val="18"/>
              </w:rPr>
            </w:pPr>
            <w:r>
              <w:rPr>
                <w:rFonts w:ascii="Times New Roman"/>
                <w:sz w:val="18"/>
              </w:rPr>
              <w:t>2017.10.17</w:t>
            </w:r>
          </w:p>
        </w:tc>
      </w:tr>
      <w:tr>
        <w:trPr>
          <w:trHeight w:val="334"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4</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pacing w:val="18"/>
                <w:sz w:val="18"/>
                <w:szCs w:val="18"/>
              </w:rPr>
              <w:t>杭州东方通信城有限</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杭州市东信大道</w:t>
            </w:r>
            <w:r>
              <w:rPr>
                <w:rFonts w:ascii="Times New Roman" w:hAnsi="Times New Roman" w:cs="Times New Roman" w:eastAsia="Times New Roman" w:hint="default"/>
                <w:spacing w:val="11"/>
                <w:sz w:val="18"/>
                <w:szCs w:val="18"/>
              </w:rPr>
              <w:t>66</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868.57</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sz w:val="18"/>
              </w:rPr>
              <w:t>2016.5.16-2019.</w:t>
            </w:r>
          </w:p>
        </w:tc>
      </w:tr>
      <w:tr>
        <w:trPr>
          <w:trHeight w:val="325"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E</w:t>
            </w:r>
            <w:r>
              <w:rPr>
                <w:rFonts w:ascii="宋体" w:hAnsi="宋体" w:cs="宋体" w:eastAsia="宋体" w:hint="default"/>
                <w:sz w:val="18"/>
                <w:szCs w:val="18"/>
              </w:rPr>
              <w:t>座</w:t>
            </w:r>
            <w:r>
              <w:rPr>
                <w:rFonts w:ascii="Times New Roman" w:hAnsi="Times New Roman" w:cs="Times New Roman" w:eastAsia="Times New Roman" w:hint="default"/>
                <w:sz w:val="18"/>
                <w:szCs w:val="18"/>
              </w:rPr>
              <w:t>327</w:t>
            </w:r>
            <w:r>
              <w:rPr>
                <w:rFonts w:ascii="宋体" w:hAnsi="宋体" w:cs="宋体" w:eastAsia="宋体" w:hint="default"/>
                <w:sz w:val="18"/>
                <w:szCs w:val="18"/>
              </w:rPr>
              <w:t>室</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5.15</w:t>
            </w:r>
          </w:p>
        </w:tc>
      </w:tr>
      <w:tr>
        <w:trPr>
          <w:trHeight w:val="334"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金东国</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12"/>
                <w:sz w:val="18"/>
                <w:szCs w:val="18"/>
              </w:rPr>
              <w:t>北京市朝阳区望京</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48</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173" w:right="0"/>
              <w:jc w:val="left"/>
              <w:rPr>
                <w:rFonts w:ascii="Times New Roman" w:hAnsi="Times New Roman" w:cs="Times New Roman" w:eastAsia="Times New Roman" w:hint="default"/>
                <w:sz w:val="18"/>
                <w:szCs w:val="18"/>
              </w:rPr>
            </w:pPr>
            <w:r>
              <w:rPr>
                <w:rFonts w:ascii="Times New Roman"/>
                <w:sz w:val="18"/>
              </w:rPr>
              <w:t>2017.03.16-</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园</w:t>
            </w:r>
            <w:r>
              <w:rPr>
                <w:rFonts w:ascii="Times New Roman" w:hAnsi="Times New Roman" w:cs="Times New Roman" w:eastAsia="Times New Roman" w:hint="default"/>
                <w:sz w:val="18"/>
                <w:szCs w:val="18"/>
              </w:rPr>
              <w:t>402</w:t>
            </w:r>
            <w:r>
              <w:rPr>
                <w:rFonts w:ascii="宋体" w:hAnsi="宋体" w:cs="宋体" w:eastAsia="宋体" w:hint="default"/>
                <w:sz w:val="18"/>
                <w:szCs w:val="18"/>
              </w:rPr>
              <w:t>号楼</w:t>
            </w:r>
            <w:r>
              <w:rPr>
                <w:rFonts w:ascii="Times New Roman" w:hAnsi="Times New Roman" w:cs="Times New Roman" w:eastAsia="Times New Roman" w:hint="default"/>
                <w:sz w:val="18"/>
                <w:szCs w:val="18"/>
              </w:rPr>
              <w:t>26</w:t>
            </w:r>
            <w:r>
              <w:rPr>
                <w:rFonts w:ascii="宋体" w:hAnsi="宋体" w:cs="宋体" w:eastAsia="宋体" w:hint="default"/>
                <w:sz w:val="18"/>
                <w:szCs w:val="18"/>
              </w:rPr>
              <w:t>层</w:t>
            </w:r>
            <w:r>
              <w:rPr>
                <w:rFonts w:ascii="Times New Roman" w:hAnsi="Times New Roman" w:cs="Times New Roman" w:eastAsia="Times New Roman" w:hint="default"/>
                <w:sz w:val="18"/>
                <w:szCs w:val="18"/>
              </w:rPr>
              <w:t>3018</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04" w:right="0"/>
              <w:jc w:val="left"/>
              <w:rPr>
                <w:rFonts w:ascii="Times New Roman" w:hAnsi="Times New Roman" w:cs="Times New Roman" w:eastAsia="Times New Roman" w:hint="default"/>
                <w:sz w:val="18"/>
                <w:szCs w:val="18"/>
              </w:rPr>
            </w:pPr>
            <w:r>
              <w:rPr>
                <w:rFonts w:ascii="Times New Roman"/>
                <w:sz w:val="18"/>
              </w:rPr>
              <w:t>2018.03.15</w:t>
            </w:r>
          </w:p>
        </w:tc>
      </w:tr>
      <w:tr>
        <w:trPr>
          <w:trHeight w:val="325"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7"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达为通讯有限公司</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香 港 广 和</w:t>
            </w:r>
            <w:r>
              <w:rPr>
                <w:rFonts w:ascii="宋体" w:hAnsi="宋体" w:cs="宋体" w:eastAsia="宋体" w:hint="default"/>
                <w:spacing w:val="-50"/>
                <w:sz w:val="18"/>
                <w:szCs w:val="18"/>
              </w:rPr>
              <w:t> </w:t>
            </w:r>
            <w:r>
              <w:rPr>
                <w:rFonts w:ascii="宋体" w:hAnsi="宋体" w:cs="宋体" w:eastAsia="宋体" w:hint="default"/>
                <w:sz w:val="18"/>
                <w:szCs w:val="18"/>
              </w:rPr>
              <w:t>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tabs>
                <w:tab w:pos="809" w:val="left" w:leader="none"/>
              </w:tabs>
              <w:spacing w:line="240" w:lineRule="auto" w:before="60"/>
              <w:ind w:left="3" w:right="-2"/>
              <w:jc w:val="left"/>
              <w:rPr>
                <w:rFonts w:ascii="Times New Roman" w:hAnsi="Times New Roman" w:cs="Times New Roman" w:eastAsia="Times New Roman" w:hint="default"/>
                <w:sz w:val="18"/>
                <w:szCs w:val="18"/>
              </w:rPr>
            </w:pPr>
            <w:r>
              <w:rPr>
                <w:rFonts w:ascii="Times New Roman"/>
                <w:spacing w:val="-1"/>
                <w:sz w:val="18"/>
              </w:rPr>
              <w:t>FLAT</w:t>
              <w:tab/>
              <w:t>B,6/F,MG</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宋体" w:hAnsi="宋体" w:cs="宋体" w:eastAsia="宋体" w:hint="default"/>
                <w:sz w:val="18"/>
                <w:szCs w:val="18"/>
              </w:rPr>
              <w:t>平方尺</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64" w:right="0"/>
              <w:jc w:val="left"/>
              <w:rPr>
                <w:rFonts w:ascii="Times New Roman" w:hAnsi="Times New Roman" w:cs="Times New Roman" w:eastAsia="Times New Roman" w:hint="default"/>
                <w:sz w:val="18"/>
                <w:szCs w:val="18"/>
              </w:rPr>
            </w:pPr>
            <w:r>
              <w:rPr>
                <w:rFonts w:ascii="Times New Roman"/>
                <w:sz w:val="18"/>
              </w:rPr>
              <w:t>2017.7.1-</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tabs>
                <w:tab w:pos="1229" w:val="left" w:leader="none"/>
              </w:tabs>
              <w:spacing w:line="240" w:lineRule="auto" w:before="42"/>
              <w:ind w:left="3" w:right="-2"/>
              <w:jc w:val="left"/>
              <w:rPr>
                <w:rFonts w:ascii="Times New Roman" w:hAnsi="Times New Roman" w:cs="Times New Roman" w:eastAsia="Times New Roman" w:hint="default"/>
                <w:sz w:val="18"/>
                <w:szCs w:val="18"/>
              </w:rPr>
            </w:pPr>
            <w:r>
              <w:rPr>
                <w:rFonts w:ascii="Times New Roman"/>
                <w:spacing w:val="-1"/>
                <w:sz w:val="18"/>
              </w:rPr>
              <w:t>TOWER,133</w:t>
              <w:tab/>
              <w:t>HOI</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247" w:right="0"/>
              <w:jc w:val="left"/>
              <w:rPr>
                <w:rFonts w:ascii="Times New Roman" w:hAnsi="Times New Roman" w:cs="Times New Roman" w:eastAsia="Times New Roman" w:hint="default"/>
                <w:sz w:val="18"/>
                <w:szCs w:val="18"/>
              </w:rPr>
            </w:pPr>
            <w:r>
              <w:rPr>
                <w:rFonts w:ascii="Times New Roman"/>
                <w:sz w:val="18"/>
              </w:rPr>
              <w:t>2018.6.30</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3" w:right="-4"/>
              <w:jc w:val="left"/>
              <w:rPr>
                <w:rFonts w:ascii="Times New Roman" w:hAnsi="Times New Roman" w:cs="Times New Roman" w:eastAsia="Times New Roman" w:hint="default"/>
                <w:sz w:val="18"/>
                <w:szCs w:val="18"/>
              </w:rPr>
            </w:pPr>
            <w:r>
              <w:rPr>
                <w:rFonts w:ascii="Times New Roman"/>
                <w:sz w:val="18"/>
              </w:rPr>
              <w:t>BUN</w:t>
            </w:r>
            <w:r>
              <w:rPr>
                <w:rFonts w:ascii="Times New Roman"/>
                <w:spacing w:val="2"/>
                <w:sz w:val="18"/>
              </w:rPr>
              <w:t> </w:t>
            </w:r>
            <w:r>
              <w:rPr>
                <w:rFonts w:ascii="Times New Roman"/>
                <w:sz w:val="18"/>
              </w:rPr>
              <w:t>ROAD,KWON</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r>
      <w:tr>
        <w:trPr>
          <w:trHeight w:val="322"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2"/>
              <w:ind w:left="3" w:right="0"/>
              <w:jc w:val="left"/>
              <w:rPr>
                <w:rFonts w:ascii="Times New Roman" w:hAnsi="Times New Roman" w:cs="Times New Roman" w:eastAsia="Times New Roman" w:hint="default"/>
                <w:sz w:val="18"/>
                <w:szCs w:val="18"/>
              </w:rPr>
            </w:pPr>
            <w:r>
              <w:rPr>
                <w:rFonts w:ascii="Times New Roman"/>
                <w:sz w:val="18"/>
              </w:rPr>
              <w:t>TOG,KOWLOON</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7</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川石堂贸易有限公司</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pacing w:val="12"/>
                <w:sz w:val="18"/>
                <w:szCs w:val="18"/>
              </w:rPr>
              <w:t>新北市汐止区新台</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39.92</w:t>
            </w:r>
            <w:r>
              <w:rPr>
                <w:rFonts w:ascii="宋体" w:hAnsi="宋体" w:cs="宋体" w:eastAsia="宋体" w:hint="default"/>
                <w:sz w:val="18"/>
                <w:szCs w:val="18"/>
              </w:rPr>
              <w:t>坪</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19" w:right="0"/>
              <w:jc w:val="left"/>
              <w:rPr>
                <w:rFonts w:ascii="Times New Roman" w:hAnsi="Times New Roman" w:cs="Times New Roman" w:eastAsia="Times New Roman" w:hint="default"/>
                <w:sz w:val="18"/>
                <w:szCs w:val="18"/>
              </w:rPr>
            </w:pPr>
            <w:r>
              <w:rPr>
                <w:rFonts w:ascii="Times New Roman"/>
                <w:sz w:val="18"/>
              </w:rPr>
              <w:t>2017.10.1-</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五路一段</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楼之</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04" w:right="0"/>
              <w:jc w:val="left"/>
              <w:rPr>
                <w:rFonts w:ascii="Times New Roman" w:hAnsi="Times New Roman" w:cs="Times New Roman" w:eastAsia="Times New Roman" w:hint="default"/>
                <w:sz w:val="18"/>
                <w:szCs w:val="18"/>
              </w:rPr>
            </w:pPr>
            <w:r>
              <w:rPr>
                <w:rFonts w:ascii="Times New Roman"/>
                <w:sz w:val="18"/>
              </w:rPr>
              <w:t>2017.12.31</w:t>
            </w:r>
          </w:p>
        </w:tc>
      </w:tr>
      <w:tr>
        <w:trPr>
          <w:trHeight w:val="326"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宋体" w:hAnsi="宋体" w:cs="宋体" w:eastAsia="宋体" w:hint="default"/>
                <w:sz w:val="18"/>
                <w:szCs w:val="18"/>
              </w:rPr>
              <w:t>室）</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w:t>
            </w:r>
          </w:p>
        </w:tc>
        <w:tc>
          <w:tcPr>
            <w:tcW w:w="18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pacing w:val="18"/>
                <w:sz w:val="18"/>
                <w:szCs w:val="18"/>
              </w:rPr>
              <w:t>深圳市科大二期置业</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12"/>
                <w:sz w:val="18"/>
                <w:szCs w:val="18"/>
              </w:rPr>
              <w:t>深圳市南山区南海</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667.71</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64" w:right="0"/>
              <w:jc w:val="left"/>
              <w:rPr>
                <w:rFonts w:ascii="Times New Roman" w:hAnsi="Times New Roman" w:cs="Times New Roman" w:eastAsia="Times New Roman" w:hint="default"/>
                <w:sz w:val="18"/>
                <w:szCs w:val="18"/>
              </w:rPr>
            </w:pPr>
            <w:r>
              <w:rPr>
                <w:rFonts w:ascii="Times New Roman"/>
                <w:sz w:val="18"/>
              </w:rPr>
              <w:t>2017.3.1-</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3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pacing w:val="8"/>
                <w:sz w:val="18"/>
                <w:szCs w:val="18"/>
              </w:rPr>
              <w:t>大道</w:t>
            </w:r>
            <w:r>
              <w:rPr>
                <w:rFonts w:ascii="宋体" w:hAnsi="宋体" w:cs="宋体" w:eastAsia="宋体" w:hint="default"/>
                <w:spacing w:val="-67"/>
                <w:sz w:val="18"/>
                <w:szCs w:val="18"/>
              </w:rPr>
              <w:t> </w:t>
            </w:r>
            <w:r>
              <w:rPr>
                <w:rFonts w:ascii="Times New Roman" w:hAnsi="Times New Roman" w:cs="Times New Roman" w:eastAsia="Times New Roman" w:hint="default"/>
                <w:spacing w:val="7"/>
                <w:sz w:val="18"/>
                <w:szCs w:val="18"/>
              </w:rPr>
              <w:t>1057</w:t>
            </w:r>
            <w:r>
              <w:rPr>
                <w:rFonts w:ascii="宋体" w:hAnsi="宋体" w:cs="宋体" w:eastAsia="宋体" w:hint="default"/>
                <w:spacing w:val="7"/>
                <w:sz w:val="18"/>
                <w:szCs w:val="18"/>
              </w:rPr>
              <w:t>号科技大</w:t>
            </w:r>
          </w:p>
        </w:tc>
        <w:tc>
          <w:tcPr>
            <w:tcW w:w="90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47" w:right="0"/>
              <w:jc w:val="left"/>
              <w:rPr>
                <w:rFonts w:ascii="Times New Roman" w:hAnsi="Times New Roman" w:cs="Times New Roman" w:eastAsia="Times New Roman" w:hint="default"/>
                <w:sz w:val="18"/>
                <w:szCs w:val="18"/>
              </w:rPr>
            </w:pPr>
            <w:r>
              <w:rPr>
                <w:rFonts w:ascii="Times New Roman"/>
                <w:sz w:val="18"/>
              </w:rPr>
              <w:t>2019.2.28</w:t>
            </w:r>
          </w:p>
        </w:tc>
      </w:tr>
      <w:tr>
        <w:trPr>
          <w:trHeight w:val="326"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0"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厦二期</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503</w:t>
            </w:r>
            <w:r>
              <w:rPr>
                <w:rFonts w:ascii="宋体" w:hAnsi="宋体" w:cs="宋体" w:eastAsia="宋体" w:hint="default"/>
                <w:sz w:val="18"/>
                <w:szCs w:val="18"/>
              </w:rPr>
              <w:t>房</w:t>
            </w:r>
          </w:p>
        </w:tc>
        <w:tc>
          <w:tcPr>
            <w:tcW w:w="90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45"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9</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pacing w:val="18"/>
                <w:sz w:val="18"/>
                <w:szCs w:val="18"/>
              </w:rPr>
              <w:t>福州市思睿达企业管</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pacing w:val="12"/>
                <w:sz w:val="18"/>
                <w:szCs w:val="18"/>
              </w:rPr>
              <w:t>福州市仓山区同拓</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4" w:right="0"/>
              <w:jc w:val="left"/>
              <w:rPr>
                <w:rFonts w:ascii="Times New Roman" w:hAnsi="Times New Roman" w:cs="Times New Roman" w:eastAsia="Times New Roman" w:hint="default"/>
                <w:sz w:val="18"/>
                <w:szCs w:val="18"/>
              </w:rPr>
            </w:pPr>
            <w:r>
              <w:rPr>
                <w:rFonts w:ascii="Times New Roman"/>
                <w:sz w:val="18"/>
              </w:rPr>
              <w:t>2017.6.1-</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652"/>
        <w:gridCol w:w="1810"/>
        <w:gridCol w:w="1232"/>
        <w:gridCol w:w="1562"/>
        <w:gridCol w:w="902"/>
        <w:gridCol w:w="1232"/>
        <w:gridCol w:w="1232"/>
      </w:tblGrid>
      <w:tr>
        <w:trPr>
          <w:trHeight w:val="659" w:hRule="exact"/>
        </w:trPr>
        <w:tc>
          <w:tcPr>
            <w:tcW w:w="65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理咨询有限公司</w:t>
            </w:r>
          </w:p>
        </w:tc>
        <w:tc>
          <w:tcPr>
            <w:tcW w:w="12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14"/>
                <w:sz w:val="18"/>
                <w:szCs w:val="18"/>
              </w:rPr>
              <w:t>伟业大</w:t>
            </w:r>
            <w:r>
              <w:rPr>
                <w:rFonts w:ascii="宋体" w:hAnsi="宋体" w:cs="宋体" w:eastAsia="宋体" w:hint="default"/>
                <w:spacing w:val="-66"/>
                <w:sz w:val="18"/>
                <w:szCs w:val="18"/>
              </w:rPr>
              <w:t> </w:t>
            </w:r>
            <w:r>
              <w:rPr>
                <w:rFonts w:ascii="宋体" w:hAnsi="宋体" w:cs="宋体" w:eastAsia="宋体" w:hint="default"/>
                <w:sz w:val="18"/>
                <w:szCs w:val="18"/>
              </w:rPr>
              <w:t>厦</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层</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703-1 </w:t>
            </w:r>
            <w:r>
              <w:rPr>
                <w:rFonts w:ascii="宋体" w:hAnsi="宋体" w:cs="宋体" w:eastAsia="宋体" w:hint="default"/>
                <w:sz w:val="18"/>
                <w:szCs w:val="18"/>
              </w:rPr>
              <w:t>号房</w:t>
            </w:r>
          </w:p>
        </w:tc>
        <w:tc>
          <w:tcPr>
            <w:tcW w:w="90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7" w:right="0"/>
              <w:jc w:val="left"/>
              <w:rPr>
                <w:rFonts w:ascii="Times New Roman" w:hAnsi="Times New Roman" w:cs="Times New Roman" w:eastAsia="Times New Roman" w:hint="default"/>
                <w:sz w:val="18"/>
                <w:szCs w:val="18"/>
              </w:rPr>
            </w:pPr>
            <w:r>
              <w:rPr>
                <w:rFonts w:ascii="Times New Roman"/>
                <w:sz w:val="18"/>
              </w:rPr>
              <w:t>2018.5.31</w:t>
            </w:r>
          </w:p>
        </w:tc>
      </w:tr>
      <w:tr>
        <w:trPr>
          <w:trHeight w:val="659"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1" w:right="1"/>
              <w:jc w:val="left"/>
              <w:rPr>
                <w:rFonts w:ascii="宋体" w:hAnsi="宋体" w:cs="宋体" w:eastAsia="宋体" w:hint="default"/>
                <w:sz w:val="18"/>
                <w:szCs w:val="18"/>
              </w:rPr>
            </w:pPr>
            <w:r>
              <w:rPr>
                <w:rFonts w:ascii="宋体" w:hAnsi="宋体" w:cs="宋体" w:eastAsia="宋体" w:hint="default"/>
                <w:spacing w:val="18"/>
                <w:sz w:val="18"/>
                <w:szCs w:val="18"/>
              </w:rPr>
              <w:t>上海兴迪实业有限公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0"/>
              <w:jc w:val="left"/>
              <w:rPr>
                <w:rFonts w:ascii="宋体" w:hAnsi="宋体" w:cs="宋体" w:eastAsia="宋体" w:hint="default"/>
                <w:sz w:val="18"/>
                <w:szCs w:val="18"/>
              </w:rPr>
            </w:pPr>
            <w:r>
              <w:rPr>
                <w:rFonts w:ascii="宋体" w:hAnsi="宋体" w:cs="宋体" w:eastAsia="宋体" w:hint="default"/>
                <w:spacing w:val="13"/>
                <w:sz w:val="18"/>
                <w:szCs w:val="18"/>
              </w:rPr>
              <w:t>上海市宜山路</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1698 </w:t>
            </w:r>
            <w:r>
              <w:rPr>
                <w:rFonts w:ascii="宋体" w:hAnsi="宋体" w:cs="宋体" w:eastAsia="宋体" w:hint="default"/>
                <w:sz w:val="18"/>
                <w:szCs w:val="18"/>
              </w:rPr>
              <w:t>号</w:t>
            </w:r>
            <w:r>
              <w:rPr>
                <w:rFonts w:ascii="Times New Roman" w:hAnsi="Times New Roman" w:cs="Times New Roman" w:eastAsia="Times New Roman" w:hint="default"/>
                <w:sz w:val="18"/>
                <w:szCs w:val="18"/>
              </w:rPr>
              <w:t>307</w:t>
            </w:r>
            <w:r>
              <w:rPr>
                <w:rFonts w:ascii="宋体" w:hAnsi="宋体" w:cs="宋体" w:eastAsia="宋体" w:hint="default"/>
                <w:sz w:val="18"/>
                <w:szCs w:val="18"/>
              </w:rPr>
              <w:t>室</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115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left"/>
              <w:rPr>
                <w:rFonts w:ascii="Times New Roman" w:hAnsi="Times New Roman" w:cs="Times New Roman" w:eastAsia="Times New Roman" w:hint="default"/>
                <w:sz w:val="18"/>
                <w:szCs w:val="18"/>
              </w:rPr>
            </w:pPr>
            <w:r>
              <w:rPr>
                <w:rFonts w:ascii="Times New Roman"/>
                <w:sz w:val="18"/>
              </w:rPr>
              <w:t>2017.6.26-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2019.6.25</w:t>
            </w:r>
          </w:p>
        </w:tc>
      </w:tr>
      <w:tr>
        <w:trPr>
          <w:trHeight w:val="971"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11</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西安软件园发展中心</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3" w:right="1"/>
              <w:jc w:val="both"/>
              <w:rPr>
                <w:rFonts w:ascii="Times New Roman" w:hAnsi="Times New Roman" w:cs="Times New Roman" w:eastAsia="Times New Roman" w:hint="default"/>
                <w:sz w:val="18"/>
                <w:szCs w:val="18"/>
              </w:rPr>
            </w:pPr>
            <w:r>
              <w:rPr>
                <w:rFonts w:ascii="宋体" w:hAnsi="宋体" w:cs="宋体" w:eastAsia="宋体" w:hint="default"/>
                <w:spacing w:val="12"/>
                <w:sz w:val="18"/>
                <w:szCs w:val="18"/>
              </w:rPr>
              <w:t>西安高新区软件新</w:t>
            </w:r>
            <w:r>
              <w:rPr>
                <w:rFonts w:ascii="宋体" w:hAnsi="宋体" w:cs="宋体" w:eastAsia="宋体" w:hint="default"/>
                <w:sz w:val="18"/>
                <w:szCs w:val="18"/>
              </w:rPr>
              <w:t> 城天谷八路</w:t>
            </w:r>
            <w:r>
              <w:rPr>
                <w:rFonts w:ascii="Times New Roman" w:hAnsi="Times New Roman" w:cs="Times New Roman" w:eastAsia="Times New Roman" w:hint="default"/>
                <w:sz w:val="18"/>
                <w:szCs w:val="18"/>
              </w:rPr>
              <w:t>156</w:t>
            </w:r>
            <w:r>
              <w:rPr>
                <w:rFonts w:ascii="宋体" w:hAnsi="宋体" w:cs="宋体" w:eastAsia="宋体" w:hint="default"/>
                <w:sz w:val="18"/>
                <w:szCs w:val="18"/>
              </w:rPr>
              <w:t>云汇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谷</w:t>
            </w:r>
            <w:r>
              <w:rPr>
                <w:rFonts w:ascii="Times New Roman" w:hAnsi="Times New Roman" w:cs="Times New Roman" w:eastAsia="Times New Roman" w:hint="default"/>
                <w:sz w:val="18"/>
                <w:szCs w:val="18"/>
              </w:rPr>
              <w:t>C3</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1601</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办公</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1931.56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2017.12.18-202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0.12.17</w:t>
            </w:r>
          </w:p>
        </w:tc>
      </w:tr>
    </w:tbl>
    <w:p>
      <w:pPr>
        <w:spacing w:line="240" w:lineRule="auto" w:before="4"/>
        <w:rPr>
          <w:rFonts w:ascii="宋体" w:hAnsi="宋体" w:cs="宋体" w:eastAsia="宋体" w:hint="default"/>
          <w:sz w:val="24"/>
          <w:szCs w:val="24"/>
        </w:rPr>
      </w:pPr>
    </w:p>
    <w:p>
      <w:pPr>
        <w:pStyle w:val="BodyText"/>
        <w:spacing w:line="240" w:lineRule="auto" w:before="44"/>
        <w:ind w:right="0"/>
        <w:jc w:val="left"/>
      </w:pPr>
      <w:r>
        <w:rPr/>
        <w:t>为公司带来的损益达到公司报告期利润总额</w:t>
      </w:r>
      <w:r>
        <w:rPr>
          <w:spacing w:val="-48"/>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3"/>
        <w:gridCol w:w="921"/>
        <w:gridCol w:w="1302"/>
        <w:gridCol w:w="1057"/>
        <w:gridCol w:w="1041"/>
        <w:gridCol w:w="1047"/>
        <w:gridCol w:w="790"/>
        <w:gridCol w:w="782"/>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923"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9"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26"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6"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2"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32"/>
        <w:gridCol w:w="2223"/>
        <w:gridCol w:w="2098"/>
        <w:gridCol w:w="2620"/>
      </w:tblGrid>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6" w:top="1100" w:bottom="1200" w:left="1020" w:right="102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1020"/>
          <w:cols w:num="2" w:equalWidth="0">
            <w:col w:w="1913" w:space="6825"/>
            <w:col w:w="113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暂时闲置募集资金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自有闲置资金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pStyle w:val="BodyText"/>
        <w:spacing w:line="240" w:lineRule="auto" w:before="50"/>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1020"/>
          <w:cols w:num="2" w:equalWidth="0">
            <w:col w:w="6233" w:space="2505"/>
            <w:col w:w="113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1960"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9"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99"/>
              <w:jc w:val="both"/>
              <w:rPr>
                <w:rFonts w:ascii="宋体" w:hAnsi="宋体" w:cs="宋体" w:eastAsia="宋体" w:hint="default"/>
                <w:sz w:val="18"/>
                <w:szCs w:val="18"/>
              </w:rPr>
            </w:pPr>
            <w:r>
              <w:rPr>
                <w:rFonts w:ascii="宋体" w:hAnsi="宋体" w:cs="宋体" w:eastAsia="宋体" w:hint="default"/>
                <w:sz w:val="18"/>
                <w:szCs w:val="18"/>
              </w:rPr>
              <w:t>（或 受托 人姓</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3" w:right="20" w:hanging="3"/>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8" w:right="27"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5"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5" w:right="93"/>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5" w:right="93"/>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3"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5" w:right="95" w:hanging="92"/>
              <w:jc w:val="left"/>
              <w:rPr>
                <w:rFonts w:ascii="宋体" w:hAnsi="宋体" w:cs="宋体" w:eastAsia="宋体" w:hint="default"/>
                <w:sz w:val="18"/>
                <w:szCs w:val="18"/>
              </w:rPr>
            </w:pPr>
            <w:r>
              <w:rPr>
                <w:rFonts w:ascii="宋体" w:hAnsi="宋体" w:cs="宋体" w:eastAsia="宋体" w:hint="default"/>
                <w:sz w:val="18"/>
                <w:szCs w:val="18"/>
              </w:rPr>
              <w:t>（如 有</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8"/>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8"/>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9"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8"/>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2" w:right="21" w:firstLine="62"/>
              <w:jc w:val="both"/>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p>
        </w:tc>
      </w:tr>
    </w:tbl>
    <w:p>
      <w:pPr>
        <w:spacing w:after="0" w:line="316" w:lineRule="auto"/>
        <w:jc w:val="both"/>
        <w:rPr>
          <w:rFonts w:ascii="宋体" w:hAnsi="宋体" w:cs="宋体" w:eastAsia="宋体" w:hint="default"/>
          <w:sz w:val="18"/>
          <w:szCs w:val="18"/>
        </w:rPr>
        <w:sectPr>
          <w:type w:val="continuous"/>
          <w:pgSz w:w="11910" w:h="16840"/>
          <w:pgMar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62"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4"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聚宝</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财富</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江苏 银行 股份 有限 公司 深圳 科技 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2"/>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98D</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）第</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1720</w:t>
            </w:r>
          </w:p>
          <w:p>
            <w:pPr>
              <w:pStyle w:val="TableParagraph"/>
              <w:spacing w:line="312" w:lineRule="auto" w:before="63"/>
              <w:ind w:left="22" w:right="87"/>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w:t>
            </w:r>
            <w:r>
              <w:rPr>
                <w:rFonts w:ascii="宋体" w:hAnsi="宋体" w:cs="宋体" w:eastAsia="宋体" w:hint="default"/>
                <w:sz w:val="18"/>
                <w:szCs w:val="18"/>
              </w:rPr>
              <w:t>保 本浮 动收 益型</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42.96</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42.96</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币理</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财产</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利多</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2"/>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1,200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6"/>
              <w:jc w:val="both"/>
              <w:rPr>
                <w:rFonts w:ascii="宋体" w:hAnsi="宋体" w:cs="宋体" w:eastAsia="宋体" w:hint="default"/>
                <w:sz w:val="18"/>
                <w:szCs w:val="18"/>
              </w:rPr>
            </w:pPr>
            <w:r>
              <w:rPr>
                <w:rFonts w:ascii="宋体" w:hAnsi="宋体" w:cs="宋体" w:eastAsia="宋体" w:hint="default"/>
                <w:sz w:val="18"/>
                <w:szCs w:val="18"/>
              </w:rPr>
              <w:t>多对 公结 构性 存款</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4" w:right="0"/>
              <w:jc w:val="left"/>
              <w:rPr>
                <w:rFonts w:ascii="Times New Roman" w:hAnsi="Times New Roman" w:cs="Times New Roman" w:eastAsia="Times New Roman" w:hint="default"/>
                <w:sz w:val="18"/>
                <w:szCs w:val="18"/>
              </w:rPr>
            </w:pPr>
            <w:r>
              <w:rPr>
                <w:rFonts w:ascii="Times New Roman"/>
                <w:sz w:val="18"/>
              </w:rPr>
              <w:t>4.00%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8" w:right="0"/>
              <w:jc w:val="center"/>
              <w:rPr>
                <w:rFonts w:ascii="Times New Roman" w:hAnsi="Times New Roman" w:cs="Times New Roman" w:eastAsia="Times New Roman" w:hint="default"/>
                <w:sz w:val="18"/>
                <w:szCs w:val="18"/>
              </w:rPr>
            </w:pPr>
            <w:r>
              <w:rPr>
                <w:rFonts w:ascii="Times New Roman"/>
                <w:sz w:val="18"/>
              </w:rPr>
              <w:t>11.87</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9" w:right="0"/>
              <w:jc w:val="center"/>
              <w:rPr>
                <w:rFonts w:ascii="Times New Roman" w:hAnsi="Times New Roman" w:cs="Times New Roman" w:eastAsia="Times New Roman" w:hint="default"/>
                <w:sz w:val="18"/>
                <w:szCs w:val="18"/>
              </w:rPr>
            </w:pPr>
            <w:r>
              <w:rPr>
                <w:rFonts w:ascii="Times New Roman"/>
                <w:sz w:val="18"/>
              </w:rPr>
              <w:t>11.87</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福田</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JG902</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稳健</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系列</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深圳 高新</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2"/>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122"/>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 </w:t>
            </w:r>
            <w:r>
              <w:rPr>
                <w:rFonts w:ascii="宋体" w:hAnsi="宋体" w:cs="宋体" w:eastAsia="宋体" w:hint="default"/>
                <w:sz w:val="18"/>
                <w:szCs w:val="18"/>
              </w:rPr>
              <w:t>天期 限银 行间 保证</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43.1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43.1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56"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暂时</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28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深圳 蛇口 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2"/>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6"/>
              <w:jc w:val="both"/>
              <w:rPr>
                <w:rFonts w:ascii="宋体" w:hAnsi="宋体" w:cs="宋体" w:eastAsia="宋体" w:hint="default"/>
                <w:sz w:val="18"/>
                <w:szCs w:val="18"/>
              </w:rPr>
            </w:pPr>
            <w:r>
              <w:rPr>
                <w:rFonts w:ascii="宋体" w:hAnsi="宋体" w:cs="宋体" w:eastAsia="宋体" w:hint="default"/>
                <w:sz w:val="18"/>
                <w:szCs w:val="18"/>
              </w:rPr>
              <w:t>闲置 募集 资金</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312" w:lineRule="exact" w:before="23"/>
              <w:ind w:left="2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 自有 闲置 资金 </w:t>
            </w:r>
            <w:r>
              <w:rPr>
                <w:rFonts w:ascii="Times New Roman" w:hAnsi="Times New Roman" w:cs="Times New Roman" w:eastAsia="Times New Roman" w:hint="default"/>
                <w:sz w:val="18"/>
                <w:szCs w:val="18"/>
              </w:rPr>
              <w:t>2500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6"/>
              <w:jc w:val="both"/>
              <w:rPr>
                <w:rFonts w:ascii="宋体" w:hAnsi="宋体" w:cs="宋体" w:eastAsia="宋体" w:hint="default"/>
                <w:sz w:val="18"/>
                <w:szCs w:val="18"/>
              </w:rPr>
            </w:pPr>
            <w:r>
              <w:rPr>
                <w:rFonts w:ascii="宋体" w:hAnsi="宋体" w:cs="宋体" w:eastAsia="宋体" w:hint="default"/>
                <w:sz w:val="18"/>
                <w:szCs w:val="18"/>
              </w:rPr>
              <w:t>中国 银行 股份 有限 公司 单位 结构 性存 款</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3.78%</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42.41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42.41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3"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稳健</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系列</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深圳 高新</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2"/>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122"/>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 </w:t>
            </w:r>
            <w:r>
              <w:rPr>
                <w:rFonts w:ascii="宋体" w:hAnsi="宋体" w:cs="宋体" w:eastAsia="宋体" w:hint="default"/>
                <w:sz w:val="18"/>
                <w:szCs w:val="18"/>
              </w:rPr>
              <w:t>天期 限银 行间 保证</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23.38</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23.38</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r>
        <w:trPr>
          <w:trHeight w:val="289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深圳 蛇口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32"/>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6"/>
              <w:jc w:val="both"/>
              <w:rPr>
                <w:rFonts w:ascii="宋体" w:hAnsi="宋体" w:cs="宋体" w:eastAsia="宋体" w:hint="default"/>
                <w:sz w:val="18"/>
                <w:szCs w:val="18"/>
              </w:rPr>
            </w:pPr>
            <w:r>
              <w:rPr>
                <w:rFonts w:ascii="宋体" w:hAnsi="宋体" w:cs="宋体" w:eastAsia="宋体" w:hint="default"/>
                <w:sz w:val="18"/>
                <w:szCs w:val="18"/>
              </w:rPr>
              <w:t>中国 银行 股份 有限 公司 单位 结构 性存 款</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3.75%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43.67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43.67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8"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聚宝</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财富</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深圳</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32"/>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98D</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保</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4.25%</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39.94</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39.94</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本浮</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动收</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18" w:hRule="exact"/>
        </w:trPr>
        <w:tc>
          <w:tcPr>
            <w:tcW w:w="571"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币理</w:t>
            </w:r>
          </w:p>
        </w:tc>
        <w:tc>
          <w:tcPr>
            <w:tcW w:w="561"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49"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财产</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49"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6" w:hRule="exact"/>
        </w:trPr>
        <w:tc>
          <w:tcPr>
            <w:tcW w:w="571"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品第</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49"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1736</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49"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52" w:hRule="exact"/>
        </w:trPr>
        <w:tc>
          <w:tcPr>
            <w:tcW w:w="571"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利多</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2"/>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6"/>
              <w:jc w:val="both"/>
              <w:rPr>
                <w:rFonts w:ascii="宋体" w:hAnsi="宋体" w:cs="宋体" w:eastAsia="宋体" w:hint="default"/>
                <w:sz w:val="18"/>
                <w:szCs w:val="18"/>
              </w:rPr>
            </w:pPr>
            <w:r>
              <w:rPr>
                <w:rFonts w:ascii="宋体" w:hAnsi="宋体" w:cs="宋体" w:eastAsia="宋体" w:hint="default"/>
                <w:sz w:val="18"/>
                <w:szCs w:val="18"/>
              </w:rPr>
              <w:t>多对 公结 构性 存款</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4" w:right="0"/>
              <w:jc w:val="center"/>
              <w:rPr>
                <w:rFonts w:ascii="Times New Roman" w:hAnsi="Times New Roman" w:cs="Times New Roman" w:eastAsia="Times New Roman" w:hint="default"/>
                <w:sz w:val="18"/>
                <w:szCs w:val="18"/>
              </w:rPr>
            </w:pPr>
            <w:r>
              <w:rPr>
                <w:rFonts w:ascii="Times New Roman"/>
                <w:sz w:val="18"/>
              </w:rPr>
              <w:t>4.35%</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10.88</w:t>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6"/>
              <w:jc w:val="both"/>
              <w:rPr>
                <w:rFonts w:ascii="宋体" w:hAnsi="宋体" w:cs="宋体" w:eastAsia="宋体" w:hint="default"/>
                <w:sz w:val="18"/>
                <w:szCs w:val="18"/>
              </w:rPr>
            </w:pPr>
            <w:r>
              <w:rPr>
                <w:rFonts w:ascii="宋体" w:hAnsi="宋体" w:cs="宋体" w:eastAsia="宋体" w:hint="default"/>
                <w:sz w:val="18"/>
                <w:szCs w:val="18"/>
              </w:rPr>
              <w:t>报告 期内 未到 期</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福田</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JG902</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r>
        <w:trPr>
          <w:trHeight w:val="289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前海 蛇口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32"/>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6"/>
              <w:jc w:val="both"/>
              <w:rPr>
                <w:rFonts w:ascii="宋体" w:hAnsi="宋体" w:cs="宋体" w:eastAsia="宋体" w:hint="default"/>
                <w:sz w:val="18"/>
                <w:szCs w:val="18"/>
              </w:rPr>
            </w:pPr>
            <w:r>
              <w:rPr>
                <w:rFonts w:ascii="宋体" w:hAnsi="宋体" w:cs="宋体" w:eastAsia="宋体" w:hint="default"/>
                <w:sz w:val="18"/>
                <w:szCs w:val="18"/>
              </w:rPr>
              <w:t>中国 银行 股份 有限 公司 单位 结构 性存 款</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3.78%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43.53</w:t>
            </w:r>
          </w:p>
        </w:tc>
        <w:tc>
          <w:tcPr>
            <w:tcW w:w="561"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报告 期内 未到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r>
      <w:tr>
        <w:trPr>
          <w:trHeight w:val="2808"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江苏 银行 股份 有限 公司 深圳 科技 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2"/>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银行 </w:t>
            </w:r>
            <w:r>
              <w:rPr>
                <w:rFonts w:ascii="Times New Roman" w:hAnsi="Times New Roman" w:cs="Times New Roman" w:eastAsia="Times New Roman" w:hint="default"/>
                <w:sz w:val="18"/>
                <w:szCs w:val="18"/>
              </w:rPr>
              <w:t>“</w:t>
            </w:r>
            <w:r>
              <w:rPr>
                <w:rFonts w:ascii="宋体" w:hAnsi="宋体" w:cs="宋体" w:eastAsia="宋体" w:hint="default"/>
                <w:sz w:val="18"/>
                <w:szCs w:val="18"/>
              </w:rPr>
              <w:t>聚宝 财富 宝溢 融</w:t>
            </w:r>
            <w:r>
              <w:rPr>
                <w:rFonts w:ascii="Times New Roman" w:hAnsi="Times New Roman" w:cs="Times New Roman" w:eastAsia="Times New Roman" w:hint="default"/>
                <w:sz w:val="18"/>
                <w:szCs w:val="18"/>
              </w:rPr>
              <w:t>”</w:t>
            </w:r>
            <w:r>
              <w:rPr>
                <w:rFonts w:ascii="宋体" w:hAnsi="宋体" w:cs="宋体" w:eastAsia="宋体" w:hint="default"/>
                <w:sz w:val="18"/>
                <w:szCs w:val="18"/>
              </w:rPr>
              <w:t>人 民币 开放 式理 财产</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4.35%</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w:t>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报告 期内 未到 期</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44"/>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247.32</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3794"/>
        <w:jc w:val="left"/>
      </w:pPr>
      <w:r>
        <w:rPr/>
        <w:t>注：上述表格若出现总数与各分项数值之和不符的情况，为四舍五入所致。 委托理财出现预期无法收回本金或存在其他可能导致减值的情形</w:t>
      </w:r>
    </w:p>
    <w:p>
      <w:pPr>
        <w:pStyle w:val="BodyText"/>
        <w:spacing w:line="240" w:lineRule="auto" w:before="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74" w:firstLine="360"/>
        <w:jc w:val="left"/>
      </w:pPr>
      <w:r>
        <w:rPr/>
        <w:t>公司严格按照国家有关法律、法规及地方性文件的相关规定，依法开展经营活动，积极履行纳税义务，创造就业机会， </w:t>
      </w:r>
      <w:r>
        <w:rPr>
          <w:spacing w:val="-2"/>
        </w:rPr>
        <w:t>履行企业应尽的义务和责任；为员工办理、缴存社会保险和住房公积金，建立以人为本的薪酬福利体系、培训体系和职业晋</w:t>
      </w:r>
      <w:r>
        <w:rPr>
          <w:spacing w:val="-66"/>
        </w:rPr>
        <w:t> </w:t>
      </w:r>
      <w:r>
        <w:rPr>
          <w:spacing w:val="-66"/>
        </w:rPr>
      </w:r>
      <w:r>
        <w:rPr/>
        <w:t>升通道，实现员工和企业的共同发展。</w:t>
      </w:r>
    </w:p>
    <w:p>
      <w:pPr>
        <w:pStyle w:val="BodyText"/>
        <w:spacing w:line="240" w:lineRule="auto" w:before="19"/>
        <w:ind w:left="472" w:right="0"/>
        <w:jc w:val="left"/>
      </w:pPr>
      <w:r>
        <w:rPr>
          <w:spacing w:val="-2"/>
        </w:rPr>
        <w:t>公司严格按照《公司法》、《深圳证券交易所创业板股票上市规则》、《上市公司信息披露管理办法》、《公司章程》、</w:t>
      </w:r>
    </w:p>
    <w:p>
      <w:pPr>
        <w:pStyle w:val="BodyText"/>
        <w:spacing w:line="316" w:lineRule="auto" w:before="76"/>
        <w:ind w:right="272"/>
        <w:jc w:val="both"/>
      </w:pPr>
      <w:r>
        <w:rPr>
          <w:spacing w:val="-2"/>
        </w:rPr>
        <w:t>《股东大会议事规则》等相关法律、法规、规范性文件及公司管理制度的的要求，完善公司治理结构、建立和健全投资者保</w:t>
      </w:r>
      <w:r>
        <w:rPr>
          <w:spacing w:val="-65"/>
        </w:rPr>
        <w:t> </w:t>
      </w:r>
      <w:r>
        <w:rPr>
          <w:spacing w:val="-65"/>
        </w:rPr>
      </w:r>
      <w:r>
        <w:rPr>
          <w:spacing w:val="-2"/>
        </w:rPr>
        <w:t>护机制、履行信息披露义务。2017年度，根据《公司法》、及《上市公司章程指引》及《上市公司股东大会规则》等相关规</w:t>
      </w:r>
      <w:r>
        <w:rPr>
          <w:spacing w:val="-68"/>
        </w:rPr>
        <w:t> </w:t>
      </w:r>
      <w:r>
        <w:rPr>
          <w:spacing w:val="-68"/>
        </w:rPr>
      </w:r>
      <w:r>
        <w:rPr>
          <w:spacing w:val="-2"/>
        </w:rPr>
        <w:t>定，公司召开第一届董事会第十五次会议和2017年第三次临时股东大会，对《公司章程》及《股东大会议事规则》两项涉及</w:t>
      </w:r>
      <w:r>
        <w:rPr>
          <w:spacing w:val="-64"/>
        </w:rPr>
        <w:t> </w:t>
      </w:r>
      <w:r>
        <w:rPr>
          <w:spacing w:val="-64"/>
        </w:rPr>
      </w:r>
      <w:r>
        <w:rPr>
          <w:spacing w:val="-2"/>
        </w:rPr>
        <w:t>投资者保护的相关制度进行了修订和完善；通过深圳证券交易所互动易平台与投资者进行日常沟通和交流，在符合信息披露</w:t>
      </w:r>
      <w:r>
        <w:rPr>
          <w:spacing w:val="-64"/>
        </w:rPr>
        <w:t> </w:t>
      </w:r>
      <w:r>
        <w:rPr>
          <w:spacing w:val="-64"/>
        </w:rPr>
      </w:r>
      <w:r>
        <w:rPr>
          <w:spacing w:val="-2"/>
        </w:rPr>
        <w:t>相关法律法规的基础上，积极回复投资者提问，对投资者的意见和建议及时作出反馈；安排专人接听投资者热线电话、回复</w:t>
      </w:r>
      <w:r>
        <w:rPr>
          <w:spacing w:val="-66"/>
        </w:rPr>
        <w:t> </w:t>
      </w:r>
      <w:r>
        <w:rPr>
          <w:spacing w:val="-66"/>
        </w:rPr>
      </w:r>
      <w:r>
        <w:rPr>
          <w:spacing w:val="-2"/>
        </w:rPr>
        <w:t>证券部专用邮箱，及时答复投资者相关咨询，聆听投资者的意见和建议，加强了与投资者的沟通和交流；在符合信息披露相</w:t>
      </w:r>
      <w:r>
        <w:rPr>
          <w:spacing w:val="-66"/>
        </w:rPr>
        <w:t> </w:t>
      </w:r>
      <w:r>
        <w:rPr>
          <w:spacing w:val="-66"/>
        </w:rPr>
      </w:r>
      <w:r>
        <w:rPr>
          <w:spacing w:val="-2"/>
        </w:rPr>
        <w:t>关法律法规和规范性文件的基础上，组织投资者现场调研交流活动并在巨潮资讯网站披露相关调研活动情况，增强了广大投</w:t>
      </w:r>
      <w:r>
        <w:rPr>
          <w:spacing w:val="-64"/>
        </w:rPr>
        <w:t> </w:t>
      </w:r>
      <w:r>
        <w:rPr>
          <w:spacing w:val="-64"/>
        </w:rPr>
      </w:r>
      <w:r>
        <w:rPr>
          <w:spacing w:val="-2"/>
        </w:rPr>
        <w:t>资者对公司业务、发展情况及公司经营管理状况的了解；公司严格按照《深圳证券交易所股票上市规则》、《深圳证券交易</w:t>
      </w:r>
      <w:r>
        <w:rPr>
          <w:spacing w:val="-65"/>
        </w:rPr>
        <w:t> </w:t>
      </w:r>
      <w:r>
        <w:rPr>
          <w:spacing w:val="-65"/>
        </w:rPr>
      </w:r>
      <w:r>
        <w:rPr>
          <w:spacing w:val="-2"/>
        </w:rPr>
        <w:t>所创业板上市公司规范运作指引》等相关法律法规及规范性文件的要求，及时履行信息披露义务，保证信息披露质量，确保</w:t>
      </w:r>
      <w:r>
        <w:rPr>
          <w:spacing w:val="-66"/>
        </w:rPr>
        <w:t> </w:t>
      </w:r>
      <w:r>
        <w:rPr>
          <w:spacing w:val="-66"/>
        </w:rPr>
      </w:r>
      <w:r>
        <w:rPr/>
        <w:t>所有投资者公平获取公司信息。</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w:t>
      </w:r>
      <w:r>
        <w:rPr>
          <w:rFonts w:ascii="Times New Roman" w:hAnsi="Times New Roman" w:cs="Times New Roman" w:eastAsia="Times New Roman" w:hint="default"/>
        </w:rPr>
        <w:t>2017</w:t>
      </w:r>
      <w:r>
        <w:rPr/>
        <w:t>年度暂未开展精准扶贫工作，未来将关注精准扶贫适时开展相关活动。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0"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6" w:top="1100" w:bottom="1200" w:left="1020" w:right="86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694"/>
        <w:jc w:val="left"/>
      </w:pPr>
      <w:r>
        <w:rPr/>
        <w:t>上市公司及其子公司是否属于环境保护部门公布的重点排污单位 否</w:t>
      </w:r>
    </w:p>
    <w:p>
      <w:pPr>
        <w:pStyle w:val="BodyText"/>
        <w:spacing w:line="240" w:lineRule="auto" w:before="25"/>
        <w:ind w:right="0"/>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5" w:right="4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56.74%</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0"/>
        <w:ind w:right="0"/>
        <w:jc w:val="left"/>
      </w:pPr>
      <w:r>
        <w:rPr/>
        <w:t>股份变动的原因</w:t>
      </w:r>
    </w:p>
    <w:p>
      <w:pPr>
        <w:pStyle w:val="BodyText"/>
        <w:spacing w:line="338" w:lineRule="auto" w:before="117"/>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日首次公开发行股份</w:t>
      </w:r>
      <w:r>
        <w:rPr>
          <w:rFonts w:ascii="Times New Roman" w:hAnsi="Times New Roman" w:cs="Times New Roman" w:eastAsia="Times New Roman" w:hint="default"/>
        </w:rPr>
        <w:t>2000</w:t>
      </w:r>
      <w:r>
        <w:rPr/>
        <w:t>万股，于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日正式在深圳证券交易所上市交易。 股份变动的批准情况</w:t>
      </w:r>
    </w:p>
    <w:p>
      <w:pPr>
        <w:spacing w:after="0" w:line="338"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19" w:lineRule="auto" w:before="44"/>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[2017]366</w:t>
      </w:r>
      <w:r>
        <w:rPr/>
        <w:t>号</w:t>
      </w:r>
      <w:r>
        <w:rPr>
          <w:rFonts w:ascii="Times New Roman" w:hAnsi="Times New Roman" w:cs="Times New Roman" w:eastAsia="Times New Roman" w:hint="default"/>
        </w:rPr>
        <w:t>”</w:t>
      </w:r>
      <w:r>
        <w:rPr/>
        <w:t>文核准，本公司公开发行新股不超过</w:t>
      </w:r>
      <w:r>
        <w:rPr>
          <w:rFonts w:ascii="Times New Roman" w:hAnsi="Times New Roman" w:cs="Times New Roman" w:eastAsia="Times New Roman" w:hint="default"/>
        </w:rPr>
        <w:t>2,000</w:t>
      </w:r>
      <w:r>
        <w:rPr/>
        <w:t>万股，不进行老股转让。经深 圳证券交易所《关于深圳市广和通无线股份有限公司人民币普通股股票在创业板上市的通知》（深证上</w:t>
      </w:r>
      <w:r>
        <w:rPr>
          <w:rFonts w:ascii="Times New Roman" w:hAnsi="Times New Roman" w:cs="Times New Roman" w:eastAsia="Times New Roman" w:hint="default"/>
        </w:rPr>
        <w:t>[2017]229</w:t>
      </w:r>
      <w:r>
        <w:rPr/>
        <w:t>号）同意</w:t>
      </w:r>
    </w:p>
    <w:p>
      <w:pPr>
        <w:pStyle w:val="BodyText"/>
        <w:spacing w:line="340" w:lineRule="auto"/>
        <w:ind w:right="99"/>
        <w:jc w:val="left"/>
      </w:pPr>
      <w:r>
        <w:rPr/>
        <w:t>本公司发行的人民币普通股股票在深圳证券交易所创业板上市，本次公开发行的</w:t>
      </w:r>
      <w:r>
        <w:rPr>
          <w:rFonts w:ascii="Times New Roman" w:hAnsi="Times New Roman" w:cs="Times New Roman" w:eastAsia="Times New Roman" w:hint="default"/>
        </w:rPr>
        <w:t>2,000</w:t>
      </w:r>
      <w:r>
        <w:rPr/>
        <w:t>万股股于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日起上市交易。 股份变动的过户情况</w:t>
      </w:r>
    </w:p>
    <w:p>
      <w:pPr>
        <w:pStyle w:val="BodyText"/>
        <w:spacing w:line="338" w:lineRule="auto" w:before="41"/>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19" w:lineRule="auto" w:before="43"/>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日首次公开发行股票并在深圳证券交易所创业板上市，总股本由</w:t>
      </w:r>
      <w:r>
        <w:rPr>
          <w:rFonts w:ascii="Times New Roman" w:hAnsi="Times New Roman" w:cs="Times New Roman" w:eastAsia="Times New Roman" w:hint="default"/>
          <w:spacing w:val="-2"/>
        </w:rPr>
        <w:t>6,000</w:t>
      </w:r>
      <w:r>
        <w:rPr>
          <w:spacing w:val="-2"/>
        </w:rPr>
        <w:t>万股增加至</w:t>
      </w:r>
      <w:r>
        <w:rPr>
          <w:rFonts w:ascii="Times New Roman" w:hAnsi="Times New Roman" w:cs="Times New Roman" w:eastAsia="Times New Roman" w:hint="default"/>
          <w:spacing w:val="-2"/>
        </w:rPr>
        <w:t>8,000</w:t>
      </w:r>
      <w:r>
        <w:rPr>
          <w:spacing w:val="-2"/>
        </w:rPr>
        <w:t>万股。本次股份变</w:t>
      </w:r>
      <w:r>
        <w:rPr>
          <w:spacing w:val="-54"/>
        </w:rPr>
        <w:t> </w:t>
      </w:r>
      <w:r>
        <w:rPr>
          <w:spacing w:val="-54"/>
        </w:rPr>
      </w:r>
      <w:r>
        <w:rPr>
          <w:spacing w:val="-2"/>
        </w:rPr>
        <w:t>动，对上一年的基本每股收益、稀释每股收益、归属于公司普通股股东的每股净资产等财务指标没有影响。本报告期，公司</w:t>
      </w:r>
    </w:p>
    <w:p>
      <w:pPr>
        <w:pStyle w:val="BodyText"/>
        <w:spacing w:line="300" w:lineRule="auto" w:before="17"/>
        <w:ind w:right="239"/>
        <w:jc w:val="both"/>
      </w:pPr>
      <w:r>
        <w:rPr/>
        <w:t>按照股份变动情况对上述财务指标进行计算，情况如下：</w:t>
      </w:r>
      <w:r>
        <w:rPr>
          <w:rFonts w:ascii="Times New Roman" w:hAnsi="Times New Roman" w:cs="Times New Roman" w:eastAsia="Times New Roman" w:hint="default"/>
        </w:rPr>
        <w:t>2017</w:t>
      </w:r>
      <w:r>
        <w:rPr/>
        <w:t>年度公司基本每股收益、稀释每股收益均为</w:t>
      </w:r>
      <w:r>
        <w:rPr>
          <w:rFonts w:ascii="Times New Roman" w:hAnsi="Times New Roman" w:cs="Times New Roman" w:eastAsia="Times New Roman" w:hint="default"/>
        </w:rPr>
        <w:t>0.58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2016 </w:t>
      </w:r>
      <w:r>
        <w:rPr/>
        <w:t>年度公司基本每股收益、稀释每股收益均为</w:t>
      </w:r>
      <w:r>
        <w:rPr>
          <w:rFonts w:ascii="Times New Roman" w:hAnsi="Times New Roman" w:cs="Times New Roman" w:eastAsia="Times New Roman" w:hint="default"/>
        </w:rPr>
        <w:t>0.67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年归属于公司普通股股东的每股净资产为</w:t>
      </w:r>
      <w:r>
        <w:rPr>
          <w:rFonts w:ascii="Times New Roman" w:hAnsi="Times New Roman" w:cs="Times New Roman" w:eastAsia="Times New Roman" w:hint="default"/>
        </w:rPr>
        <w:t>4.11</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2016</w:t>
      </w:r>
      <w:r>
        <w:rPr/>
        <w:t>年归 属于公司普通股股东的每股净资产为</w:t>
      </w:r>
      <w:r>
        <w:rPr>
          <w:rFonts w:ascii="Times New Roman" w:hAnsi="Times New Roman" w:cs="Times New Roman" w:eastAsia="Times New Roman" w:hint="default"/>
        </w:rPr>
        <w:t>1.97</w:t>
      </w:r>
      <w:r>
        <w:rPr/>
        <w:t>元</w:t>
      </w:r>
      <w:r>
        <w:rPr>
          <w:rFonts w:ascii="Times New Roman" w:hAnsi="Times New Roman" w:cs="Times New Roman" w:eastAsia="Times New Roman" w:hint="default"/>
        </w:rPr>
        <w:t>/</w:t>
      </w:r>
      <w:r>
        <w:rPr/>
        <w:t>股。</w:t>
      </w:r>
    </w:p>
    <w:p>
      <w:pPr>
        <w:pStyle w:val="BodyText"/>
        <w:spacing w:line="240" w:lineRule="auto" w:before="51"/>
        <w:ind w:right="139"/>
        <w:jc w:val="left"/>
      </w:pPr>
      <w:r>
        <w:rPr/>
        <w:t>公司认为必要或证券监管机构要求披露的其他内容</w:t>
      </w:r>
    </w:p>
    <w:p>
      <w:pPr>
        <w:pStyle w:val="BodyText"/>
        <w:spacing w:line="240" w:lineRule="auto" w:before="117"/>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5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9"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深圳市广和创通 投资企业（有限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英特尔半导体</w:t>
            </w:r>
          </w:p>
          <w:p>
            <w:pPr>
              <w:pStyle w:val="TableParagraph"/>
              <w:spacing w:line="316" w:lineRule="auto" w:before="76"/>
              <w:ind w:left="22" w:right="67"/>
              <w:jc w:val="left"/>
              <w:rPr>
                <w:rFonts w:ascii="宋体" w:hAnsi="宋体" w:cs="宋体" w:eastAsia="宋体" w:hint="default"/>
                <w:sz w:val="18"/>
                <w:szCs w:val="18"/>
              </w:rPr>
            </w:pPr>
            <w:r>
              <w:rPr>
                <w:rFonts w:ascii="宋体" w:hAnsi="宋体" w:cs="宋体" w:eastAsia="宋体" w:hint="default"/>
                <w:sz w:val="18"/>
                <w:szCs w:val="18"/>
              </w:rPr>
              <w:t>（大连）有限公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139"/>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21"/>
          <w:pgSz w:w="11910" w:h="16840"/>
          <w:pgMar w:footer="1016" w:header="787" w:top="1100" w:bottom="1200" w:left="1020" w:right="980"/>
          <w:pgNumType w:start="6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0" w:right="6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1" w:right="10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7"/>
              <w:jc w:val="left"/>
              <w:rPr>
                <w:rFonts w:ascii="宋体" w:hAnsi="宋体" w:cs="宋体" w:eastAsia="宋体" w:hint="default"/>
                <w:sz w:val="18"/>
                <w:szCs w:val="18"/>
              </w:rPr>
            </w:pPr>
            <w:r>
              <w:rPr>
                <w:rFonts w:ascii="宋体" w:hAnsi="宋体" w:cs="宋体" w:eastAsia="宋体" w:hint="default"/>
                <w:sz w:val="18"/>
                <w:szCs w:val="18"/>
              </w:rPr>
              <w:t>首次公开发行股 票</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20,000,000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190"/>
        <w:jc w:val="left"/>
      </w:pPr>
      <w:r>
        <w:rPr/>
        <w:t>报告期内证券发行（不含优先股）情况的说明</w:t>
      </w:r>
    </w:p>
    <w:p>
      <w:pPr>
        <w:pStyle w:val="BodyText"/>
        <w:spacing w:line="300" w:lineRule="auto" w:before="117"/>
        <w:ind w:right="190"/>
        <w:jc w:val="left"/>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[2017]366</w:t>
      </w:r>
      <w:r>
        <w:rPr/>
        <w:t>号</w:t>
      </w:r>
      <w:r>
        <w:rPr>
          <w:rFonts w:ascii="Times New Roman" w:hAnsi="Times New Roman" w:cs="Times New Roman" w:eastAsia="Times New Roman" w:hint="default"/>
        </w:rPr>
        <w:t>”</w:t>
      </w:r>
      <w:r>
        <w:rPr/>
        <w:t>文核准，本公司公开发行新股不超过</w:t>
      </w:r>
      <w:r>
        <w:rPr>
          <w:rFonts w:ascii="Times New Roman" w:hAnsi="Times New Roman" w:cs="Times New Roman" w:eastAsia="Times New Roman" w:hint="default"/>
        </w:rPr>
        <w:t>2,000</w:t>
      </w:r>
      <w:r>
        <w:rPr/>
        <w:t>万股。本次发行采用网上向社 会公众投资者定价发行（以下简称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）方式发行，不进行老股转让。网上发行最终数量为</w:t>
      </w:r>
      <w:r>
        <w:rPr>
          <w:rFonts w:ascii="Times New Roman" w:hAnsi="Times New Roman" w:cs="Times New Roman" w:eastAsia="Times New Roman" w:hint="default"/>
        </w:rPr>
        <w:t>2,000</w:t>
      </w:r>
      <w:r>
        <w:rPr/>
        <w:t>万股，发行价格为 </w:t>
      </w:r>
      <w:r>
        <w:rPr>
          <w:rFonts w:ascii="Times New Roman" w:hAnsi="Times New Roman" w:cs="Times New Roman" w:eastAsia="Times New Roman" w:hint="default"/>
        </w:rPr>
        <w:t>10.45</w:t>
      </w:r>
      <w:r>
        <w:rPr/>
        <w:t>元</w:t>
      </w:r>
      <w:r>
        <w:rPr>
          <w:rFonts w:ascii="Times New Roman" w:hAnsi="Times New Roman" w:cs="Times New Roman" w:eastAsia="Times New Roman" w:hint="default"/>
        </w:rPr>
        <w:t>/</w:t>
      </w:r>
      <w:r>
        <w:rPr/>
        <w:t>股。 经深圳证券交易所《关于深圳市广和通无线股份有限公司人民币普通股股票在创业板上市的通知》（深证上</w:t>
      </w:r>
      <w:r>
        <w:rPr>
          <w:rFonts w:ascii="Times New Roman" w:hAnsi="Times New Roman" w:cs="Times New Roman" w:eastAsia="Times New Roman" w:hint="default"/>
        </w:rPr>
        <w:t>[2017]229</w:t>
      </w:r>
      <w:r>
        <w:rPr/>
        <w:t>号） </w:t>
      </w:r>
      <w:r>
        <w:rPr>
          <w:spacing w:val="-1"/>
        </w:rPr>
        <w:t>同意，本公司发行的人民币普通股股票在深圳证券交易所创业板上市，股票简称</w:t>
      </w:r>
      <w:r>
        <w:rPr>
          <w:rFonts w:ascii="Times New Roman" w:hAnsi="Times New Roman" w:cs="Times New Roman" w:eastAsia="Times New Roman" w:hint="default"/>
          <w:spacing w:val="-1"/>
        </w:rPr>
        <w:t>“</w:t>
      </w:r>
      <w:r>
        <w:rPr>
          <w:spacing w:val="-1"/>
        </w:rPr>
        <w:t>广和通</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“300638”</w:t>
      </w:r>
      <w:r>
        <w:rPr>
          <w:spacing w:val="-1"/>
        </w:rPr>
        <w:t>；本次公开发</w:t>
      </w:r>
      <w:r>
        <w:rPr>
          <w:spacing w:val="-79"/>
        </w:rPr>
        <w:t> </w:t>
      </w:r>
      <w:r>
        <w:rPr>
          <w:spacing w:val="-79"/>
        </w:rPr>
      </w:r>
      <w:r>
        <w:rPr/>
        <w:t>行的</w:t>
      </w:r>
      <w:r>
        <w:rPr>
          <w:rFonts w:ascii="Times New Roman" w:hAnsi="Times New Roman" w:cs="Times New Roman" w:eastAsia="Times New Roman" w:hint="default"/>
        </w:rPr>
        <w:t>2,000</w:t>
      </w:r>
      <w:r>
        <w:rPr/>
        <w:t>万股股票于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日起上市交易。</w:t>
      </w:r>
    </w:p>
    <w:p>
      <w:pPr>
        <w:spacing w:line="240" w:lineRule="auto" w:before="13"/>
        <w:rPr>
          <w:rFonts w:ascii="宋体" w:hAnsi="宋体" w:cs="宋体" w:eastAsia="宋体" w:hint="default"/>
          <w:sz w:val="21"/>
          <w:szCs w:val="21"/>
        </w:rPr>
      </w:pPr>
    </w:p>
    <w:p>
      <w:pPr>
        <w:pStyle w:val="Heading3"/>
        <w:spacing w:line="240" w:lineRule="auto"/>
        <w:ind w:right="19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经中国证券监督管理委员会《关于核准深圳市广和通无线股份有限公司首次公开发行股票的批复》（证监许可</w:t>
      </w:r>
      <w:r>
        <w:rPr>
          <w:rFonts w:ascii="Times New Roman" w:hAnsi="Times New Roman" w:cs="Times New Roman" w:eastAsia="Times New Roman" w:hint="default"/>
          <w:spacing w:val="-2"/>
        </w:rPr>
        <w:t>[2017]366</w:t>
      </w:r>
      <w:r>
        <w:rPr>
          <w:rFonts w:ascii="Times New Roman" w:hAnsi="Times New Roman" w:cs="Times New Roman" w:eastAsia="Times New Roman" w:hint="default"/>
        </w:rPr>
        <w:t> </w:t>
      </w:r>
      <w:r>
        <w:rPr/>
        <w:t>号） 核准，并经深圳证券交易所同意，本公司向社会公开发行人民币普通股（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2,000  </w:t>
      </w:r>
      <w:r>
        <w:rPr/>
        <w:t>万股，发行价格为每股人民币</w:t>
      </w:r>
      <w:r>
        <w:rPr>
          <w:spacing w:val="-39"/>
        </w:rPr>
        <w:t> </w:t>
      </w:r>
      <w:r>
        <w:rPr>
          <w:rFonts w:ascii="Times New Roman" w:hAnsi="Times New Roman" w:cs="Times New Roman" w:eastAsia="Times New Roman" w:hint="default"/>
        </w:rPr>
        <w:t>10.45</w:t>
      </w:r>
    </w:p>
    <w:p>
      <w:pPr>
        <w:pStyle w:val="BodyText"/>
        <w:spacing w:line="246" w:lineRule="exact"/>
        <w:ind w:right="93"/>
        <w:jc w:val="left"/>
      </w:pPr>
      <w:r>
        <w:rPr/>
        <w:t>元，募集资金总额人民币 </w:t>
      </w:r>
      <w:r>
        <w:rPr>
          <w:rFonts w:ascii="Times New Roman" w:hAnsi="Times New Roman" w:cs="Times New Roman" w:eastAsia="Times New Roman" w:hint="default"/>
        </w:rPr>
        <w:t>20,900.00  </w:t>
      </w:r>
      <w:r>
        <w:rPr/>
        <w:t>万元，扣除发行费用总额 </w:t>
      </w:r>
      <w:r>
        <w:rPr>
          <w:rFonts w:ascii="Times New Roman" w:hAnsi="Times New Roman" w:cs="Times New Roman" w:eastAsia="Times New Roman" w:hint="default"/>
        </w:rPr>
        <w:t>2,840.71  </w:t>
      </w:r>
      <w:r>
        <w:rPr/>
        <w:t>万元，募集资金净额为 </w:t>
      </w:r>
      <w:r>
        <w:rPr>
          <w:rFonts w:ascii="Times New Roman" w:hAnsi="Times New Roman" w:cs="Times New Roman" w:eastAsia="Times New Roman" w:hint="default"/>
        </w:rPr>
        <w:t>18,059.29</w:t>
      </w:r>
      <w:r>
        <w:rPr>
          <w:rFonts w:ascii="Times New Roman" w:hAnsi="Times New Roman" w:cs="Times New Roman" w:eastAsia="Times New Roman" w:hint="default"/>
          <w:spacing w:val="34"/>
        </w:rPr>
        <w:t> </w:t>
      </w:r>
      <w:r>
        <w:rPr/>
        <w:t>万元。致同会计</w:t>
      </w:r>
    </w:p>
    <w:p>
      <w:pPr>
        <w:pStyle w:val="BodyText"/>
        <w:spacing w:line="300" w:lineRule="auto" w:before="63"/>
        <w:ind w:right="192"/>
        <w:jc w:val="both"/>
      </w:pPr>
      <w:r>
        <w:rPr>
          <w:spacing w:val="-4"/>
        </w:rPr>
        <w:t>师事务所（特殊普通合伙）已于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日对公司首次公开发行股票的资金到位情况进行了审验，并出具了</w:t>
      </w:r>
      <w:r>
        <w:rPr>
          <w:rFonts w:ascii="Times New Roman" w:hAnsi="Times New Roman" w:cs="Times New Roman" w:eastAsia="Times New Roman" w:hint="default"/>
        </w:rPr>
        <w:t>“</w:t>
      </w:r>
      <w:r>
        <w:rPr/>
        <w:t>致同 </w:t>
      </w:r>
      <w:r>
        <w:rPr>
          <w:spacing w:val="-3"/>
        </w:rPr>
        <w:t>验字（</w:t>
      </w:r>
      <w:r>
        <w:rPr>
          <w:rFonts w:ascii="Times New Roman" w:hAnsi="Times New Roman" w:cs="Times New Roman" w:eastAsia="Times New Roman" w:hint="default"/>
          <w:spacing w:val="-3"/>
        </w:rPr>
        <w:t>2017</w:t>
      </w:r>
      <w:r>
        <w:rPr>
          <w:spacing w:val="-3"/>
        </w:rPr>
        <w:t>）第 </w:t>
      </w:r>
      <w:r>
        <w:rPr>
          <w:rFonts w:ascii="Times New Roman" w:hAnsi="Times New Roman" w:cs="Times New Roman" w:eastAsia="Times New Roman" w:hint="default"/>
        </w:rPr>
        <w:t>441ZC0141</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《验资报告》。公司股份总数由</w:t>
      </w:r>
      <w:r>
        <w:rPr>
          <w:rFonts w:ascii="Times New Roman" w:hAnsi="Times New Roman" w:cs="Times New Roman" w:eastAsia="Times New Roman" w:hint="default"/>
        </w:rPr>
        <w:t>6,000</w:t>
      </w:r>
      <w:r>
        <w:rPr/>
        <w:t>万股变更为</w:t>
      </w:r>
      <w:r>
        <w:rPr>
          <w:rFonts w:ascii="Times New Roman" w:hAnsi="Times New Roman" w:cs="Times New Roman" w:eastAsia="Times New Roman" w:hint="default"/>
        </w:rPr>
        <w:t>8,000</w:t>
      </w:r>
      <w:r>
        <w:rPr/>
        <w:t>万股，公司注册资本由</w:t>
      </w:r>
      <w:r>
        <w:rPr>
          <w:rFonts w:ascii="Times New Roman" w:hAnsi="Times New Roman" w:cs="Times New Roman" w:eastAsia="Times New Roman" w:hint="default"/>
        </w:rPr>
        <w:t>6,000</w:t>
      </w:r>
      <w:r>
        <w:rPr/>
        <w:t>万元人民 币变更为</w:t>
      </w:r>
      <w:r>
        <w:rPr>
          <w:rFonts w:ascii="Times New Roman" w:hAnsi="Times New Roman" w:cs="Times New Roman" w:eastAsia="Times New Roman" w:hint="default"/>
        </w:rPr>
        <w:t>8,000</w:t>
      </w:r>
      <w:r>
        <w:rPr/>
        <w:t>万元人民币。</w:t>
      </w:r>
    </w:p>
    <w:p>
      <w:pPr>
        <w:spacing w:line="240" w:lineRule="auto" w:before="13"/>
        <w:rPr>
          <w:rFonts w:ascii="宋体" w:hAnsi="宋体" w:cs="宋体" w:eastAsia="宋体" w:hint="default"/>
          <w:sz w:val="21"/>
          <w:szCs w:val="21"/>
        </w:rPr>
      </w:pPr>
    </w:p>
    <w:p>
      <w:pPr>
        <w:pStyle w:val="Heading3"/>
        <w:spacing w:line="240" w:lineRule="auto"/>
        <w:ind w:right="19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9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pict>
          <v:shape style="position:absolute;margin-left:476.158997pt;margin-top:17.511723pt;width:58.8pt;height:82.1pt;mso-position-horizontal-relative:page;mso-position-vertical-relative:paragraph;z-index:-11613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482.25pt;margin-top:17.511723pt;width:52.7pt;height:82.25pt;mso-position-horizontal-relative:page;mso-position-vertical-relative:paragraph;z-index:-1161328" coordorigin="9645,350" coordsize="1054,1645">
            <v:shape style="position:absolute;left:9645;top:350;width:1054;height:1645" coordorigin="9645,350" coordsize="1054,1645" path="m9645,350l10699,350,10699,1995,9645,1995,9645,350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329"/>
        <w:gridCol w:w="1059"/>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13,038</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11,813</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0" w:hRule="exact"/>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7"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持有有限</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9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5"/>
              <w:jc w:val="right"/>
              <w:rPr>
                <w:rFonts w:ascii="宋体" w:hAnsi="宋体" w:cs="宋体" w:eastAsia="宋体" w:hint="default"/>
                <w:sz w:val="18"/>
                <w:szCs w:val="18"/>
              </w:rPr>
            </w:pPr>
            <w:r>
              <w:rPr>
                <w:rFonts w:ascii="宋体" w:hAnsi="宋体" w:cs="宋体" w:eastAsia="宋体" w:hint="default"/>
                <w:sz w:val="18"/>
                <w:szCs w:val="18"/>
              </w:rPr>
              <w:t>持股数量</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08" w:right="29"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8" w:right="25"/>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56" w:right="52"/>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深圳市广和创通 </w:t>
            </w:r>
            <w:r>
              <w:rPr>
                <w:rFonts w:ascii="宋体" w:hAnsi="宋体" w:cs="宋体" w:eastAsia="宋体" w:hint="default"/>
                <w:spacing w:val="-4"/>
                <w:sz w:val="18"/>
                <w:szCs w:val="18"/>
              </w:rPr>
              <w:t>投资企业（有限合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4"/>
                <w:sz w:val="18"/>
                <w:szCs w:val="18"/>
              </w:rPr>
              <w:t>英特尔半导体（大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连）有限公司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徐春楚</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437,800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4"/>
                <w:sz w:val="18"/>
              </w:rPr>
              <w:t> </w:t>
            </w:r>
            <w:r>
              <w:rPr>
                <w:rFonts w:ascii="Times New Roman"/>
                <w:sz w:val="18"/>
              </w:rPr>
              <w:t>AG</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433,550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433,550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433,550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钟雪松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386,707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386,707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250,117</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199,100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199,100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张博淇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181,500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公司的控股股东和实际控制人为张天瑜先生，张天瑜先生直接持有公司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50.06%</w:t>
            </w:r>
            <w:r>
              <w:rPr>
                <w:rFonts w:ascii="宋体" w:hAnsi="宋体" w:cs="宋体" w:eastAsia="宋体" w:hint="default"/>
                <w:sz w:val="18"/>
                <w:szCs w:val="18"/>
              </w:rPr>
              <w:t>的股 份，通过深圳市广和创通投资企业（有限合伙）间接持有公司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2.03%</w:t>
            </w:r>
            <w:r>
              <w:rPr>
                <w:rFonts w:ascii="宋体" w:hAnsi="宋体" w:cs="宋体" w:eastAsia="宋体" w:hint="default"/>
                <w:sz w:val="18"/>
                <w:szCs w:val="18"/>
              </w:rPr>
              <w:t>的股份，同时担 </w:t>
            </w:r>
            <w:r>
              <w:rPr>
                <w:rFonts w:ascii="宋体" w:hAnsi="宋体" w:cs="宋体" w:eastAsia="宋体" w:hint="default"/>
                <w:spacing w:val="-1"/>
                <w:sz w:val="18"/>
                <w:szCs w:val="18"/>
              </w:rPr>
              <w:t>任深圳市广和创通投资企业（有限合伙）唯一的普通合伙人，为深圳市广和创通投资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企业（有限合伙）实际控制人。除此之外，公司未知其他股东之间是否存在关联关系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或一致行动关系。</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徐春楚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4"/>
                <w:sz w:val="18"/>
              </w:rPr>
              <w:t> </w:t>
            </w:r>
            <w:r>
              <w:rPr>
                <w:rFonts w:ascii="Times New Roman"/>
                <w:sz w:val="18"/>
              </w:rPr>
              <w:t>AG</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433,550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钟雪松</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386,707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张博淇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钱平珍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深圳市金华南巴士股份有限公司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113,617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113,617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张浩滨</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3"/>
                <w:sz w:val="18"/>
              </w:rPr>
              <w:t>111,900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111,900</w:t>
            </w:r>
          </w:p>
        </w:tc>
      </w:tr>
      <w:tr>
        <w:trPr>
          <w:trHeight w:val="400"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郭小明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0"/>
        <w:gridCol w:w="6687"/>
      </w:tblGrid>
      <w:tr>
        <w:trPr>
          <w:trHeight w:val="361"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tc>
        <w:tc>
          <w:tcPr>
            <w:tcW w:w="66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tc>
        <w:tc>
          <w:tcPr>
            <w:tcW w:w="6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公司无法得知前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r>
              <w:rPr>
                <w:rFonts w:ascii="宋体" w:hAnsi="宋体" w:cs="宋体" w:eastAsia="宋体" w:hint="default"/>
                <w:spacing w:val="-75"/>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p>
        </w:tc>
      </w:tr>
      <w:tr>
        <w:trPr>
          <w:trHeight w:val="30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名股东之间是否存在关联关系或一致行动关系。</w:t>
            </w:r>
          </w:p>
        </w:tc>
      </w:tr>
      <w:tr>
        <w:trPr>
          <w:trHeight w:val="358"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p>
        </w:tc>
        <w:tc>
          <w:tcPr>
            <w:tcW w:w="6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股东龙在平通过普通证券账户持有 </w:t>
            </w:r>
            <w:r>
              <w:rPr>
                <w:rFonts w:ascii="Times New Roman" w:hAnsi="Times New Roman" w:cs="Times New Roman" w:eastAsia="Times New Roman" w:hint="default"/>
                <w:sz w:val="18"/>
                <w:szCs w:val="18"/>
              </w:rPr>
              <w:t>1,200 </w:t>
            </w:r>
            <w:r>
              <w:rPr>
                <w:rFonts w:ascii="宋体" w:hAnsi="宋体" w:cs="宋体" w:eastAsia="宋体" w:hint="default"/>
                <w:sz w:val="18"/>
                <w:szCs w:val="18"/>
              </w:rPr>
              <w:t>股，通过投资者信用证券账户持有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197,900</w:t>
            </w:r>
          </w:p>
        </w:tc>
      </w:tr>
      <w:tr>
        <w:trPr>
          <w:trHeight w:val="352"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199,100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57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both"/>
              <w:rPr>
                <w:rFonts w:ascii="宋体" w:hAnsi="宋体" w:cs="宋体" w:eastAsia="宋体" w:hint="default"/>
                <w:sz w:val="18"/>
                <w:szCs w:val="18"/>
              </w:rPr>
            </w:pPr>
            <w:r>
              <w:rPr>
                <w:rFonts w:ascii="宋体" w:hAnsi="宋体" w:cs="宋体" w:eastAsia="宋体" w:hint="default"/>
                <w:spacing w:val="-1"/>
                <w:sz w:val="18"/>
                <w:szCs w:val="18"/>
              </w:rPr>
              <w:t>现任公司董事长、深圳市广宇通信技术有限公司执行董事、中国电子商会常务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理事、深圳市广和创通投资企业（有限合伙）执行事务合伙人、广和通实业（香</w:t>
            </w:r>
            <w:r>
              <w:rPr>
                <w:rFonts w:ascii="宋体" w:hAnsi="宋体" w:cs="宋体" w:eastAsia="宋体" w:hint="default"/>
                <w:sz w:val="18"/>
                <w:szCs w:val="18"/>
              </w:rPr>
              <w:t> </w:t>
            </w:r>
            <w:r>
              <w:rPr>
                <w:rFonts w:ascii="宋体" w:hAnsi="宋体" w:cs="宋体" w:eastAsia="宋体" w:hint="default"/>
                <w:spacing w:val="-1"/>
                <w:sz w:val="18"/>
                <w:szCs w:val="18"/>
              </w:rPr>
              <w:t>港）有限公司董事、深圳市广和通无线通信软件有限公司执行董事、广和通无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线（美国）股份有限公司董事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40" w:lineRule="auto" w:before="117"/>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39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现任公司董事长、深圳市广宇通信技术有限公司执行董事、中国电子商会常务 </w:t>
            </w:r>
            <w:r>
              <w:rPr>
                <w:rFonts w:ascii="宋体" w:hAnsi="宋体" w:cs="宋体" w:eastAsia="宋体" w:hint="default"/>
                <w:spacing w:val="-4"/>
                <w:sz w:val="18"/>
                <w:szCs w:val="18"/>
              </w:rPr>
              <w:t>理事、深圳市广和创通投资企业（有限合伙）执行事务合伙人、广和通实业（香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港）有限公司董事、深圳市广和通无线通信软件有限公司执行董事、广和通无 线（美国）股份有限公司董事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40" w:lineRule="auto" w:before="117"/>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w:t>
      </w:r>
    </w:p>
    <w:p>
      <w:pPr>
        <w:spacing w:after="0" w:line="3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139"/>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spacing w:line="4680" w:lineRule="exact"/>
        <w:ind w:left="1317"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811" cy="29718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3" cstate="print"/>
                    <a:stretch>
                      <a:fillRect/>
                    </a:stretch>
                  </pic:blipFill>
                  <pic:spPr>
                    <a:xfrm>
                      <a:off x="0" y="0"/>
                      <a:ext cx="4591811"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4"/>
        <w:rPr>
          <w:rFonts w:ascii="宋体" w:hAnsi="宋体" w:cs="宋体" w:eastAsia="宋体" w:hint="default"/>
          <w:sz w:val="22"/>
          <w:szCs w:val="22"/>
        </w:rPr>
      </w:pPr>
    </w:p>
    <w:p>
      <w:pPr>
        <w:spacing w:before="26"/>
        <w:ind w:left="112" w:right="139"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579"/>
        <w:gridCol w:w="1816"/>
        <w:gridCol w:w="1412"/>
        <w:gridCol w:w="1636"/>
        <w:gridCol w:w="2125"/>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3" w:right="67"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深圳市广和创通投资企业（有限 合伙）</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仅限于对广和通进行股权 投资</w:t>
            </w:r>
          </w:p>
        </w:tc>
      </w:tr>
    </w:tbl>
    <w:p>
      <w:pPr>
        <w:spacing w:line="240" w:lineRule="auto" w:before="3"/>
        <w:rPr>
          <w:rFonts w:ascii="宋体" w:hAnsi="宋体" w:cs="宋体" w:eastAsia="宋体" w:hint="default"/>
          <w:sz w:val="19"/>
          <w:szCs w:val="19"/>
        </w:rPr>
      </w:pPr>
    </w:p>
    <w:p>
      <w:pPr>
        <w:pStyle w:val="Heading3"/>
        <w:spacing w:line="240" w:lineRule="auto" w:before="34"/>
        <w:ind w:right="139"/>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6" w:lineRule="auto" w:before="103"/>
        <w:ind w:right="150" w:firstLine="540"/>
        <w:jc w:val="both"/>
      </w:pPr>
      <w:r>
        <w:rPr>
          <w:spacing w:val="-2"/>
        </w:rPr>
        <w:t>公司控股股东、实际控制人张天瑜承诺：自公司首次公开发行股票并在创业板上市之日起三十六个月内，不转让或者</w:t>
      </w:r>
      <w:r>
        <w:rPr/>
        <w:t> 委托他人管理本次发行前本人持有的公司股份，也不由公司回购该部分股份。</w:t>
      </w:r>
    </w:p>
    <w:p>
      <w:pPr>
        <w:pStyle w:val="BodyText"/>
        <w:spacing w:line="316" w:lineRule="auto" w:before="19"/>
        <w:ind w:right="152" w:firstLine="631"/>
        <w:jc w:val="both"/>
      </w:pPr>
      <w:r>
        <w:rPr/>
        <w:t>公司实际控制人张天瑜担任普通合伙人的广和创通承诺：自公司首次公开发行股票并在创业板上市之日起三十六个 月内，不转让或者委托他人管理本次发行前本合伙企业持有的公司股份，也不由公司回购该部分股份。</w:t>
      </w:r>
    </w:p>
    <w:p>
      <w:pPr>
        <w:pStyle w:val="BodyText"/>
        <w:spacing w:line="309" w:lineRule="auto" w:before="19"/>
        <w:ind w:right="150" w:firstLine="631"/>
        <w:jc w:val="both"/>
      </w:pPr>
      <w:r>
        <w:rPr/>
        <w:t>公司股东大连英特尔承诺：自广和通股票上市之日起十二个月内（以下简称</w:t>
      </w:r>
      <w:r>
        <w:rPr>
          <w:rFonts w:ascii="Times New Roman" w:hAnsi="Times New Roman" w:cs="Times New Roman" w:eastAsia="Times New Roman" w:hint="default"/>
        </w:rPr>
        <w:t>“</w:t>
      </w:r>
      <w:r>
        <w:rPr/>
        <w:t>锁定期</w:t>
      </w:r>
      <w:r>
        <w:rPr>
          <w:rFonts w:ascii="Times New Roman" w:hAnsi="Times New Roman" w:cs="Times New Roman" w:eastAsia="Times New Roman" w:hint="default"/>
        </w:rPr>
        <w:t>”</w:t>
      </w:r>
      <w:r>
        <w:rPr/>
        <w:t>），除根据广和通股票上市方 </w:t>
      </w:r>
      <w:r>
        <w:rPr>
          <w:spacing w:val="-2"/>
        </w:rPr>
        <w:t>案公开发售的股份外，不转让或者委托他人管理广和通股票上市前本公司直接持有广和通的股份，也不由广和通回购该部分</w:t>
      </w:r>
      <w:r>
        <w:rPr>
          <w:spacing w:val="-64"/>
        </w:rPr>
        <w:t> </w:t>
      </w:r>
      <w:r>
        <w:rPr>
          <w:spacing w:val="-64"/>
        </w:rPr>
      </w:r>
      <w:r>
        <w:rPr/>
        <w:t>股份。如未能履行前述承诺，本公司承诺及时通知广和通，并依法承担相应责任。</w:t>
      </w:r>
    </w:p>
    <w:p>
      <w:pPr>
        <w:pStyle w:val="BodyText"/>
        <w:spacing w:line="316" w:lineRule="auto" w:before="24"/>
        <w:ind w:right="152" w:firstLine="631"/>
        <w:jc w:val="both"/>
      </w:pPr>
      <w:r>
        <w:rPr/>
        <w:t>公司股东应凌鹏、许宁承诺：自公司首次公开发行股票并在创业板上市之日起三十六个月内，不转让或者委托他人 管理本次发行前本人持有的公司股份，也不由公司回购该部分股份。</w:t>
      </w:r>
    </w:p>
    <w:p>
      <w:pPr>
        <w:pStyle w:val="BodyText"/>
        <w:spacing w:line="300" w:lineRule="auto" w:before="59"/>
        <w:ind w:right="84" w:firstLine="360"/>
        <w:jc w:val="left"/>
      </w:pPr>
      <w:r>
        <w:rPr/>
        <w:t>持有公司</w:t>
      </w:r>
      <w:r>
        <w:rPr>
          <w:rFonts w:ascii="Times New Roman" w:hAnsi="Times New Roman" w:cs="Times New Roman" w:eastAsia="Times New Roman" w:hint="default"/>
        </w:rPr>
        <w:t>5%</w:t>
      </w:r>
      <w:r>
        <w:rPr/>
        <w:t>以上股份的股东张天瑜就持股意向承诺：本人在所持公司股份的锁定期满后两年内，若本人进行减持，则 每年减持发行人的股份数量不超过本人持有的公司股份数量的</w:t>
      </w:r>
      <w:r>
        <w:rPr>
          <w:rFonts w:ascii="Times New Roman" w:hAnsi="Times New Roman" w:cs="Times New Roman" w:eastAsia="Times New Roman" w:hint="default"/>
        </w:rPr>
        <w:t>25%</w:t>
      </w:r>
      <w:r>
        <w:rPr/>
        <w:t>；本人在所持公司股份的锁定期满后两年内减持股份的，</w:t>
      </w:r>
    </w:p>
    <w:p>
      <w:pPr>
        <w:spacing w:after="0" w:line="300" w:lineRule="auto"/>
        <w:jc w:val="left"/>
        <w:sectPr>
          <w:footerReference w:type="default" r:id="rId22"/>
          <w:pgSz w:w="11910" w:h="16840"/>
          <w:pgMar w:footer="1016" w:header="787" w:top="1100" w:bottom="1200" w:left="1020" w:right="980"/>
          <w:pgNumType w:start="64"/>
        </w:sectPr>
      </w:pPr>
    </w:p>
    <w:p>
      <w:pPr>
        <w:spacing w:line="240" w:lineRule="auto" w:before="13"/>
        <w:rPr>
          <w:rFonts w:ascii="宋体" w:hAnsi="宋体" w:cs="宋体" w:eastAsia="宋体" w:hint="default"/>
          <w:sz w:val="22"/>
          <w:szCs w:val="22"/>
        </w:rPr>
      </w:pPr>
    </w:p>
    <w:p>
      <w:pPr>
        <w:pStyle w:val="BodyText"/>
        <w:spacing w:line="316" w:lineRule="auto" w:before="44"/>
        <w:ind w:right="210"/>
        <w:jc w:val="both"/>
      </w:pPr>
      <w:r>
        <w:rPr>
          <w:spacing w:val="-2"/>
        </w:rPr>
        <w:t>减持价格将不得低于公司首次公开发行股票的发行价；上述发行价如遇除权、除息事项，应作相应调整；未来本人减持股份</w:t>
      </w:r>
      <w:r>
        <w:rPr>
          <w:spacing w:val="-64"/>
        </w:rPr>
        <w:t> </w:t>
      </w:r>
      <w:r>
        <w:rPr>
          <w:spacing w:val="-64"/>
        </w:rPr>
      </w:r>
      <w:r>
        <w:rPr>
          <w:spacing w:val="-2"/>
        </w:rPr>
        <w:t>时，将至少提前三个交易日通过深圳证券交易所将本人的转股意向予以公告，并明确预计减持的股份数量；自本人做出转让</w:t>
      </w:r>
      <w:r>
        <w:rPr>
          <w:spacing w:val="-63"/>
        </w:rPr>
        <w:t> </w:t>
      </w:r>
      <w:r>
        <w:rPr>
          <w:spacing w:val="-63"/>
        </w:rPr>
      </w:r>
      <w:r>
        <w:rPr>
          <w:spacing w:val="-2"/>
        </w:rPr>
        <w:t>股份决定并公告之日起至完成股份转让的期限将不少于四个交易日，且不超过二十个交易日。如本人未按照本持股意向说明</w:t>
      </w:r>
      <w:r>
        <w:rPr>
          <w:spacing w:val="-64"/>
        </w:rPr>
        <w:t> </w:t>
      </w:r>
      <w:r>
        <w:rPr>
          <w:spacing w:val="-64"/>
        </w:rPr>
      </w:r>
      <w:r>
        <w:rPr/>
        <w:t>转让股份，则转让股份所得收益将归公司所有，并将赔偿因本人转让股权给公司或其他股东因此造成的损失。</w:t>
      </w:r>
    </w:p>
    <w:p>
      <w:pPr>
        <w:pStyle w:val="BodyText"/>
        <w:spacing w:line="312" w:lineRule="auto" w:before="57"/>
        <w:ind w:right="114" w:firstLine="360"/>
        <w:jc w:val="left"/>
      </w:pPr>
      <w:r>
        <w:rPr/>
        <w:t>持有公司</w:t>
      </w:r>
      <w:r>
        <w:rPr>
          <w:rFonts w:ascii="Times New Roman" w:hAnsi="Times New Roman" w:cs="Times New Roman" w:eastAsia="Times New Roman" w:hint="default"/>
        </w:rPr>
        <w:t>5%</w:t>
      </w:r>
      <w:r>
        <w:rPr/>
        <w:t>以上股份的股东广和创通就持股意向承诺：本企业在所持公司股份的锁定期满后两年内，若本企业进行减 持，则每年减持发行人的股份数量不超过本企业持有的公司股份数量的</w:t>
      </w:r>
      <w:r>
        <w:rPr>
          <w:rFonts w:ascii="Times New Roman" w:hAnsi="Times New Roman" w:cs="Times New Roman" w:eastAsia="Times New Roman" w:hint="default"/>
        </w:rPr>
        <w:t>25%</w:t>
      </w:r>
      <w:r>
        <w:rPr/>
        <w:t>；本企业在所持公司股份的锁定期满后两年内减 </w:t>
      </w:r>
      <w:r>
        <w:rPr>
          <w:spacing w:val="-2"/>
        </w:rPr>
        <w:t>持股份的，减持价格将不得低于公司首次公开发行股票的发行价；上述发行价如遇除权、除息事项，应作相应调整；未来本</w:t>
      </w:r>
      <w:r>
        <w:rPr>
          <w:spacing w:val="-63"/>
        </w:rPr>
        <w:t> </w:t>
      </w:r>
      <w:r>
        <w:rPr>
          <w:spacing w:val="-63"/>
        </w:rPr>
      </w:r>
      <w:r>
        <w:rPr/>
        <w:t>企业减持股份时，将至少提前三个交易日通过深圳证券交易所将本企业的转股意向予以公告，并明确预计减持的股份数量； </w:t>
      </w:r>
      <w:r>
        <w:rPr>
          <w:spacing w:val="-2"/>
        </w:rPr>
        <w:t>自本企业做出转让股份决定并公告之日起至完成股份转让的期限将不少于四个交易日，且不超过二十个交易日。如本企业未</w:t>
      </w:r>
      <w:r>
        <w:rPr>
          <w:spacing w:val="-64"/>
        </w:rPr>
        <w:t> </w:t>
      </w:r>
      <w:r>
        <w:rPr>
          <w:spacing w:val="-64"/>
        </w:rPr>
      </w:r>
      <w:r>
        <w:rPr>
          <w:spacing w:val="-2"/>
        </w:rPr>
        <w:t>按照本持股意向说明转让股份，则转让股份所得收益将归公司所有，并将赔偿因本企业转让股权给公司或其他股东因此造成</w:t>
      </w:r>
      <w:r>
        <w:rPr>
          <w:spacing w:val="-64"/>
        </w:rPr>
        <w:t> </w:t>
      </w:r>
      <w:r>
        <w:rPr>
          <w:spacing w:val="-64"/>
        </w:rPr>
      </w:r>
      <w:r>
        <w:rPr/>
        <w:t>的损失。</w:t>
      </w:r>
    </w:p>
    <w:p>
      <w:pPr>
        <w:pStyle w:val="BodyText"/>
        <w:spacing w:line="309" w:lineRule="auto" w:before="63"/>
        <w:ind w:right="210" w:firstLine="360"/>
        <w:jc w:val="both"/>
      </w:pPr>
      <w:r>
        <w:rPr/>
        <w:t>持有公司</w:t>
      </w:r>
      <w:r>
        <w:rPr>
          <w:rFonts w:ascii="Times New Roman" w:hAnsi="Times New Roman" w:cs="Times New Roman" w:eastAsia="Times New Roman" w:hint="default"/>
        </w:rPr>
        <w:t>5%</w:t>
      </w:r>
      <w:r>
        <w:rPr/>
        <w:t>以上股份的股东大连英特尔就持股意向承诺：所持公司股票在锁定期满后，可根据需要以任何合法方式转 </w:t>
      </w:r>
      <w:r>
        <w:rPr>
          <w:spacing w:val="-2"/>
        </w:rPr>
        <w:t>让全部或部分公司股票（包括但不限于公开市场交易、集中竞价交易、大宗交易、协议转让等）。拟在上述锁定期满后六十</w:t>
      </w:r>
      <w:r>
        <w:rPr>
          <w:spacing w:val="-63"/>
        </w:rPr>
        <w:t> </w:t>
      </w:r>
      <w:r>
        <w:rPr>
          <w:spacing w:val="-63"/>
        </w:rPr>
      </w:r>
      <w:r>
        <w:rPr/>
        <w:t>个月内，以市场价格减持完毕所持有的公司股票。</w:t>
      </w:r>
    </w:p>
    <w:p>
      <w:pPr>
        <w:pStyle w:val="BodyText"/>
        <w:spacing w:line="312" w:lineRule="auto" w:before="65"/>
        <w:ind w:right="161" w:firstLine="360"/>
        <w:jc w:val="both"/>
      </w:pPr>
      <w:r>
        <w:rPr/>
        <w:t>持有公司</w:t>
      </w:r>
      <w:r>
        <w:rPr>
          <w:rFonts w:ascii="Times New Roman" w:hAnsi="Times New Roman" w:cs="Times New Roman" w:eastAsia="Times New Roman" w:hint="default"/>
        </w:rPr>
        <w:t>5%</w:t>
      </w:r>
      <w:r>
        <w:rPr/>
        <w:t>以上股份的股东应凌鹏就持股意向承诺：本人在所持公司股份的锁定期满后两年内，若本人进行减持，则 每年减持发行人的股份数量不超过本人持有的公司股份数量的</w:t>
      </w:r>
      <w:r>
        <w:rPr>
          <w:rFonts w:ascii="Times New Roman" w:hAnsi="Times New Roman" w:cs="Times New Roman" w:eastAsia="Times New Roman" w:hint="default"/>
        </w:rPr>
        <w:t>25%</w:t>
      </w:r>
      <w:r>
        <w:rPr/>
        <w:t>；本人在所持公司股份的锁定期满后两年内减持股份的， </w:t>
      </w:r>
      <w:r>
        <w:rPr>
          <w:spacing w:val="-2"/>
        </w:rPr>
        <w:t>减持价格将不得低于公司首次公开发行股票的发行价；上述发行价如遇除权、除息事项，应作相应调整；未来本人减持股份</w:t>
      </w:r>
      <w:r>
        <w:rPr>
          <w:spacing w:val="-64"/>
        </w:rPr>
        <w:t> </w:t>
      </w:r>
      <w:r>
        <w:rPr>
          <w:spacing w:val="-64"/>
        </w:rPr>
      </w:r>
      <w:r>
        <w:rPr>
          <w:spacing w:val="-2"/>
        </w:rPr>
        <w:t>时，将至少提前三个交易日通过深圳证券交易所将本人的转股意向予以公告，并明确预计减持的股份数量；自本人做出转让</w:t>
      </w:r>
      <w:r>
        <w:rPr>
          <w:spacing w:val="-63"/>
        </w:rPr>
        <w:t> </w:t>
      </w:r>
      <w:r>
        <w:rPr>
          <w:spacing w:val="-63"/>
        </w:rPr>
      </w:r>
      <w:r>
        <w:rPr>
          <w:spacing w:val="-2"/>
        </w:rPr>
        <w:t>股份决定并公告之日起至完成股份转让的期限将不少于四个交易日，且不超过二十个交易日。如本人未按照本持股意向说明</w:t>
      </w:r>
      <w:r>
        <w:rPr>
          <w:spacing w:val="-64"/>
        </w:rPr>
        <w:t> </w:t>
      </w:r>
      <w:r>
        <w:rPr>
          <w:spacing w:val="-64"/>
        </w:rPr>
      </w:r>
      <w:r>
        <w:rPr/>
        <w:t>转让股份，则转让股份所得收益将归公司所有，并将赔偿因本人转让股权给公司或其他股东因此造成的损失。</w:t>
      </w:r>
    </w:p>
    <w:p>
      <w:pPr>
        <w:pStyle w:val="BodyText"/>
        <w:spacing w:line="309" w:lineRule="auto" w:before="61"/>
        <w:ind w:right="114" w:firstLine="360"/>
        <w:jc w:val="left"/>
      </w:pPr>
      <w:r>
        <w:rPr>
          <w:spacing w:val="-2"/>
        </w:rPr>
        <w:t>作为公司董事、高级管理人员的股东张天瑜、应凌鹏、许宁、陈仕江、邓忠忠承诺：（</w:t>
      </w:r>
      <w:r>
        <w:rPr>
          <w:rFonts w:ascii="Times New Roman" w:hAnsi="Times New Roman" w:cs="Times New Roman" w:eastAsia="Times New Roman" w:hint="default"/>
          <w:spacing w:val="-2"/>
        </w:rPr>
        <w:t>1</w:t>
      </w:r>
      <w:r>
        <w:rPr>
          <w:spacing w:val="-2"/>
        </w:rPr>
        <w:t>）在本人担任公司董事、监事、</w:t>
      </w:r>
      <w:r>
        <w:rPr/>
        <w:t> 高级管理人员期间，每年转让的股份不超过本人持有公司股份总数的</w:t>
      </w:r>
      <w:r>
        <w:rPr>
          <w:rFonts w:ascii="Times New Roman" w:hAnsi="Times New Roman" w:cs="Times New Roman" w:eastAsia="Times New Roman" w:hint="default"/>
        </w:rPr>
        <w:t>25%</w:t>
      </w:r>
      <w:r>
        <w:rPr/>
        <w:t>；离职后半年内，不转让本人所持有的公司股份。 在公司首次公开发行股票上市之日起六个月内申报离职的，自申报离职之日起十八个月内不转让本人直接持有的公司股份； </w:t>
      </w:r>
      <w:r>
        <w:rPr>
          <w:spacing w:val="-2"/>
        </w:rPr>
        <w:t>在公司首次公开发行股票上市之日起第七个月至第十二个月之间申报离职的，自申报离职之日起十二个月内不转让本人直接</w:t>
      </w:r>
      <w:r>
        <w:rPr>
          <w:spacing w:val="-64"/>
        </w:rPr>
        <w:t> </w:t>
      </w:r>
      <w:r>
        <w:rPr>
          <w:spacing w:val="-64"/>
        </w:rPr>
      </w:r>
      <w:r>
        <w:rPr/>
        <w:t>持有的公司股份；（</w:t>
      </w:r>
      <w:r>
        <w:rPr>
          <w:rFonts w:ascii="Times New Roman" w:hAnsi="Times New Roman" w:cs="Times New Roman" w:eastAsia="Times New Roman" w:hint="default"/>
        </w:rPr>
        <w:t>2</w:t>
      </w:r>
      <w:r>
        <w:rPr/>
        <w:t>）上述锁定期满后，本人两年内减持持有的公司股票的，减持价格不低于首次公开发行股票的发行价</w:t>
      </w:r>
    </w:p>
    <w:p>
      <w:pPr>
        <w:pStyle w:val="BodyText"/>
        <w:spacing w:line="304" w:lineRule="auto" w:before="5"/>
        <w:ind w:right="210"/>
        <w:jc w:val="both"/>
      </w:pPr>
      <w:r>
        <w:rPr/>
        <w:t>（若发行人股票在此期间发生派息、送股、资本公积转增股本等除权除息事项的，发行价应相应调整）；公司上市后</w:t>
      </w:r>
      <w:r>
        <w:rPr>
          <w:rFonts w:ascii="Times New Roman" w:hAnsi="Times New Roman" w:cs="Times New Roman" w:eastAsia="Times New Roman" w:hint="default"/>
        </w:rPr>
        <w:t>6</w:t>
      </w:r>
      <w:r>
        <w:rPr/>
        <w:t>个月</w:t>
      </w:r>
      <w:r>
        <w:rPr>
          <w:spacing w:val="-84"/>
        </w:rPr>
        <w:t> </w:t>
      </w:r>
      <w:r>
        <w:rPr/>
        <w:t>内如公司股票连续</w:t>
      </w:r>
      <w:r>
        <w:rPr>
          <w:rFonts w:ascii="Times New Roman" w:hAnsi="Times New Roman" w:cs="Times New Roman" w:eastAsia="Times New Roman" w:hint="default"/>
        </w:rPr>
        <w:t>20</w:t>
      </w:r>
      <w:r>
        <w:rPr/>
        <w:t>个交易日的收盘价均低于发行价，或者上市后</w:t>
      </w:r>
      <w:r>
        <w:rPr>
          <w:rFonts w:ascii="Times New Roman" w:hAnsi="Times New Roman" w:cs="Times New Roman" w:eastAsia="Times New Roman" w:hint="default"/>
        </w:rPr>
        <w:t>6</w:t>
      </w:r>
      <w:r>
        <w:rPr/>
        <w:t>个月期末收盘价低于发行价，本人持有公司股票的锁定</w:t>
      </w:r>
      <w:r>
        <w:rPr>
          <w:spacing w:val="-85"/>
        </w:rPr>
        <w:t> </w:t>
      </w:r>
      <w:r>
        <w:rPr>
          <w:spacing w:val="-85"/>
        </w:rPr>
      </w:r>
      <w:r>
        <w:rPr>
          <w:spacing w:val="-2"/>
        </w:rPr>
        <w:t>期限自动延长至少</w:t>
      </w:r>
      <w:r>
        <w:rPr>
          <w:rFonts w:ascii="Times New Roman" w:hAnsi="Times New Roman" w:cs="Times New Roman" w:eastAsia="Times New Roman" w:hint="default"/>
          <w:spacing w:val="-2"/>
        </w:rPr>
        <w:t>6</w:t>
      </w:r>
      <w:r>
        <w:rPr>
          <w:spacing w:val="-2"/>
        </w:rPr>
        <w:t>个月；（</w:t>
      </w:r>
      <w:r>
        <w:rPr>
          <w:rFonts w:ascii="Times New Roman" w:hAnsi="Times New Roman" w:cs="Times New Roman" w:eastAsia="Times New Roman" w:hint="default"/>
          <w:spacing w:val="-2"/>
        </w:rPr>
        <w:t>3</w:t>
      </w:r>
      <w:r>
        <w:rPr>
          <w:spacing w:val="-2"/>
        </w:rPr>
        <w:t>）本人如违反上述股份变动相关承诺的，除按照法律、法规、中国证券监督管理委员会和深圳</w:t>
      </w:r>
      <w:r>
        <w:rPr>
          <w:spacing w:val="-63"/>
        </w:rPr>
        <w:t> </w:t>
      </w:r>
      <w:r>
        <w:rPr>
          <w:spacing w:val="-63"/>
        </w:rPr>
      </w:r>
      <w:r>
        <w:rPr>
          <w:spacing w:val="-2"/>
        </w:rPr>
        <w:t>证券交易所的相关规定承担法律责任外，本人还应将因违反承诺而获得的全部收益上缴给公司，本人保证在接到董事会发出</w:t>
      </w:r>
      <w:r>
        <w:rPr>
          <w:spacing w:val="-64"/>
        </w:rPr>
        <w:t> </w:t>
      </w:r>
      <w:r>
        <w:rPr>
          <w:spacing w:val="-64"/>
        </w:rPr>
      </w:r>
      <w:r>
        <w:rPr/>
        <w:t>的收益上缴通知之日起</w:t>
      </w:r>
      <w:r>
        <w:rPr>
          <w:rFonts w:ascii="Times New Roman" w:hAnsi="Times New Roman" w:cs="Times New Roman" w:eastAsia="Times New Roman" w:hint="default"/>
        </w:rPr>
        <w:t>20</w:t>
      </w:r>
      <w:r>
        <w:rPr/>
        <w:t>日内将该等收益上缴公司；（</w:t>
      </w:r>
      <w:r>
        <w:rPr>
          <w:rFonts w:ascii="Times New Roman" w:hAnsi="Times New Roman" w:cs="Times New Roman" w:eastAsia="Times New Roman" w:hint="default"/>
        </w:rPr>
        <w:t>4</w:t>
      </w:r>
      <w:r>
        <w:rPr/>
        <w:t>）本人发生职务变更、离职情况的，仍将遵守上述承诺。</w:t>
      </w:r>
    </w:p>
    <w:p>
      <w:pPr>
        <w:pStyle w:val="BodyText"/>
        <w:spacing w:line="307" w:lineRule="auto" w:before="9"/>
        <w:ind w:right="102" w:firstLine="360"/>
        <w:jc w:val="left"/>
      </w:pPr>
      <w:r>
        <w:rPr/>
        <w:t>作为公司监事的股东舒敏、陈绮华、赵明月承诺：（</w:t>
      </w:r>
      <w:r>
        <w:rPr>
          <w:rFonts w:ascii="Times New Roman" w:hAnsi="Times New Roman" w:cs="Times New Roman" w:eastAsia="Times New Roman" w:hint="default"/>
        </w:rPr>
        <w:t>1</w:t>
      </w:r>
      <w:r>
        <w:rPr/>
        <w:t>）在本人担任公司董事、监事、高级管理人员期间，每年转让的 股份不超过本人持有公司股份总数的</w:t>
      </w:r>
      <w:r>
        <w:rPr>
          <w:rFonts w:ascii="Times New Roman" w:hAnsi="Times New Roman" w:cs="Times New Roman" w:eastAsia="Times New Roman" w:hint="default"/>
        </w:rPr>
        <w:t>25%</w:t>
      </w:r>
      <w:r>
        <w:rPr/>
        <w:t>；离职后半年内，不转让本人所持有的公司股份。在公司首次公开发行股票上市之 </w:t>
      </w:r>
      <w:r>
        <w:rPr>
          <w:spacing w:val="-2"/>
        </w:rPr>
        <w:t>日起六个月内申报离职的，自申报离职之日起十八个月内不转让本人直接持有的公司股份；在公司首次公开发行股票上市之</w:t>
      </w:r>
      <w:r>
        <w:rPr>
          <w:spacing w:val="-64"/>
        </w:rPr>
        <w:t> </w:t>
      </w:r>
      <w:r>
        <w:rPr>
          <w:spacing w:val="-64"/>
        </w:rPr>
      </w:r>
      <w:r>
        <w:rPr/>
        <w:t>日起第七个月至第十二个月之间申报离职的，自申报离职之日起十二个月内不转让本人直接持有的公司股份；（</w:t>
      </w:r>
      <w:r>
        <w:rPr>
          <w:rFonts w:ascii="Times New Roman" w:hAnsi="Times New Roman" w:cs="Times New Roman" w:eastAsia="Times New Roman" w:hint="default"/>
        </w:rPr>
        <w:t>2</w:t>
      </w:r>
      <w:r>
        <w:rPr/>
        <w:t>）本人如</w:t>
      </w:r>
      <w:r>
        <w:rPr>
          <w:spacing w:val="-84"/>
        </w:rPr>
        <w:t> </w:t>
      </w:r>
      <w:r>
        <w:rPr>
          <w:spacing w:val="-4"/>
        </w:rPr>
        <w:t>违反上述股份变动相关承诺的，除按照法律、法规、中国证券监督管理委员会和深圳证券交易所的相关规定承担法律责任外，</w:t>
      </w:r>
      <w:r>
        <w:rPr>
          <w:spacing w:val="-40"/>
        </w:rPr>
        <w:t> </w:t>
      </w:r>
      <w:r>
        <w:rPr>
          <w:spacing w:val="-40"/>
        </w:rPr>
      </w:r>
      <w:r>
        <w:rPr>
          <w:spacing w:val="-2"/>
        </w:rPr>
        <w:t>本人还应将因违反承诺而获得的全部收益上缴给公司，本人保证在接到董事会发出的收益上缴通知之日起</w:t>
      </w:r>
      <w:r>
        <w:rPr>
          <w:rFonts w:ascii="Times New Roman" w:hAnsi="Times New Roman" w:cs="Times New Roman" w:eastAsia="Times New Roman" w:hint="default"/>
          <w:spacing w:val="-2"/>
        </w:rPr>
        <w:t>20</w:t>
      </w:r>
      <w:r>
        <w:rPr>
          <w:spacing w:val="-2"/>
        </w:rPr>
        <w:t>日内将该等收益</w:t>
      </w:r>
      <w:r>
        <w:rPr>
          <w:spacing w:val="-63"/>
        </w:rPr>
        <w:t> </w:t>
      </w:r>
      <w:r>
        <w:rPr/>
        <w:t>上缴公司；（</w:t>
      </w:r>
      <w:r>
        <w:rPr>
          <w:rFonts w:ascii="Times New Roman" w:hAnsi="Times New Roman" w:cs="Times New Roman" w:eastAsia="Times New Roman" w:hint="default"/>
        </w:rPr>
        <w:t>3</w:t>
      </w:r>
      <w:r>
        <w:rPr/>
        <w:t>）本人发生职务变更、离职情况的，仍将遵守上述承诺。</w:t>
      </w:r>
    </w:p>
    <w:p>
      <w:pPr>
        <w:spacing w:after="0" w:line="307" w:lineRule="auto"/>
        <w:jc w:val="left"/>
        <w:sectPr>
          <w:pgSz w:w="11910" w:h="16840"/>
          <w:pgMar w:header="787" w:footer="1016" w:top="110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38" w:lineRule="auto" w:before="44"/>
        <w:ind w:right="7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38"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43" w:right="19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90"/>
        <w:jc w:val="left"/>
        <w:rPr>
          <w:b w:val="0"/>
          <w:bCs w:val="0"/>
        </w:rPr>
      </w:pPr>
      <w:r>
        <w:rPr/>
        <w:pict>
          <v:shape style="position:absolute;margin-left:489.480011pt;margin-top:32.945606pt;width:45.75pt;height:50.9pt;mso-position-horizontal-relative:page;mso-position-vertical-relative:paragraph;z-index:-1161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1"/>
              <w:jc w:val="righ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2"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21"/>
              <w:jc w:val="righ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4,272,000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1,068,000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both"/>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0" w:lineRule="auto" w:before="117"/>
        <w:ind w:left="472" w:right="94"/>
        <w:jc w:val="left"/>
      </w:pPr>
      <w:r>
        <w:rPr>
          <w:rFonts w:ascii="Times New Roman" w:hAnsi="Times New Roman" w:cs="Times New Roman" w:eastAsia="Times New Roman" w:hint="default"/>
        </w:rPr>
        <w:t>1</w:t>
      </w:r>
      <w:r>
        <w:rPr/>
        <w:t>、董事会成员 张天瑜，男，</w:t>
      </w:r>
      <w:r>
        <w:rPr>
          <w:rFonts w:ascii="Times New Roman" w:hAnsi="Times New Roman" w:cs="Times New Roman" w:eastAsia="Times New Roman" w:hint="default"/>
        </w:rPr>
        <w:t>1967</w:t>
      </w:r>
      <w:r>
        <w:rPr/>
        <w:t>年出生，中国国籍，无永久境外居留权，</w:t>
      </w:r>
      <w:r>
        <w:rPr>
          <w:rFonts w:ascii="Times New Roman" w:hAnsi="Times New Roman" w:cs="Times New Roman" w:eastAsia="Times New Roman" w:hint="default"/>
        </w:rPr>
        <w:t>1988</w:t>
      </w:r>
      <w:r>
        <w:rPr/>
        <w:t>年大学本科毕业于西安电子科技大学无线电通信专业，</w:t>
      </w:r>
    </w:p>
    <w:p>
      <w:pPr>
        <w:pStyle w:val="BodyText"/>
        <w:spacing w:line="300" w:lineRule="auto" w:before="13"/>
        <w:ind w:right="190"/>
        <w:jc w:val="both"/>
      </w:pPr>
      <w:r>
        <w:rPr>
          <w:rFonts w:ascii="Times New Roman" w:hAnsi="Times New Roman" w:cs="Times New Roman" w:eastAsia="Times New Roman" w:hint="default"/>
          <w:spacing w:val="-2"/>
        </w:rPr>
        <w:t>2010</w:t>
      </w:r>
      <w:r>
        <w:rPr>
          <w:spacing w:val="-2"/>
        </w:rPr>
        <w:t>年取得长江商学院工商管理硕士学位。</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1994</w:t>
      </w:r>
      <w:r>
        <w:rPr>
          <w:spacing w:val="-2"/>
        </w:rPr>
        <w:t>年任中国电子器材厦门公司销售部门经理，</w:t>
      </w:r>
      <w:r>
        <w:rPr>
          <w:rFonts w:ascii="Times New Roman" w:hAnsi="Times New Roman" w:cs="Times New Roman" w:eastAsia="Times New Roman" w:hint="default"/>
          <w:spacing w:val="-2"/>
        </w:rPr>
        <w:t>1994</w:t>
      </w:r>
      <w:r>
        <w:rPr>
          <w:spacing w:val="-2"/>
        </w:rPr>
        <w:t>年创立厦门日新经</w:t>
      </w:r>
      <w:r>
        <w:rPr>
          <w:spacing w:val="-56"/>
        </w:rPr>
        <w:t> </w:t>
      </w:r>
      <w:r>
        <w:rPr>
          <w:spacing w:val="-2"/>
        </w:rPr>
        <w:t>营电子元器件购销业务，</w:t>
      </w:r>
      <w:r>
        <w:rPr>
          <w:rFonts w:ascii="Times New Roman" w:hAnsi="Times New Roman" w:cs="Times New Roman" w:eastAsia="Times New Roman" w:hint="default"/>
          <w:spacing w:val="-2"/>
        </w:rPr>
        <w:t>1999</w:t>
      </w:r>
      <w:r>
        <w:rPr>
          <w:spacing w:val="-2"/>
        </w:rPr>
        <w:t>年创立广和通。现任公司董事长、广宇通信执行董事、中国电子商会常务理事、广和创通执行</w:t>
      </w:r>
      <w:r>
        <w:rPr>
          <w:spacing w:val="-61"/>
        </w:rPr>
        <w:t> </w:t>
      </w:r>
      <w:r>
        <w:rPr>
          <w:spacing w:val="-61"/>
        </w:rPr>
      </w:r>
      <w:r>
        <w:rPr/>
        <w:t>事务合伙人、香港广和通董事、广和通软件执行董事、美国广和通董事。</w:t>
      </w:r>
    </w:p>
    <w:p>
      <w:pPr>
        <w:pStyle w:val="BodyText"/>
        <w:spacing w:line="300" w:lineRule="auto" w:before="31"/>
        <w:ind w:right="111" w:firstLine="360"/>
        <w:jc w:val="both"/>
      </w:pPr>
      <w:r>
        <w:rPr>
          <w:spacing w:val="-2"/>
        </w:rPr>
        <w:t>应凌鹏，男，</w:t>
      </w:r>
      <w:r>
        <w:rPr>
          <w:rFonts w:ascii="Times New Roman" w:hAnsi="Times New Roman" w:cs="Times New Roman" w:eastAsia="Times New Roman" w:hint="default"/>
          <w:spacing w:val="-2"/>
        </w:rPr>
        <w:t>1974</w:t>
      </w:r>
      <w:r>
        <w:rPr>
          <w:spacing w:val="-2"/>
        </w:rPr>
        <w:t>年出生，中国国籍，无永久境外居留权，大专学历，厦门大学</w:t>
      </w:r>
      <w:r>
        <w:rPr>
          <w:rFonts w:ascii="Times New Roman" w:hAnsi="Times New Roman" w:cs="Times New Roman" w:eastAsia="Times New Roman" w:hint="default"/>
          <w:spacing w:val="-2"/>
        </w:rPr>
        <w:t>EMBA</w:t>
      </w:r>
      <w:r>
        <w:rPr>
          <w:spacing w:val="-2"/>
        </w:rPr>
        <w:t>在读。</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1998</w:t>
      </w:r>
      <w:r>
        <w:rPr>
          <w:spacing w:val="-2"/>
        </w:rPr>
        <w:t>年任厦门日</w:t>
      </w:r>
      <w:r>
        <w:rPr/>
        <w:t> 新销售经理，</w:t>
      </w:r>
      <w:r>
        <w:rPr>
          <w:rFonts w:ascii="Times New Roman" w:hAnsi="Times New Roman" w:cs="Times New Roman" w:eastAsia="Times New Roman" w:hint="default"/>
        </w:rPr>
        <w:t>1999</w:t>
      </w:r>
      <w:r>
        <w:rPr/>
        <w:t>年入职广和通任销售经理，现任公司董事、总经理、广和通软件总经理、博格斯董事、美国广和通董事。</w:t>
      </w:r>
    </w:p>
    <w:p>
      <w:pPr>
        <w:pStyle w:val="BodyText"/>
        <w:spacing w:line="300" w:lineRule="auto" w:before="13"/>
        <w:ind w:right="188" w:firstLine="360"/>
        <w:jc w:val="both"/>
      </w:pPr>
      <w:r>
        <w:rPr>
          <w:spacing w:val="-2"/>
        </w:rPr>
        <w:t>许宁，男，</w:t>
      </w:r>
      <w:r>
        <w:rPr>
          <w:rFonts w:ascii="Times New Roman" w:hAnsi="Times New Roman" w:cs="Times New Roman" w:eastAsia="Times New Roman" w:hint="default"/>
          <w:spacing w:val="-2"/>
        </w:rPr>
        <w:t>1973</w:t>
      </w:r>
      <w:r>
        <w:rPr>
          <w:spacing w:val="-2"/>
        </w:rPr>
        <w:t>年出生，中国国籍，无永久境外居留权，</w:t>
      </w:r>
      <w:r>
        <w:rPr>
          <w:rFonts w:ascii="Times New Roman" w:hAnsi="Times New Roman" w:cs="Times New Roman" w:eastAsia="Times New Roman" w:hint="default"/>
          <w:spacing w:val="-2"/>
        </w:rPr>
        <w:t>1994</w:t>
      </w:r>
      <w:r>
        <w:rPr>
          <w:spacing w:val="-2"/>
        </w:rPr>
        <w:t>年大学本科毕业于桂林电子工业学院电子仪器及测量技术</w:t>
      </w:r>
      <w:r>
        <w:rPr/>
        <w:t> </w:t>
      </w:r>
      <w:r>
        <w:rPr>
          <w:spacing w:val="-2"/>
        </w:rPr>
        <w:t>专业。</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1998</w:t>
      </w:r>
      <w:r>
        <w:rPr>
          <w:spacing w:val="-2"/>
        </w:rPr>
        <w:t>年任彩虹集团公司工程师，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年任深圳三星视界有限公司工程师，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年任深圳市</w:t>
      </w:r>
      <w:r>
        <w:rPr>
          <w:spacing w:val="-51"/>
        </w:rPr>
        <w:t> </w:t>
      </w:r>
      <w:r>
        <w:rPr/>
        <w:t>云海通讯股份有限公司工程师，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年任广宇通信技术总监，现任公司董事、副总经理。</w:t>
      </w:r>
    </w:p>
    <w:p>
      <w:pPr>
        <w:pStyle w:val="BodyText"/>
        <w:spacing w:line="300" w:lineRule="auto" w:before="13"/>
        <w:ind w:right="182" w:firstLine="360"/>
        <w:jc w:val="both"/>
      </w:pPr>
      <w:r>
        <w:rPr>
          <w:spacing w:val="-5"/>
        </w:rPr>
        <w:t>韦传军，男，</w:t>
      </w:r>
      <w:r>
        <w:rPr>
          <w:rFonts w:ascii="Times New Roman" w:hAnsi="Times New Roman" w:cs="Times New Roman" w:eastAsia="Times New Roman" w:hint="default"/>
          <w:spacing w:val="-5"/>
        </w:rPr>
        <w:t>1968</w:t>
      </w:r>
      <w:r>
        <w:rPr>
          <w:spacing w:val="-5"/>
        </w:rPr>
        <w:t>年出生，中国国籍，无永久境外居留权，大学学历，上海财经大学</w:t>
      </w:r>
      <w:r>
        <w:rPr>
          <w:rFonts w:ascii="Times New Roman" w:hAnsi="Times New Roman" w:cs="Times New Roman" w:eastAsia="Times New Roman" w:hint="default"/>
          <w:spacing w:val="-5"/>
        </w:rPr>
        <w:t>EMBA</w:t>
      </w:r>
      <w:r>
        <w:rPr>
          <w:spacing w:val="-5"/>
        </w:rPr>
        <w:t>，中国注册会计师资格。</w:t>
      </w:r>
      <w:r>
        <w:rPr>
          <w:rFonts w:ascii="Times New Roman" w:hAnsi="Times New Roman" w:cs="Times New Roman" w:eastAsia="Times New Roman" w:hint="default"/>
          <w:spacing w:val="-5"/>
        </w:rPr>
        <w:t>1994</w:t>
      </w:r>
      <w:r>
        <w:rPr>
          <w:rFonts w:ascii="Times New Roman" w:hAnsi="Times New Roman" w:cs="Times New Roman" w:eastAsia="Times New Roman" w:hint="default"/>
        </w:rPr>
        <w:t> </w:t>
      </w:r>
      <w:r>
        <w:rPr>
          <w:spacing w:val="-1"/>
        </w:rPr>
        <w:t>年至</w:t>
      </w:r>
      <w:r>
        <w:rPr>
          <w:rFonts w:ascii="Times New Roman" w:hAnsi="Times New Roman" w:cs="Times New Roman" w:eastAsia="Times New Roman" w:hint="default"/>
          <w:spacing w:val="-1"/>
        </w:rPr>
        <w:t>1995</w:t>
      </w:r>
      <w:r>
        <w:rPr>
          <w:spacing w:val="-1"/>
        </w:rPr>
        <w:t>年任深圳大华会计师事务所审计师，</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1997</w:t>
      </w:r>
      <w:r>
        <w:rPr>
          <w:spacing w:val="-1"/>
        </w:rPr>
        <w:t>年任兆峰陶瓷</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w:t>
      </w:r>
      <w:r>
        <w:rPr>
          <w:spacing w:val="-1"/>
        </w:rPr>
        <w:t>集团有限公司财务分析师，</w:t>
      </w:r>
      <w:r>
        <w:rPr>
          <w:rFonts w:ascii="Times New Roman" w:hAnsi="Times New Roman" w:cs="Times New Roman" w:eastAsia="Times New Roman" w:hint="default"/>
          <w:spacing w:val="-1"/>
        </w:rPr>
        <w:t>1997</w:t>
      </w:r>
      <w:r>
        <w:rPr>
          <w:spacing w:val="-1"/>
        </w:rPr>
        <w:t>至</w:t>
      </w:r>
      <w:r>
        <w:rPr>
          <w:rFonts w:ascii="Times New Roman" w:hAnsi="Times New Roman" w:cs="Times New Roman" w:eastAsia="Times New Roman" w:hint="default"/>
          <w:spacing w:val="-1"/>
        </w:rPr>
        <w:t>2002</w:t>
      </w:r>
      <w:r>
        <w:rPr>
          <w:spacing w:val="-1"/>
        </w:rPr>
        <w:t>年任</w:t>
      </w:r>
      <w:r>
        <w:rPr>
          <w:spacing w:val="-55"/>
        </w:rPr>
        <w:t> </w:t>
      </w:r>
      <w:r>
        <w:rPr>
          <w:spacing w:val="-1"/>
        </w:rPr>
        <w:t>万科</w:t>
      </w: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000002</w:t>
      </w:r>
      <w:r>
        <w:rPr>
          <w:spacing w:val="-1"/>
        </w:rPr>
        <w:t>）财务部总经理助理，</w:t>
      </w:r>
      <w:r>
        <w:rPr>
          <w:rFonts w:ascii="Times New Roman" w:hAnsi="Times New Roman" w:cs="Times New Roman" w:eastAsia="Times New Roman" w:hint="default"/>
          <w:spacing w:val="-1"/>
        </w:rPr>
        <w:t>2002</w:t>
      </w:r>
      <w:r>
        <w:rPr>
          <w:spacing w:val="-1"/>
        </w:rPr>
        <w:t>年至今任金地集团（</w:t>
      </w:r>
      <w:r>
        <w:rPr>
          <w:rFonts w:ascii="Times New Roman" w:hAnsi="Times New Roman" w:cs="Times New Roman" w:eastAsia="Times New Roman" w:hint="default"/>
          <w:spacing w:val="-1"/>
        </w:rPr>
        <w:t>600383</w:t>
      </w:r>
      <w:r>
        <w:rPr>
          <w:spacing w:val="-1"/>
        </w:rPr>
        <w:t>）财务总监、</w:t>
      </w:r>
      <w:r>
        <w:rPr>
          <w:rFonts w:ascii="Times New Roman" w:hAnsi="Times New Roman" w:cs="Times New Roman" w:eastAsia="Times New Roman" w:hint="default"/>
          <w:spacing w:val="-1"/>
        </w:rPr>
        <w:t>2017</w:t>
      </w:r>
      <w:r>
        <w:rPr>
          <w:spacing w:val="-1"/>
        </w:rPr>
        <w:t>年任金地集团董事，深圳市聚作照</w:t>
      </w:r>
      <w:r>
        <w:rPr>
          <w:spacing w:val="-65"/>
        </w:rPr>
        <w:t> </w:t>
      </w:r>
      <w:r>
        <w:rPr>
          <w:spacing w:val="-65"/>
        </w:rPr>
      </w:r>
      <w:r>
        <w:rPr/>
        <w:t>明股份有限公司独立董事，现任公司独立董事。</w:t>
      </w:r>
    </w:p>
    <w:p>
      <w:pPr>
        <w:pStyle w:val="BodyText"/>
        <w:spacing w:line="240" w:lineRule="auto" w:before="31"/>
        <w:ind w:left="472" w:right="0"/>
        <w:jc w:val="left"/>
      </w:pPr>
      <w:r>
        <w:rPr/>
        <w:t>王宁，男，</w:t>
      </w:r>
      <w:r>
        <w:rPr>
          <w:rFonts w:ascii="Times New Roman" w:hAnsi="Times New Roman" w:cs="Times New Roman" w:eastAsia="Times New Roman" w:hint="default"/>
        </w:rPr>
        <w:t>1955</w:t>
      </w:r>
      <w:r>
        <w:rPr/>
        <w:t>年出生，中国国籍，无永久境外居留权，大学学历，高级经济师。</w:t>
      </w:r>
      <w:r>
        <w:rPr>
          <w:rFonts w:ascii="Times New Roman" w:hAnsi="Times New Roman" w:cs="Times New Roman" w:eastAsia="Times New Roman" w:hint="default"/>
        </w:rPr>
        <w:t>1982</w:t>
      </w:r>
      <w:r>
        <w:rPr/>
        <w:t>年至</w:t>
      </w:r>
      <w:r>
        <w:rPr>
          <w:rFonts w:ascii="Times New Roman" w:hAnsi="Times New Roman" w:cs="Times New Roman" w:eastAsia="Times New Roman" w:hint="default"/>
        </w:rPr>
        <w:t>1994</w:t>
      </w:r>
      <w:r>
        <w:rPr/>
        <w:t>年任电子工业部销售局</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00" w:lineRule="auto" w:before="44"/>
        <w:ind w:right="190"/>
        <w:jc w:val="left"/>
      </w:pPr>
      <w:r>
        <w:rPr>
          <w:spacing w:val="-2"/>
        </w:rPr>
        <w:t>办公室副主任，全国家电维修管理中心处长，</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2017</w:t>
      </w:r>
      <w:r>
        <w:rPr>
          <w:spacing w:val="-2"/>
        </w:rPr>
        <w:t>年任中国电子商会常务副会长，现任中国电子商会会长、公司独</w:t>
      </w:r>
      <w:r>
        <w:rPr>
          <w:spacing w:val="-60"/>
        </w:rPr>
        <w:t> </w:t>
      </w:r>
      <w:r>
        <w:rPr>
          <w:spacing w:val="-60"/>
        </w:rPr>
      </w:r>
      <w:r>
        <w:rPr/>
        <w:t>立董事。</w:t>
      </w:r>
    </w:p>
    <w:p>
      <w:pPr>
        <w:spacing w:line="240" w:lineRule="auto" w:before="3"/>
        <w:rPr>
          <w:rFonts w:ascii="宋体" w:hAnsi="宋体" w:cs="宋体" w:eastAsia="宋体" w:hint="default"/>
          <w:sz w:val="26"/>
          <w:szCs w:val="26"/>
        </w:rPr>
      </w:pPr>
    </w:p>
    <w:p>
      <w:pPr>
        <w:pStyle w:val="BodyText"/>
        <w:spacing w:line="300" w:lineRule="auto"/>
        <w:ind w:left="472" w:right="190"/>
        <w:jc w:val="left"/>
      </w:pPr>
      <w:r>
        <w:rPr>
          <w:rFonts w:ascii="Times New Roman" w:hAnsi="Times New Roman" w:cs="Times New Roman" w:eastAsia="Times New Roman" w:hint="default"/>
        </w:rPr>
        <w:t>2</w:t>
      </w:r>
      <w:r>
        <w:rPr/>
        <w:t>、监事会成员 </w:t>
      </w:r>
      <w:r>
        <w:rPr>
          <w:spacing w:val="-2"/>
        </w:rPr>
        <w:t>舒敏，男，</w:t>
      </w:r>
      <w:r>
        <w:rPr>
          <w:rFonts w:ascii="Times New Roman" w:hAnsi="Times New Roman" w:cs="Times New Roman" w:eastAsia="Times New Roman" w:hint="default"/>
          <w:spacing w:val="-2"/>
        </w:rPr>
        <w:t>1970</w:t>
      </w:r>
      <w:r>
        <w:rPr>
          <w:spacing w:val="-2"/>
        </w:rPr>
        <w:t>年出生，中国国籍，无永久境外居留权，硕士研究生学历。</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1999</w:t>
      </w:r>
      <w:r>
        <w:rPr>
          <w:spacing w:val="-2"/>
        </w:rPr>
        <w:t>年任中国燃气涡轮研究院工程</w:t>
      </w:r>
    </w:p>
    <w:p>
      <w:pPr>
        <w:pStyle w:val="BodyText"/>
        <w:spacing w:line="240" w:lineRule="auto" w:before="13"/>
        <w:ind w:right="0"/>
        <w:jc w:val="left"/>
      </w:pPr>
      <w:r>
        <w:rPr/>
        <w:t>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2000</w:t>
      </w:r>
      <w:r>
        <w:rPr/>
        <w:t>年任珠海维洛特电子有限公司工程师，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年任深圳市云海通讯股份有限公司工程师，</w:t>
      </w:r>
      <w:r>
        <w:rPr>
          <w:rFonts w:ascii="Times New Roman" w:hAnsi="Times New Roman" w:cs="Times New Roman" w:eastAsia="Times New Roman" w:hint="default"/>
        </w:rPr>
        <w:t>2002</w:t>
      </w:r>
      <w:r>
        <w:rPr/>
        <w:t>年至</w:t>
      </w:r>
    </w:p>
    <w:p>
      <w:pPr>
        <w:pStyle w:val="BodyText"/>
        <w:spacing w:line="300" w:lineRule="auto" w:before="63"/>
        <w:ind w:left="472" w:right="190" w:hanging="360"/>
        <w:jc w:val="left"/>
      </w:pPr>
      <w:r>
        <w:rPr>
          <w:rFonts w:ascii="Times New Roman" w:hAnsi="Times New Roman" w:cs="Times New Roman" w:eastAsia="Times New Roman" w:hint="default"/>
        </w:rPr>
        <w:t>2004</w:t>
      </w:r>
      <w:r>
        <w:rPr/>
        <w:t>年任深圳市东汉和科技开发有限公司工程师，现任公司监事会主席、总工程师。 </w:t>
      </w:r>
      <w:r>
        <w:rPr>
          <w:spacing w:val="-2"/>
        </w:rPr>
        <w:t>陈绮华，女，</w:t>
      </w:r>
      <w:r>
        <w:rPr>
          <w:rFonts w:ascii="Times New Roman" w:hAnsi="Times New Roman" w:cs="Times New Roman" w:eastAsia="Times New Roman" w:hint="default"/>
          <w:spacing w:val="-2"/>
        </w:rPr>
        <w:t>1979</w:t>
      </w:r>
      <w:r>
        <w:rPr>
          <w:spacing w:val="-2"/>
        </w:rPr>
        <w:t>年出生，中国国籍，无永久境外居留权，大学学历。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2005</w:t>
      </w:r>
      <w:r>
        <w:rPr>
          <w:spacing w:val="-2"/>
        </w:rPr>
        <w:t>年任深圳市天音科技发展有限公司</w:t>
      </w:r>
    </w:p>
    <w:p>
      <w:pPr>
        <w:pStyle w:val="BodyText"/>
        <w:spacing w:line="300" w:lineRule="auto" w:before="13"/>
        <w:ind w:left="472" w:right="190" w:hanging="360"/>
        <w:jc w:val="left"/>
      </w:pPr>
      <w:r>
        <w:rPr>
          <w:rFonts w:ascii="Times New Roman" w:hAnsi="Times New Roman" w:cs="Times New Roman" w:eastAsia="Times New Roman" w:hint="default"/>
        </w:rPr>
        <w:t>ERP</w:t>
      </w:r>
      <w:r>
        <w:rPr/>
        <w:t>建设专员，</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年任中广天成售后经理，现任公司监事、总经理助理。 </w:t>
      </w:r>
      <w:r>
        <w:rPr>
          <w:spacing w:val="-2"/>
        </w:rPr>
        <w:t>赵明月，女，</w:t>
      </w:r>
      <w:r>
        <w:rPr>
          <w:rFonts w:ascii="Times New Roman" w:hAnsi="Times New Roman" w:cs="Times New Roman" w:eastAsia="Times New Roman" w:hint="default"/>
          <w:spacing w:val="-2"/>
        </w:rPr>
        <w:t>1981</w:t>
      </w:r>
      <w:r>
        <w:rPr>
          <w:spacing w:val="-2"/>
        </w:rPr>
        <w:t>年出生，中国国籍，无永久境外居留权，大学学历，企业人力资源管理师。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2004</w:t>
      </w:r>
      <w:r>
        <w:rPr>
          <w:spacing w:val="-2"/>
        </w:rPr>
        <w:t>年任明康亚</w:t>
      </w:r>
    </w:p>
    <w:p>
      <w:pPr>
        <w:pStyle w:val="BodyText"/>
        <w:spacing w:line="300" w:lineRule="auto" w:before="13"/>
        <w:ind w:right="190"/>
        <w:jc w:val="left"/>
      </w:pPr>
      <w:r>
        <w:rPr>
          <w:spacing w:val="-2"/>
        </w:rPr>
        <w:t>细亚电子（深圳）有限公司人力资源专员，</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2012</w:t>
      </w:r>
      <w:r>
        <w:rPr>
          <w:spacing w:val="-2"/>
        </w:rPr>
        <w:t>年任深圳市麦逊电子有限公司人力资源主管，</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2012</w:t>
      </w:r>
      <w:r>
        <w:rPr>
          <w:spacing w:val="-2"/>
        </w:rPr>
        <w:t>年任英</w:t>
      </w:r>
      <w:r>
        <w:rPr>
          <w:spacing w:val="-56"/>
        </w:rPr>
        <w:t> </w:t>
      </w:r>
      <w:r>
        <w:rPr/>
        <w:t>威腾（</w:t>
      </w:r>
      <w:r>
        <w:rPr>
          <w:rFonts w:ascii="Times New Roman" w:hAnsi="Times New Roman" w:cs="Times New Roman" w:eastAsia="Times New Roman" w:hint="default"/>
        </w:rPr>
        <w:t>002334</w:t>
      </w:r>
      <w:r>
        <w:rPr/>
        <w:t>）人力资源经理，现任公司监事（职工代表监事）、人力资源总监。</w:t>
      </w:r>
    </w:p>
    <w:p>
      <w:pPr>
        <w:spacing w:line="240" w:lineRule="auto" w:before="11"/>
        <w:rPr>
          <w:rFonts w:ascii="宋体" w:hAnsi="宋体" w:cs="宋体" w:eastAsia="宋体" w:hint="default"/>
          <w:sz w:val="24"/>
          <w:szCs w:val="24"/>
        </w:rPr>
      </w:pPr>
    </w:p>
    <w:p>
      <w:pPr>
        <w:pStyle w:val="BodyText"/>
        <w:spacing w:line="300" w:lineRule="auto"/>
        <w:ind w:left="472" w:right="4884"/>
        <w:jc w:val="left"/>
      </w:pPr>
      <w:r>
        <w:rPr>
          <w:rFonts w:ascii="Times New Roman" w:hAnsi="Times New Roman" w:cs="Times New Roman" w:eastAsia="Times New Roman" w:hint="default"/>
        </w:rPr>
        <w:t>3</w:t>
      </w:r>
      <w:r>
        <w:rPr/>
        <w:t>、高级管理人员 应凌鹏：总经理、董事，简历详见本节</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许宁：副总经理、董事，简历详见本节</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00" w:lineRule="auto" w:before="13"/>
        <w:ind w:right="93" w:firstLine="360"/>
        <w:jc w:val="left"/>
      </w:pPr>
      <w:r>
        <w:rPr>
          <w:spacing w:val="-2"/>
        </w:rPr>
        <w:t>陈仕江，男，</w:t>
      </w:r>
      <w:r>
        <w:rPr>
          <w:rFonts w:ascii="Times New Roman" w:hAnsi="Times New Roman" w:cs="Times New Roman" w:eastAsia="Times New Roman" w:hint="default"/>
          <w:spacing w:val="-2"/>
        </w:rPr>
        <w:t>1981</w:t>
      </w:r>
      <w:r>
        <w:rPr>
          <w:spacing w:val="-2"/>
        </w:rPr>
        <w:t>年出生，中国国籍，无境外永久居留权，硕士研究生学历。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年任深圳市高新投集团有限</w:t>
      </w:r>
      <w:r>
        <w:rPr/>
        <w:t> </w:t>
      </w:r>
      <w:r>
        <w:rPr>
          <w:spacing w:val="-2"/>
        </w:rPr>
        <w:t>公司项目经理，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年任深圳市旺鑫精密工业有限公司副总经理，</w:t>
      </w: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月任汇冠股份（</w:t>
      </w:r>
      <w:r>
        <w:rPr>
          <w:rFonts w:ascii="Times New Roman" w:hAnsi="Times New Roman" w:cs="Times New Roman" w:eastAsia="Times New Roman" w:hint="default"/>
          <w:spacing w:val="-2"/>
        </w:rPr>
        <w:t>300282</w:t>
      </w:r>
      <w:r>
        <w:rPr>
          <w:spacing w:val="-2"/>
        </w:rPr>
        <w:t>）监事，</w:t>
      </w:r>
      <w:r>
        <w:rPr>
          <w:spacing w:val="-51"/>
        </w:rPr>
        <w:t> </w:t>
      </w:r>
      <w:r>
        <w:rPr>
          <w:spacing w:val="-51"/>
        </w:rPr>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月以来任公司副总经理、财务总监、董事会秘书。</w:t>
      </w:r>
    </w:p>
    <w:p>
      <w:pPr>
        <w:pStyle w:val="BodyText"/>
        <w:spacing w:line="300" w:lineRule="auto" w:before="13"/>
        <w:ind w:right="192" w:firstLine="360"/>
        <w:jc w:val="both"/>
      </w:pPr>
      <w:r>
        <w:rPr/>
        <w:t>邓忠忠，男，</w:t>
      </w:r>
      <w:r>
        <w:rPr>
          <w:rFonts w:ascii="Times New Roman" w:hAnsi="Times New Roman" w:cs="Times New Roman" w:eastAsia="Times New Roman" w:hint="default"/>
        </w:rPr>
        <w:t>1974</w:t>
      </w:r>
      <w:r>
        <w:rPr/>
        <w:t>年出生，中国国籍，无永久境外居留权，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月硕士研究生毕业于西安交通大学工商管理专业。 </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1997</w:t>
      </w:r>
      <w:r>
        <w:rPr>
          <w:spacing w:val="-2"/>
        </w:rPr>
        <w:t>年任深圳王力电机股份有限公司制造部线长、</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2007</w:t>
      </w:r>
      <w:r>
        <w:rPr>
          <w:spacing w:val="-2"/>
        </w:rPr>
        <w:t>年任华为技术有限公司工程师，</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年任</w:t>
      </w:r>
      <w:r>
        <w:rPr>
          <w:spacing w:val="-52"/>
        </w:rPr>
        <w:t> </w:t>
      </w:r>
      <w:r>
        <w:rPr/>
        <w:t>深圳福斯特电池有限公司运营副总经理，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月任公司制造总监，</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年任深圳卓力能电子有限 公司总经理特别助理，自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月以来任公司副总经理。</w:t>
      </w:r>
    </w:p>
    <w:p>
      <w:pPr>
        <w:spacing w:line="240" w:lineRule="auto" w:before="0"/>
        <w:rPr>
          <w:rFonts w:ascii="宋体" w:hAnsi="宋体" w:cs="宋体" w:eastAsia="宋体" w:hint="default"/>
          <w:sz w:val="18"/>
          <w:szCs w:val="18"/>
        </w:rPr>
      </w:pPr>
    </w:p>
    <w:p>
      <w:pPr>
        <w:pStyle w:val="BodyText"/>
        <w:spacing w:line="240" w:lineRule="auto" w:before="128"/>
        <w:ind w:right="190"/>
        <w:jc w:val="left"/>
      </w:pPr>
      <w:r>
        <w:rPr/>
        <w:t>在股东单位任职情况</w:t>
      </w:r>
    </w:p>
    <w:p>
      <w:pPr>
        <w:pStyle w:val="BodyText"/>
        <w:spacing w:line="340"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在其他单位任职情况</w:t>
      </w:r>
    </w:p>
    <w:p>
      <w:pPr>
        <w:pStyle w:val="BodyText"/>
        <w:spacing w:line="240" w:lineRule="auto" w:before="39"/>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深圳市广宇通信技术有限公司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中国电子商会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深圳市永和顺五金有限公司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金地集团（及其控制、投资的企业）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13"/>
                <w:sz w:val="18"/>
                <w:szCs w:val="18"/>
              </w:rPr>
              <w:t>董事、财务总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深圳市聚作照明股份有限公司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深圳市金雨行投资管理有限公司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中国电子商会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赵明月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深圳市利奥智造有限公司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韦传军、王宁为公司独立董事</w:t>
            </w:r>
          </w:p>
        </w:tc>
      </w:tr>
    </w:tbl>
    <w:p>
      <w:pPr>
        <w:pStyle w:val="BodyText"/>
        <w:spacing w:line="240" w:lineRule="auto" w:before="50"/>
        <w:ind w:right="190"/>
        <w:jc w:val="left"/>
      </w:pPr>
      <w:r>
        <w:rPr/>
        <w:t>公司现任及报告期内离任董事、监事和高级管理人员近三年证券监管机构处罚的情况</w:t>
      </w:r>
    </w:p>
    <w:p>
      <w:pPr>
        <w:pStyle w:val="BodyText"/>
        <w:spacing w:line="240" w:lineRule="auto" w:before="117"/>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9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4"/>
        <w:jc w:val="left"/>
      </w:pPr>
      <w:r>
        <w:rPr/>
        <w:t>董事、监事、高级管理人员报酬的决策程序、确定依据、实际支付情况 公司董事、监事薪酬由公司股东大会决定，高级管理人员薪酬由董事会决定。报告期内公司董事（不含独立董事）、监事、 </w:t>
      </w:r>
      <w:r>
        <w:rPr>
          <w:spacing w:val="-2"/>
        </w:rPr>
        <w:t>高级管理人员薪酬由基本工资与年终奖金组成，其中基本工资根据上述人员工作内容与强度、工作年限、个人能力等因素综</w:t>
      </w:r>
    </w:p>
    <w:p>
      <w:pPr>
        <w:pStyle w:val="BodyText"/>
        <w:spacing w:line="326" w:lineRule="auto" w:before="2"/>
        <w:ind w:right="190"/>
        <w:jc w:val="left"/>
      </w:pPr>
      <w:r>
        <w:rPr>
          <w:spacing w:val="-2"/>
        </w:rPr>
        <w:t>合确定，年终奖金根据绩效考核结果确定；在公司担任具体管理职务的董事、监事根据其在公司的具体任职岗位领取相应的</w:t>
      </w:r>
      <w:r>
        <w:rPr>
          <w:spacing w:val="-65"/>
        </w:rPr>
        <w:t> </w:t>
      </w:r>
      <w:r>
        <w:rPr>
          <w:spacing w:val="-65"/>
        </w:rPr>
      </w:r>
      <w:r>
        <w:rPr/>
        <w:t>报酬，不再领取董事、监事职务报酬；独立董事领取独立董事津贴。截至报告期末，公司董事、监事及高级管理人员共计 </w:t>
      </w:r>
      <w:r>
        <w:rPr>
          <w:rFonts w:ascii="Times New Roman" w:hAnsi="Times New Roman" w:cs="Times New Roman" w:eastAsia="Times New Roman" w:hint="default"/>
        </w:rPr>
        <w:t>10 </w:t>
      </w:r>
      <w:r>
        <w:rPr/>
        <w:t>人，</w:t>
      </w:r>
      <w:r>
        <w:rPr>
          <w:rFonts w:ascii="Times New Roman" w:hAnsi="Times New Roman" w:cs="Times New Roman" w:eastAsia="Times New Roman" w:hint="default"/>
        </w:rPr>
        <w:t>2017 </w:t>
      </w:r>
      <w:r>
        <w:rPr/>
        <w:t>年公司实际支付董事、监事及高级管理人员报酬共计 </w:t>
      </w:r>
      <w:r>
        <w:rPr>
          <w:rFonts w:ascii="Times New Roman" w:hAnsi="Times New Roman" w:cs="Times New Roman" w:eastAsia="Times New Roman" w:hint="default"/>
        </w:rPr>
        <w:t>389.64</w:t>
      </w:r>
      <w:r>
        <w:rPr>
          <w:rFonts w:ascii="Times New Roman" w:hAnsi="Times New Roman" w:cs="Times New Roman" w:eastAsia="Times New Roman" w:hint="default"/>
          <w:spacing w:val="-6"/>
        </w:rPr>
        <w:t> </w:t>
      </w:r>
      <w:r>
        <w:rPr/>
        <w:t>万元。 公司报告期内董事、监事和高级管理人员报酬情况</w:t>
      </w:r>
    </w:p>
    <w:p>
      <w:pPr>
        <w:pStyle w:val="BodyText"/>
        <w:spacing w:line="240" w:lineRule="auto" w:before="52"/>
        <w:ind w:left="0" w:right="19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陈绮华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副总经理、财务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总监、董事会秘</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51.62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采购、质量控制及生产控制人员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行政及后勤人员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1016" w:header="787" w:top="1100" w:bottom="1200" w:left="1020" w:right="1020"/>
          <w:pgNumType w:start="70"/>
        </w:sectPr>
      </w:pPr>
    </w:p>
    <w:p>
      <w:pPr>
        <w:spacing w:line="240" w:lineRule="auto" w:before="1"/>
        <w:rPr>
          <w:rFonts w:ascii="宋体" w:hAnsi="宋体" w:cs="宋体" w:eastAsia="宋体" w:hint="default"/>
          <w:b/>
          <w:bCs/>
          <w:sz w:val="25"/>
          <w:szCs w:val="25"/>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37;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9280;top:130;width:27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388</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19"/>
          <w:szCs w:val="19"/>
        </w:rPr>
      </w:pPr>
    </w:p>
    <w:p>
      <w:pPr>
        <w:pStyle w:val="Heading3"/>
        <w:spacing w:line="240" w:lineRule="auto" w:before="34"/>
        <w:ind w:right="19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jc w:val="both"/>
      </w:pPr>
      <w:r>
        <w:rPr>
          <w:spacing w:val="-2"/>
        </w:rPr>
        <w:t>公司严格按照国家有关法律、法规及地方性文件的相关规定，与员工签订劳动合同，办理、缴存社会保险和住房公积金；建</w:t>
      </w:r>
      <w:r>
        <w:rPr>
          <w:spacing w:val="-65"/>
        </w:rPr>
        <w:t> </w:t>
      </w:r>
      <w:r>
        <w:rPr>
          <w:spacing w:val="-65"/>
        </w:rPr>
      </w:r>
      <w:r>
        <w:rPr>
          <w:spacing w:val="-2"/>
        </w:rPr>
        <w:t>立了以人为本、效率优先的薪酬福利政策和体系，根据岗位价值制定工资标准，将员工薪酬与业绩达成情况、个人能力和贡</w:t>
      </w:r>
      <w:r>
        <w:rPr>
          <w:spacing w:val="-66"/>
        </w:rPr>
        <w:t> </w:t>
      </w:r>
      <w:r>
        <w:rPr>
          <w:spacing w:val="-66"/>
        </w:rPr>
      </w:r>
      <w:r>
        <w:rPr>
          <w:spacing w:val="-2"/>
        </w:rPr>
        <w:t>献等挂钩，充分调动员工的积极性；建立了完善的培训体系和职业晋升通道，不定期的开展培训活动，定期对员工进行绩效</w:t>
      </w:r>
      <w:r>
        <w:rPr>
          <w:spacing w:val="-66"/>
        </w:rPr>
        <w:t> </w:t>
      </w:r>
      <w:r>
        <w:rPr>
          <w:spacing w:val="-66"/>
        </w:rPr>
      </w:r>
      <w:r>
        <w:rPr/>
        <w:t>评定，在此基础上发现优秀人才、培养人才，实现员工和企业的共同发展。</w:t>
      </w:r>
    </w:p>
    <w:p>
      <w:pPr>
        <w:spacing w:line="240" w:lineRule="auto" w:before="6"/>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t>2017年广和通为了改善公司各级各类员工的知识结构、提升员工的综合素质，提高员工的工作技能、工作态度和行为模式， </w:t>
      </w:r>
      <w:r>
        <w:rPr>
          <w:spacing w:val="-2"/>
        </w:rPr>
        <w:t>满足公司的快速发展需要，更好的完成公司的各项工作计划与工作目标，策划了年度培训计划及培训预算并严格执行；培训</w:t>
      </w:r>
      <w:r>
        <w:rPr>
          <w:spacing w:val="-65"/>
        </w:rPr>
        <w:t> </w:t>
      </w:r>
      <w:r>
        <w:rPr>
          <w:spacing w:val="-65"/>
        </w:rPr>
      </w:r>
      <w:r>
        <w:rPr>
          <w:spacing w:val="-2"/>
        </w:rPr>
        <w:t>方式为三种：一、邀请外部资深讲师来公司授课，二、坚持内部讲师的发掘和培养，三、指定业务骨干员工外派培训。这样</w:t>
      </w:r>
      <w:r>
        <w:rPr>
          <w:spacing w:val="-64"/>
        </w:rPr>
        <w:t> </w:t>
      </w:r>
      <w:r>
        <w:rPr>
          <w:spacing w:val="-64"/>
        </w:rPr>
      </w:r>
      <w:r>
        <w:rPr>
          <w:spacing w:val="-2"/>
        </w:rPr>
        <w:t>既有外部课程内容的引入，又有内部课程的开发。2018年公司的培训计划更加具体化，引入了网络在线学习系统工具来协助</w:t>
      </w:r>
      <w:r>
        <w:rPr>
          <w:spacing w:val="-63"/>
        </w:rPr>
        <w:t> </w:t>
      </w:r>
      <w:r>
        <w:rPr>
          <w:spacing w:val="-63"/>
        </w:rPr>
      </w:r>
      <w:r>
        <w:rPr>
          <w:spacing w:val="-2"/>
        </w:rPr>
        <w:t>建设我们的培训体系和支撑我们的重点项目：新员工培养和管理干部的能力提升，希望利用碎片化学习和移动化学习，努力</w:t>
      </w:r>
      <w:r>
        <w:rPr>
          <w:spacing w:val="-65"/>
        </w:rPr>
        <w:t> </w:t>
      </w:r>
      <w:r>
        <w:rPr>
          <w:spacing w:val="-65"/>
        </w:rPr>
      </w:r>
      <w:r>
        <w:rPr/>
        <w:t>打造一个永不下课的在线学习平台，给予员工更多的成长资源，提升公司的竞争力。</w:t>
      </w:r>
    </w:p>
    <w:p>
      <w:pPr>
        <w:spacing w:line="240" w:lineRule="auto" w:before="8"/>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713" w:right="3790"/>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9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公司严格按照《公司法》、《证券法》等法律法规的要求，建立了规范的治理结构和议事规则，明确了决策、执行、监</w:t>
      </w:r>
      <w:r>
        <w:rPr/>
        <w:t> </w:t>
      </w:r>
      <w:r>
        <w:rPr>
          <w:spacing w:val="-2"/>
        </w:rPr>
        <w:t>督等方面的职责权限；建立了由股东大会、董事会、监事会及高级管理层组成的公司治理结构；明确了决策、执行、监督等</w:t>
      </w:r>
      <w:r>
        <w:rPr>
          <w:spacing w:val="-66"/>
        </w:rPr>
        <w:t> </w:t>
      </w:r>
      <w:r>
        <w:rPr>
          <w:spacing w:val="-66"/>
        </w:rPr>
      </w:r>
      <w:r>
        <w:rPr>
          <w:spacing w:val="-2"/>
        </w:rPr>
        <w:t>方面的职责权限，公司法人治理结构合理健全。公司已经制定了《公司章程》、《股东大会议事规则》、《董事会议事规则</w:t>
      </w:r>
      <w:r>
        <w:rPr>
          <w:spacing w:val="-67"/>
        </w:rPr>
        <w:t> </w:t>
      </w:r>
      <w:r>
        <w:rPr>
          <w:spacing w:val="-67"/>
        </w:rPr>
      </w:r>
      <w:r>
        <w:rPr>
          <w:spacing w:val="-2"/>
        </w:rPr>
        <w:t>及《监事会议事规则》等公司制度文件，公司各权力机构、决策机构、经营机构和监督机构严格按照公司制度科学分工，各</w:t>
      </w:r>
      <w:r>
        <w:rPr>
          <w:spacing w:val="-66"/>
        </w:rPr>
        <w:t> </w:t>
      </w:r>
      <w:r>
        <w:rPr>
          <w:spacing w:val="-66"/>
        </w:rPr>
      </w:r>
      <w:r>
        <w:rPr/>
        <w:t>司其职。</w:t>
      </w:r>
    </w:p>
    <w:p>
      <w:pPr>
        <w:pStyle w:val="BodyText"/>
        <w:spacing w:line="316" w:lineRule="auto" w:before="19"/>
        <w:ind w:right="192" w:firstLine="360"/>
        <w:jc w:val="both"/>
      </w:pPr>
      <w:r>
        <w:rPr>
          <w:spacing w:val="-5"/>
        </w:rPr>
        <w:t>（一）股东与股东大会：股东大会是公司最高权力机构，通过董事会对公司进行管理和监督。报告期内公司严格按照《公</w:t>
      </w:r>
      <w:r>
        <w:rPr/>
        <w:t> </w:t>
      </w:r>
      <w:r>
        <w:rPr>
          <w:spacing w:val="-2"/>
        </w:rPr>
        <w:t>司法》、《公司章程》及《股东大会议事规则》等要求执行股东大会的召集、召开和表决程序，确保所有股东，特别是中小</w:t>
      </w:r>
      <w:r>
        <w:rPr>
          <w:spacing w:val="-67"/>
        </w:rPr>
        <w:t> </w:t>
      </w:r>
      <w:r>
        <w:rPr>
          <w:spacing w:val="-67"/>
        </w:rPr>
      </w:r>
      <w:r>
        <w:rPr/>
        <w:t>股东的平等地位。会议形成的公司股东大会决议符合法律法规的规定和全体股东特别是中小股东的合法权益。</w:t>
      </w:r>
    </w:p>
    <w:p>
      <w:pPr>
        <w:pStyle w:val="BodyText"/>
        <w:spacing w:line="316" w:lineRule="auto" w:before="19"/>
        <w:ind w:right="192" w:firstLine="360"/>
        <w:jc w:val="both"/>
      </w:pPr>
      <w:r>
        <w:rPr>
          <w:spacing w:val="-2"/>
        </w:rPr>
        <w:t>（二）董事与董事会：董事会是公司的常设机构，向股东大会负责。报告期内公司董事会严格执行《公司法》、《公司</w:t>
      </w:r>
      <w:r>
        <w:rPr/>
        <w:t> </w:t>
      </w:r>
      <w:r>
        <w:rPr>
          <w:spacing w:val="-2"/>
        </w:rPr>
        <w:t>章程》及《董事会议事规则》等相关规定，董事会的人数及人员构成符合法律、法规的要求，董事会的召集、召开和表决程</w:t>
      </w:r>
      <w:r>
        <w:rPr>
          <w:spacing w:val="-65"/>
        </w:rPr>
        <w:t> </w:t>
      </w:r>
      <w:r>
        <w:rPr>
          <w:spacing w:val="-65"/>
        </w:rPr>
      </w:r>
      <w:r>
        <w:rPr>
          <w:spacing w:val="-2"/>
        </w:rPr>
        <w:t>序符合相关规定。各位董事均忠实、诚信、勤勉地履行各自的职责。公司董事会下设战略与投资委员会、提名委员会、薪酬</w:t>
      </w:r>
      <w:r>
        <w:rPr>
          <w:spacing w:val="-66"/>
        </w:rPr>
        <w:t> </w:t>
      </w:r>
      <w:r>
        <w:rPr>
          <w:spacing w:val="-66"/>
        </w:rPr>
      </w:r>
      <w:r>
        <w:rPr/>
        <w:t>与考核委员会和审计委员会，在公司经营管理中发挥重要作用。</w:t>
      </w:r>
    </w:p>
    <w:p>
      <w:pPr>
        <w:pStyle w:val="BodyText"/>
        <w:spacing w:line="316" w:lineRule="auto" w:before="19"/>
        <w:ind w:right="192" w:firstLine="360"/>
        <w:jc w:val="both"/>
      </w:pPr>
      <w:r>
        <w:rPr>
          <w:spacing w:val="-5"/>
        </w:rPr>
        <w:t>（三）监事与监事会：监事会是公司的监督机构，监督公司董事、高级管理人员依法履行职责。公司监事会严格执行《公</w:t>
      </w:r>
      <w:r>
        <w:rPr/>
        <w:t> </w:t>
      </w:r>
      <w:r>
        <w:rPr>
          <w:spacing w:val="-2"/>
        </w:rPr>
        <w:t>司法》、《公司章程》及《监事会议事规则》等有关规定，监事会的人数和人员构成符合法律、法规的要求，各位监事能够</w:t>
      </w:r>
      <w:r>
        <w:rPr>
          <w:spacing w:val="-67"/>
        </w:rPr>
        <w:t> </w:t>
      </w:r>
      <w:r>
        <w:rPr>
          <w:spacing w:val="-67"/>
        </w:rPr>
      </w:r>
      <w:r>
        <w:rPr>
          <w:spacing w:val="-2"/>
        </w:rPr>
        <w:t>认真履行其的职责，对公司财务以及董事和高级管理人员履行职责的合法合规性进行监督，并对公司的重大事项提出了合理</w:t>
      </w:r>
      <w:r>
        <w:rPr>
          <w:spacing w:val="-64"/>
        </w:rPr>
        <w:t> </w:t>
      </w:r>
      <w:r>
        <w:rPr>
          <w:spacing w:val="-64"/>
        </w:rPr>
      </w:r>
      <w:r>
        <w:rPr/>
        <w:t>建议。</w:t>
      </w:r>
    </w:p>
    <w:p>
      <w:pPr>
        <w:pStyle w:val="BodyText"/>
        <w:spacing w:line="316" w:lineRule="auto" w:before="19"/>
        <w:ind w:right="192" w:firstLine="360"/>
        <w:jc w:val="both"/>
      </w:pPr>
      <w:r>
        <w:rPr>
          <w:spacing w:val="-2"/>
        </w:rPr>
        <w:t>（四）控股股东与上市公司：公司控股股东严格规范自己的行为，没有超越股东大会直接或间接干预公司的决策及生产</w:t>
      </w:r>
      <w:r>
        <w:rPr/>
        <w:t> </w:t>
      </w:r>
      <w:r>
        <w:rPr>
          <w:spacing w:val="-2"/>
        </w:rPr>
        <w:t>经营活动，公司的重大决策均由股东大会和董事会依法作出。公司与控股股东及其关联方在业务、人员、资产、财务及机构</w:t>
      </w:r>
      <w:r>
        <w:rPr>
          <w:spacing w:val="-65"/>
        </w:rPr>
        <w:t> </w:t>
      </w:r>
      <w:r>
        <w:rPr>
          <w:spacing w:val="-65"/>
        </w:rPr>
      </w:r>
      <w:r>
        <w:rPr/>
        <w:t>等方面完全独立，公司董事会、监事会和内部组织机构能够独立运作。</w:t>
      </w:r>
    </w:p>
    <w:p>
      <w:pPr>
        <w:spacing w:line="240" w:lineRule="auto" w:before="0"/>
        <w:rPr>
          <w:rFonts w:ascii="宋体" w:hAnsi="宋体" w:cs="宋体" w:eastAsia="宋体" w:hint="default"/>
          <w:sz w:val="18"/>
          <w:szCs w:val="18"/>
        </w:rPr>
      </w:pPr>
    </w:p>
    <w:p>
      <w:pPr>
        <w:pStyle w:val="BodyText"/>
        <w:spacing w:line="240" w:lineRule="auto" w:before="136"/>
        <w:ind w:right="190"/>
        <w:jc w:val="left"/>
      </w:pPr>
      <w:r>
        <w:rPr/>
        <w:t>公司治理的实际状况与中国证监会发布的有关上市公司治理的规范性文件是否存在重大差异</w:t>
      </w:r>
    </w:p>
    <w:p>
      <w:pPr>
        <w:pStyle w:val="BodyText"/>
        <w:spacing w:line="338" w:lineRule="auto" w:before="117"/>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9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9" w:firstLine="420"/>
        <w:jc w:val="both"/>
      </w:pPr>
      <w:r>
        <w:rPr>
          <w:spacing w:val="-1"/>
        </w:rPr>
        <w:t>公司成立以来，严格按照《公司法》、《证券法》等有关法律、法规和《公司章程》的要求规范运作，在业务、资产、</w:t>
      </w:r>
      <w:r>
        <w:rPr/>
        <w:t> 人员、机构和财务等方面与公司股东完全分开，具有独立完整的资产、业务体系及面向市场自主经营的能力。</w:t>
      </w:r>
    </w:p>
    <w:p>
      <w:pPr>
        <w:pStyle w:val="BodyText"/>
        <w:spacing w:line="300" w:lineRule="auto" w:before="19"/>
        <w:ind w:left="532" w:right="190"/>
        <w:jc w:val="left"/>
      </w:pPr>
      <w:r>
        <w:rPr>
          <w:rFonts w:ascii="Times New Roman" w:hAnsi="Times New Roman" w:cs="Times New Roman" w:eastAsia="Times New Roman" w:hint="default"/>
          <w:b/>
          <w:bCs/>
        </w:rPr>
        <w:t>1</w:t>
      </w:r>
      <w:r>
        <w:rPr>
          <w:rFonts w:ascii="宋体" w:hAnsi="宋体" w:cs="宋体" w:eastAsia="宋体" w:hint="default"/>
          <w:b/>
          <w:bCs/>
        </w:rPr>
        <w:t>、资产完整</w:t>
      </w:r>
      <w:r>
        <w:rPr>
          <w:rFonts w:ascii="宋体" w:hAnsi="宋体" w:cs="宋体" w:eastAsia="宋体" w:hint="default"/>
          <w:b/>
          <w:bCs/>
          <w:w w:val="99"/>
        </w:rPr>
        <w:t> </w:t>
      </w:r>
      <w:r>
        <w:rPr/>
        <w:t>公司主要从事物联网与移动互联网无线通信技术和应用的推广及其解决方案的应用拓展，在无线通信技术领域提供专</w:t>
      </w:r>
    </w:p>
    <w:p>
      <w:pPr>
        <w:pStyle w:val="BodyText"/>
        <w:spacing w:line="316" w:lineRule="auto" w:before="31"/>
        <w:ind w:right="190"/>
        <w:jc w:val="left"/>
      </w:pPr>
      <w:r>
        <w:rPr>
          <w:spacing w:val="-2"/>
        </w:rPr>
        <w:t>业产品与方案，主要产品为无线通信模块。公司合法拥有与生产经营有关的设备、以及商标、专利、非专利技术的所有权或</w:t>
      </w:r>
      <w:r>
        <w:rPr>
          <w:spacing w:val="-64"/>
        </w:rPr>
        <w:t> </w:t>
      </w:r>
      <w:r>
        <w:rPr>
          <w:spacing w:val="-64"/>
        </w:rPr>
      </w:r>
      <w:r>
        <w:rPr/>
        <w:t>者使用权，具有独立的原料采购和产品销售体系，公司资产与股东资产严格分开，并完全独立运营。</w:t>
      </w:r>
    </w:p>
    <w:p>
      <w:pPr>
        <w:pStyle w:val="BodyText"/>
        <w:spacing w:line="300" w:lineRule="auto" w:before="19"/>
        <w:ind w:left="532" w:right="190"/>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t>公司的劳动、人事及工资管理与股东单位完全独立。公司的总经理、副总经理、财务负责人和董事会秘书等高级管理</w:t>
      </w:r>
    </w:p>
    <w:p>
      <w:pPr>
        <w:pStyle w:val="BodyText"/>
        <w:spacing w:line="316" w:lineRule="auto" w:before="31"/>
        <w:ind w:right="190"/>
        <w:jc w:val="left"/>
      </w:pPr>
      <w:r>
        <w:rPr>
          <w:spacing w:val="-2"/>
        </w:rPr>
        <w:t>人员不在控股股东、实际控制人及其控制的其他企业中担任除董事、监事以外的其他职务，不在控股股东、实际控制人及其</w:t>
      </w:r>
      <w:r>
        <w:rPr>
          <w:spacing w:val="-64"/>
        </w:rPr>
        <w:t> </w:t>
      </w:r>
      <w:r>
        <w:rPr>
          <w:spacing w:val="-64"/>
        </w:rPr>
      </w:r>
      <w:r>
        <w:rPr/>
        <w:t>控制的其他企业领薪；公司的财务人员不在控股股东、实际控制人及其控制的其他企业中兼职。</w:t>
      </w:r>
    </w:p>
    <w:p>
      <w:pPr>
        <w:pStyle w:val="BodyText"/>
        <w:spacing w:line="300" w:lineRule="auto" w:before="19"/>
        <w:ind w:left="532" w:right="190"/>
        <w:jc w:val="left"/>
      </w:pPr>
      <w:r>
        <w:rPr>
          <w:rFonts w:ascii="Times New Roman" w:hAnsi="Times New Roman" w:cs="Times New Roman" w:eastAsia="Times New Roman" w:hint="default"/>
          <w:b/>
          <w:bCs/>
        </w:rPr>
        <w:t>3</w:t>
      </w:r>
      <w:r>
        <w:rPr>
          <w:rFonts w:ascii="宋体" w:hAnsi="宋体" w:cs="宋体" w:eastAsia="宋体" w:hint="default"/>
          <w:b/>
          <w:bCs/>
        </w:rPr>
        <w:t>、财务独立</w:t>
      </w:r>
      <w:r>
        <w:rPr>
          <w:rFonts w:ascii="宋体" w:hAnsi="宋体" w:cs="宋体" w:eastAsia="宋体" w:hint="default"/>
          <w:b/>
          <w:bCs/>
          <w:w w:val="99"/>
        </w:rPr>
        <w:t> </w:t>
      </w:r>
      <w:r>
        <w:rPr/>
        <w:t>公司已建立独立的财务核算体系、能够独立作出财务决策、具有规范的财务制度和对子公司的财务管理制度；公司未</w:t>
      </w:r>
    </w:p>
    <w:p>
      <w:pPr>
        <w:spacing w:after="0" w:line="30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与控股股东、实际控制人及其控制的其他企业共用银行账户。</w:t>
      </w:r>
    </w:p>
    <w:p>
      <w:pPr>
        <w:pStyle w:val="BodyText"/>
        <w:spacing w:line="300" w:lineRule="auto" w:before="76"/>
        <w:ind w:left="532" w:right="0"/>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t>公司已建立健全了内部经营管理机构、独立行使经营管理职权，与控股股东和实际控制人及其控制的其他企业间不存</w:t>
      </w:r>
    </w:p>
    <w:p>
      <w:pPr>
        <w:pStyle w:val="BodyText"/>
        <w:spacing w:line="240" w:lineRule="auto" w:before="31"/>
        <w:ind w:right="0"/>
        <w:jc w:val="left"/>
      </w:pPr>
      <w:r>
        <w:rPr/>
        <w:t>在机构混同的情形。</w:t>
      </w:r>
    </w:p>
    <w:p>
      <w:pPr>
        <w:pStyle w:val="BodyText"/>
        <w:spacing w:line="300" w:lineRule="auto" w:before="76"/>
        <w:ind w:left="532" w:right="0"/>
        <w:jc w:val="left"/>
      </w:pPr>
      <w:r>
        <w:rPr>
          <w:rFonts w:ascii="Times New Roman" w:hAnsi="Times New Roman" w:cs="Times New Roman" w:eastAsia="Times New Roman" w:hint="default"/>
          <w:b/>
          <w:bCs/>
        </w:rPr>
        <w:t>5</w:t>
      </w:r>
      <w:r>
        <w:rPr>
          <w:rFonts w:ascii="宋体" w:hAnsi="宋体" w:cs="宋体" w:eastAsia="宋体" w:hint="default"/>
          <w:b/>
          <w:bCs/>
        </w:rPr>
        <w:t>、业务独立</w:t>
      </w:r>
      <w:r>
        <w:rPr>
          <w:rFonts w:ascii="宋体" w:hAnsi="宋体" w:cs="宋体" w:eastAsia="宋体" w:hint="default"/>
          <w:b/>
          <w:bCs/>
          <w:w w:val="99"/>
        </w:rPr>
        <w:t> </w:t>
      </w:r>
      <w:r>
        <w:rPr/>
        <w:t>公司的业务独立于控股股东、实际控制人及其控制的其他企业，与控股股东、实际控制人及其控制的其他企业间不存</w:t>
      </w:r>
    </w:p>
    <w:p>
      <w:pPr>
        <w:pStyle w:val="BodyText"/>
        <w:spacing w:line="240" w:lineRule="auto" w:before="31"/>
        <w:ind w:right="0"/>
        <w:jc w:val="left"/>
      </w:pPr>
      <w:r>
        <w:rPr/>
        <w:t>在同业竞争或者显失公平的关联交易。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公司未上市</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公司未上市</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5">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3" w:right="31"/>
              <w:jc w:val="left"/>
              <w:rPr>
                <w:rFonts w:ascii="Times New Roman" w:hAnsi="Times New Roman" w:cs="Times New Roman" w:eastAsia="Times New Roman" w:hint="default"/>
                <w:sz w:val="18"/>
                <w:szCs w:val="18"/>
              </w:rPr>
            </w:pPr>
            <w:hyperlink r:id="rId25">
              <w:r>
                <w:rPr>
                  <w:rFonts w:ascii="Times New Roman"/>
                  <w:spacing w:val="-1"/>
                  <w:sz w:val="18"/>
                </w:rPr>
                <w:t>http://www.cninfo.co</w:t>
              </w:r>
            </w:hyperlink>
            <w:r>
              <w:rPr>
                <w:rFonts w:ascii="Times New Roman"/>
                <w:sz w:val="18"/>
              </w:rPr>
              <w:t> m.cn</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0"/>
        <w:ind w:right="7034"/>
        <w:jc w:val="left"/>
      </w:pPr>
      <w:r>
        <w:rPr/>
        <w:t>连续两次未亲自出席董事会的说明 不适用</w:t>
      </w:r>
    </w:p>
    <w:p>
      <w:pPr>
        <w:spacing w:after="0" w:line="36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19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0"/>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9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0"/>
        <w:jc w:val="left"/>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4" w:lineRule="auto" w:before="41"/>
        <w:ind w:right="93"/>
        <w:jc w:val="left"/>
      </w:pPr>
      <w:r>
        <w:rPr>
          <w:spacing w:val="-2"/>
        </w:rPr>
        <w:t>报告期内，公司独立董事根据《公司法》、《证券法》、《关于在上市公司建立独立董事制度的指导意见》、《深圳证券交</w:t>
      </w:r>
      <w:r>
        <w:rPr>
          <w:spacing w:val="-69"/>
        </w:rPr>
        <w:t> </w:t>
      </w:r>
      <w:r>
        <w:rPr>
          <w:spacing w:val="-69"/>
        </w:rPr>
      </w:r>
      <w:r>
        <w:rPr>
          <w:spacing w:val="-2"/>
        </w:rPr>
        <w:t>易所创业板股票上市规则》、《深圳证券交易所创业板上市公司规范运作指引》及《公司章程》等规定和要求，在</w:t>
      </w:r>
      <w:r>
        <w:rPr>
          <w:rFonts w:ascii="Times New Roman" w:hAnsi="Times New Roman" w:cs="Times New Roman" w:eastAsia="Times New Roman" w:hint="default"/>
          <w:spacing w:val="-2"/>
        </w:rPr>
        <w:t>2017</w:t>
      </w:r>
      <w:r>
        <w:rPr>
          <w:spacing w:val="-2"/>
        </w:rPr>
        <w:t>年年</w:t>
      </w:r>
      <w:r>
        <w:rPr>
          <w:spacing w:val="-63"/>
        </w:rPr>
        <w:t> </w:t>
      </w:r>
      <w:r>
        <w:rPr>
          <w:spacing w:val="-2"/>
        </w:rPr>
        <w:t>度工作中勤勉尽责，积极出席相关会议，认真审议董事会各项议案，对公司报告期内公司发生的投资并购、委托理财、关联</w:t>
      </w:r>
      <w:r>
        <w:rPr>
          <w:spacing w:val="-65"/>
        </w:rPr>
        <w:t> </w:t>
      </w:r>
      <w:r>
        <w:rPr>
          <w:spacing w:val="-65"/>
        </w:rPr>
      </w:r>
      <w:r>
        <w:rPr>
          <w:spacing w:val="-4"/>
        </w:rPr>
        <w:t>交易、募集资金使用等重大事项发表了独立意见，主动了解公司生产经营状况、内部控制执行情况、董事会决议执行等情况，</w:t>
      </w:r>
      <w:r>
        <w:rPr>
          <w:spacing w:val="-43"/>
        </w:rPr>
        <w:t> </w:t>
      </w:r>
      <w:r>
        <w:rPr>
          <w:spacing w:val="-43"/>
        </w:rPr>
      </w:r>
      <w:r>
        <w:rPr>
          <w:spacing w:val="-2"/>
        </w:rPr>
        <w:t>认真履行职责，积极发挥独立董事作用，努力维护公司整体利益及全体股东的合法权益。与此同时，公司独立董事利用自身</w:t>
      </w:r>
      <w:r>
        <w:rPr>
          <w:spacing w:val="-66"/>
        </w:rPr>
        <w:t> </w:t>
      </w:r>
      <w:r>
        <w:rPr>
          <w:spacing w:val="-66"/>
        </w:rPr>
      </w:r>
      <w:r>
        <w:rPr>
          <w:spacing w:val="-2"/>
        </w:rPr>
        <w:t>的专业优势，在公司发展战略、技术开发、财务管理、规范化运作等方面提供了专业的指导意见，保障了公司决策的合理性</w:t>
      </w:r>
      <w:r>
        <w:rPr>
          <w:spacing w:val="-65"/>
        </w:rPr>
        <w:t> </w:t>
      </w:r>
      <w:r>
        <w:rPr>
          <w:spacing w:val="-65"/>
        </w:rPr>
      </w:r>
      <w:r>
        <w:rPr/>
        <w:t>和科学性，有利于公司的健康稳定发展。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9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日，公司第一届董事会第一次会议批准设立薪酬与考核委员会、审计委员会、提名委员会、战略与投资委</w:t>
      </w:r>
      <w:r>
        <w:rPr/>
        <w:t> 员会四个专门委员会；并审议通过了《薪酬与考核委员会工作细则》、《审计委员会工作细则》、《提名委员会工作细则》 及《战略与投资委员会工作细则》。董事会各专门委员会人员构成及报告期内运行情况如下：</w:t>
      </w:r>
    </w:p>
    <w:p>
      <w:pPr>
        <w:pStyle w:val="BodyText"/>
        <w:spacing w:line="300" w:lineRule="auto" w:before="24"/>
        <w:ind w:left="472" w:right="190"/>
        <w:jc w:val="left"/>
      </w:pPr>
      <w:r>
        <w:rPr>
          <w:rFonts w:ascii="Times New Roman" w:hAnsi="Times New Roman" w:cs="Times New Roman" w:eastAsia="Times New Roman" w:hint="default"/>
        </w:rPr>
        <w:t>1</w:t>
      </w:r>
      <w:r>
        <w:rPr/>
        <w:t>、董事会薪酬与考核委员会 </w:t>
      </w:r>
      <w:r>
        <w:rPr>
          <w:spacing w:val="-2"/>
        </w:rPr>
        <w:t>公司董事会第一届薪酬与考核委员会由韦传军、王宁、张天瑜三位董事组成，其中韦传军、王宁为独立董事，韦传军为</w:t>
      </w:r>
    </w:p>
    <w:p>
      <w:pPr>
        <w:pStyle w:val="BodyText"/>
        <w:spacing w:line="316" w:lineRule="auto" w:before="31"/>
        <w:ind w:right="192"/>
        <w:jc w:val="both"/>
      </w:pPr>
      <w:r>
        <w:rPr>
          <w:spacing w:val="-2"/>
        </w:rPr>
        <w:t>召集人。报告期内，根据相关法律、法规、规范性文件及公司制度的规定，公司董事会薪酬与考核委员会本着勤勉尽责的原</w:t>
      </w:r>
      <w:r>
        <w:rPr>
          <w:spacing w:val="-65"/>
        </w:rPr>
        <w:t> </w:t>
      </w:r>
      <w:r>
        <w:rPr>
          <w:spacing w:val="-65"/>
        </w:rPr>
      </w:r>
      <w:r>
        <w:rPr>
          <w:spacing w:val="-2"/>
        </w:rPr>
        <w:t>则，履行工作职责，召开了第一届董事会薪酬与考核委员会第三次会议，审议通过了《关于董事报酬的议案》及《关于公司</w:t>
      </w:r>
      <w:r>
        <w:rPr>
          <w:spacing w:val="-66"/>
        </w:rPr>
        <w:t> </w:t>
      </w:r>
      <w:r>
        <w:rPr>
          <w:spacing w:val="-66"/>
        </w:rPr>
      </w:r>
      <w:r>
        <w:rPr/>
        <w:t>高级管理人员薪酬的议案》。</w:t>
      </w:r>
    </w:p>
    <w:p>
      <w:pPr>
        <w:pStyle w:val="BodyText"/>
        <w:spacing w:line="300" w:lineRule="auto" w:before="19"/>
        <w:ind w:left="472" w:right="93"/>
        <w:jc w:val="left"/>
      </w:pPr>
      <w:r>
        <w:rPr>
          <w:rFonts w:ascii="Times New Roman" w:hAnsi="Times New Roman" w:cs="Times New Roman" w:eastAsia="Times New Roman" w:hint="default"/>
        </w:rPr>
        <w:t>2</w:t>
      </w:r>
      <w:r>
        <w:rPr/>
        <w:t>、董事会审计委员会 </w:t>
      </w:r>
      <w:r>
        <w:rPr>
          <w:spacing w:val="-4"/>
        </w:rPr>
        <w:t>公司董事会第一届审计委员会由韦传军、王宁、张天瑜三位董事组成，其中韦传军、王宁为独立董事，韦传军为召集人。</w:t>
      </w:r>
    </w:p>
    <w:p>
      <w:pPr>
        <w:pStyle w:val="BodyText"/>
        <w:spacing w:line="316" w:lineRule="auto" w:before="31"/>
        <w:ind w:right="190"/>
        <w:jc w:val="left"/>
      </w:pPr>
      <w:r>
        <w:rPr>
          <w:spacing w:val="-2"/>
        </w:rPr>
        <w:t>报告期内，根据相关法律、法规、规范性文件及公司制度的规定，公司董事会审计委员会本着勤勉尽责的原则，履行工作职</w:t>
      </w:r>
      <w:r>
        <w:rPr>
          <w:spacing w:val="-65"/>
        </w:rPr>
        <w:t> </w:t>
      </w:r>
      <w:r>
        <w:rPr>
          <w:spacing w:val="-65"/>
        </w:rPr>
      </w:r>
      <w:r>
        <w:rPr/>
        <w:t>责，报告期内审计委员会共召开</w:t>
      </w:r>
      <w:r>
        <w:rPr>
          <w:rFonts w:ascii="Times New Roman" w:hAnsi="Times New Roman" w:cs="Times New Roman" w:eastAsia="Times New Roman" w:hint="default"/>
        </w:rPr>
        <w:t>6</w:t>
      </w:r>
      <w:r>
        <w:rPr/>
        <w:t>次会议及关于</w:t>
      </w:r>
      <w:r>
        <w:rPr>
          <w:rFonts w:ascii="Times New Roman" w:hAnsi="Times New Roman" w:cs="Times New Roman" w:eastAsia="Times New Roman" w:hint="default"/>
        </w:rPr>
        <w:t>2016</w:t>
      </w:r>
      <w:r>
        <w:rPr/>
        <w:t>年年报工作的一次与审计机构的沟通会。</w:t>
      </w:r>
    </w:p>
    <w:p>
      <w:pPr>
        <w:pStyle w:val="BodyText"/>
        <w:spacing w:line="300" w:lineRule="auto"/>
        <w:ind w:right="9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月，董事会第一届审计委员会第六次会议审议通过了《公司</w:t>
      </w:r>
      <w:r>
        <w:rPr>
          <w:rFonts w:ascii="Times New Roman" w:hAnsi="Times New Roman" w:cs="Times New Roman" w:eastAsia="Times New Roman" w:hint="default"/>
        </w:rPr>
        <w:t>2016</w:t>
      </w:r>
      <w:r>
        <w:rPr/>
        <w:t>年财务报告的议案》、《公告报告期内财务报 </w:t>
      </w:r>
      <w:r>
        <w:rPr>
          <w:spacing w:val="-2"/>
        </w:rPr>
        <w:t>表的议案》、《公司</w:t>
      </w:r>
      <w:r>
        <w:rPr>
          <w:rFonts w:ascii="Times New Roman" w:hAnsi="Times New Roman" w:cs="Times New Roman" w:eastAsia="Times New Roman" w:hint="default"/>
          <w:spacing w:val="-2"/>
        </w:rPr>
        <w:t>2017</w:t>
      </w:r>
      <w:r>
        <w:rPr>
          <w:spacing w:val="-2"/>
        </w:rPr>
        <w:t>年度财务预算报告的议案》、《公司内部控制自我评估报告的议案》、《公司</w:t>
      </w:r>
      <w:r>
        <w:rPr>
          <w:rFonts w:ascii="Times New Roman" w:hAnsi="Times New Roman" w:cs="Times New Roman" w:eastAsia="Times New Roman" w:hint="default"/>
          <w:spacing w:val="-2"/>
        </w:rPr>
        <w:t>2016</w:t>
      </w:r>
      <w:r>
        <w:rPr>
          <w:spacing w:val="-2"/>
        </w:rPr>
        <w:t>年度外部审计机</w:t>
      </w:r>
      <w:r>
        <w:rPr>
          <w:spacing w:val="-62"/>
        </w:rPr>
        <w:t> </w:t>
      </w:r>
      <w:r>
        <w:rPr>
          <w:spacing w:val="-5"/>
        </w:rPr>
        <w:t>构工作评价的议案》、《向董事会提议续聘</w:t>
      </w:r>
      <w:r>
        <w:rPr>
          <w:rFonts w:ascii="Times New Roman" w:hAnsi="Times New Roman" w:cs="Times New Roman" w:eastAsia="Times New Roman" w:hint="default"/>
          <w:spacing w:val="-5"/>
        </w:rPr>
        <w:t>2017</w:t>
      </w:r>
      <w:r>
        <w:rPr>
          <w:spacing w:val="-5"/>
        </w:rPr>
        <w:t>年度外部审计机构的议案》、《公司内部审计制度实施情况的议案》、《</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年度公司财务、审计部门的工作评价的议案》及《公司</w:t>
      </w:r>
      <w:r>
        <w:rPr>
          <w:rFonts w:ascii="Times New Roman" w:hAnsi="Times New Roman" w:cs="Times New Roman" w:eastAsia="Times New Roman" w:hint="default"/>
        </w:rPr>
        <w:t>2016</w:t>
      </w:r>
      <w:r>
        <w:rPr/>
        <w:t>年度关联交易的议案》。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月，董事会第一届审计委员会 第七次会议审议通过了《关于审议</w:t>
      </w:r>
      <w:r>
        <w:rPr>
          <w:rFonts w:ascii="Times New Roman" w:hAnsi="Times New Roman" w:cs="Times New Roman" w:eastAsia="Times New Roman" w:hint="default"/>
        </w:rPr>
        <w:t>&lt;2016</w:t>
      </w:r>
      <w:r>
        <w:rPr/>
        <w:t>年度财务决算报告</w:t>
      </w:r>
      <w:r>
        <w:rPr>
          <w:rFonts w:ascii="Times New Roman" w:hAnsi="Times New Roman" w:cs="Times New Roman" w:eastAsia="Times New Roman" w:hint="default"/>
        </w:rPr>
        <w:t>&gt;</w:t>
      </w:r>
      <w:r>
        <w:rPr/>
        <w:t>的议案》、《关于审议公司报告期内财务报表的议案》及《关 于审议公司认证费会计政策变更的议案》。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月，董事会第一届审计委员会第八次会议审议通过了《关于公司</w:t>
      </w:r>
      <w:r>
        <w:rPr>
          <w:rFonts w:ascii="Times New Roman" w:hAnsi="Times New Roman" w:cs="Times New Roman" w:eastAsia="Times New Roman" w:hint="default"/>
        </w:rPr>
        <w:t>2017</w:t>
      </w:r>
      <w:r>
        <w:rPr/>
        <w:t>年 第一季度报告的议案》。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月，董事会第一届审计委员会第九次会议审议通过了《关于</w:t>
      </w:r>
      <w:r>
        <w:rPr>
          <w:rFonts w:ascii="Times New Roman" w:hAnsi="Times New Roman" w:cs="Times New Roman" w:eastAsia="Times New Roman" w:hint="default"/>
        </w:rPr>
        <w:t>2017</w:t>
      </w:r>
      <w:r>
        <w:rPr/>
        <w:t>年度与深圳市博格斯通信 </w:t>
      </w:r>
      <w:r>
        <w:rPr>
          <w:spacing w:val="-2"/>
        </w:rPr>
        <w:t>技术有限公司日常关联交易预计的议案》及《关于</w:t>
      </w:r>
      <w:r>
        <w:rPr>
          <w:rFonts w:ascii="Times New Roman" w:hAnsi="Times New Roman" w:cs="Times New Roman" w:eastAsia="Times New Roman" w:hint="default"/>
          <w:spacing w:val="-2"/>
        </w:rPr>
        <w:t>2017</w:t>
      </w:r>
      <w:r>
        <w:rPr>
          <w:spacing w:val="-2"/>
        </w:rPr>
        <w:t>年度与英特尔及其附属公司日常关联交易预计的议案》。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spacing w:val="-59"/>
        </w:rPr>
        <w:t> </w:t>
      </w:r>
      <w:r>
        <w:rPr>
          <w:spacing w:val="-7"/>
        </w:rPr>
        <w:t>董事会第一届审计委员会第十次会议审议通过了《关于</w:t>
      </w:r>
      <w:r>
        <w:rPr>
          <w:rFonts w:ascii="Times New Roman" w:hAnsi="Times New Roman" w:cs="Times New Roman" w:eastAsia="Times New Roman" w:hint="default"/>
          <w:spacing w:val="-7"/>
        </w:rPr>
        <w:t>2017</w:t>
      </w:r>
      <w:r>
        <w:rPr>
          <w:spacing w:val="-7"/>
        </w:rPr>
        <w:t>年半年度报告全文及摘要的议案》及《关于变更会计政策的议案》。</w:t>
      </w:r>
      <w:r>
        <w:rPr>
          <w:spacing w:val="-39"/>
        </w:rPr>
        <w:t> </w:t>
      </w:r>
      <w:r>
        <w:rPr>
          <w:spacing w:val="-39"/>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月，董事会第一届审计委员会第十一次会议审议通过了《关于公司</w:t>
      </w:r>
      <w:r>
        <w:rPr>
          <w:rFonts w:ascii="Times New Roman" w:hAnsi="Times New Roman" w:cs="Times New Roman" w:eastAsia="Times New Roman" w:hint="default"/>
        </w:rPr>
        <w:t>2017</w:t>
      </w:r>
      <w:r>
        <w:rPr/>
        <w:t>年第三季度报告的议案》。</w:t>
      </w:r>
    </w:p>
    <w:p>
      <w:pPr>
        <w:spacing w:after="0" w:line="300" w:lineRule="auto"/>
        <w:jc w:val="left"/>
        <w:sectPr>
          <w:footerReference w:type="default" r:id="rId26"/>
          <w:pgSz w:w="11910" w:h="16840"/>
          <w:pgMar w:footer="1016" w:header="787" w:top="1100" w:bottom="1200" w:left="1020" w:right="940"/>
          <w:pgNumType w:start="74"/>
        </w:sectPr>
      </w:pPr>
    </w:p>
    <w:p>
      <w:pPr>
        <w:spacing w:line="240" w:lineRule="auto" w:before="13"/>
        <w:rPr>
          <w:rFonts w:ascii="宋体" w:hAnsi="宋体" w:cs="宋体" w:eastAsia="宋体" w:hint="default"/>
          <w:sz w:val="22"/>
          <w:szCs w:val="22"/>
        </w:rPr>
      </w:pPr>
    </w:p>
    <w:p>
      <w:pPr>
        <w:pStyle w:val="BodyText"/>
        <w:spacing w:line="300" w:lineRule="auto" w:before="44"/>
        <w:ind w:left="472" w:right="93"/>
        <w:jc w:val="left"/>
      </w:pPr>
      <w:r>
        <w:rPr>
          <w:rFonts w:ascii="Times New Roman" w:hAnsi="Times New Roman" w:cs="Times New Roman" w:eastAsia="Times New Roman" w:hint="default"/>
        </w:rPr>
        <w:t>3</w:t>
      </w:r>
      <w:r>
        <w:rPr/>
        <w:t>、董事会提名委员会 </w:t>
      </w:r>
      <w:r>
        <w:rPr>
          <w:spacing w:val="-4"/>
        </w:rPr>
        <w:t>公司董事会第一届提名委员会由韦传军、王宁、张天瑜三位董事组成，其中韦传军、王宁为独立董事，韦传军为召集人。</w:t>
      </w:r>
    </w:p>
    <w:p>
      <w:pPr>
        <w:pStyle w:val="BodyText"/>
        <w:spacing w:line="316" w:lineRule="auto" w:before="31"/>
        <w:ind w:right="190"/>
        <w:jc w:val="left"/>
      </w:pPr>
      <w:r>
        <w:rPr>
          <w:spacing w:val="-2"/>
        </w:rPr>
        <w:t>报告期内，根据相关法律、法规、规范性文件及公司制度的规定，公司董事会提名委员会本着勤勉尽责的原则，履行工作职</w:t>
      </w:r>
      <w:r>
        <w:rPr>
          <w:spacing w:val="-65"/>
        </w:rPr>
        <w:t> </w:t>
      </w:r>
      <w:r>
        <w:rPr>
          <w:spacing w:val="-65"/>
        </w:rPr>
      </w:r>
      <w:r>
        <w:rPr/>
        <w:t>责，召开了第一届董事会提名委员会第三次会议，审议通过了《关于董事会换届工作情况总结》。</w:t>
      </w:r>
    </w:p>
    <w:p>
      <w:pPr>
        <w:pStyle w:val="BodyText"/>
        <w:spacing w:line="300" w:lineRule="auto" w:before="19"/>
        <w:ind w:left="472" w:right="94"/>
        <w:jc w:val="left"/>
      </w:pPr>
      <w:r>
        <w:rPr>
          <w:rFonts w:ascii="Times New Roman" w:hAnsi="Times New Roman" w:cs="Times New Roman" w:eastAsia="Times New Roman" w:hint="default"/>
        </w:rPr>
        <w:t>4</w:t>
      </w:r>
      <w:r>
        <w:rPr/>
        <w:t>、董事会战略与投资委员会 公司董事会第一届战略与投资委员会由张天瑜、应凌鹏、王宁三位董事组成，其中王宁为独立董事，张天瑜为召集人。</w:t>
      </w:r>
    </w:p>
    <w:p>
      <w:pPr>
        <w:pStyle w:val="BodyText"/>
        <w:spacing w:line="316" w:lineRule="auto" w:before="31"/>
        <w:ind w:right="190"/>
        <w:jc w:val="left"/>
      </w:pPr>
      <w:r>
        <w:rPr>
          <w:spacing w:val="-2"/>
        </w:rPr>
        <w:t>报告期内，根据相关法律、法规、规范性文件及公司制度的规定，公司董事会战略与投资委员会本着勤勉尽责的原则，履行</w:t>
      </w:r>
      <w:r>
        <w:rPr>
          <w:spacing w:val="-65"/>
        </w:rPr>
        <w:t> </w:t>
      </w:r>
      <w:r>
        <w:rPr>
          <w:spacing w:val="-65"/>
        </w:rPr>
      </w:r>
      <w:r>
        <w:rPr/>
        <w:t>工作职责，报告期内战略与投资委员会共召开</w:t>
      </w:r>
      <w:r>
        <w:rPr>
          <w:rFonts w:ascii="Times New Roman" w:hAnsi="Times New Roman" w:cs="Times New Roman" w:eastAsia="Times New Roman" w:hint="default"/>
        </w:rPr>
        <w:t>2</w:t>
      </w:r>
      <w:r>
        <w:rPr/>
        <w:t>次会议。</w:t>
      </w:r>
    </w:p>
    <w:p>
      <w:pPr>
        <w:pStyle w:val="BodyText"/>
        <w:spacing w:line="248" w:lineRule="exact"/>
        <w:ind w:left="472"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t>年</w:t>
      </w:r>
      <w:r>
        <w:rPr>
          <w:rFonts w:ascii="Times New Roman" w:hAnsi="Times New Roman" w:cs="Times New Roman" w:eastAsia="Times New Roman" w:hint="default"/>
          <w:spacing w:val="1"/>
        </w:rPr>
        <w:t>4</w:t>
      </w:r>
      <w:r>
        <w:rPr/>
        <w:t>月</w:t>
      </w:r>
      <w:r>
        <w:rPr>
          <w:spacing w:val="-87"/>
        </w:rPr>
        <w:t>，</w:t>
      </w:r>
      <w:r>
        <w:rPr/>
        <w:t>董事会第一届战略与投资委员会第四次会议审议通过</w:t>
      </w:r>
      <w:r>
        <w:rPr>
          <w:spacing w:val="-87"/>
        </w:rPr>
        <w:t>了</w:t>
      </w:r>
      <w:r>
        <w:rPr/>
        <w:t>《关于使用部分自有闲置资金进行现金管理的议案</w:t>
      </w:r>
      <w:r>
        <w:rPr>
          <w:spacing w:val="-89"/>
        </w:rPr>
        <w:t>》</w:t>
      </w:r>
      <w:r>
        <w:rPr/>
        <w:t>、</w:t>
      </w:r>
    </w:p>
    <w:p>
      <w:pPr>
        <w:pStyle w:val="BodyText"/>
        <w:spacing w:line="309" w:lineRule="auto" w:before="63"/>
        <w:ind w:right="192"/>
        <w:jc w:val="both"/>
      </w:pPr>
      <w:r>
        <w:rPr>
          <w:spacing w:val="-5"/>
        </w:rPr>
        <w:t>《关于使用暂时闲置的募集资金进行现金管理的议案》、《关于使用募集资金置换预先投入募投项目自筹资金的议案》及《关</w:t>
      </w:r>
      <w:r>
        <w:rPr>
          <w:spacing w:val="-78"/>
        </w:rPr>
        <w:t> </w:t>
      </w:r>
      <w:r>
        <w:rPr>
          <w:spacing w:val="-78"/>
        </w:rPr>
      </w:r>
      <w:r>
        <w:rPr>
          <w:spacing w:val="-2"/>
        </w:rPr>
        <w:t>于设立海外全资子公司的议案》。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月，董事会第一届战略与投资委员会第五次会议审议通过了《关于现金收购浙江</w:t>
      </w:r>
      <w:r>
        <w:rPr>
          <w:spacing w:val="-63"/>
        </w:rPr>
        <w:t> </w:t>
      </w:r>
      <w:r>
        <w:rPr>
          <w:spacing w:val="-63"/>
        </w:rPr>
      </w:r>
      <w:r>
        <w:rPr/>
        <w:t>诺控通信技术有限公司</w:t>
      </w:r>
      <w:r>
        <w:rPr>
          <w:rFonts w:ascii="Times New Roman" w:hAnsi="Times New Roman" w:cs="Times New Roman" w:eastAsia="Times New Roman" w:hint="default"/>
        </w:rPr>
        <w:t>100%</w:t>
      </w:r>
      <w:r>
        <w:rPr/>
        <w:t>股权的议案》。</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jc w:val="both"/>
      </w:pPr>
      <w:r>
        <w:rPr>
          <w:spacing w:val="-2"/>
        </w:rPr>
        <w:t>公司董事会薪酬与考核委员会根据公司《董事、监事、高级管理人员薪酬制度》的相关规定，制定了公司高级管理人员的薪</w:t>
      </w:r>
      <w:r>
        <w:rPr>
          <w:spacing w:val="-66"/>
        </w:rPr>
        <w:t> </w:t>
      </w:r>
      <w:r>
        <w:rPr>
          <w:spacing w:val="-66"/>
        </w:rPr>
      </w:r>
      <w:r>
        <w:rPr>
          <w:spacing w:val="-2"/>
        </w:rPr>
        <w:t>酬方案。公司高级管理人员的薪酬由基本工资与年终奖金组成，其中基本工资根据其工作内容与强度、工作年限、个人能力</w:t>
      </w:r>
      <w:r>
        <w:rPr>
          <w:spacing w:val="-66"/>
        </w:rPr>
        <w:t> </w:t>
      </w:r>
      <w:r>
        <w:rPr>
          <w:spacing w:val="-66"/>
        </w:rPr>
      </w:r>
      <w:r>
        <w:rPr>
          <w:spacing w:val="-2"/>
        </w:rPr>
        <w:t>等因素综合确定，年终奖金根据绩效考核结果确定。公司董事会薪酬与考核委员会根据实际情况对公司高级管理人员进行考</w:t>
      </w:r>
      <w:r>
        <w:rPr>
          <w:spacing w:val="-64"/>
        </w:rPr>
        <w:t> </w:t>
      </w:r>
      <w:r>
        <w:rPr>
          <w:spacing w:val="-64"/>
        </w:rPr>
      </w:r>
      <w:r>
        <w:rPr/>
        <w:t>核后，一致认为：</w:t>
      </w:r>
      <w:r>
        <w:rPr>
          <w:rFonts w:ascii="Times New Roman" w:hAnsi="Times New Roman" w:cs="Times New Roman" w:eastAsia="Times New Roman" w:hint="default"/>
        </w:rPr>
        <w:t>2017</w:t>
      </w:r>
      <w:r>
        <w:rPr/>
        <w:t>年度公司高级管理人员薪酬方案严格执行了公司《董事、监事、高级管理人员薪酬制度》。</w:t>
      </w:r>
    </w:p>
    <w:p>
      <w:pPr>
        <w:spacing w:line="240" w:lineRule="auto" w:before="2"/>
        <w:rPr>
          <w:rFonts w:ascii="宋体" w:hAnsi="宋体" w:cs="宋体" w:eastAsia="宋体" w:hint="default"/>
          <w:sz w:val="19"/>
          <w:szCs w:val="19"/>
        </w:rPr>
      </w:pPr>
    </w:p>
    <w:p>
      <w:pPr>
        <w:pStyle w:val="Heading2"/>
        <w:spacing w:line="240" w:lineRule="auto"/>
        <w:ind w:right="0"/>
        <w:jc w:val="both"/>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940"/>
        </w:sectPr>
      </w:pPr>
    </w:p>
    <w:p>
      <w:pPr>
        <w:spacing w:line="240" w:lineRule="auto" w:before="8"/>
        <w:rPr>
          <w:rFonts w:ascii="宋体" w:hAnsi="宋体" w:cs="宋体" w:eastAsia="宋体" w:hint="default"/>
          <w:b/>
          <w:bCs/>
          <w:sz w:val="26"/>
          <w:szCs w:val="26"/>
        </w:rPr>
      </w:pPr>
    </w:p>
    <w:p>
      <w:pPr>
        <w:pStyle w:val="BodyText"/>
        <w:spacing w:line="316" w:lineRule="auto" w:before="44"/>
        <w:ind w:left="3336" w:right="194" w:firstLine="3324"/>
        <w:jc w:val="left"/>
      </w:pPr>
      <w:r>
        <w:rPr/>
        <w:pict>
          <v:group style="position:absolute;margin-left:56.220001pt;margin-top:-1.018308pt;width:479.4pt;height:636.4pt;mso-position-horizontal-relative:page;mso-position-vertical-relative:paragraph;z-index:-1161184" coordorigin="1124,-20" coordsize="9588,12728">
            <v:group style="position:absolute;left:1137;top:-8;width:3189;height:4141" coordorigin="1137,-8" coordsize="3189,4141">
              <v:shape style="position:absolute;left:1137;top:-8;width:3189;height:4141" coordorigin="1137,-8" coordsize="3189,4141" path="m1137,-8l4326,-8,4326,4133,1137,4133,1137,-8xe" filled="true" fillcolor="#d2d2d2" stroked="false">
                <v:path arrowok="t"/>
                <v:fill type="solid"/>
              </v:shape>
            </v:group>
            <v:group style="position:absolute;left:1137;top:4138;width:3189;height:6949" coordorigin="1137,4138" coordsize="3189,6949">
              <v:shape style="position:absolute;left:1137;top:4138;width:3189;height:6949" coordorigin="1137,4138" coordsize="3189,6949" path="m1137,4138l4326,4138,4326,11087,1137,11087,1137,4138xe" filled="true" fillcolor="#d2d2d2" stroked="false">
                <v:path arrowok="t"/>
                <v:fill type="solid"/>
              </v:shape>
            </v:group>
            <v:group style="position:absolute;left:1137;top:11092;width:3189;height:397" coordorigin="1137,11092" coordsize="3189,397">
              <v:shape style="position:absolute;left:1137;top:11092;width:3189;height:397" coordorigin="1137,11092" coordsize="3189,397" path="m1137,11092l4326,11092,4326,11489,1137,11489,1137,11092xe" filled="true" fillcolor="#d2d2d2" stroked="false">
                <v:path arrowok="t"/>
                <v:fill type="solid"/>
              </v:shape>
            </v:group>
            <v:group style="position:absolute;left:1137;top:11494;width:3189;height:397" coordorigin="1137,11494" coordsize="3189,397">
              <v:shape style="position:absolute;left:1137;top:11494;width:3189;height:397" coordorigin="1137,11494" coordsize="3189,397" path="m1137,11494l4326,11494,4326,11891,1137,11891,1137,11494xe" filled="true" fillcolor="#d2d2d2" stroked="false">
                <v:path arrowok="t"/>
                <v:fill type="solid"/>
              </v:shape>
            </v:group>
            <v:group style="position:absolute;left:1137;top:11896;width:3189;height:397" coordorigin="1137,11896" coordsize="3189,397">
              <v:shape style="position:absolute;left:1137;top:11896;width:3189;height:397" coordorigin="1137,11896" coordsize="3189,397" path="m1137,11896l4326,11896,4326,12293,1137,12293,1137,11896xe" filled="true" fillcolor="#d2d2d2" stroked="false">
                <v:path arrowok="t"/>
                <v:fill type="solid"/>
              </v:shape>
            </v:group>
            <v:group style="position:absolute;left:1137;top:12298;width:3189;height:397" coordorigin="1137,12298" coordsize="3189,397">
              <v:shape style="position:absolute;left:1137;top:12298;width:3189;height:397" coordorigin="1137,12298" coordsize="3189,397" path="m1137,12298l4326,12298,4326,12695,1137,12695,1137,12298xe" filled="true" fillcolor="#d2d2d2" stroked="false">
                <v:path arrowok="t"/>
                <v:fill type="solid"/>
              </v:shape>
            </v:group>
            <v:group style="position:absolute;left:1129;top:-11;width:9578;height:2" coordorigin="1129,-11" coordsize="9578,2">
              <v:shape style="position:absolute;left:1129;top:-11;width:9578;height:2" coordorigin="1129,-11" coordsize="9578,0" path="m1129,-11l10707,-11e" filled="false" stroked="true" strokeweight=".48pt" strokecolor="#000000">
                <v:path arrowok="t"/>
              </v:shape>
            </v:group>
            <v:group style="position:absolute;left:7654;top:4138;width:3046;height:6949" coordorigin="7654,4138" coordsize="3046,6949">
              <v:shape style="position:absolute;left:7654;top:4138;width:3046;height:6949" coordorigin="7654,4138" coordsize="3046,6949" path="m7654,4138l10700,4138,10700,11087,7654,11087,7654,4138xe" filled="true" fillcolor="#ffffff" stroked="false">
                <v:path arrowok="t"/>
                <v:fill type="solid"/>
              </v:shape>
            </v:group>
            <v:group style="position:absolute;left:1129;top:4135;width:9578;height:2" coordorigin="1129,4135" coordsize="9578,2">
              <v:shape style="position:absolute;left:1129;top:4135;width:9578;height:2" coordorigin="1129,4135" coordsize="9578,0" path="m1129,4135l10707,4135e" filled="false" stroked="true" strokeweight=".48pt" strokecolor="#000000">
                <v:path arrowok="t"/>
              </v:shape>
            </v:group>
            <v:group style="position:absolute;left:1129;top:11089;width:9578;height:2" coordorigin="1129,11089" coordsize="9578,2">
              <v:shape style="position:absolute;left:1129;top:11089;width:9578;height:2" coordorigin="1129,11089" coordsize="9578,0" path="m1129,11089l10707,11089e" filled="false" stroked="true" strokeweight=".48pt" strokecolor="#000000">
                <v:path arrowok="t"/>
              </v:shape>
            </v:group>
            <v:group style="position:absolute;left:1129;top:11491;width:9578;height:2" coordorigin="1129,11491" coordsize="9578,2">
              <v:shape style="position:absolute;left:1129;top:11491;width:9578;height:2" coordorigin="1129,11491" coordsize="9578,0" path="m1129,11491l10707,11491e" filled="false" stroked="true" strokeweight=".48pt" strokecolor="#000000">
                <v:path arrowok="t"/>
              </v:shape>
            </v:group>
            <v:group style="position:absolute;left:1129;top:11893;width:9578;height:2" coordorigin="1129,11893" coordsize="9578,2">
              <v:shape style="position:absolute;left:1129;top:11893;width:9578;height:2" coordorigin="1129,11893" coordsize="9578,0" path="m1129,11893l10707,11893e" filled="false" stroked="true" strokeweight=".48pt" strokecolor="#000000">
                <v:path arrowok="t"/>
              </v:shape>
            </v:group>
            <v:group style="position:absolute;left:1129;top:12295;width:9578;height:2" coordorigin="1129,12295" coordsize="9578,2">
              <v:shape style="position:absolute;left:1129;top:12295;width:9578;height:2" coordorigin="1129,12295" coordsize="9578,0" path="m1129,12295l10707,12295e" filled="false" stroked="true" strokeweight=".48pt" strokecolor="#000000">
                <v:path arrowok="t"/>
              </v:shape>
            </v:group>
            <v:group style="position:absolute;left:1129;top:12697;width:9578;height:2" coordorigin="1129,12697" coordsize="9578,2">
              <v:shape style="position:absolute;left:1129;top:12697;width:9578;height:2" coordorigin="1129,12697" coordsize="9578,0" path="m1129,12697l10707,12697e" filled="false" stroked="true" strokeweight=".48pt" strokecolor="#000000">
                <v:path arrowok="t"/>
              </v:shape>
            </v:group>
            <v:group style="position:absolute;left:1134;top:-16;width:2;height:12718" coordorigin="1134,-16" coordsize="2,12718">
              <v:shape style="position:absolute;left:1134;top:-16;width:2;height:12718" coordorigin="1134,-16" coordsize="0,12718" path="m1134,-16l1134,12702e" filled="false" stroked="true" strokeweight=".48pt" strokecolor="#000000">
                <v:path arrowok="t"/>
              </v:shape>
            </v:group>
            <v:group style="position:absolute;left:4328;top:-16;width:2;height:12708" coordorigin="4328,-16" coordsize="2,12708">
              <v:shape style="position:absolute;left:4328;top:-16;width:2;height:12708" coordorigin="4328,-16" coordsize="0,12708" path="m4328,-16l4328,12692e" filled="false" stroked="true" strokeweight=".48pt" strokecolor="#000000">
                <v:path arrowok="t"/>
              </v:shape>
            </v:group>
            <v:group style="position:absolute;left:7651;top:-16;width:2;height:11100" coordorigin="7651,-16" coordsize="2,11100">
              <v:shape style="position:absolute;left:7651;top:-16;width:2;height:11100" coordorigin="7651,-16" coordsize="0,11100" path="m7651,-16l7651,11084e" filled="false" stroked="true" strokeweight=".48pt" strokecolor="#000000">
                <v:path arrowok="t"/>
              </v:shape>
            </v:group>
            <v:group style="position:absolute;left:10702;top:-6;width:2;height:12708" coordorigin="10702,-6" coordsize="2,12708">
              <v:shape style="position:absolute;left:10702;top:-6;width:2;height:12708" coordorigin="10702,-6" coordsize="0,12708" path="m10702,-6l10702,12702e" filled="false" stroked="true" strokeweight=".48pt" strokecolor="#000000">
                <v:path arrowok="t"/>
              </v:shape>
            </v:group>
            <w10:wrap type="none"/>
          </v:group>
        </w:pict>
      </w:r>
      <w:r>
        <w:rPr>
          <w:spacing w:val="-4"/>
        </w:rPr>
        <w:t>重大缺陷：重大事项决策未按公司政策</w:t>
      </w:r>
      <w:r>
        <w:rPr/>
        <w:t> 重大缺陷：公司董事、监事和高级管理人</w:t>
      </w:r>
      <w:r>
        <w:rPr>
          <w:spacing w:val="10"/>
        </w:rPr>
        <w:t> </w:t>
      </w:r>
      <w:r>
        <w:rPr>
          <w:spacing w:val="-5"/>
        </w:rPr>
        <w:t>执行，导致决策失误，产生重大经济损</w:t>
      </w:r>
    </w:p>
    <w:p>
      <w:pPr>
        <w:pStyle w:val="BodyText"/>
        <w:tabs>
          <w:tab w:pos="6659" w:val="left" w:leader="none"/>
        </w:tabs>
        <w:spacing w:line="240" w:lineRule="auto" w:before="19"/>
        <w:ind w:left="3336" w:right="0"/>
        <w:jc w:val="left"/>
      </w:pPr>
      <w:r>
        <w:rPr/>
        <w:t>员舞弊并给企业造成重要损失和不利影</w:t>
        <w:tab/>
      </w:r>
      <w:r>
        <w:rPr>
          <w:spacing w:val="-5"/>
        </w:rPr>
        <w:t>失；违法国际法律、法规相关规定；公</w:t>
      </w:r>
    </w:p>
    <w:p>
      <w:pPr>
        <w:pStyle w:val="BodyText"/>
        <w:spacing w:line="316" w:lineRule="auto" w:before="76"/>
        <w:ind w:left="3336" w:right="194"/>
        <w:jc w:val="left"/>
      </w:pPr>
      <w:r>
        <w:rPr/>
        <w:t>响；控制环境无效；内部监督无效；外部</w:t>
      </w:r>
      <w:r>
        <w:rPr>
          <w:spacing w:val="-6"/>
        </w:rPr>
        <w:t> </w:t>
      </w:r>
      <w:r>
        <w:rPr>
          <w:spacing w:val="-4"/>
        </w:rPr>
        <w:t>司重要技术资料、机密内幕信息泄密导</w:t>
      </w:r>
      <w:r>
        <w:rPr/>
        <w:t> 审计发现重大错报，而公司内部控制过程</w:t>
      </w:r>
      <w:r>
        <w:rPr>
          <w:spacing w:val="-6"/>
        </w:rPr>
        <w:t> </w:t>
      </w:r>
      <w:r>
        <w:rPr>
          <w:spacing w:val="-4"/>
        </w:rPr>
        <w:t>致公司重大损失或不良社会影响；公司</w:t>
      </w:r>
    </w:p>
    <w:p>
      <w:pPr>
        <w:pStyle w:val="BodyText"/>
        <w:spacing w:line="240" w:lineRule="auto" w:before="19"/>
        <w:ind w:left="3336" w:right="0"/>
        <w:jc w:val="left"/>
      </w:pPr>
      <w:r>
        <w:rPr/>
        <w:t>中未发现该错报；重要缺陷</w:t>
      </w:r>
      <w:r>
        <w:rPr>
          <w:rFonts w:ascii="Times New Roman" w:hAnsi="Times New Roman" w:cs="Times New Roman" w:eastAsia="Times New Roman" w:hint="default"/>
        </w:rPr>
        <w:t>:  </w:t>
      </w:r>
      <w:r>
        <w:rPr/>
        <w:t>重要财务控</w:t>
      </w:r>
      <w:r>
        <w:rPr>
          <w:spacing w:val="32"/>
        </w:rPr>
        <w:t> </w:t>
      </w:r>
      <w:r>
        <w:rPr/>
        <w:t>重要业务缺乏控制制度或制度体系失</w:t>
      </w:r>
    </w:p>
    <w:p>
      <w:pPr>
        <w:spacing w:after="0" w:line="240" w:lineRule="auto"/>
        <w:jc w:val="left"/>
        <w:sectPr>
          <w:pgSz w:w="11910" w:h="16840"/>
          <w:pgMar w:header="787" w:footer="1016" w:top="1100" w:bottom="1200" w:left="1020" w:right="1020"/>
        </w:sectPr>
      </w:pPr>
    </w:p>
    <w:p>
      <w:pPr>
        <w:pStyle w:val="BodyText"/>
        <w:spacing w:line="240" w:lineRule="auto" w:before="63"/>
        <w:ind w:left="141" w:right="-20"/>
        <w:jc w:val="left"/>
      </w:pPr>
      <w:r>
        <w:rPr/>
        <w:t>定性标准</w:t>
      </w:r>
    </w:p>
    <w:p>
      <w:pPr>
        <w:pStyle w:val="BodyText"/>
        <w:spacing w:line="316" w:lineRule="auto" w:before="63"/>
        <w:ind w:left="141" w:right="103"/>
        <w:jc w:val="left"/>
      </w:pPr>
      <w:r>
        <w:rPr/>
        <w:br w:type="column"/>
      </w:r>
      <w:r>
        <w:rPr/>
        <w:t>制程序的缺失或失效；外部审计发现重要 </w:t>
      </w:r>
      <w:r>
        <w:rPr>
          <w:spacing w:val="-5"/>
        </w:rPr>
        <w:t>效；其他对公司影响重大的情形。重要</w:t>
      </w:r>
      <w:r>
        <w:rPr>
          <w:spacing w:val="-80"/>
        </w:rPr>
        <w:t> </w:t>
      </w:r>
      <w:r>
        <w:rPr>
          <w:spacing w:val="-80"/>
        </w:rPr>
      </w:r>
      <w:r>
        <w:rPr/>
        <w:t>错报，而公司内部控制过程中未发现该错 </w:t>
      </w:r>
      <w:r>
        <w:rPr>
          <w:spacing w:val="-5"/>
        </w:rPr>
        <w:t>缺陷：不构成重大缺陷，其严重程度低</w:t>
      </w:r>
      <w:r>
        <w:rPr>
          <w:spacing w:val="-80"/>
        </w:rPr>
        <w:t> </w:t>
      </w:r>
      <w:r>
        <w:rPr>
          <w:spacing w:val="-80"/>
        </w:rPr>
      </w:r>
      <w:r>
        <w:rPr/>
        <w:t>报；报告期内提交的财务报告错误频出；</w:t>
      </w:r>
      <w:r>
        <w:rPr>
          <w:spacing w:val="-6"/>
        </w:rPr>
        <w:t> </w:t>
      </w:r>
      <w:r>
        <w:rPr>
          <w:spacing w:val="-4"/>
        </w:rPr>
        <w:t>于重大缺陷，且可能导致公司遭受一定</w:t>
      </w:r>
      <w:r>
        <w:rPr/>
        <w:t> 其他可能影响报表使用者正确判断的重要</w:t>
      </w:r>
      <w:r>
        <w:rPr>
          <w:spacing w:val="-6"/>
        </w:rPr>
        <w:t> </w:t>
      </w:r>
      <w:r>
        <w:rPr/>
        <w:t>程度是损失或影响的被认定为重要缺</w:t>
      </w:r>
      <w:r>
        <w:rPr/>
        <w:t> 缺陷。一般缺陷：除重大缺陷、重要缺陷</w:t>
      </w:r>
      <w:r>
        <w:rPr>
          <w:spacing w:val="-1"/>
        </w:rPr>
        <w:t> </w:t>
      </w:r>
      <w:r>
        <w:rPr>
          <w:spacing w:val="-9"/>
        </w:rPr>
        <w:t>陷。一般缺陷的情形：不构成重大缺陷、</w:t>
      </w:r>
    </w:p>
    <w:p>
      <w:pPr>
        <w:spacing w:after="0" w:line="316" w:lineRule="auto"/>
        <w:jc w:val="left"/>
        <w:sectPr>
          <w:type w:val="continuous"/>
          <w:pgSz w:w="11910" w:h="16840"/>
          <w:pgMar w:top="1100" w:bottom="1200" w:left="1020" w:right="1020"/>
          <w:cols w:num="2" w:equalWidth="0">
            <w:col w:w="862" w:space="2332"/>
            <w:col w:w="6676"/>
          </w:cols>
        </w:sectPr>
      </w:pPr>
    </w:p>
    <w:p>
      <w:pPr>
        <w:pStyle w:val="BodyText"/>
        <w:spacing w:line="240" w:lineRule="auto" w:before="19"/>
        <w:ind w:left="3336" w:right="-20"/>
        <w:jc w:val="left"/>
      </w:pPr>
      <w:r>
        <w:rPr/>
        <w:t>以外的其他内部控制缺陷。</w:t>
      </w:r>
    </w:p>
    <w:p>
      <w:pPr>
        <w:pStyle w:val="BodyText"/>
        <w:spacing w:line="316" w:lineRule="auto" w:before="19"/>
        <w:ind w:left="1123" w:right="307"/>
        <w:jc w:val="left"/>
      </w:pPr>
      <w:r>
        <w:rPr/>
        <w:br w:type="column"/>
      </w:r>
      <w:r>
        <w:rPr/>
        <w:t>重要缺陷之外的其他控制缺陷认定为 一般缺陷。</w:t>
      </w:r>
    </w:p>
    <w:p>
      <w:pPr>
        <w:spacing w:after="0" w:line="316" w:lineRule="auto"/>
        <w:jc w:val="left"/>
        <w:sectPr>
          <w:type w:val="continuous"/>
          <w:pgSz w:w="11910" w:h="16840"/>
          <w:pgMar w:top="1100" w:bottom="1200" w:left="1020" w:right="1020"/>
          <w:cols w:num="2" w:equalWidth="0">
            <w:col w:w="5497" w:space="40"/>
            <w:col w:w="4333"/>
          </w:cols>
        </w:sectPr>
      </w:pPr>
    </w:p>
    <w:p>
      <w:pPr>
        <w:pStyle w:val="BodyText"/>
        <w:spacing w:line="302" w:lineRule="auto" w:before="110"/>
        <w:ind w:left="3336" w:right="3168"/>
        <w:jc w:val="left"/>
      </w:pPr>
      <w:r>
        <w:rPr/>
        <w:pict>
          <v:shape style="position:absolute;margin-left:376.679993pt;margin-top:2.861706pt;width:158.35pt;height:347.3pt;mso-position-horizontal-relative:page;mso-position-vertical-relative:paragraph;z-index:-11612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t>重大缺陷的认定标准为：涉及资产、负债 的会计差错金额大于或等于资产总额</w:t>
      </w:r>
      <w:r>
        <w:rPr>
          <w:spacing w:val="-48"/>
        </w:rPr>
        <w:t> </w:t>
      </w:r>
      <w:r>
        <w:rPr>
          <w:rFonts w:ascii="Times New Roman" w:hAnsi="Times New Roman" w:cs="Times New Roman" w:eastAsia="Times New Roman" w:hint="default"/>
        </w:rPr>
        <w:t>5%</w:t>
      </w:r>
      <w:r>
        <w:rPr/>
        <w:t>， 且绝对金额超过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万元；涉及净资产的 会计差错金额大于或等于净资产总额</w:t>
      </w:r>
      <w:r>
        <w:rPr>
          <w:spacing w:val="-48"/>
        </w:rPr>
        <w:t> </w:t>
      </w:r>
      <w:r>
        <w:rPr>
          <w:rFonts w:ascii="Times New Roman" w:hAnsi="Times New Roman" w:cs="Times New Roman" w:eastAsia="Times New Roman" w:hint="default"/>
        </w:rPr>
        <w:t>5%</w:t>
      </w:r>
      <w:r>
        <w:rPr/>
        <w:t>， 且绝对金额超过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万元；涉及收入的会 计差错金额大于或等于收入总额</w:t>
      </w:r>
      <w:r>
        <w:rPr>
          <w:spacing w:val="-45"/>
        </w:rPr>
        <w:t> </w:t>
      </w:r>
      <w:r>
        <w:rPr>
          <w:rFonts w:ascii="Times New Roman" w:hAnsi="Times New Roman" w:cs="Times New Roman" w:eastAsia="Times New Roman" w:hint="default"/>
          <w:spacing w:val="-16"/>
        </w:rPr>
        <w:t>5%</w:t>
      </w:r>
      <w:r>
        <w:rPr>
          <w:spacing w:val="-16"/>
        </w:rPr>
        <w:t>，且绝</w:t>
      </w:r>
      <w:r>
        <w:rPr/>
        <w:t> 对金额超过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万元；涉及利润的会计差</w:t>
      </w:r>
    </w:p>
    <w:p>
      <w:pPr>
        <w:pStyle w:val="BodyText"/>
        <w:spacing w:line="240" w:lineRule="auto" w:before="11"/>
        <w:ind w:left="3336" w:right="0"/>
        <w:jc w:val="left"/>
      </w:pPr>
      <w:r>
        <w:rPr/>
        <w:t>错金额大于或等于净利润</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4"/>
        </w:rPr>
        <w:t>%</w:t>
      </w:r>
      <w:r>
        <w:rPr>
          <w:spacing w:val="-77"/>
        </w:rPr>
        <w:t>，</w:t>
      </w:r>
      <w:r>
        <w:rPr/>
        <w:t>且绝对金额</w:t>
      </w:r>
      <w:r>
        <w:rPr>
          <w:spacing w:val="-33"/>
        </w:rPr>
        <w:t> </w:t>
      </w:r>
      <w:r>
        <w:rPr/>
        <w:t>重大缺陷</w:t>
      </w:r>
      <w:r>
        <w:rPr>
          <w:spacing w:val="-68"/>
        </w:rPr>
        <w:t>：</w:t>
      </w:r>
      <w:r>
        <w:rPr/>
        <w:t>可能导致直接损失金额大于</w:t>
      </w:r>
    </w:p>
    <w:p>
      <w:pPr>
        <w:pStyle w:val="BodyText"/>
        <w:spacing w:line="240" w:lineRule="auto" w:before="63"/>
        <w:ind w:left="3336" w:right="0"/>
        <w:jc w:val="left"/>
      </w:pPr>
      <w:r>
        <w:rPr/>
        <w:t>超过 </w:t>
      </w:r>
      <w:r>
        <w:rPr>
          <w:rFonts w:ascii="Times New Roman" w:hAnsi="Times New Roman" w:cs="Times New Roman" w:eastAsia="Times New Roman" w:hint="default"/>
        </w:rPr>
        <w:t>500 </w:t>
      </w:r>
      <w:r>
        <w:rPr/>
        <w:t>万元。 重要缺陷的认定标准为 或等于净资产的</w:t>
      </w:r>
      <w:r>
        <w:rPr>
          <w:spacing w:val="-12"/>
        </w:rPr>
        <w:t> </w:t>
      </w:r>
      <w:r>
        <w:rPr>
          <w:rFonts w:ascii="Times New Roman" w:hAnsi="Times New Roman" w:cs="Times New Roman" w:eastAsia="Times New Roman" w:hint="default"/>
        </w:rPr>
        <w:t>5%</w:t>
      </w:r>
      <w:r>
        <w:rPr/>
        <w:t>。重要缺陷：可能</w:t>
      </w:r>
    </w:p>
    <w:p>
      <w:pPr>
        <w:spacing w:after="0" w:line="240" w:lineRule="auto"/>
        <w:jc w:val="left"/>
        <w:sectPr>
          <w:type w:val="continuous"/>
          <w:pgSz w:w="11910" w:h="16840"/>
          <w:pgMar w:top="1100" w:bottom="1200" w:left="1020" w:right="102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BodyText"/>
        <w:spacing w:line="240" w:lineRule="auto"/>
        <w:ind w:left="141" w:right="-20"/>
        <w:jc w:val="left"/>
      </w:pPr>
      <w:r>
        <w:rPr/>
        <w:t>定量标准</w:t>
      </w:r>
    </w:p>
    <w:p>
      <w:pPr>
        <w:pStyle w:val="BodyText"/>
        <w:spacing w:line="300" w:lineRule="auto" w:before="63"/>
        <w:ind w:left="141" w:right="111"/>
        <w:jc w:val="left"/>
      </w:pPr>
      <w:r>
        <w:rPr/>
        <w:br w:type="column"/>
      </w:r>
      <w:r>
        <w:rPr/>
        <w:t>涉及资产、负债的会计差错金额占资产总 导致直接损失金额小于净资产的</w:t>
      </w:r>
      <w:r>
        <w:rPr>
          <w:spacing w:val="-54"/>
        </w:rPr>
        <w:t> </w:t>
      </w:r>
      <w:r>
        <w:rPr>
          <w:rFonts w:ascii="Times New Roman" w:hAnsi="Times New Roman" w:cs="Times New Roman" w:eastAsia="Times New Roman" w:hint="default"/>
        </w:rPr>
        <w:t>5%</w:t>
      </w:r>
      <w:r>
        <w:rPr/>
        <w:t>但 额小于</w:t>
      </w:r>
      <w:r>
        <w:rPr>
          <w:spacing w:val="-42"/>
        </w:rPr>
        <w:t> </w:t>
      </w:r>
      <w:r>
        <w:rPr>
          <w:rFonts w:ascii="Times New Roman" w:hAnsi="Times New Roman" w:cs="Times New Roman" w:eastAsia="Times New Roman" w:hint="default"/>
          <w:spacing w:val="-1"/>
        </w:rPr>
        <w:t>5%</w:t>
      </w:r>
      <w:r>
        <w:rPr>
          <w:spacing w:val="-1"/>
        </w:rPr>
        <w:t>，但大于或等于</w:t>
      </w:r>
      <w:r>
        <w:rPr>
          <w:spacing w:val="-42"/>
        </w:rPr>
        <w:t> </w:t>
      </w:r>
      <w:r>
        <w:rPr>
          <w:rFonts w:ascii="Times New Roman" w:hAnsi="Times New Roman" w:cs="Times New Roman" w:eastAsia="Times New Roman" w:hint="default"/>
          <w:spacing w:val="-1"/>
        </w:rPr>
        <w:t>2%</w:t>
      </w:r>
      <w:r>
        <w:rPr>
          <w:spacing w:val="-1"/>
        </w:rPr>
        <w:t>，且绝对金</w:t>
      </w:r>
      <w:r>
        <w:rPr>
          <w:spacing w:val="-29"/>
        </w:rPr>
        <w:t> </w:t>
      </w:r>
      <w:r>
        <w:rPr/>
        <w:t>大于或等于资产总额的</w:t>
      </w:r>
      <w:r>
        <w:rPr>
          <w:spacing w:val="-44"/>
        </w:rPr>
        <w:t> </w:t>
      </w:r>
      <w:r>
        <w:rPr>
          <w:rFonts w:ascii="Times New Roman" w:hAnsi="Times New Roman" w:cs="Times New Roman" w:eastAsia="Times New Roman" w:hint="default"/>
          <w:spacing w:val="-11"/>
        </w:rPr>
        <w:t>2%</w:t>
      </w:r>
      <w:r>
        <w:rPr>
          <w:spacing w:val="-11"/>
        </w:rPr>
        <w:t>。一般缺陷：</w:t>
      </w:r>
      <w:r>
        <w:rPr/>
        <w:t> 额超过 </w:t>
      </w:r>
      <w:r>
        <w:rPr>
          <w:rFonts w:ascii="Times New Roman" w:hAnsi="Times New Roman" w:cs="Times New Roman" w:eastAsia="Times New Roman" w:hint="default"/>
        </w:rPr>
        <w:t>200 </w:t>
      </w:r>
      <w:r>
        <w:rPr/>
        <w:t>万元；涉及净资产的会计差错</w:t>
      </w:r>
      <w:r>
        <w:rPr>
          <w:spacing w:val="-53"/>
        </w:rPr>
        <w:t> </w:t>
      </w:r>
      <w:r>
        <w:rPr/>
        <w:t>可能导致直接损失金额小于净资产的</w:t>
      </w:r>
      <w:r>
        <w:rPr/>
        <w:t> 金额占净资产总额小于</w:t>
      </w:r>
      <w:r>
        <w:rPr>
          <w:spacing w:val="-43"/>
        </w:rPr>
        <w:t> </w:t>
      </w:r>
      <w:r>
        <w:rPr>
          <w:rFonts w:ascii="Times New Roman" w:hAnsi="Times New Roman" w:cs="Times New Roman" w:eastAsia="Times New Roman" w:hint="default"/>
          <w:spacing w:val="-9"/>
        </w:rPr>
        <w:t>5%</w:t>
      </w:r>
      <w:r>
        <w:rPr>
          <w:spacing w:val="-9"/>
        </w:rPr>
        <w:t>，但大于或等于</w:t>
      </w:r>
      <w:r>
        <w:rPr>
          <w:spacing w:val="-30"/>
        </w:rPr>
        <w:t> </w:t>
      </w:r>
      <w:r>
        <w:rPr>
          <w:rFonts w:ascii="Times New Roman" w:hAnsi="Times New Roman" w:cs="Times New Roman" w:eastAsia="Times New Roman" w:hint="default"/>
          <w:spacing w:val="-1"/>
        </w:rPr>
        <w:t>2%</w:t>
      </w:r>
      <w:r>
        <w:rPr>
          <w:spacing w:val="-1"/>
        </w:rPr>
        <w:t>时，则认定为一般缺陷。以上定量</w:t>
      </w:r>
      <w:r>
        <w:rPr>
          <w:spacing w:val="-81"/>
        </w:rPr>
        <w:t> </w:t>
      </w:r>
      <w:r>
        <w:rPr>
          <w:rFonts w:ascii="Times New Roman" w:hAnsi="Times New Roman" w:cs="Times New Roman" w:eastAsia="Times New Roman" w:hint="default"/>
        </w:rPr>
        <w:t>2%</w:t>
      </w:r>
      <w:r>
        <w:rPr/>
        <w:t>，且绝对金额超过</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spacing w:val="-3"/>
        </w:rPr>
        <w:t>万元；涉及收入</w:t>
      </w:r>
      <w:r>
        <w:rPr>
          <w:spacing w:val="-36"/>
        </w:rPr>
        <w:t> </w:t>
      </w:r>
      <w:r>
        <w:rPr/>
        <w:t>标准中所指的财务指标值均为公司最</w:t>
      </w:r>
      <w:r>
        <w:rPr/>
        <w:t> 的会计差错金额占收入总额小于</w:t>
      </w:r>
      <w:r>
        <w:rPr>
          <w:spacing w:val="-45"/>
        </w:rPr>
        <w:t> </w:t>
      </w:r>
      <w:r>
        <w:rPr>
          <w:rFonts w:ascii="Times New Roman" w:hAnsi="Times New Roman" w:cs="Times New Roman" w:eastAsia="Times New Roman" w:hint="default"/>
          <w:spacing w:val="-16"/>
        </w:rPr>
        <w:t>5%</w:t>
      </w:r>
      <w:r>
        <w:rPr>
          <w:spacing w:val="-16"/>
        </w:rPr>
        <w:t>，但大</w:t>
      </w:r>
      <w:r>
        <w:rPr>
          <w:spacing w:val="-33"/>
        </w:rPr>
        <w:t> </w:t>
      </w:r>
      <w:r>
        <w:rPr/>
        <w:t>近一期经审计的合并报表数据。</w:t>
      </w:r>
      <w:r>
        <w:rPr/>
        <w:t> 于或等于</w:t>
      </w:r>
      <w:r>
        <w:rPr>
          <w:spacing w:val="-47"/>
        </w:rPr>
        <w:t> </w:t>
      </w:r>
      <w:r>
        <w:rPr>
          <w:rFonts w:ascii="Times New Roman" w:hAnsi="Times New Roman" w:cs="Times New Roman" w:eastAsia="Times New Roman" w:hint="default"/>
        </w:rPr>
        <w:t>2%</w:t>
      </w:r>
      <w:r>
        <w:rPr/>
        <w:t>，且绝对金额超过</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t>万元；</w:t>
      </w:r>
    </w:p>
    <w:p>
      <w:pPr>
        <w:pStyle w:val="BodyText"/>
        <w:spacing w:line="240" w:lineRule="auto" w:before="13"/>
        <w:ind w:left="141" w:right="103"/>
        <w:jc w:val="left"/>
      </w:pPr>
      <w:r>
        <w:rPr/>
        <w:t>涉及利润的会计差错金额占净利润小于</w:t>
      </w:r>
    </w:p>
    <w:p>
      <w:pPr>
        <w:pStyle w:val="BodyText"/>
        <w:spacing w:line="240" w:lineRule="auto" w:before="76"/>
        <w:ind w:left="141" w:right="103"/>
        <w:jc w:val="left"/>
      </w:pPr>
      <w:r>
        <w:rPr>
          <w:rFonts w:ascii="Times New Roman" w:hAnsi="Times New Roman" w:cs="Times New Roman" w:eastAsia="Times New Roman" w:hint="default"/>
        </w:rPr>
        <w:t>5%</w:t>
      </w:r>
      <w:r>
        <w:rPr/>
        <w:t>，但大于或等于</w:t>
      </w:r>
      <w:r>
        <w:rPr>
          <w:spacing w:val="-49"/>
        </w:rPr>
        <w:t> </w:t>
      </w:r>
      <w:r>
        <w:rPr>
          <w:rFonts w:ascii="Times New Roman" w:hAnsi="Times New Roman" w:cs="Times New Roman" w:eastAsia="Times New Roman" w:hint="default"/>
        </w:rPr>
        <w:t>2%</w:t>
      </w:r>
      <w:r>
        <w:rPr/>
        <w:t>，且绝对金额超过</w:t>
      </w:r>
    </w:p>
    <w:p>
      <w:pPr>
        <w:pStyle w:val="BodyText"/>
        <w:spacing w:line="312" w:lineRule="auto" w:before="63"/>
        <w:ind w:left="141" w:right="3289"/>
        <w:jc w:val="both"/>
      </w:pP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万元。一般缺陷：不构成重大缺陷和 重要缺陷定量标准之外的其他缺陷。以上 定量标准中所指的财务指标值均为公司最 近一期经审计的合并报表数据。</w:t>
      </w:r>
    </w:p>
    <w:p>
      <w:pPr>
        <w:spacing w:after="0" w:line="312" w:lineRule="auto"/>
        <w:jc w:val="both"/>
        <w:sectPr>
          <w:type w:val="continuous"/>
          <w:pgSz w:w="11910" w:h="16840"/>
          <w:pgMar w:top="1100" w:bottom="1200" w:left="1020" w:right="1020"/>
          <w:cols w:num="2" w:equalWidth="0">
            <w:col w:w="862" w:space="2332"/>
            <w:col w:w="6676"/>
          </w:cols>
        </w:sectPr>
      </w:pPr>
    </w:p>
    <w:p>
      <w:pPr>
        <w:pStyle w:val="BodyText"/>
        <w:tabs>
          <w:tab w:pos="9563" w:val="left" w:leader="none"/>
        </w:tabs>
        <w:spacing w:line="240" w:lineRule="auto" w:before="111"/>
        <w:ind w:left="141" w:right="0"/>
        <w:jc w:val="left"/>
        <w:rPr>
          <w:rFonts w:ascii="Times New Roman" w:hAnsi="Times New Roman" w:cs="Times New Roman" w:eastAsia="Times New Roman" w:hint="default"/>
        </w:rPr>
      </w:pPr>
      <w:r>
        <w:rPr/>
        <w:t>财务报告重大缺陷数量（个）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6"/>
        <w:rPr>
          <w:rFonts w:ascii="Times New Roman" w:hAnsi="Times New Roman" w:cs="Times New Roman" w:eastAsia="Times New Roman" w:hint="default"/>
          <w:sz w:val="9"/>
          <w:szCs w:val="9"/>
        </w:rPr>
      </w:pPr>
    </w:p>
    <w:p>
      <w:pPr>
        <w:pStyle w:val="BodyText"/>
        <w:tabs>
          <w:tab w:pos="9563" w:val="left" w:leader="none"/>
        </w:tabs>
        <w:spacing w:line="240" w:lineRule="auto" w:before="44"/>
        <w:ind w:left="141" w:right="0"/>
        <w:jc w:val="left"/>
        <w:rPr>
          <w:rFonts w:ascii="Times New Roman" w:hAnsi="Times New Roman" w:cs="Times New Roman" w:eastAsia="Times New Roman" w:hint="default"/>
        </w:rPr>
      </w:pPr>
      <w:r>
        <w:rPr/>
        <w:t>非财务报告重大缺陷数量（个）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4"/>
        <w:rPr>
          <w:rFonts w:ascii="Times New Roman" w:hAnsi="Times New Roman" w:cs="Times New Roman" w:eastAsia="Times New Roman" w:hint="default"/>
          <w:sz w:val="9"/>
          <w:szCs w:val="9"/>
        </w:rPr>
      </w:pPr>
    </w:p>
    <w:p>
      <w:pPr>
        <w:pStyle w:val="BodyText"/>
        <w:tabs>
          <w:tab w:pos="9563" w:val="left" w:leader="none"/>
        </w:tabs>
        <w:spacing w:line="240" w:lineRule="auto" w:before="44"/>
        <w:ind w:left="141" w:right="0"/>
        <w:jc w:val="left"/>
        <w:rPr>
          <w:rFonts w:ascii="Times New Roman" w:hAnsi="Times New Roman" w:cs="Times New Roman" w:eastAsia="Times New Roman" w:hint="default"/>
        </w:rPr>
      </w:pPr>
      <w:r>
        <w:rPr/>
        <w:t>财务报告重要缺陷数量（个）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6"/>
        <w:rPr>
          <w:rFonts w:ascii="Times New Roman" w:hAnsi="Times New Roman" w:cs="Times New Roman" w:eastAsia="Times New Roman" w:hint="default"/>
          <w:sz w:val="9"/>
          <w:szCs w:val="9"/>
        </w:rPr>
      </w:pPr>
    </w:p>
    <w:p>
      <w:pPr>
        <w:pStyle w:val="BodyText"/>
        <w:tabs>
          <w:tab w:pos="9563" w:val="left" w:leader="none"/>
        </w:tabs>
        <w:spacing w:line="240" w:lineRule="auto" w:before="44"/>
        <w:ind w:left="141" w:right="0"/>
        <w:jc w:val="left"/>
        <w:rPr>
          <w:rFonts w:ascii="Times New Roman" w:hAnsi="Times New Roman" w:cs="Times New Roman" w:eastAsia="Times New Roman" w:hint="default"/>
        </w:rPr>
      </w:pPr>
      <w:r>
        <w:rPr/>
        <w:t>非财务报告重要缺陷数量（个）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5"/>
        <w:rPr>
          <w:rFonts w:ascii="Times New Roman" w:hAnsi="Times New Roman" w:cs="Times New Roman" w:eastAsia="Times New Roman" w:hint="default"/>
          <w:sz w:val="29"/>
          <w:szCs w:val="29"/>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type w:val="continuous"/>
          <w:pgSz w:w="11910" w:h="16840"/>
          <w:pgMar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86" w:right="0"/>
        <w:jc w:val="left"/>
        <w:rPr>
          <w:b w:val="0"/>
          <w:bCs w:val="0"/>
        </w:rPr>
      </w:pPr>
      <w:bookmarkStart w:name="_bookmark9" w:id="10"/>
      <w:bookmarkEnd w:id="10"/>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109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382"/>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441ZA5202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黄声森、赵娟娟</w:t>
            </w:r>
          </w:p>
        </w:tc>
      </w:tr>
    </w:tbl>
    <w:p>
      <w:pPr>
        <w:pStyle w:val="BodyText"/>
        <w:spacing w:line="240" w:lineRule="auto" w:before="50"/>
        <w:ind w:left="2381" w:right="2382"/>
        <w:jc w:val="center"/>
      </w:pPr>
      <w:r>
        <w:rPr/>
        <w:t>审计报告正文</w:t>
      </w:r>
    </w:p>
    <w:p>
      <w:pPr>
        <w:spacing w:line="240" w:lineRule="auto" w:before="8"/>
        <w:rPr>
          <w:rFonts w:ascii="宋体" w:hAnsi="宋体" w:cs="宋体" w:eastAsia="宋体" w:hint="default"/>
          <w:sz w:val="11"/>
          <w:szCs w:val="11"/>
        </w:rPr>
      </w:pPr>
    </w:p>
    <w:p>
      <w:pPr>
        <w:pStyle w:val="Heading4"/>
        <w:spacing w:line="439" w:lineRule="auto" w:before="44"/>
        <w:ind w:left="472" w:right="6300" w:hanging="360"/>
        <w:jc w:val="left"/>
        <w:rPr>
          <w:b w:val="0"/>
          <w:bCs w:val="0"/>
        </w:rPr>
      </w:pPr>
      <w:r>
        <w:rPr/>
        <w:t>深圳市广和通无线股份有限公司全体股东：</w:t>
      </w:r>
      <w:r>
        <w:rPr>
          <w:w w:val="99"/>
        </w:rPr>
        <w:t> </w:t>
      </w:r>
      <w:r>
        <w:rPr/>
        <w:t>一、审计意见</w:t>
      </w:r>
      <w:r>
        <w:rPr>
          <w:b w:val="0"/>
          <w:bCs w:val="0"/>
        </w:rPr>
      </w:r>
    </w:p>
    <w:p>
      <w:pPr>
        <w:pStyle w:val="BodyText"/>
        <w:spacing w:line="300" w:lineRule="auto" w:before="47"/>
        <w:ind w:right="110" w:firstLine="360"/>
        <w:jc w:val="both"/>
      </w:pPr>
      <w:r>
        <w:rPr>
          <w:spacing w:val="-2"/>
        </w:rPr>
        <w:t>我们审计了深圳市广和通无线股份有限公司（以下简称广和通）财务报表，包括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w:t>
      </w:r>
      <w:r>
        <w:rPr/>
        <w:t> 表，</w:t>
      </w:r>
      <w:r>
        <w:rPr>
          <w:rFonts w:ascii="Times New Roman" w:hAnsi="Times New Roman" w:cs="Times New Roman" w:eastAsia="Times New Roman" w:hint="default"/>
        </w:rPr>
        <w:t>2017</w:t>
      </w:r>
      <w:r>
        <w:rPr/>
        <w:t>年度的合并及公司利润表、合并及公司现金流量表、合并及公司股东权益变动表以及相关财务报表附注。</w:t>
      </w:r>
    </w:p>
    <w:p>
      <w:pPr>
        <w:pStyle w:val="BodyText"/>
        <w:spacing w:line="300" w:lineRule="auto" w:before="133"/>
        <w:ind w:right="112" w:firstLine="360"/>
        <w:jc w:val="both"/>
      </w:pPr>
      <w:r>
        <w:rPr>
          <w:spacing w:val="-2"/>
        </w:rPr>
        <w:t>我们认为，后附的财务报表在所有重大方面按照企业会计准则的规定编制，公允反映了广和通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公司财务状况以及</w:t>
      </w:r>
      <w:r>
        <w:rPr>
          <w:rFonts w:ascii="Times New Roman" w:hAnsi="Times New Roman" w:cs="Times New Roman" w:eastAsia="Times New Roman" w:hint="default"/>
        </w:rPr>
        <w:t>2017</w:t>
      </w:r>
      <w:r>
        <w:rPr/>
        <w:t>年度的合并及公司的经营成果和现金流量。</w:t>
      </w:r>
    </w:p>
    <w:p>
      <w:pPr>
        <w:pStyle w:val="Heading4"/>
        <w:spacing w:line="240" w:lineRule="auto" w:before="133"/>
        <w:ind w:left="472" w:right="0"/>
        <w:jc w:val="left"/>
        <w:rPr>
          <w:b w:val="0"/>
          <w:bCs w:val="0"/>
        </w:rPr>
      </w:pPr>
      <w:r>
        <w:rPr/>
        <w:t>二、形成审计意见的基础</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1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阐述了我们在这些准则下的责任。按照中国注册会计师职业道德守则，我们独立于广和通，并履行了职业道德方面的其他责</w:t>
      </w:r>
      <w:r>
        <w:rPr>
          <w:spacing w:val="-63"/>
        </w:rPr>
        <w:t> </w:t>
      </w:r>
      <w:r>
        <w:rPr>
          <w:spacing w:val="-63"/>
        </w:rPr>
      </w:r>
      <w:r>
        <w:rPr/>
        <w:t>任。我们相信，我们获取的审计证据是充分、适当的，为发表审计意见提供了基础。</w:t>
      </w:r>
    </w:p>
    <w:p>
      <w:pPr>
        <w:pStyle w:val="BodyText"/>
        <w:spacing w:line="432" w:lineRule="exact" w:before="9"/>
        <w:ind w:left="472"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5"/>
        <w:ind w:right="0"/>
        <w:jc w:val="left"/>
      </w:pPr>
      <w:r>
        <w:rPr/>
        <w:t>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27" w:lineRule="auto"/>
        <w:ind w:left="472" w:right="5054"/>
        <w:jc w:val="left"/>
      </w:pPr>
      <w:r>
        <w:rPr/>
        <w:t>（一）收入确认 相关信息披露详见财务报表附注三、</w:t>
      </w:r>
      <w:r>
        <w:rPr>
          <w:rFonts w:ascii="Times New Roman" w:hAnsi="Times New Roman" w:cs="Times New Roman" w:eastAsia="Times New Roman" w:hint="default"/>
        </w:rPr>
        <w:t>25</w:t>
      </w:r>
      <w:r>
        <w:rPr/>
        <w:t>及附注五、</w:t>
      </w:r>
      <w:r>
        <w:rPr>
          <w:rFonts w:ascii="Times New Roman" w:hAnsi="Times New Roman" w:cs="Times New Roman" w:eastAsia="Times New Roman" w:hint="default"/>
        </w:rPr>
        <w:t>29</w:t>
      </w:r>
      <w:r>
        <w:rPr/>
        <w:t>。 </w:t>
      </w:r>
      <w:r>
        <w:rPr>
          <w:rFonts w:ascii="Times New Roman" w:hAnsi="Times New Roman" w:cs="Times New Roman" w:eastAsia="Times New Roman" w:hint="default"/>
        </w:rPr>
        <w:t>1</w:t>
      </w:r>
      <w:r>
        <w:rPr/>
        <w:t>、事项描述</w:t>
      </w:r>
    </w:p>
    <w:p>
      <w:pPr>
        <w:pStyle w:val="BodyText"/>
        <w:spacing w:line="300" w:lineRule="auto" w:before="27"/>
        <w:ind w:right="110" w:firstLine="360"/>
        <w:jc w:val="both"/>
      </w:pPr>
      <w:r>
        <w:rPr/>
        <w:t>广和通</w:t>
      </w:r>
      <w:r>
        <w:rPr>
          <w:rFonts w:ascii="Times New Roman" w:hAnsi="Times New Roman" w:cs="Times New Roman" w:eastAsia="Times New Roman" w:hint="default"/>
        </w:rPr>
        <w:t>2017</w:t>
      </w:r>
      <w:r>
        <w:rPr/>
        <w:t>年销售收入为</w:t>
      </w:r>
      <w:r>
        <w:rPr>
          <w:rFonts w:ascii="Times New Roman" w:hAnsi="Times New Roman" w:cs="Times New Roman" w:eastAsia="Times New Roman" w:hint="default"/>
        </w:rPr>
        <w:t>56,330.45</w:t>
      </w:r>
      <w:r>
        <w:rPr/>
        <w:t>万元，销售收入较上年增加</w:t>
      </w:r>
      <w:r>
        <w:rPr>
          <w:rFonts w:ascii="Times New Roman" w:hAnsi="Times New Roman" w:cs="Times New Roman" w:eastAsia="Times New Roman" w:hint="default"/>
        </w:rPr>
        <w:t>63.58%</w:t>
      </w:r>
      <w:r>
        <w:rPr/>
        <w:t>，同时应收账款大幅度增加，截止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2"/>
        </w:rPr>
        <w:t>日，期末应收账款为</w:t>
      </w:r>
      <w:r>
        <w:rPr>
          <w:rFonts w:ascii="Times New Roman" w:hAnsi="Times New Roman" w:cs="Times New Roman" w:eastAsia="Times New Roman" w:hint="default"/>
          <w:spacing w:val="-2"/>
        </w:rPr>
        <w:t>20,539.08</w:t>
      </w:r>
      <w:r>
        <w:rPr>
          <w:spacing w:val="-2"/>
        </w:rPr>
        <w:t>万元。根据销售合同及会计政策，广和通国内销售收入所有权上的风险和报酬转移时点为产品</w:t>
      </w:r>
      <w:r>
        <w:rPr>
          <w:spacing w:val="-57"/>
        </w:rPr>
        <w:t> </w:t>
      </w:r>
      <w:r>
        <w:rPr>
          <w:spacing w:val="-57"/>
        </w:rPr>
      </w:r>
      <w:r>
        <w:rPr/>
        <w:t>已经发出并取得买方签收的送货单或托运单时，国外销售为在办理完毕报关和商检手续时。</w:t>
      </w:r>
    </w:p>
    <w:p>
      <w:pPr>
        <w:pStyle w:val="BodyText"/>
        <w:spacing w:line="316" w:lineRule="auto" w:before="151"/>
        <w:ind w:right="110" w:firstLine="360"/>
        <w:jc w:val="both"/>
      </w:pPr>
      <w:r>
        <w:rPr>
          <w:spacing w:val="-2"/>
        </w:rPr>
        <w:t>由于收入是广和通的关键业绩指标之一，公司收入增长较大，产生错报的固有风险较高，因此我们将广和通收入确认作</w:t>
      </w:r>
      <w:r>
        <w:rPr/>
        <w:t> 为关键审计事项。</w:t>
      </w:r>
    </w:p>
    <w:p>
      <w:pPr>
        <w:pStyle w:val="BodyText"/>
        <w:spacing w:line="415" w:lineRule="auto" w:before="139"/>
        <w:ind w:left="472" w:right="6134"/>
        <w:jc w:val="left"/>
      </w:pPr>
      <w:r>
        <w:rPr>
          <w:rFonts w:ascii="Times New Roman" w:hAnsi="Times New Roman" w:cs="Times New Roman" w:eastAsia="Times New Roman" w:hint="default"/>
        </w:rPr>
        <w:t>2</w:t>
      </w:r>
      <w:r>
        <w:rPr/>
        <w:t>、审计应对 针对该事项，我们执行的主要程序包括：</w:t>
      </w:r>
    </w:p>
    <w:p>
      <w:pPr>
        <w:pStyle w:val="BodyText"/>
        <w:spacing w:line="240" w:lineRule="auto" w:before="65"/>
        <w:ind w:left="472" w:right="0"/>
        <w:jc w:val="left"/>
      </w:pPr>
      <w:r>
        <w:rPr/>
        <w:t>（</w:t>
      </w:r>
      <w:r>
        <w:rPr>
          <w:rFonts w:ascii="Times New Roman" w:hAnsi="Times New Roman" w:cs="Times New Roman" w:eastAsia="Times New Roman" w:hint="default"/>
        </w:rPr>
        <w:t>1</w:t>
      </w:r>
      <w:r>
        <w:rPr/>
        <w:t>）了解并评价了管理层与收入确认有关的内部控制的设计和执行有效性，并对控制的运行有效性进行了测试；</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00" w:lineRule="auto" w:before="44"/>
        <w:ind w:right="184" w:firstLine="360"/>
        <w:jc w:val="left"/>
      </w:pPr>
      <w:r>
        <w:rPr/>
        <w:t>（</w:t>
      </w:r>
      <w:r>
        <w:rPr>
          <w:rFonts w:ascii="Times New Roman" w:hAnsi="Times New Roman" w:cs="Times New Roman" w:eastAsia="Times New Roman" w:hint="default"/>
        </w:rPr>
        <w:t>2</w:t>
      </w:r>
      <w:r>
        <w:rPr/>
        <w:t>）抽查重要销售合同，识别与商品所有权上的风险和报酬转移相关的合同条款与条件，评估了广和通产品销售收入 确认的会计政策；</w:t>
      </w:r>
    </w:p>
    <w:p>
      <w:pPr>
        <w:pStyle w:val="BodyText"/>
        <w:spacing w:line="240" w:lineRule="auto" w:before="151"/>
        <w:ind w:left="472" w:right="0"/>
        <w:jc w:val="left"/>
      </w:pPr>
      <w:r>
        <w:rPr>
          <w:spacing w:val="-2"/>
        </w:rPr>
        <w:t>（</w:t>
      </w:r>
      <w:r>
        <w:rPr>
          <w:rFonts w:ascii="Times New Roman" w:hAnsi="Times New Roman" w:cs="Times New Roman" w:eastAsia="Times New Roman" w:hint="default"/>
          <w:spacing w:val="-2"/>
        </w:rPr>
        <w:t>3</w:t>
      </w:r>
      <w:r>
        <w:rPr>
          <w:spacing w:val="-2"/>
        </w:rPr>
        <w:t>）结合产品类型对收入执行月度波动分析以及毛利分析，并与同行业比较分析，结合行业特征识别和调查异常波动；</w:t>
      </w:r>
    </w:p>
    <w:p>
      <w:pPr>
        <w:spacing w:line="240" w:lineRule="auto" w:before="13"/>
        <w:rPr>
          <w:rFonts w:ascii="宋体" w:hAnsi="宋体" w:cs="宋体" w:eastAsia="宋体" w:hint="default"/>
          <w:sz w:val="13"/>
          <w:szCs w:val="13"/>
        </w:rPr>
      </w:pPr>
    </w:p>
    <w:p>
      <w:pPr>
        <w:pStyle w:val="BodyText"/>
        <w:spacing w:line="300" w:lineRule="auto"/>
        <w:ind w:right="184" w:firstLine="360"/>
        <w:jc w:val="left"/>
      </w:pPr>
      <w:r>
        <w:rPr/>
        <w:t>（</w:t>
      </w:r>
      <w:r>
        <w:rPr>
          <w:rFonts w:ascii="Times New Roman" w:hAnsi="Times New Roman" w:cs="Times New Roman" w:eastAsia="Times New Roman" w:hint="default"/>
        </w:rPr>
        <w:t>4</w:t>
      </w:r>
      <w:r>
        <w:rPr/>
        <w:t>）对本年记录的收入交易进行抽查，核对销售合同、销售发票、出库单、产品运输单、客户签收单（出口报关单） 等，评价相关收入确认是否符合广和通收入确认的会计政策；</w:t>
      </w:r>
    </w:p>
    <w:p>
      <w:pPr>
        <w:pStyle w:val="BodyText"/>
        <w:spacing w:line="300" w:lineRule="auto" w:before="151"/>
        <w:ind w:right="184" w:firstLine="360"/>
        <w:jc w:val="left"/>
      </w:pPr>
      <w:r>
        <w:rPr/>
        <w:t>（</w:t>
      </w:r>
      <w:r>
        <w:rPr>
          <w:rFonts w:ascii="Times New Roman" w:hAnsi="Times New Roman" w:cs="Times New Roman" w:eastAsia="Times New Roman" w:hint="default"/>
        </w:rPr>
        <w:t>5</w:t>
      </w:r>
      <w:r>
        <w:rPr/>
        <w:t>）对资产负债表日前后记录的收入交易进行抽查，核对送货签收单及其他支持性文件，以评价收入是否在恰当的会 计期间确认；</w:t>
      </w:r>
    </w:p>
    <w:p>
      <w:pPr>
        <w:pStyle w:val="BodyText"/>
        <w:spacing w:line="240" w:lineRule="auto" w:before="151"/>
        <w:ind w:left="472" w:right="190"/>
        <w:jc w:val="left"/>
      </w:pPr>
      <w:r>
        <w:rPr/>
        <w:t>（</w:t>
      </w:r>
      <w:r>
        <w:rPr>
          <w:rFonts w:ascii="Times New Roman" w:hAnsi="Times New Roman" w:cs="Times New Roman" w:eastAsia="Times New Roman" w:hint="default"/>
        </w:rPr>
        <w:t>6</w:t>
      </w:r>
      <w:r>
        <w:rPr/>
        <w:t>）对本年大额交易发生额进行函证，同时，向海关函证出口销售金额；</w:t>
      </w:r>
    </w:p>
    <w:p>
      <w:pPr>
        <w:spacing w:line="240" w:lineRule="auto" w:before="13"/>
        <w:rPr>
          <w:rFonts w:ascii="宋体" w:hAnsi="宋体" w:cs="宋体" w:eastAsia="宋体" w:hint="default"/>
          <w:sz w:val="13"/>
          <w:szCs w:val="13"/>
        </w:rPr>
      </w:pPr>
    </w:p>
    <w:p>
      <w:pPr>
        <w:pStyle w:val="BodyText"/>
        <w:spacing w:line="240" w:lineRule="auto"/>
        <w:ind w:left="472" w:right="190"/>
        <w:jc w:val="left"/>
      </w:pPr>
      <w:r>
        <w:rPr/>
        <w:t>（</w:t>
      </w:r>
      <w:r>
        <w:rPr>
          <w:rFonts w:ascii="Times New Roman" w:hAnsi="Times New Roman" w:cs="Times New Roman" w:eastAsia="Times New Roman" w:hint="default"/>
        </w:rPr>
        <w:t>7</w:t>
      </w:r>
      <w:r>
        <w:rPr/>
        <w:t>）对期后回款进行检查，进一步核实销售的真实准确性。</w:t>
      </w:r>
    </w:p>
    <w:p>
      <w:pPr>
        <w:spacing w:line="240" w:lineRule="auto" w:before="13"/>
        <w:rPr>
          <w:rFonts w:ascii="宋体" w:hAnsi="宋体" w:cs="宋体" w:eastAsia="宋体" w:hint="default"/>
          <w:sz w:val="13"/>
          <w:szCs w:val="13"/>
        </w:rPr>
      </w:pPr>
    </w:p>
    <w:p>
      <w:pPr>
        <w:pStyle w:val="BodyText"/>
        <w:spacing w:line="427" w:lineRule="auto"/>
        <w:ind w:left="472" w:right="5224"/>
        <w:jc w:val="left"/>
      </w:pPr>
      <w:r>
        <w:rPr/>
        <w:t>（二）应收账款坏账准备 相关信息披露详见财务报表附注三、</w:t>
      </w:r>
      <w:r>
        <w:rPr>
          <w:rFonts w:ascii="Times New Roman" w:hAnsi="Times New Roman" w:cs="Times New Roman" w:eastAsia="Times New Roman" w:hint="default"/>
        </w:rPr>
        <w:t>12</w:t>
      </w:r>
      <w:r>
        <w:rPr/>
        <w:t>及附注五、</w:t>
      </w:r>
      <w:r>
        <w:rPr>
          <w:rFonts w:ascii="Times New Roman" w:hAnsi="Times New Roman" w:cs="Times New Roman" w:eastAsia="Times New Roman" w:hint="default"/>
        </w:rPr>
        <w:t>3</w:t>
      </w:r>
      <w:r>
        <w:rPr/>
        <w:t>。 </w:t>
      </w:r>
      <w:r>
        <w:rPr>
          <w:rFonts w:ascii="Times New Roman" w:hAnsi="Times New Roman" w:cs="Times New Roman" w:eastAsia="Times New Roman" w:hint="default"/>
        </w:rPr>
        <w:t>1</w:t>
      </w:r>
      <w:r>
        <w:rPr/>
        <w:t>、事项描述</w:t>
      </w:r>
    </w:p>
    <w:p>
      <w:pPr>
        <w:pStyle w:val="BodyText"/>
        <w:spacing w:line="240" w:lineRule="auto" w:before="27"/>
        <w:ind w:left="472" w:right="93"/>
        <w:jc w:val="left"/>
      </w:pPr>
      <w:r>
        <w:rPr/>
        <w:t>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4"/>
        </w:rPr>
        <w:t> </w:t>
      </w:r>
      <w:r>
        <w:rPr/>
        <w:t>日，广和通的应收账款余额为</w:t>
      </w:r>
      <w:r>
        <w:rPr>
          <w:rFonts w:ascii="Times New Roman" w:hAnsi="Times New Roman" w:cs="Times New Roman" w:eastAsia="Times New Roman" w:hint="default"/>
        </w:rPr>
        <w:t>20,536.68</w:t>
      </w:r>
      <w:r>
        <w:rPr/>
        <w:t>万元，坏账准备金额为</w:t>
      </w:r>
      <w:r>
        <w:rPr>
          <w:rFonts w:ascii="Times New Roman" w:hAnsi="Times New Roman" w:cs="Times New Roman" w:eastAsia="Times New Roman" w:hint="default"/>
        </w:rPr>
        <w:t>1,035.58</w:t>
      </w:r>
      <w:r>
        <w:rPr/>
        <w:t>万元，账面价值较高。</w:t>
      </w:r>
    </w:p>
    <w:p>
      <w:pPr>
        <w:spacing w:line="240" w:lineRule="auto" w:before="13"/>
        <w:rPr>
          <w:rFonts w:ascii="宋体" w:hAnsi="宋体" w:cs="宋体" w:eastAsia="宋体" w:hint="default"/>
          <w:sz w:val="13"/>
          <w:szCs w:val="13"/>
        </w:rPr>
      </w:pPr>
    </w:p>
    <w:p>
      <w:pPr>
        <w:pStyle w:val="BodyText"/>
        <w:spacing w:line="316" w:lineRule="auto"/>
        <w:ind w:right="94" w:firstLine="360"/>
        <w:jc w:val="left"/>
      </w:pPr>
      <w:r>
        <w:rPr/>
        <w:t>当存在客观证据表明应收账款存在减值时，管理层根据预计未来现金流量现值低于账面价值的差额计提单项减值准备。 </w:t>
      </w:r>
      <w:r>
        <w:rPr>
          <w:spacing w:val="-2"/>
        </w:rPr>
        <w:t>对于不存在减值客观证据的应收账款，管理层根据信用风险特征将其分为若干组合进行评估。管理层根据历史损失率为基础</w:t>
      </w:r>
      <w:r>
        <w:rPr>
          <w:spacing w:val="-64"/>
        </w:rPr>
        <w:t> </w:t>
      </w:r>
      <w:r>
        <w:rPr>
          <w:spacing w:val="-64"/>
        </w:rPr>
      </w:r>
      <w:r>
        <w:rPr/>
        <w:t>估计未来现金流量及账龄分析为基础，结合现时情况确定应计提的坏账准备。</w:t>
      </w:r>
    </w:p>
    <w:p>
      <w:pPr>
        <w:pStyle w:val="BodyText"/>
        <w:spacing w:line="316" w:lineRule="auto" w:before="139"/>
        <w:ind w:right="190" w:firstLine="360"/>
        <w:jc w:val="left"/>
      </w:pPr>
      <w:r>
        <w:rPr>
          <w:spacing w:val="-2"/>
        </w:rPr>
        <w:t>由于应收账款金额重大，且管理层在确定应收账款坏账准备时作出了重大判断，因此我们将应收账款的坏账准备作为关</w:t>
      </w:r>
      <w:r>
        <w:rPr/>
        <w:t> 键审计事项。</w:t>
      </w:r>
    </w:p>
    <w:p>
      <w:pPr>
        <w:pStyle w:val="BodyText"/>
        <w:spacing w:line="432" w:lineRule="exact" w:before="3"/>
        <w:ind w:left="472" w:right="184"/>
        <w:jc w:val="left"/>
      </w:pPr>
      <w:r>
        <w:rPr>
          <w:rFonts w:ascii="Times New Roman" w:hAnsi="Times New Roman" w:cs="Times New Roman" w:eastAsia="Times New Roman" w:hint="default"/>
        </w:rPr>
        <w:t>2</w:t>
      </w:r>
      <w:r>
        <w:rPr/>
        <w:t>、审计应对 针对该事项，我们执行的主要程序包括：（</w:t>
      </w:r>
      <w:r>
        <w:rPr>
          <w:rFonts w:ascii="Times New Roman" w:hAnsi="Times New Roman" w:cs="Times New Roman" w:eastAsia="Times New Roman" w:hint="default"/>
        </w:rPr>
        <w:t>1</w:t>
      </w:r>
      <w:r>
        <w:rPr/>
        <w:t>）了解并评价了管理层与应收账款有关的内部控制的设计和执行有效性，</w:t>
      </w:r>
    </w:p>
    <w:p>
      <w:pPr>
        <w:pStyle w:val="BodyText"/>
        <w:spacing w:line="240" w:lineRule="auto" w:before="15"/>
        <w:ind w:right="190"/>
        <w:jc w:val="left"/>
      </w:pPr>
      <w:r>
        <w:rPr/>
        <w:t>并对控制的运行有效性进行了测试；</w:t>
      </w:r>
    </w:p>
    <w:p>
      <w:pPr>
        <w:spacing w:line="240" w:lineRule="auto" w:before="0"/>
        <w:rPr>
          <w:rFonts w:ascii="宋体" w:hAnsi="宋体" w:cs="宋体" w:eastAsia="宋体" w:hint="default"/>
          <w:sz w:val="15"/>
          <w:szCs w:val="15"/>
        </w:rPr>
      </w:pPr>
    </w:p>
    <w:p>
      <w:pPr>
        <w:pStyle w:val="BodyText"/>
        <w:spacing w:line="300" w:lineRule="auto"/>
        <w:ind w:right="184" w:firstLine="360"/>
        <w:jc w:val="left"/>
      </w:pPr>
      <w:r>
        <w:rPr/>
        <w:t>（</w:t>
      </w:r>
      <w:r>
        <w:rPr>
          <w:rFonts w:ascii="Times New Roman" w:hAnsi="Times New Roman" w:cs="Times New Roman" w:eastAsia="Times New Roman" w:hint="default"/>
        </w:rPr>
        <w:t>2</w:t>
      </w:r>
      <w:r>
        <w:rPr/>
        <w:t>）分析应收款项坏账准备会计估计的合理性，包括确定应收款项组合的依据、金额重大的判断、单独计提坏账准备 的判断等；</w:t>
      </w:r>
    </w:p>
    <w:p>
      <w:pPr>
        <w:pStyle w:val="BodyText"/>
        <w:spacing w:line="300" w:lineRule="auto" w:before="151"/>
        <w:ind w:right="184" w:firstLine="360"/>
        <w:jc w:val="left"/>
      </w:pPr>
      <w:r>
        <w:rPr/>
        <w:t>（</w:t>
      </w:r>
      <w:r>
        <w:rPr>
          <w:rFonts w:ascii="Times New Roman" w:hAnsi="Times New Roman" w:cs="Times New Roman" w:eastAsia="Times New Roman" w:hint="default"/>
        </w:rPr>
        <w:t>3</w:t>
      </w:r>
      <w:r>
        <w:rPr/>
        <w:t>）分析应收账款的账龄和客户信誉情况，并执行应收账款函证程序及检查期后回款情况，评价应收账款坏账准备计 提的合理性；</w:t>
      </w:r>
    </w:p>
    <w:p>
      <w:pPr>
        <w:pStyle w:val="BodyText"/>
        <w:spacing w:line="300" w:lineRule="auto" w:before="151"/>
        <w:ind w:right="184" w:firstLine="360"/>
        <w:jc w:val="left"/>
      </w:pPr>
      <w:r>
        <w:rPr/>
        <w:t>（</w:t>
      </w:r>
      <w:r>
        <w:rPr>
          <w:rFonts w:ascii="Times New Roman" w:hAnsi="Times New Roman" w:cs="Times New Roman" w:eastAsia="Times New Roman" w:hint="default"/>
        </w:rPr>
        <w:t>4</w:t>
      </w:r>
      <w:r>
        <w:rPr/>
        <w:t>）对管理层所编制的应收账款的账龄分析表准确性进行了测试，检查计提方法是否按照坏账政策执行，重新计算坏 账准备计提金额是否准确；</w:t>
      </w:r>
    </w:p>
    <w:p>
      <w:pPr>
        <w:pStyle w:val="BodyText"/>
        <w:spacing w:line="300" w:lineRule="auto" w:before="151"/>
        <w:ind w:right="93" w:firstLine="360"/>
        <w:jc w:val="left"/>
      </w:pPr>
      <w:r>
        <w:rPr>
          <w:spacing w:val="-2"/>
        </w:rPr>
        <w:t>（</w:t>
      </w:r>
      <w:r>
        <w:rPr>
          <w:rFonts w:ascii="Times New Roman" w:hAnsi="Times New Roman" w:cs="Times New Roman" w:eastAsia="Times New Roman" w:hint="default"/>
          <w:spacing w:val="-2"/>
        </w:rPr>
        <w:t>5</w:t>
      </w:r>
      <w:r>
        <w:rPr>
          <w:spacing w:val="-2"/>
        </w:rPr>
        <w:t>）选取单项金额重大的应收账款，独立测试其可收回性，检查相关的支持性证据，包括期后收款、客户的信用历史、</w:t>
      </w:r>
      <w:r>
        <w:rPr/>
        <w:t> 经营情况和还款能力。</w:t>
      </w:r>
    </w:p>
    <w:p>
      <w:pPr>
        <w:pStyle w:val="BodyText"/>
        <w:spacing w:line="432" w:lineRule="exact" w:before="16"/>
        <w:ind w:left="472" w:right="190"/>
        <w:jc w:val="left"/>
      </w:pPr>
      <w:r>
        <w:rPr>
          <w:rFonts w:ascii="宋体" w:hAnsi="宋体" w:cs="宋体" w:eastAsia="宋体" w:hint="default"/>
          <w:b/>
          <w:bCs/>
        </w:rPr>
        <w:t>四、其他信息</w:t>
      </w:r>
      <w:r>
        <w:rPr>
          <w:rFonts w:ascii="宋体" w:hAnsi="宋体" w:cs="宋体" w:eastAsia="宋体" w:hint="default"/>
          <w:b/>
          <w:bCs/>
          <w:w w:val="99"/>
        </w:rPr>
        <w:t> </w:t>
      </w:r>
      <w:r>
        <w:rPr>
          <w:spacing w:val="-2"/>
        </w:rPr>
        <w:t>广和通管理层（以下简称管理层）对其他信息负责。其他信息包括广和通</w:t>
      </w:r>
      <w:r>
        <w:rPr>
          <w:rFonts w:ascii="Times New Roman" w:hAnsi="Times New Roman" w:cs="Times New Roman" w:eastAsia="Times New Roman" w:hint="default"/>
          <w:spacing w:val="-2"/>
        </w:rPr>
        <w:t>2017</w:t>
      </w:r>
      <w:r>
        <w:rPr>
          <w:spacing w:val="-2"/>
        </w:rPr>
        <w:t>年年度报告中涵盖的信息，但不包括财务</w:t>
      </w:r>
    </w:p>
    <w:p>
      <w:pPr>
        <w:pStyle w:val="BodyText"/>
        <w:spacing w:line="240" w:lineRule="auto" w:before="15"/>
        <w:ind w:right="190"/>
        <w:jc w:val="left"/>
      </w:pPr>
      <w:r>
        <w:rPr/>
        <w:t>报表和我们的审计报告。</w:t>
      </w:r>
    </w:p>
    <w:p>
      <w:pPr>
        <w:pStyle w:val="BodyText"/>
        <w:spacing w:line="430" w:lineRule="atLeast" w:before="2"/>
        <w:ind w:left="472" w:right="19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439" w:lineRule="auto" w:before="76"/>
        <w:ind w:left="472" w:right="19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spacing w:after="0" w:line="439"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before="44"/>
        <w:ind w:right="190"/>
        <w:jc w:val="left"/>
      </w:pPr>
      <w:r>
        <w:rPr/>
        <w:t>报告。</w:t>
      </w:r>
    </w:p>
    <w:p>
      <w:pPr>
        <w:spacing w:line="430" w:lineRule="atLeast" w:before="2"/>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广和通管理层负责按照企业会计准则的规定编制财务报表，使其实现公允反映，并设计、执行和维护必要的内部控制，</w:t>
      </w:r>
    </w:p>
    <w:p>
      <w:pPr>
        <w:pStyle w:val="BodyText"/>
        <w:spacing w:line="240" w:lineRule="auto" w:before="76"/>
        <w:ind w:right="190"/>
        <w:jc w:val="left"/>
      </w:pPr>
      <w:r>
        <w:rPr/>
        <w:t>以使财务报表不存在由于舞弊或错误导致的重大错报。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90" w:firstLine="360"/>
        <w:jc w:val="both"/>
      </w:pPr>
      <w:r>
        <w:rPr>
          <w:spacing w:val="-2"/>
        </w:rPr>
        <w:t>在编制财务报表时，管理层负责评估广和通的持续经营能力，披露与持续经营相关的事项（如适用），并运用持续经营</w:t>
      </w:r>
      <w:r>
        <w:rPr/>
        <w:t> 假设，除非管理层计划清算广和通、终止运营或别无其他现实的选择。</w:t>
      </w:r>
    </w:p>
    <w:p>
      <w:pPr>
        <w:spacing w:line="439" w:lineRule="auto" w:before="139"/>
        <w:ind w:left="472" w:right="6214" w:firstLine="0"/>
        <w:jc w:val="left"/>
        <w:rPr>
          <w:rFonts w:ascii="宋体" w:hAnsi="宋体" w:cs="宋体" w:eastAsia="宋体" w:hint="default"/>
          <w:sz w:val="18"/>
          <w:szCs w:val="18"/>
        </w:rPr>
      </w:pPr>
      <w:r>
        <w:rPr>
          <w:rFonts w:ascii="宋体" w:hAnsi="宋体" w:cs="宋体" w:eastAsia="宋体" w:hint="default"/>
          <w:sz w:val="18"/>
          <w:szCs w:val="18"/>
        </w:rPr>
        <w:t>治理层负责监督广和通的财务报告过程。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47"/>
        <w:ind w:right="19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39"/>
        <w:ind w:left="472" w:right="19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09" w:lineRule="auto"/>
        <w:ind w:right="9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44"/>
        <w:ind w:left="472" w:right="19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13"/>
        <w:rPr>
          <w:rFonts w:ascii="宋体" w:hAnsi="宋体" w:cs="宋体" w:eastAsia="宋体" w:hint="default"/>
          <w:sz w:val="13"/>
          <w:szCs w:val="13"/>
        </w:rPr>
      </w:pPr>
    </w:p>
    <w:p>
      <w:pPr>
        <w:pStyle w:val="BodyText"/>
        <w:spacing w:line="240" w:lineRule="auto"/>
        <w:ind w:left="472" w:right="19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pStyle w:val="BodyText"/>
        <w:spacing w:line="312" w:lineRule="auto"/>
        <w:ind w:right="190"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）对管理层使用持续经营假设的恰当性得出结论。同时，根据获取的审计证据，就可能导致对广和通的持续经营能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3"/>
        </w:rPr>
        <w:t> </w:t>
      </w:r>
      <w:r>
        <w:rPr>
          <w:spacing w:val="-63"/>
        </w:rPr>
      </w:r>
      <w:r>
        <w:rPr/>
        <w:t>于截至审计报告日可获得的信息。然而，未来的事项或情况可能导致广和通不能持续经营。</w:t>
      </w:r>
    </w:p>
    <w:p>
      <w:pPr>
        <w:pStyle w:val="BodyText"/>
        <w:spacing w:line="240" w:lineRule="auto" w:before="142"/>
        <w:ind w:left="472" w:right="19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13"/>
        <w:rPr>
          <w:rFonts w:ascii="宋体" w:hAnsi="宋体" w:cs="宋体" w:eastAsia="宋体" w:hint="default"/>
          <w:sz w:val="13"/>
          <w:szCs w:val="13"/>
        </w:rPr>
      </w:pPr>
    </w:p>
    <w:p>
      <w:pPr>
        <w:pStyle w:val="BodyText"/>
        <w:spacing w:line="300" w:lineRule="auto"/>
        <w:ind w:right="192" w:firstLine="360"/>
        <w:jc w:val="both"/>
      </w:pPr>
      <w:r>
        <w:rPr/>
        <w:t>（</w:t>
      </w:r>
      <w:r>
        <w:rPr>
          <w:rFonts w:ascii="Times New Roman" w:hAnsi="Times New Roman" w:cs="Times New Roman" w:eastAsia="Times New Roman" w:hint="default"/>
        </w:rPr>
        <w:t>6</w:t>
      </w:r>
      <w:r>
        <w:rPr/>
        <w:t>）就广和通中实体或业务活动的财务信息获取充分、适当的审计证据，以对财务报表发表意见。我们负责指导、监 督和执行集团审计，并对审计意见承担全部责任。</w:t>
      </w:r>
    </w:p>
    <w:p>
      <w:pPr>
        <w:pStyle w:val="BodyText"/>
        <w:spacing w:line="316" w:lineRule="auto" w:before="151"/>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39"/>
        <w:ind w:right="19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39"/>
        <w:ind w:right="19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7"/>
          <w:pgSz w:w="11910" w:h="16840"/>
          <w:pgMar w:footer="1016" w:header="787" w:top="1100" w:bottom="1200" w:left="1020" w:right="940"/>
          <w:pgNumType w:start="80"/>
        </w:sectPr>
      </w:pPr>
    </w:p>
    <w:p>
      <w:pPr>
        <w:pStyle w:val="BodyText"/>
        <w:spacing w:line="240" w:lineRule="auto" w:before="44"/>
        <w:ind w:left="484" w:right="-20"/>
        <w:jc w:val="left"/>
      </w:pPr>
      <w:r>
        <w:rPr/>
        <w:t>致同会计师事务所</w:t>
      </w:r>
    </w:p>
    <w:p>
      <w:pPr>
        <w:pStyle w:val="BodyText"/>
        <w:spacing w:line="240" w:lineRule="auto" w:before="76"/>
        <w:ind w:left="484" w:right="-20"/>
        <w:jc w:val="left"/>
      </w:pPr>
      <w:r>
        <w:rPr/>
        <w:t>（特殊普通合伙）</w:t>
      </w:r>
    </w:p>
    <w:p>
      <w:pPr>
        <w:pStyle w:val="BodyText"/>
        <w:spacing w:line="240" w:lineRule="auto" w:before="44"/>
        <w:ind w:left="484" w:right="0"/>
        <w:jc w:val="left"/>
      </w:pPr>
      <w:r>
        <w:rPr/>
        <w:br w:type="column"/>
      </w:r>
      <w:r>
        <w:rPr/>
        <w:t>中国注册会计师</w:t>
      </w:r>
    </w:p>
    <w:p>
      <w:pPr>
        <w:pStyle w:val="BodyText"/>
        <w:tabs>
          <w:tab w:pos="2123" w:val="left" w:leader="none"/>
        </w:tabs>
        <w:spacing w:line="240" w:lineRule="auto" w:before="76"/>
        <w:ind w:left="484" w:right="0"/>
        <w:jc w:val="left"/>
      </w:pPr>
      <w:r>
        <w:rPr/>
        <w:t>（项目合伙人）</w:t>
        <w:tab/>
        <w:t>黄声森</w:t>
      </w:r>
    </w:p>
    <w:p>
      <w:pPr>
        <w:spacing w:after="0" w:line="240" w:lineRule="auto"/>
        <w:jc w:val="left"/>
        <w:sectPr>
          <w:type w:val="continuous"/>
          <w:pgSz w:w="11910" w:h="16840"/>
          <w:pgMar w:top="1100" w:bottom="1200" w:left="1020" w:right="940"/>
          <w:cols w:num="2" w:equalWidth="0">
            <w:col w:w="1925" w:space="2779"/>
            <w:col w:w="5246"/>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tabs>
          <w:tab w:pos="6827" w:val="left" w:leader="none"/>
        </w:tabs>
        <w:spacing w:line="240" w:lineRule="auto" w:before="44"/>
        <w:ind w:left="5188" w:right="0"/>
        <w:jc w:val="left"/>
      </w:pPr>
      <w:r>
        <w:rPr/>
        <w:t>中国注册会计师</w:t>
        <w:tab/>
        <w:t>赵娟娟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tabs>
          <w:tab w:pos="4941" w:val="left" w:leader="none"/>
        </w:tabs>
        <w:spacing w:line="240" w:lineRule="auto"/>
        <w:ind w:left="484" w:right="0"/>
        <w:jc w:val="left"/>
      </w:pPr>
      <w:r>
        <w:rPr>
          <w:spacing w:val="-1"/>
        </w:rPr>
        <w:t>中国</w:t>
      </w:r>
      <w:r>
        <w:rPr>
          <w:rFonts w:ascii="Times New Roman" w:hAnsi="Times New Roman" w:cs="Times New Roman" w:eastAsia="Times New Roman" w:hint="default"/>
          <w:spacing w:val="-1"/>
        </w:rPr>
        <w:t>·</w:t>
      </w:r>
      <w:r>
        <w:rPr>
          <w:spacing w:val="-1"/>
        </w:rPr>
        <w:t>北京</w:t>
        <w:tab/>
      </w:r>
      <w:r>
        <w:rPr/>
        <w:t>二Ｏ一八年四月十一日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编制单位：深圳市广和通无线股份有限公司</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82,822,371.75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119,195,432.59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56,807,137.08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53,771,657.67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195,010,995.57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55,143,414.91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2,470,659.22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11,638,693.85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1,115,261.87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79,953,082.52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2"/>
                <w:sz w:val="18"/>
              </w:rPr>
              <w:t>31,117,646.57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125,455,363.41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1,367,924.53</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554,158,303.40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261,711,338.14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445,001.26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378,835.93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12,997,834.15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8,869,717.44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13,515,637.46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1,632,031.94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22,970,110.91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458,659.13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534,514.55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3,426,988.19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1,535,662.87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659,033.37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60,087,271.10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13,609,796.10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614,245,574.50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275,321,134.24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53,568,400.00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21,864,241.70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13,375,507.36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120,689,596.81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84,813,321.14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3,577,948.61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2,366,666.57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18,697,262.33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7,782,107.06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3,929,045.27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5,119,664.84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2,895,720.51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609,727.71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240,222,215.23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127,616,994.68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659,000.32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5,659,000.32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5,009,584.51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245,881,215.55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132,626,579.19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171,517,096.64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9,347,097.75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328,071.12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685,646.92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11,414,673.47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8,582,660.58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105,104,517.72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64,079,149.80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368,364,358.95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142,694,555.05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368,364,358.95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142,694,555.05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614,245,574.50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275,321,134.24</w:t>
            </w:r>
          </w:p>
        </w:tc>
      </w:tr>
    </w:tbl>
    <w:p>
      <w:pPr>
        <w:spacing w:line="240" w:lineRule="auto" w:before="1"/>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11"/>
        <w:jc w:val="right"/>
      </w:pPr>
      <w:r>
        <w:rPr/>
        <w:t>法定代表人：张天瑜</w:t>
        <w:tab/>
        <w:t>主管会计工作负责人：陈仕江</w:t>
        <w:tab/>
        <w:t>会计机构负责人：王军飞</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60,854,016.77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105,328,296.12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56,269,107.48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53,771,657.67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179,161,354.30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57,813,923.23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2,430,747.23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21,140,717.37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1,040,422.84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73,310,225.87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32,237,626.06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124,244,225.74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1,367,924.53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517,410,394.76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251,559,850.45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41,485,661.26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7,971,695.93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11,919,187.56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8,743,242.23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5,490,325.74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1,632,031.94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310,711.92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534,514.55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2,162,532.28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1,311,038.58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67,641,458.76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20,192,523.23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585,051,853.52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271,752,373.68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48,068,400.00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13,550,000.00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21,864,241.70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13,375,507.36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133,300,416.21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108,050,221.89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3,446,900.61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2,366,666.57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13,388,044.07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5,822,869.56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461,124.23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2,442,855.49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15,613,211.56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2,724,865.44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251,142,338.38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148,332,986.31</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256,142,338.38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153,332,986.31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171,516,217.24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9,346,218.35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11,414,673.47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8,582,660.58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65,978,624.43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40,490,508.44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328,909,515.14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118,419,387.37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585,051,853.52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271,752,373.68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563,304,478.24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344,353,621.65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563,304,478.24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344,353,621.65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204.839996pt;margin-top:617.200012pt;width:166.3pt;height:19.7pt;mso-position-horizontal-relative:page;mso-position-vertical-relative:page;z-index:-116116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10.850006pt;margin-top:481.000031pt;width:160.25pt;height:19.850pt;mso-position-horizontal-relative:page;mso-position-vertical-relative:page;z-index:-1161136" coordorigin="4217,9620" coordsize="3205,397">
            <v:shape style="position:absolute;left:4217;top:9620;width:3205;height:397" coordorigin="4217,9620" coordsize="3205,397" path="m4217,9620l7422,9620,7422,10017,4217,10017,4217,9620xe" filled="true" fillcolor="#ffffff" stroked="false">
              <v:path arrowok="t"/>
              <v:fill type="solid"/>
            </v:shape>
            <w10:wrap type="none"/>
          </v:group>
        </w:pict>
      </w:r>
      <w:r>
        <w:rPr/>
        <w:pict>
          <v:group style="position:absolute;margin-left:210.850006pt;margin-top:617.200012pt;width:160.25pt;height:19.850pt;mso-position-horizontal-relative:page;mso-position-vertical-relative:page;z-index:-1161112" coordorigin="4217,12344" coordsize="3205,397">
            <v:shape style="position:absolute;left:4217;top:12344;width:3205;height:397" coordorigin="4217,12344" coordsize="3205,397" path="m4217,12344l7422,12344,7422,12741,4217,12741,4217,1234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523,307,420.23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307,211,053.05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412,372,142.33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247,149,561.58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2,144,224.57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1,078,734.08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28,227,830.58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13,881,711.01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69,958,966.69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42,795,934.07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2,334,055.10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1,010,051.89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8,270,200.96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1,295,060.42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2,539,341.58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5"/>
                <w:sz w:val="18"/>
                <w:szCs w:val="18"/>
              </w:rPr>
              <w:t>益</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-12,962.28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5,070,884.20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47,566,378.78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37,126,305.38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7,914,704.18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863.15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47,565,515.63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45,041,009.56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3,708,134.82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4,719,459.69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43,857,380.81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40,321,549.87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43,857,380.81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40,321,549.87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43,857,380.81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40,321,549.87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-357,575.80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367,223.89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-357,575.80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367,223.89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-357,575.80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367,223.89</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-357,575.80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367,223.89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43,499,805.01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40,688,773.76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43,499,805.01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40,688,773.76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0.67</w:t>
            </w:r>
          </w:p>
        </w:tc>
      </w:tr>
    </w:tbl>
    <w:p>
      <w:pPr>
        <w:pStyle w:val="BodyText"/>
        <w:tabs>
          <w:tab w:pos="3532" w:val="left" w:leader="none"/>
          <w:tab w:pos="7672" w:val="left" w:leader="none"/>
        </w:tabs>
        <w:spacing w:line="624" w:lineRule="auto" w:before="50"/>
        <w:ind w:right="211"/>
        <w:jc w:val="left"/>
      </w:pPr>
      <w:r>
        <w:rPr/>
        <w:t>本期发生同一控制下企业合并的，被合并方在合并前实现的净利润为：元，上期被合并方实现的净利润为：元。 法定代表人：张天瑜</w:t>
        <w:tab/>
        <w:t>主管会计工作负责人：陈仕江</w:t>
        <w:tab/>
        <w:t>会计机构负责人：王军飞</w:t>
      </w:r>
    </w:p>
    <w:p>
      <w:pPr>
        <w:spacing w:after="0" w:line="624"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530,564,150.80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339,471,432.00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440,322,050.66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268,476,203.47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1,240,627.39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566,475.07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15,063,179.60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10,645,164.56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51,430,582.39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33,703,863.08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2,034,503.26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1,114,182.07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5,676,624.71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1,000,704.20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12,539,341.58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11,124,903.06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66,165.33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-400,905.01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-12,962.28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998,039.35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28,293,058.71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35,076,780.33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4,306,228.31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863.15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28,292,195.56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39,383,008.64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-27,933.32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2,631,683.72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28,320,128.88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36,751,324.92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28,320,128.88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36,751,324.92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28,320,128.88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36,751,324.92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2" w:right="0"/>
              <w:jc w:val="left"/>
              <w:rPr>
                <w:rFonts w:ascii="Times New Roman" w:hAnsi="Times New Roman" w:cs="Times New Roman" w:eastAsia="Times New Roman" w:hint="default"/>
                <w:sz w:val="18"/>
                <w:szCs w:val="18"/>
              </w:rPr>
            </w:pPr>
            <w:r>
              <w:rPr>
                <w:rFonts w:ascii="Times New Roman"/>
                <w:sz w:val="18"/>
              </w:rPr>
              <w:t>483,913,465.25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323,212,561.52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1016" w:header="787" w:top="1100" w:bottom="1200" w:left="1020" w:right="1020"/>
          <w:pgNumType w:start="9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7,560,180.13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13,684,572.49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10,131,538.22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8,892,161.58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501,605,183.60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345,789,295.59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509,612,575.71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220,704,336.40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61,232,345.36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42,920,250.28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19,944,296.26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10,653,821.48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33,651,270.67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22,688,524.14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624,440,488.00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296,966,932.30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-122,835,304.40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48,822,363.29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2,473,176.25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254,504,276.25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2,000,860.00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11,671,844.79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4,515,899.89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13,257,635.32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383,202,520.11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4,515,899.89</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-128,698,243.86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-2,515,039.89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182,920,000.00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51,279,400.00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10,103,610.92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234,199,400.00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25,153,610.92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751,917.10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10,813,851.08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5,409,171.99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22,711,089.09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18,053,851.08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211,488,310.91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7,099,759.84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-1,736,995.48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-970,320.89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-41,782,232.83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52,436,762.35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114,406,804.51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61,970,042.16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72,624,571.68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114,406,804.51</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445,184,567.11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311,761,064.93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4,334,292.07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10,399,080.59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42,993,489.87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8,455,307.94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492,512,349.05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330,615,453.46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537,436,538.42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230,895,360.33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42,856,200.15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32,268,390.35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6,968,665.50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5,204,194.32</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43,671,414.20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20,062,674.71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630,932,818.27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288,430,619.71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-138,420,469.22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42,184,833.75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12,473,176.25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11,128,204.00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264,504,276.25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13,129,064.00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10,248,561.62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2,827,747.50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370,447,800.00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3,673,670.00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386,969,401.62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6,501,417.50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-122,465,125.37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6,627,646.50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182,920,000.00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48,279,400.00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9,903,610.92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231,199,400.00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24,953,610.92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677,351.37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10,811,423.54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5,409,171.99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19,636,523.36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17,861,423.54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211,562,876.64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7,092,187.38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-560,733.39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-1,353,587.50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-49,883,451.34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54,551,080.13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100,539,668.04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45,988,587.91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50,656,216.70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100,539,668.04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9"/>
        <w:rPr>
          <w:rFonts w:ascii="Times New Roman" w:hAnsi="Times New Roman" w:cs="Times New Roman" w:eastAsia="Times New Roman"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685,646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8,582,6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64,079,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142,694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,555.05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685,646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8,582,6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64,079,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142,694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,555.05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162,169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,998.89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-357,57</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41,025,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225,669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,803.90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-357,57</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43,857,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380.81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43,499,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805.01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162,169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,998.89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182,169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,998.89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162,169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,998.89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182,169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,998.89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171,517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,096.64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328,071</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11,414,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673.47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105,104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,517.72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368,364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,358.95</w:t>
            </w:r>
          </w:p>
        </w:tc>
      </w:tr>
    </w:tbl>
    <w:p>
      <w:pPr>
        <w:pStyle w:val="BodyText"/>
        <w:spacing w:line="240" w:lineRule="auto" w:before="51"/>
        <w:ind w:right="0"/>
        <w:jc w:val="left"/>
      </w:pPr>
      <w:r>
        <w:rPr/>
        <w:t>上期金额</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318,423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4,907,5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37,432,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732.42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112,005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,781.29</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318,423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4,907,5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37,432,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732.42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112,005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,781.29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367,223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3,675,1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26,646,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417.38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30,688,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773.76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367,223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40,321,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549.87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40,688,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773.76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3,675,1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-13,675,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132.49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3,675,1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-3,675,1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32.49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685,646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8,582,6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64,079,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149.80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142,694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,555.05</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8,582,660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40,490,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118,419,3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8,582,660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40,490,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118,419,3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87.37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162,169,9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25,488,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115.99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210,490,1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27.77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128.88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28,320,12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8.88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162,169,9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182,169,9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98.89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162,169,9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182,169,9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98.89</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2,832,012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2,832,012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171,516,2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11,414,67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65,978,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624.43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328,909,5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15.14</w:t>
            </w:r>
          </w:p>
        </w:tc>
      </w:tr>
    </w:tbl>
    <w:p>
      <w:pPr>
        <w:pStyle w:val="BodyText"/>
        <w:spacing w:line="240" w:lineRule="auto" w:before="50"/>
        <w:ind w:right="0"/>
        <w:jc w:val="left"/>
      </w:pPr>
      <w:r>
        <w:rPr/>
        <w:t>上期金额</w:t>
      </w:r>
    </w:p>
    <w:p>
      <w:pPr>
        <w:pStyle w:val="BodyText"/>
        <w:spacing w:line="240" w:lineRule="auto" w:before="117"/>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4,907,528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17,414,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316.01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91,668,06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2.45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4,907,528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17,414,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316.01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91,668,06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2.45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3,675,132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23,076,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192.43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26,751,32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4.92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36,751,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324.92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36,751,32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4.92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3,675,132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-13,675,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132.49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3,675,132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-3,675,1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32.49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8,582,660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40,490,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118,419,3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87.37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02"/>
        <w:jc w:val="left"/>
        <w:rPr>
          <w:b w:val="0"/>
          <w:bCs w:val="0"/>
        </w:rPr>
      </w:pP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210" w:firstLine="360"/>
        <w:jc w:val="both"/>
      </w:pPr>
      <w:r>
        <w:rPr/>
        <w:t>深圳市广和通无线股份有限公司</w:t>
      </w:r>
      <w:r>
        <w:rPr>
          <w:rFonts w:ascii="Times New Roman" w:hAnsi="Times New Roman" w:cs="Times New Roman" w:eastAsia="Times New Roman" w:hint="default"/>
        </w:rPr>
        <w:t>(</w:t>
      </w:r>
      <w:r>
        <w:rPr/>
        <w:t>以下简称</w:t>
      </w:r>
      <w:r>
        <w:rPr>
          <w:spacing w:val="45"/>
        </w:rPr>
        <w:t> </w:t>
      </w:r>
      <w:r>
        <w:rPr/>
        <w:t>本公司</w:t>
      </w:r>
      <w:r>
        <w:rPr>
          <w:rFonts w:ascii="Times New Roman" w:hAnsi="Times New Roman" w:cs="Times New Roman" w:eastAsia="Times New Roman" w:hint="default"/>
        </w:rPr>
        <w:t>)</w:t>
      </w:r>
      <w:r>
        <w:rPr/>
        <w:t>是一家在广东省注册的股份有限公司，于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日在深圳市 市场监督管理局核准登记，统一社会信用代码：</w:t>
      </w:r>
      <w:r>
        <w:rPr>
          <w:rFonts w:ascii="Times New Roman" w:hAnsi="Times New Roman" w:cs="Times New Roman" w:eastAsia="Times New Roman" w:hint="default"/>
        </w:rPr>
        <w:t>9144030071524640XY</w:t>
      </w:r>
      <w:r>
        <w:rPr/>
        <w:t>。本公司所发行人民币普通股</w:t>
      </w:r>
      <w:r>
        <w:rPr>
          <w:rFonts w:ascii="Times New Roman" w:hAnsi="Times New Roman" w:cs="Times New Roman" w:eastAsia="Times New Roman" w:hint="default"/>
        </w:rPr>
        <w:t>A</w:t>
      </w:r>
      <w:r>
        <w:rPr/>
        <w:t>股已在深圳证券交易</w:t>
      </w:r>
      <w:r>
        <w:rPr>
          <w:spacing w:val="-40"/>
        </w:rPr>
        <w:t> </w:t>
      </w:r>
      <w:r>
        <w:rPr>
          <w:spacing w:val="-40"/>
        </w:rPr>
      </w:r>
      <w:r>
        <w:rPr/>
        <w:t>所上市。本公司总部位于深圳市南山区南海大道</w:t>
      </w:r>
      <w:r>
        <w:rPr>
          <w:rFonts w:ascii="Times New Roman" w:hAnsi="Times New Roman" w:cs="Times New Roman" w:eastAsia="Times New Roman" w:hint="default"/>
        </w:rPr>
        <w:t>1057</w:t>
      </w:r>
      <w:r>
        <w:rPr/>
        <w:t>号科技大厦二期</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501A</w:t>
      </w:r>
      <w:r>
        <w:rPr/>
        <w:t>号。</w:t>
      </w:r>
    </w:p>
    <w:p>
      <w:pPr>
        <w:pStyle w:val="BodyText"/>
        <w:spacing w:line="300" w:lineRule="auto" w:before="13"/>
        <w:ind w:right="210" w:firstLine="360"/>
        <w:jc w:val="both"/>
      </w:pPr>
      <w:r>
        <w:rPr/>
        <w:t>本公司前身为深圳市广和通实业发展有限公司，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日，根据本公司发起人协议及修改后公司章程的规定，本 </w:t>
      </w:r>
      <w:r>
        <w:rPr>
          <w:spacing w:val="-2"/>
        </w:rPr>
        <w:t>公司申请以净资产折股形式整体变更为股份有限公司，变更后注册资本为人民币</w:t>
      </w:r>
      <w:r>
        <w:rPr>
          <w:rFonts w:ascii="Times New Roman" w:hAnsi="Times New Roman" w:cs="Times New Roman" w:eastAsia="Times New Roman" w:hint="default"/>
          <w:spacing w:val="-2"/>
        </w:rPr>
        <w:t>6,000.00</w:t>
      </w:r>
      <w:r>
        <w:rPr>
          <w:spacing w:val="-2"/>
        </w:rPr>
        <w:t>万元，由本公司以截至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5"/>
        </w:rPr>
        <w:t>日止经致同会计师事务所（特殊普通合伙）出具的致同审字（</w:t>
      </w:r>
      <w:r>
        <w:rPr>
          <w:rFonts w:ascii="Times New Roman" w:hAnsi="Times New Roman" w:cs="Times New Roman" w:eastAsia="Times New Roman" w:hint="default"/>
          <w:spacing w:val="5"/>
        </w:rPr>
        <w:t>2014</w:t>
      </w:r>
      <w:r>
        <w:rPr>
          <w:spacing w:val="5"/>
        </w:rPr>
        <w:t>）第</w:t>
      </w:r>
      <w:r>
        <w:rPr>
          <w:rFonts w:ascii="Times New Roman" w:hAnsi="Times New Roman" w:cs="Times New Roman" w:eastAsia="Times New Roman" w:hint="default"/>
          <w:spacing w:val="5"/>
        </w:rPr>
        <w:t>441ZA2392</w:t>
      </w:r>
      <w:r>
        <w:rPr>
          <w:spacing w:val="5"/>
        </w:rPr>
        <w:t>号《审计报告》审定的净资产人民币</w:t>
      </w:r>
      <w:r>
        <w:rPr>
          <w:spacing w:val="-88"/>
        </w:rPr>
        <w:t> </w:t>
      </w:r>
      <w:r>
        <w:rPr>
          <w:spacing w:val="-88"/>
        </w:rPr>
      </w:r>
      <w:r>
        <w:rPr>
          <w:rFonts w:ascii="Times New Roman" w:hAnsi="Times New Roman" w:cs="Times New Roman" w:eastAsia="Times New Roman" w:hint="default"/>
          <w:spacing w:val="-2"/>
        </w:rPr>
        <w:t>65,292,800.94</w:t>
      </w:r>
      <w:r>
        <w:rPr>
          <w:spacing w:val="-2"/>
        </w:rPr>
        <w:t>元折合股份总额</w:t>
      </w:r>
      <w:r>
        <w:rPr>
          <w:rFonts w:ascii="Times New Roman" w:hAnsi="Times New Roman" w:cs="Times New Roman" w:eastAsia="Times New Roman" w:hint="default"/>
          <w:spacing w:val="-2"/>
        </w:rPr>
        <w:t>6,000</w:t>
      </w:r>
      <w:r>
        <w:rPr>
          <w:spacing w:val="-2"/>
        </w:rPr>
        <w:t>万股，每股面值</w:t>
      </w:r>
      <w:r>
        <w:rPr>
          <w:rFonts w:ascii="Times New Roman" w:hAnsi="Times New Roman" w:cs="Times New Roman" w:eastAsia="Times New Roman" w:hint="default"/>
          <w:spacing w:val="-2"/>
        </w:rPr>
        <w:t>1</w:t>
      </w:r>
      <w:r>
        <w:rPr>
          <w:spacing w:val="-2"/>
        </w:rPr>
        <w:t>元，共计股本人民币</w:t>
      </w:r>
      <w:r>
        <w:rPr>
          <w:rFonts w:ascii="Times New Roman" w:hAnsi="Times New Roman" w:cs="Times New Roman" w:eastAsia="Times New Roman" w:hint="default"/>
          <w:spacing w:val="-2"/>
        </w:rPr>
        <w:t>6,000.00</w:t>
      </w:r>
      <w:r>
        <w:rPr>
          <w:spacing w:val="-2"/>
        </w:rPr>
        <w:t>万元，由原股东按原比例分别持有，大于股</w:t>
      </w:r>
      <w:r>
        <w:rPr>
          <w:spacing w:val="-46"/>
        </w:rPr>
        <w:t> </w:t>
      </w:r>
      <w:r>
        <w:rPr>
          <w:spacing w:val="-46"/>
        </w:rPr>
      </w:r>
      <w:r>
        <w:rPr/>
        <w:t>本部分人民币</w:t>
      </w:r>
      <w:r>
        <w:rPr>
          <w:rFonts w:ascii="Times New Roman" w:hAnsi="Times New Roman" w:cs="Times New Roman" w:eastAsia="Times New Roman" w:hint="default"/>
        </w:rPr>
        <w:t>5,292,800.94</w:t>
      </w:r>
      <w:r>
        <w:rPr/>
        <w:t>元计入资本公积。本次净资产折股业经致同会计师事务所（特殊普通合伙）于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日出</w:t>
      </w:r>
      <w:r>
        <w:rPr>
          <w:spacing w:val="-57"/>
        </w:rPr>
        <w:t> </w:t>
      </w:r>
      <w:r>
        <w:rPr/>
        <w:t>具的致同验字（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441ZA0283</w:t>
      </w:r>
      <w:r>
        <w:rPr/>
        <w:t>号《验资报告》审验。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日本公司办理了工商变更登记，并换领了编号为</w:t>
      </w:r>
      <w:r>
        <w:rPr>
          <w:spacing w:val="13"/>
        </w:rPr>
        <w:t> </w:t>
      </w:r>
      <w:r>
        <w:rPr>
          <w:spacing w:val="13"/>
        </w:rPr>
      </w:r>
      <w:r>
        <w:rPr>
          <w:rFonts w:ascii="Times New Roman" w:hAnsi="Times New Roman" w:cs="Times New Roman" w:eastAsia="Times New Roman" w:hint="default"/>
        </w:rPr>
        <w:t>440301104324704</w:t>
      </w:r>
      <w:r>
        <w:rPr/>
        <w:t>的企业法人营业执照。变更后各股东出资金额及出资比例如下：</w:t>
      </w:r>
    </w:p>
    <w:tbl>
      <w:tblPr>
        <w:tblW w:w="0" w:type="auto"/>
        <w:jc w:val="left"/>
        <w:tblInd w:w="104" w:type="dxa"/>
        <w:tblLayout w:type="fixed"/>
        <w:tblCellMar>
          <w:top w:w="0" w:type="dxa"/>
          <w:left w:w="0" w:type="dxa"/>
          <w:bottom w:w="0" w:type="dxa"/>
          <w:right w:w="0" w:type="dxa"/>
        </w:tblCellMar>
        <w:tblLook w:val="01E0"/>
      </w:tblPr>
      <w:tblGrid>
        <w:gridCol w:w="4363"/>
        <w:gridCol w:w="1982"/>
        <w:gridCol w:w="2732"/>
      </w:tblGrid>
      <w:tr>
        <w:trPr>
          <w:trHeight w:val="349" w:hRule="exact"/>
        </w:trPr>
        <w:tc>
          <w:tcPr>
            <w:tcW w:w="436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b/>
                <w:bCs/>
                <w:sz w:val="18"/>
                <w:szCs w:val="18"/>
              </w:rPr>
              <w:t>投资者名称</w:t>
            </w:r>
            <w:r>
              <w:rPr>
                <w:rFonts w:ascii="宋体" w:hAnsi="宋体" w:cs="宋体" w:eastAsia="宋体" w:hint="default"/>
                <w:sz w:val="18"/>
                <w:szCs w:val="18"/>
              </w:rPr>
            </w:r>
          </w:p>
        </w:tc>
        <w:tc>
          <w:tcPr>
            <w:tcW w:w="198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w w:val="95"/>
                <w:sz w:val="18"/>
                <w:szCs w:val="18"/>
              </w:rPr>
              <w:t>出资额</w:t>
            </w:r>
            <w:r>
              <w:rPr>
                <w:rFonts w:ascii="宋体" w:hAnsi="宋体" w:cs="宋体" w:eastAsia="宋体" w:hint="default"/>
                <w:sz w:val="18"/>
                <w:szCs w:val="18"/>
              </w:rPr>
            </w:r>
          </w:p>
        </w:tc>
        <w:tc>
          <w:tcPr>
            <w:tcW w:w="2732"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出资比例（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52"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40,050,000.00</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66.75</w:t>
            </w:r>
          </w:p>
        </w:tc>
      </w:tr>
      <w:tr>
        <w:trPr>
          <w:trHeight w:val="352"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1"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8,010,000.00</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13.35</w:t>
            </w:r>
          </w:p>
        </w:tc>
      </w:tr>
      <w:tr>
        <w:trPr>
          <w:trHeight w:val="352"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4,272,000.00</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7.12</w:t>
            </w:r>
          </w:p>
        </w:tc>
      </w:tr>
      <w:tr>
        <w:trPr>
          <w:trHeight w:val="352"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1,068,000.00</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1.78</w:t>
            </w:r>
          </w:p>
        </w:tc>
      </w:tr>
      <w:tr>
        <w:trPr>
          <w:trHeight w:val="352"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61"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6,600,000.00</w:t>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11.00</w:t>
            </w:r>
          </w:p>
        </w:tc>
      </w:tr>
      <w:tr>
        <w:trPr>
          <w:trHeight w:val="352"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27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5"/>
        <w:rPr>
          <w:rFonts w:ascii="宋体" w:hAnsi="宋体" w:cs="宋体" w:eastAsia="宋体" w:hint="default"/>
          <w:sz w:val="21"/>
          <w:szCs w:val="21"/>
        </w:rPr>
      </w:pPr>
    </w:p>
    <w:p>
      <w:pPr>
        <w:pStyle w:val="BodyText"/>
        <w:spacing w:line="302" w:lineRule="auto" w:before="44"/>
        <w:ind w:right="167" w:firstLine="360"/>
        <w:jc w:val="right"/>
      </w:pPr>
      <w:r>
        <w:rPr>
          <w:spacing w:val="-2"/>
        </w:rPr>
        <w:t>根据本公司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2015</w:t>
      </w:r>
      <w:r>
        <w:rPr>
          <w:spacing w:val="-2"/>
        </w:rPr>
        <w:t>年第一次临时股东大会决议，并经中国证券监督管理委员会证监许可〔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366</w:t>
      </w:r>
      <w:r>
        <w:rPr>
          <w:rFonts w:ascii="Times New Roman" w:hAnsi="Times New Roman" w:cs="Times New Roman" w:eastAsia="Times New Roman" w:hint="default"/>
        </w:rPr>
        <w:t> </w:t>
      </w:r>
      <w:r>
        <w:rPr/>
        <w:t>号文核准，本公司于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月向社会公众公开发行普通股（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股）股票</w:t>
      </w:r>
      <w:r>
        <w:rPr>
          <w:rFonts w:ascii="Times New Roman" w:hAnsi="Times New Roman" w:cs="Times New Roman" w:eastAsia="Times New Roman" w:hint="default"/>
        </w:rPr>
        <w:t>2,000</w:t>
      </w:r>
      <w:r>
        <w:rPr/>
        <w:t>万股，发行价为每股人民币</w:t>
      </w:r>
      <w:r>
        <w:rPr>
          <w:rFonts w:ascii="Times New Roman" w:hAnsi="Times New Roman" w:cs="Times New Roman" w:eastAsia="Times New Roman" w:hint="default"/>
        </w:rPr>
        <w:t>10.45</w:t>
      </w:r>
      <w:r>
        <w:rPr/>
        <w:t>元，在深圳 </w:t>
      </w:r>
      <w:r>
        <w:rPr>
          <w:spacing w:val="2"/>
        </w:rPr>
        <w:t>证券交易所创业板上市。本次增资业经致同会计师事务所（特殊普通合伙）于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日出具的致同验字（</w:t>
      </w:r>
      <w:r>
        <w:rPr>
          <w:rFonts w:ascii="Times New Roman" w:hAnsi="Times New Roman" w:cs="Times New Roman" w:eastAsia="Times New Roman" w:hint="default"/>
          <w:spacing w:val="2"/>
        </w:rPr>
        <w:t>2017</w:t>
      </w:r>
      <w:r>
        <w:rPr>
          <w:spacing w:val="2"/>
        </w:rPr>
        <w:t>）第</w:t>
      </w:r>
      <w:r>
        <w:rPr/>
        <w:t> </w:t>
      </w:r>
      <w:r>
        <w:rPr>
          <w:rFonts w:ascii="Times New Roman" w:hAnsi="Times New Roman" w:cs="Times New Roman" w:eastAsia="Times New Roman" w:hint="default"/>
          <w:spacing w:val="-1"/>
        </w:rPr>
        <w:t>441ZC0141</w:t>
      </w:r>
      <w:r>
        <w:rPr>
          <w:spacing w:val="-1"/>
        </w:rPr>
        <w:t>号验资报告审验。本次公开发行后，本公司股本总额为</w:t>
      </w:r>
      <w:r>
        <w:rPr>
          <w:rFonts w:ascii="Times New Roman" w:hAnsi="Times New Roman" w:cs="Times New Roman" w:eastAsia="Times New Roman" w:hint="default"/>
          <w:spacing w:val="-1"/>
        </w:rPr>
        <w:t>8,000</w:t>
      </w:r>
      <w:r>
        <w:rPr>
          <w:spacing w:val="-1"/>
        </w:rPr>
        <w:t>万股，其中社会公众持有</w:t>
      </w:r>
      <w:r>
        <w:rPr>
          <w:rFonts w:ascii="Times New Roman" w:hAnsi="Times New Roman" w:cs="Times New Roman" w:eastAsia="Times New Roman" w:hint="default"/>
          <w:spacing w:val="-1"/>
        </w:rPr>
        <w:t>2,000</w:t>
      </w:r>
      <w:r>
        <w:rPr>
          <w:spacing w:val="-1"/>
        </w:rPr>
        <w:t>万股，每股面值</w:t>
      </w:r>
      <w:r>
        <w:rPr>
          <w:rFonts w:ascii="Times New Roman" w:hAnsi="Times New Roman" w:cs="Times New Roman" w:eastAsia="Times New Roman" w:hint="default"/>
          <w:spacing w:val="-1"/>
        </w:rPr>
        <w:t>1</w:t>
      </w:r>
      <w:r>
        <w:rPr>
          <w:spacing w:val="-1"/>
        </w:rPr>
        <w:t>元。</w:t>
      </w:r>
      <w:r>
        <w:rPr>
          <w:spacing w:val="-52"/>
        </w:rPr>
        <w:t> </w:t>
      </w:r>
      <w:r>
        <w:rPr>
          <w:spacing w:val="-2"/>
        </w:rPr>
        <w:t>本公司建立了股东大会、董事会、监事会的法人治理结构，截至本报告期末设销售、采购、研发、财务等部门，拥有深</w:t>
      </w:r>
      <w:r>
        <w:rPr/>
        <w:t> 圳市广和通无线通信软件有限公司（以下简称</w:t>
      </w:r>
      <w:r>
        <w:rPr>
          <w:rFonts w:ascii="Times New Roman" w:hAnsi="Times New Roman" w:cs="Times New Roman" w:eastAsia="Times New Roman" w:hint="default"/>
        </w:rPr>
        <w:t>“</w:t>
      </w:r>
      <w:r>
        <w:rPr/>
        <w:t>广和通软件</w:t>
      </w:r>
      <w:r>
        <w:rPr>
          <w:rFonts w:ascii="Times New Roman" w:hAnsi="Times New Roman" w:cs="Times New Roman" w:eastAsia="Times New Roman" w:hint="default"/>
        </w:rPr>
        <w:t>”</w:t>
      </w:r>
      <w:r>
        <w:rPr/>
        <w:t>）、广和通实业（香港）有限公司（以下简称</w:t>
      </w:r>
      <w:r>
        <w:rPr>
          <w:rFonts w:ascii="Times New Roman" w:hAnsi="Times New Roman" w:cs="Times New Roman" w:eastAsia="Times New Roman" w:hint="default"/>
        </w:rPr>
        <w:t>“</w:t>
      </w:r>
      <w:r>
        <w:rPr/>
        <w:t>香港广和通</w:t>
      </w:r>
      <w:r>
        <w:rPr>
          <w:rFonts w:ascii="Times New Roman" w:hAnsi="Times New Roman" w:cs="Times New Roman" w:eastAsia="Times New Roman" w:hint="default"/>
        </w:rPr>
        <w:t>”</w:t>
      </w:r>
      <w:r>
        <w:rPr/>
        <w:t>）、 </w:t>
      </w:r>
      <w:r>
        <w:rPr>
          <w:spacing w:val="-1"/>
        </w:rPr>
        <w:t>广和通无线（美国）股份有限公司（以下简称</w:t>
      </w:r>
      <w:r>
        <w:rPr>
          <w:rFonts w:ascii="Times New Roman" w:hAnsi="Times New Roman" w:cs="Times New Roman" w:eastAsia="Times New Roman" w:hint="default"/>
          <w:spacing w:val="-1"/>
        </w:rPr>
        <w:t>“</w:t>
      </w:r>
      <w:r>
        <w:rPr>
          <w:spacing w:val="-1"/>
        </w:rPr>
        <w:t>美国广和通</w:t>
      </w:r>
      <w:r>
        <w:rPr>
          <w:rFonts w:ascii="Times New Roman" w:hAnsi="Times New Roman" w:cs="Times New Roman" w:eastAsia="Times New Roman" w:hint="default"/>
          <w:spacing w:val="-1"/>
        </w:rPr>
        <w:t>”</w:t>
      </w:r>
      <w:r>
        <w:rPr>
          <w:spacing w:val="-1"/>
        </w:rPr>
        <w:t>）、浙江诺控通信技术有限公司（以下简称</w:t>
      </w:r>
      <w:r>
        <w:rPr>
          <w:rFonts w:ascii="Times New Roman" w:hAnsi="Times New Roman" w:cs="Times New Roman" w:eastAsia="Times New Roman" w:hint="default"/>
          <w:spacing w:val="-1"/>
        </w:rPr>
        <w:t>“</w:t>
      </w:r>
      <w:r>
        <w:rPr>
          <w:spacing w:val="-1"/>
        </w:rPr>
        <w:t>浙江诺控</w:t>
      </w:r>
      <w:r>
        <w:rPr>
          <w:rFonts w:ascii="Times New Roman" w:hAnsi="Times New Roman" w:cs="Times New Roman" w:eastAsia="Times New Roman" w:hint="default"/>
          <w:spacing w:val="-1"/>
        </w:rPr>
        <w:t>”</w:t>
      </w:r>
      <w:r>
        <w:rPr>
          <w:spacing w:val="-1"/>
        </w:rPr>
        <w:t>）四家子</w:t>
      </w:r>
    </w:p>
    <w:p>
      <w:pPr>
        <w:pStyle w:val="BodyText"/>
        <w:spacing w:line="240" w:lineRule="auto" w:before="11"/>
        <w:ind w:right="102"/>
        <w:jc w:val="left"/>
      </w:pPr>
      <w:r>
        <w:rPr/>
        <w:t>公司。</w:t>
      </w:r>
    </w:p>
    <w:p>
      <w:pPr>
        <w:pStyle w:val="BodyText"/>
        <w:spacing w:line="307" w:lineRule="auto" w:before="76"/>
        <w:ind w:right="114" w:firstLine="360"/>
        <w:jc w:val="left"/>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）业务性质和主要经营活动：主要从事无线通信模块及其应用行业的通信解决方 </w:t>
      </w:r>
      <w:r>
        <w:rPr>
          <w:spacing w:val="-2"/>
        </w:rPr>
        <w:t>案的设计，研发与销售服务，主要产品包括</w:t>
      </w:r>
      <w:r>
        <w:rPr>
          <w:rFonts w:ascii="Times New Roman" w:hAnsi="Times New Roman" w:cs="Times New Roman" w:eastAsia="Times New Roman" w:hint="default"/>
          <w:spacing w:val="-2"/>
        </w:rPr>
        <w:t>2G</w:t>
      </w:r>
      <w:r>
        <w:rPr>
          <w:spacing w:val="-2"/>
        </w:rPr>
        <w:t>、</w:t>
      </w:r>
      <w:r>
        <w:rPr>
          <w:rFonts w:ascii="Times New Roman" w:hAnsi="Times New Roman" w:cs="Times New Roman" w:eastAsia="Times New Roman" w:hint="default"/>
          <w:spacing w:val="-2"/>
        </w:rPr>
        <w:t>3G</w:t>
      </w:r>
      <w:r>
        <w:rPr>
          <w:spacing w:val="-2"/>
        </w:rPr>
        <w:t>、</w:t>
      </w:r>
      <w:r>
        <w:rPr>
          <w:rFonts w:ascii="Times New Roman" w:hAnsi="Times New Roman" w:cs="Times New Roman" w:eastAsia="Times New Roman" w:hint="default"/>
          <w:spacing w:val="-2"/>
        </w:rPr>
        <w:t>4G</w:t>
      </w:r>
      <w:r>
        <w:rPr>
          <w:spacing w:val="-2"/>
        </w:rPr>
        <w:t>、</w:t>
      </w:r>
      <w:r>
        <w:rPr>
          <w:rFonts w:ascii="Times New Roman" w:hAnsi="Times New Roman" w:cs="Times New Roman" w:eastAsia="Times New Roman" w:hint="default"/>
          <w:spacing w:val="-2"/>
        </w:rPr>
        <w:t>NB-lot</w:t>
      </w:r>
      <w:r>
        <w:rPr>
          <w:spacing w:val="-2"/>
        </w:rPr>
        <w:t>技术的无线通信模块以及基于其行业应用的通信解决方案，</w:t>
      </w:r>
      <w:r>
        <w:rPr>
          <w:spacing w:val="-41"/>
        </w:rPr>
        <w:t> </w:t>
      </w:r>
      <w:r>
        <w:rPr>
          <w:spacing w:val="-41"/>
        </w:rPr>
      </w:r>
      <w:r>
        <w:rPr>
          <w:spacing w:val="-2"/>
        </w:rPr>
        <w:t>主要产品无线通信模块目前主要应用于移动支付、智能电网、车联网、安防监控、移动互联网等领域，实现终端设备接入无</w:t>
      </w:r>
      <w:r>
        <w:rPr>
          <w:spacing w:val="-63"/>
        </w:rPr>
        <w:t> </w:t>
      </w:r>
      <w:r>
        <w:rPr>
          <w:spacing w:val="-63"/>
        </w:rPr>
      </w:r>
      <w:r>
        <w:rPr/>
        <w:t>线通信网络完成数据的传输与交互。</w:t>
      </w:r>
    </w:p>
    <w:p>
      <w:pPr>
        <w:pStyle w:val="BodyText"/>
        <w:spacing w:line="300" w:lineRule="auto" w:before="26"/>
        <w:ind w:left="472" w:right="197"/>
        <w:jc w:val="left"/>
      </w:pPr>
      <w:r>
        <w:rPr/>
        <w:t>本财务报告已经公司第一届董事会第二十二次会议于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日批准。 本财务报表合并范围：广和通软件、香港广和通、美国广和通，浙江诺控，详见</w:t>
      </w:r>
      <w:r>
        <w:rPr>
          <w:rFonts w:ascii="Times New Roman" w:hAnsi="Times New Roman" w:cs="Times New Roman" w:eastAsia="Times New Roman" w:hint="default"/>
        </w:rPr>
        <w:t>“</w:t>
      </w:r>
      <w:r>
        <w:rPr/>
        <w:t>第十一节</w:t>
      </w:r>
      <w:r>
        <w:rPr>
          <w:spacing w:val="-53"/>
        </w:rPr>
        <w:t> </w:t>
      </w:r>
      <w:r>
        <w:rPr/>
        <w:t>八、合并范围的变动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w:t>
      </w:r>
    </w:p>
    <w:p>
      <w:pPr>
        <w:pStyle w:val="BodyText"/>
        <w:spacing w:line="240" w:lineRule="auto" w:before="13"/>
        <w:ind w:right="102"/>
        <w:jc w:val="left"/>
      </w:pPr>
      <w:r>
        <w:rPr/>
        <w:t>十一节</w:t>
      </w:r>
      <w:r>
        <w:rPr>
          <w:spacing w:val="-1"/>
        </w:rPr>
        <w:t> </w:t>
      </w:r>
      <w:r>
        <w:rPr/>
        <w:t>九、在其他主体中的权益披露</w:t>
      </w:r>
      <w:r>
        <w:rPr>
          <w:rFonts w:ascii="Times New Roman" w:hAnsi="Times New Roman" w:cs="Times New Roman" w:eastAsia="Times New Roman" w:hint="default"/>
        </w:rPr>
        <w:t>”</w:t>
      </w:r>
      <w:r>
        <w:rPr/>
        <w:t>。</w:t>
      </w:r>
    </w:p>
    <w:p>
      <w:pPr>
        <w:spacing w:after="0" w:line="240" w:lineRule="auto"/>
        <w:jc w:val="left"/>
        <w:sectPr>
          <w:footerReference w:type="default" r:id="rId29"/>
          <w:pgSz w:w="11910" w:h="16840"/>
          <w:pgMar w:footer="1016" w:header="787" w:top="1100" w:bottom="1200" w:left="1020" w:right="920"/>
          <w:pgNumType w:start="100"/>
        </w:sectPr>
      </w:pPr>
    </w:p>
    <w:p>
      <w:pPr>
        <w:spacing w:line="240" w:lineRule="auto" w:before="9"/>
        <w:rPr>
          <w:rFonts w:ascii="宋体" w:hAnsi="宋体" w:cs="宋体" w:eastAsia="宋体" w:hint="default"/>
          <w:sz w:val="20"/>
          <w:szCs w:val="20"/>
        </w:rPr>
      </w:pPr>
    </w:p>
    <w:p>
      <w:pPr>
        <w:pStyle w:val="Heading2"/>
        <w:spacing w:line="240" w:lineRule="auto" w:before="26"/>
        <w:ind w:right="19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2"/>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）编制。此外，本集</w:t>
      </w:r>
      <w:r>
        <w:rPr>
          <w:spacing w:val="-44"/>
        </w:rPr>
        <w:t> </w:t>
      </w:r>
      <w:r>
        <w:rPr>
          <w:spacing w:val="-44"/>
        </w:rPr>
      </w:r>
      <w:r>
        <w:rPr>
          <w:spacing w:val="-2"/>
        </w:rPr>
        <w:t>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62"/>
        </w:rPr>
        <w:t> </w:t>
      </w:r>
      <w:r>
        <w:rPr>
          <w:spacing w:val="-62"/>
        </w:rPr>
      </w:r>
      <w:r>
        <w:rPr/>
        <w:t>信息。</w:t>
      </w:r>
    </w:p>
    <w:p>
      <w:pPr>
        <w:spacing w:line="240" w:lineRule="auto" w:before="7"/>
        <w:rPr>
          <w:rFonts w:ascii="宋体" w:hAnsi="宋体" w:cs="宋体" w:eastAsia="宋体" w:hint="default"/>
          <w:sz w:val="23"/>
          <w:szCs w:val="23"/>
        </w:rPr>
      </w:pPr>
    </w:p>
    <w:p>
      <w:pPr>
        <w:pStyle w:val="Heading3"/>
        <w:spacing w:line="240" w:lineRule="auto"/>
        <w:ind w:right="19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jc w:val="left"/>
      </w:pPr>
      <w:r>
        <w:rPr/>
        <w:t>本财务报表以持续经营为基础列报。 </w:t>
      </w:r>
      <w:r>
        <w:rPr>
          <w:spacing w:val="-2"/>
        </w:rPr>
        <w:t>本集团会计核算以权责发生制为基础。除某些金融工具外，本财务报表均以历史成本为计量基础。资产如果发生减值，则按</w:t>
      </w:r>
      <w:r>
        <w:rPr>
          <w:spacing w:val="-64"/>
        </w:rPr>
        <w:t> </w:t>
      </w:r>
      <w:r>
        <w:rPr>
          <w:spacing w:val="-64"/>
        </w:rPr>
      </w:r>
      <w:r>
        <w:rPr/>
        <w:t>照相关规定计提相应的减值准备。</w:t>
      </w:r>
    </w:p>
    <w:p>
      <w:pPr>
        <w:spacing w:line="240" w:lineRule="auto" w:before="9"/>
        <w:rPr>
          <w:rFonts w:ascii="宋体" w:hAnsi="宋体" w:cs="宋体" w:eastAsia="宋体" w:hint="default"/>
          <w:sz w:val="20"/>
          <w:szCs w:val="20"/>
        </w:rPr>
      </w:pPr>
    </w:p>
    <w:p>
      <w:pPr>
        <w:pStyle w:val="Heading2"/>
        <w:spacing w:line="240" w:lineRule="auto"/>
        <w:ind w:right="190"/>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240" w:lineRule="auto" w:before="29"/>
        <w:ind w:right="190"/>
        <w:jc w:val="left"/>
      </w:pPr>
      <w:r>
        <w:rPr/>
        <w:t>具体会计政策和会计估计提示：</w:t>
      </w:r>
    </w:p>
    <w:p>
      <w:pPr>
        <w:pStyle w:val="BodyText"/>
        <w:spacing w:line="300" w:lineRule="auto" w:before="117"/>
        <w:ind w:right="194"/>
        <w:jc w:val="left"/>
      </w:pPr>
      <w:r>
        <w:rPr/>
        <w:t>本公司根据自身生产经营特点，确定固定资产折旧、无形资产摊销及收入确认政策，具体会计政策参见本附注五、</w:t>
      </w:r>
      <w:r>
        <w:rPr>
          <w:rFonts w:ascii="Times New Roman" w:hAnsi="Times New Roman" w:cs="Times New Roman" w:eastAsia="Times New Roman" w:hint="default"/>
        </w:rPr>
        <w:t>16”</w:t>
      </w:r>
      <w:r>
        <w:rPr/>
        <w:t>固定 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21”</w:t>
      </w:r>
      <w:r>
        <w:rPr/>
        <w:t>无形资产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1"/>
          <w:szCs w:val="21"/>
        </w:rPr>
      </w:pPr>
    </w:p>
    <w:p>
      <w:pPr>
        <w:pStyle w:val="Heading3"/>
        <w:spacing w:line="240" w:lineRule="auto"/>
        <w:ind w:right="19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0"/>
        <w:jc w:val="left"/>
      </w:pPr>
      <w:r>
        <w:rPr>
          <w:spacing w:val="-2"/>
        </w:rPr>
        <w:t>本财务报表符合企业会计准则的要求，真实、完整地反映了本公司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2017</w:t>
      </w:r>
      <w:r>
        <w:rPr>
          <w:spacing w:val="-2"/>
        </w:rPr>
        <w:t>年度的合</w:t>
      </w:r>
      <w:r>
        <w:rPr>
          <w:spacing w:val="-58"/>
        </w:rPr>
        <w:t> </w:t>
      </w:r>
      <w:r>
        <w:rPr/>
        <w:t>并及公司经营成果和合并及公司现金流量等有关信息。</w:t>
      </w:r>
    </w:p>
    <w:p>
      <w:pPr>
        <w:spacing w:line="240" w:lineRule="auto" w:before="7"/>
        <w:rPr>
          <w:rFonts w:ascii="宋体" w:hAnsi="宋体" w:cs="宋体" w:eastAsia="宋体" w:hint="default"/>
          <w:sz w:val="23"/>
          <w:szCs w:val="23"/>
        </w:rPr>
      </w:pPr>
    </w:p>
    <w:p>
      <w:pPr>
        <w:spacing w:line="544" w:lineRule="auto" w:before="0"/>
        <w:ind w:left="112" w:right="45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本集团会计期间采用公历年度，即每年自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1"/>
        <w:ind w:right="190"/>
        <w:jc w:val="left"/>
      </w:pPr>
      <w:r>
        <w:rPr/>
        <w:t>本集团的营业周期为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3"/>
        <w:spacing w:line="240" w:lineRule="auto"/>
        <w:ind w:right="1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本公司及境内子公司以人民币为记账本位币。本公司之境外子公司香港广和通根据其经营所处的主要经济环境中的货币确定</w:t>
      </w:r>
      <w:r>
        <w:rPr>
          <w:spacing w:val="-64"/>
        </w:rPr>
        <w:t> </w:t>
      </w:r>
      <w:r>
        <w:rPr>
          <w:spacing w:val="-64"/>
        </w:rPr>
      </w:r>
      <w:r>
        <w:rPr/>
        <w:t>港币为其记账本位币。本公司之境外子公司美国广和通根据其经营所处的主要经济环境中的货币确定美元为其记账本位币。 本集团编制本财务报表时所采用的货币为人民币。</w:t>
      </w:r>
    </w:p>
    <w:p>
      <w:pPr>
        <w:spacing w:line="240" w:lineRule="auto" w:before="6"/>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0"/>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对于同一控制下的企业合并，合并方在合并中取得的被合并方的资产、负债，除因会计政策不同而进行的调整以外，按合并</w:t>
      </w:r>
    </w:p>
    <w:p>
      <w:pPr>
        <w:spacing w:after="0" w:line="30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0"/>
        <w:jc w:val="left"/>
      </w:pPr>
      <w:r>
        <w:rPr>
          <w:spacing w:val="-2"/>
        </w:rPr>
        <w:t>日被合并方在最终控制方合并财务报表中的账面价值计量。合并对价的账面价值与合并中取得的净资产账面价值的差额调整</w:t>
      </w:r>
      <w:r>
        <w:rPr>
          <w:spacing w:val="-64"/>
        </w:rPr>
        <w:t> </w:t>
      </w:r>
      <w:r>
        <w:rPr>
          <w:spacing w:val="-64"/>
        </w:rPr>
      </w:r>
      <w:r>
        <w:rPr/>
        <w:t>资本公积，资本公积不足冲减的，调整留存收益。</w:t>
      </w:r>
    </w:p>
    <w:p>
      <w:pPr>
        <w:pStyle w:val="BodyText"/>
        <w:spacing w:line="316" w:lineRule="auto" w:before="19"/>
        <w:ind w:right="94"/>
        <w:jc w:val="left"/>
      </w:pPr>
      <w:r>
        <w:rPr/>
        <w:t>通过多次交易分步实现同一控制下的企业合并 </w:t>
      </w: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 调整资本公积，资本公积不足冲减的，调整留存收益。 </w:t>
      </w:r>
      <w:r>
        <w:rPr>
          <w:spacing w:val="-2"/>
        </w:rPr>
        <w:t>在合并财务报表中，合并方在合并中取得的被合并方的资产、负债，除因会计政策不同而进行的调整以外，按合并日在最终</w:t>
      </w:r>
      <w:r>
        <w:rPr>
          <w:spacing w:val="-64"/>
        </w:rPr>
        <w:t> </w:t>
      </w:r>
      <w:r>
        <w:rPr>
          <w:spacing w:val="-64"/>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的净资产账面价值的差额，调整资本公积，资本公积不足冲减的，调整留存收益。合并方在取得被合并方控制权之前持有的</w:t>
      </w:r>
      <w:r>
        <w:rPr>
          <w:spacing w:val="-64"/>
        </w:rPr>
        <w:t> </w:t>
      </w:r>
      <w:r>
        <w:rPr>
          <w:spacing w:val="-64"/>
        </w:rPr>
      </w:r>
      <w:r>
        <w:rPr/>
        <w:t>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BodyText"/>
        <w:spacing w:line="316" w:lineRule="auto" w:before="19"/>
        <w:ind w:right="190"/>
        <w:jc w:val="left"/>
      </w:pPr>
      <w:r>
        <w:rPr/>
        <w:t>（</w:t>
      </w:r>
      <w:r>
        <w:rPr>
          <w:rFonts w:ascii="Times New Roman" w:hAnsi="Times New Roman" w:cs="Times New Roman" w:eastAsia="Times New Roman" w:hint="default"/>
        </w:rPr>
        <w:t>2</w:t>
      </w:r>
      <w:r>
        <w:rPr/>
        <w:t>）非同一控制下的企业合并 </w:t>
      </w: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 </w:t>
      </w: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 通过多次交易分步实现非同一控制下的企业合并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3"/>
        </w:rPr>
        <w:t> </w:t>
      </w:r>
      <w:r>
        <w:rPr>
          <w:spacing w:val="-63"/>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 </w:t>
      </w: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3"/>
        </w:rPr>
        <w:t> </w:t>
      </w:r>
      <w:r>
        <w:rPr>
          <w:spacing w:val="-63"/>
        </w:rPr>
      </w:r>
      <w:r>
        <w:rPr/>
        <w:t>被投资方重新计量设定收益计划净负债或净资产变动而产生的其他综合收益除外。</w:t>
      </w:r>
    </w:p>
    <w:p>
      <w:pPr>
        <w:pStyle w:val="BodyText"/>
        <w:spacing w:line="309" w:lineRule="auto" w:before="19"/>
        <w:ind w:right="190"/>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4"/>
        </w:rPr>
        <w:t> </w:t>
      </w:r>
      <w:r>
        <w:rPr>
          <w:spacing w:val="-64"/>
        </w:rPr>
      </w:r>
      <w:r>
        <w:rPr/>
        <w:t>价发行的权益性证券或债务性证券的交易费用，计入权益性证券或债务性证券的初始确认金额。</w:t>
      </w:r>
    </w:p>
    <w:p>
      <w:pPr>
        <w:spacing w:line="240" w:lineRule="auto" w:before="11"/>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94"/>
        <w:jc w:val="left"/>
      </w:pPr>
      <w:r>
        <w:rPr/>
        <w:t>（</w:t>
      </w:r>
      <w:r>
        <w:rPr>
          <w:rFonts w:ascii="Times New Roman" w:hAnsi="Times New Roman" w:cs="Times New Roman" w:eastAsia="Times New Roman" w:hint="default"/>
        </w:rPr>
        <w:t>1</w:t>
      </w:r>
      <w:r>
        <w:rPr/>
        <w:t>）合并范围 </w:t>
      </w:r>
      <w:r>
        <w:rPr>
          <w:spacing w:val="-2"/>
        </w:rPr>
        <w:t>合并财务报表的合并范围以控制为基础予以确定。控制，是指本公司拥有对被投资单位的权力，通过参与被投资单位的相关</w:t>
      </w:r>
      <w:r>
        <w:rPr>
          <w:spacing w:val="-63"/>
        </w:rPr>
        <w:t> </w:t>
      </w:r>
      <w:r>
        <w:rPr>
          <w:spacing w:val="-63"/>
        </w:rPr>
      </w:r>
      <w:r>
        <w:rPr/>
        <w:t>活动而享有可变回报，并且有能力运用对被投资单位的权力影响其回报金额。子公司，是指被本公司控制的主体（含企业、 被投资单位中可分割的部分、结构化主体等）。</w:t>
      </w:r>
    </w:p>
    <w:p>
      <w:pPr>
        <w:pStyle w:val="BodyText"/>
        <w:spacing w:line="314" w:lineRule="auto" w:before="22"/>
        <w:ind w:right="190"/>
        <w:jc w:val="left"/>
      </w:pPr>
      <w:r>
        <w:rPr/>
        <w:t>（</w:t>
      </w:r>
      <w:r>
        <w:rPr>
          <w:rFonts w:ascii="Times New Roman" w:hAnsi="Times New Roman" w:cs="Times New Roman" w:eastAsia="Times New Roman" w:hint="default"/>
        </w:rPr>
        <w:t>2</w:t>
      </w:r>
      <w:r>
        <w:rPr/>
        <w:t>）合并财务报表的编制方法 </w:t>
      </w:r>
      <w:r>
        <w:rPr>
          <w:spacing w:val="-2"/>
        </w:rPr>
        <w:t>合并财务报表以本公司和子公司的财务报表为基础，根据其他有关资料，由本公司编制。在编制合并财务报表时，本公司和</w:t>
      </w:r>
      <w:r>
        <w:rPr>
          <w:spacing w:val="-64"/>
        </w:rPr>
        <w:t> </w:t>
      </w:r>
      <w:r>
        <w:rPr>
          <w:spacing w:val="-64"/>
        </w:rPr>
      </w:r>
      <w:r>
        <w:rPr/>
        <w:t>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 </w:t>
      </w:r>
      <w:r>
        <w:rPr>
          <w:spacing w:val="-2"/>
        </w:rPr>
        <w:t>在报告期内因非同一控制下企业合并增加的子公司以及业务，将该子公司以及业务自购买日至报告期末的收入、费用、利润</w:t>
      </w:r>
      <w:r>
        <w:rPr>
          <w:spacing w:val="-63"/>
        </w:rPr>
        <w:t> </w:t>
      </w:r>
      <w:r>
        <w:rPr>
          <w:spacing w:val="-63"/>
        </w:rPr>
      </w:r>
      <w:r>
        <w:rPr/>
        <w:t>纳入合并利润表，将其现金流量纳入合并现金流量表。 </w:t>
      </w:r>
      <w:r>
        <w:rPr>
          <w:spacing w:val="-2"/>
        </w:rPr>
        <w:t>子公司的股东权益中不属于本公司所拥有的部分，作为少数股东权益在合并资产负债表中股东权益项下单独列示；子公司当</w:t>
      </w:r>
    </w:p>
    <w:p>
      <w:pPr>
        <w:spacing w:after="0" w:line="314"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00" w:lineRule="auto" w:before="44"/>
        <w:ind w:right="190"/>
        <w:jc w:val="left"/>
      </w:pPr>
      <w:r>
        <w:rPr>
          <w:spacing w:val="-2"/>
        </w:rPr>
        <w:t>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w:t>
      </w:r>
      <w:r>
        <w:rPr>
          <w:spacing w:val="-42"/>
        </w:rPr>
        <w:t> </w:t>
      </w:r>
      <w:r>
        <w:rPr>
          <w:spacing w:val="-42"/>
        </w:rPr>
      </w:r>
      <w:r>
        <w:rPr/>
        <w:t>亏损超过了少数股东在该子公司期初所有者权益中所享有的份额，其余额仍冲减少数股东权益。</w:t>
      </w:r>
    </w:p>
    <w:p>
      <w:pPr>
        <w:pStyle w:val="BodyText"/>
        <w:spacing w:line="314" w:lineRule="auto" w:before="31"/>
        <w:ind w:right="190"/>
        <w:jc w:val="left"/>
      </w:pPr>
      <w:r>
        <w:rPr/>
        <w:t>（</w:t>
      </w:r>
      <w:r>
        <w:rPr>
          <w:rFonts w:ascii="Times New Roman" w:hAnsi="Times New Roman" w:cs="Times New Roman" w:eastAsia="Times New Roman" w:hint="default"/>
        </w:rPr>
        <w:t>3</w:t>
      </w:r>
      <w:r>
        <w:rPr/>
        <w:t>）购买子公司少数股东股权 因购买少数股权新取得的长期股权投资成本与按照新增持股比例计算应享有子公司自购买日或合并日开始持续计算的净资</w:t>
      </w:r>
      <w:r>
        <w:rPr>
          <w:spacing w:val="-9"/>
        </w:rPr>
        <w:t> </w:t>
      </w:r>
      <w:r>
        <w:rPr>
          <w:spacing w:val="-9"/>
        </w:rPr>
      </w:r>
      <w:r>
        <w:rPr>
          <w:spacing w:val="-2"/>
        </w:rPr>
        <w:t>产份额之间的差额，以及在不丧失控制权的情况下因部分处置对子公司的股权投资而取得的处置价款与处置长期股权投资相</w:t>
      </w:r>
      <w:r>
        <w:rPr>
          <w:spacing w:val="-64"/>
        </w:rPr>
        <w:t> </w:t>
      </w:r>
      <w:r>
        <w:rPr>
          <w:spacing w:val="-64"/>
        </w:rPr>
      </w:r>
      <w:r>
        <w:rPr>
          <w:spacing w:val="-2"/>
        </w:rPr>
        <w:t>对应享有子公司自购买日或合并日开始持续计算的净资产份额之间的差额，均调整合并资产负债表中的资本公积，资本公积</w:t>
      </w:r>
      <w:r>
        <w:rPr>
          <w:spacing w:val="-64"/>
        </w:rPr>
        <w:t> </w:t>
      </w:r>
      <w:r>
        <w:rPr>
          <w:spacing w:val="-64"/>
        </w:rPr>
      </w:r>
      <w:r>
        <w:rPr/>
        <w:t>不足冲减的，调整留存收益。</w:t>
      </w:r>
    </w:p>
    <w:p>
      <w:pPr>
        <w:pStyle w:val="BodyText"/>
        <w:spacing w:line="314" w:lineRule="auto" w:before="20"/>
        <w:ind w:right="94"/>
        <w:jc w:val="left"/>
      </w:pPr>
      <w:r>
        <w:rPr/>
        <w:t>（</w:t>
      </w:r>
      <w:r>
        <w:rPr>
          <w:rFonts w:ascii="Times New Roman" w:hAnsi="Times New Roman" w:cs="Times New Roman" w:eastAsia="Times New Roman" w:hint="default"/>
        </w:rPr>
        <w:t>4</w:t>
      </w:r>
      <w:r>
        <w:rPr/>
        <w:t>）丧失子公司控制权的处理 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 </w:t>
      </w: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line="240" w:lineRule="auto" w:before="7"/>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0"/>
        <w:jc w:val="left"/>
      </w:pPr>
      <w:r>
        <w:rPr/>
        <w:t>合营安排，是指一项由两个或两个以上的参与方共同控制的安排。本集团合营安排分为共同经营和合营企业。</w:t>
      </w:r>
    </w:p>
    <w:p>
      <w:pPr>
        <w:pStyle w:val="BodyText"/>
        <w:spacing w:line="300" w:lineRule="auto" w:before="76"/>
        <w:ind w:right="3694"/>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304" w:lineRule="auto" w:before="31"/>
        <w:ind w:right="1894"/>
        <w:jc w:val="left"/>
      </w:pPr>
      <w:r>
        <w:rPr/>
        <w:t>本集团确认与共同经营中利益份额相关的下列项目，并按照相关企业会计准则的规定进行会计处理：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00" w:lineRule="auto" w:before="9"/>
        <w:ind w:right="4774"/>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40" w:lineRule="auto" w:before="31"/>
        <w:ind w:right="190"/>
        <w:jc w:val="left"/>
      </w:pPr>
      <w:r>
        <w:rPr/>
        <w:t>本集团按照长期股权投资有关权益法核算的规定对合营企业的投资进行会计处理。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Heading3"/>
        <w:spacing w:line="240" w:lineRule="auto" w:before="118"/>
        <w:ind w:right="19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left"/>
      </w:pPr>
      <w:r>
        <w:rPr>
          <w:spacing w:val="-2"/>
        </w:rPr>
        <w:t>现金是指库存现金以及可以随时用于支付的存款。现金等价物，是指本集团持有的期限短、流动性强、易于转换为已知金额</w:t>
      </w:r>
      <w:r>
        <w:rPr>
          <w:spacing w:val="-64"/>
        </w:rPr>
        <w:t> </w:t>
      </w:r>
      <w:r>
        <w:rPr>
          <w:spacing w:val="-64"/>
        </w:rPr>
      </w:r>
      <w:r>
        <w:rPr/>
        <w:t>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2794"/>
        <w:jc w:val="left"/>
      </w:pPr>
      <w:r>
        <w:rPr/>
        <w:t>（</w:t>
      </w:r>
      <w:r>
        <w:rPr>
          <w:rFonts w:ascii="Times New Roman" w:hAnsi="Times New Roman" w:cs="Times New Roman" w:eastAsia="Times New Roman" w:hint="default"/>
        </w:rPr>
        <w:t>1</w:t>
      </w:r>
      <w:r>
        <w:rPr/>
        <w:t>）外币业务 本集团发生外币业务，按交易发生日的即期汇率近似的汇率折算折算为记账本位币金额。</w:t>
      </w:r>
    </w:p>
    <w:p>
      <w:pPr>
        <w:pStyle w:val="BodyText"/>
        <w:spacing w:line="316" w:lineRule="auto" w:before="31"/>
        <w:ind w:right="190"/>
        <w:jc w:val="both"/>
      </w:pPr>
      <w:r>
        <w:rPr>
          <w:spacing w:val="-2"/>
        </w:rPr>
        <w:t>资产负债表日，对外币货币性项目，采用资产负债表日即期汇率折算。因资产负债表日即期汇率与初始确认时或者前一资产</w:t>
      </w:r>
      <w:r>
        <w:rPr>
          <w:spacing w:val="-63"/>
        </w:rPr>
        <w:t> </w:t>
      </w:r>
      <w:r>
        <w:rPr>
          <w:spacing w:val="-63"/>
        </w:rPr>
      </w:r>
      <w:r>
        <w:rPr>
          <w:spacing w:val="-2"/>
        </w:rPr>
        <w:t>负债表日即期汇率不同而产生的汇兑差额，计入当期损益；对以历史成本计量的外币非货币性项目，仍采用交易发生日的即</w:t>
      </w:r>
      <w:r>
        <w:rPr>
          <w:spacing w:val="-63"/>
        </w:rPr>
        <w:t> </w:t>
      </w:r>
      <w:r>
        <w:rPr>
          <w:spacing w:val="-63"/>
        </w:rPr>
      </w:r>
      <w:r>
        <w:rPr>
          <w:spacing w:val="-2"/>
        </w:rPr>
        <w:t>期汇率折算；对以公允价值计量的外币非货币性项目，采用公允价值确定日的即期汇率折算，折算后的记账本位币金额与原</w:t>
      </w:r>
      <w:r>
        <w:rPr>
          <w:spacing w:val="-63"/>
        </w:rPr>
        <w:t> </w:t>
      </w:r>
      <w:r>
        <w:rPr>
          <w:spacing w:val="-63"/>
        </w:rPr>
      </w:r>
      <w:r>
        <w:rPr/>
        <w:t>记账本位币金额的差额，计入当期损益。</w:t>
      </w:r>
    </w:p>
    <w:p>
      <w:pPr>
        <w:pStyle w:val="BodyText"/>
        <w:spacing w:line="309" w:lineRule="auto" w:before="19"/>
        <w:ind w:right="190"/>
        <w:jc w:val="left"/>
      </w:pPr>
      <w:r>
        <w:rPr/>
        <w:t>（</w:t>
      </w:r>
      <w:r>
        <w:rPr>
          <w:rFonts w:ascii="Times New Roman" w:hAnsi="Times New Roman" w:cs="Times New Roman" w:eastAsia="Times New Roman" w:hint="default"/>
        </w:rPr>
        <w:t>2</w:t>
      </w:r>
      <w:r>
        <w:rPr/>
        <w:t>）外币财务报表的折算 </w:t>
      </w:r>
      <w:r>
        <w:rPr>
          <w:spacing w:val="-2"/>
        </w:rPr>
        <w:t>资产负债表日，对境外子公司外币财务报表进行折算时，资产负债表中的资产和负债项目，采用资产负债表日的即期汇率折</w:t>
      </w:r>
      <w:r>
        <w:rPr>
          <w:spacing w:val="-63"/>
        </w:rPr>
        <w:t> </w:t>
      </w:r>
      <w:r>
        <w:rPr>
          <w:spacing w:val="-63"/>
        </w:rPr>
      </w:r>
      <w:r>
        <w:rPr/>
        <w:t>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spacing w:after="0" w:line="309"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2" w:lineRule="auto" w:before="44"/>
        <w:ind w:right="190"/>
        <w:jc w:val="left"/>
      </w:pPr>
      <w:r>
        <w:rPr/>
        <w:t>利润表中的收入和费用项目，采用按照系统合理的方法确定的、与交易发生日即期汇率近似的汇率折算。 </w:t>
      </w:r>
      <w:r>
        <w:rPr>
          <w:spacing w:val="-2"/>
        </w:rPr>
        <w:t>现金流量表所有项目均按照系统合理的方法确定的、与现金流量发生日即期汇率近似的汇率折算。汇率变动对现金的影响额</w:t>
      </w:r>
      <w:r>
        <w:rPr>
          <w:spacing w:val="-64"/>
        </w:rPr>
        <w:t> </w:t>
      </w:r>
      <w:r>
        <w:rPr>
          <w:spacing w:val="-64"/>
        </w:rPr>
      </w:r>
      <w:r>
        <w:rPr/>
        <w:t>作为调节项目，在现金流量表中单独列示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项目反映。 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 </w:t>
      </w:r>
      <w:r>
        <w:rPr>
          <w:spacing w:val="-2"/>
        </w:rPr>
        <w:t>处置境外经营并丧失控制权时，将资产负债表中项目下列示的、与该境外经营相关的外币报表折算差额，全部或按处置该境</w:t>
      </w:r>
      <w:r>
        <w:rPr>
          <w:spacing w:val="-63"/>
        </w:rPr>
        <w:t> </w:t>
      </w:r>
      <w:r>
        <w:rPr>
          <w:spacing w:val="-63"/>
        </w:rPr>
      </w:r>
      <w:r>
        <w:rPr/>
        <w:t>外经营的比例转入处置当期损益。</w:t>
      </w:r>
    </w:p>
    <w:p>
      <w:pPr>
        <w:spacing w:line="240" w:lineRule="auto" w:before="9"/>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90"/>
        <w:jc w:val="left"/>
      </w:pPr>
      <w:r>
        <w:rPr/>
        <w:t>金融工具是指形成一个企业的金融资产，并形成其他单位的金融负债或权益工具的合同。</w:t>
      </w:r>
    </w:p>
    <w:p>
      <w:pPr>
        <w:pStyle w:val="BodyText"/>
        <w:spacing w:line="309" w:lineRule="auto" w:before="76"/>
        <w:ind w:right="4414"/>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24"/>
        <w:ind w:right="190"/>
        <w:jc w:val="left"/>
      </w:pPr>
      <w:r>
        <w:rPr/>
        <w:t>①</w:t>
      </w:r>
      <w:r>
        <w:rPr>
          <w:spacing w:val="1"/>
        </w:rPr>
        <w:t> </w:t>
      </w:r>
      <w:r>
        <w:rPr/>
        <w:t>收取该金融资产现金流量的合同权利终止；</w:t>
      </w:r>
    </w:p>
    <w:p>
      <w:pPr>
        <w:pStyle w:val="BodyText"/>
        <w:spacing w:line="316" w:lineRule="auto" w:before="76"/>
        <w:ind w:right="94"/>
        <w:jc w:val="left"/>
      </w:pPr>
      <w:r>
        <w:rPr/>
        <w:t>②</w:t>
      </w:r>
      <w:r>
        <w:rPr>
          <w:spacing w:val="1"/>
        </w:rPr>
        <w:t> </w:t>
      </w:r>
      <w:r>
        <w:rPr/>
        <w:t>该金融资产已转移，且符合下述金融资产转移的终止确认条件。</w:t>
      </w:r>
      <w:r>
        <w:rPr/>
        <w:t> 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1"/>
        </w:rPr>
        <w:t> </w:t>
      </w:r>
      <w:r>
        <w:rPr>
          <w:spacing w:val="-41"/>
        </w:rPr>
      </w:r>
      <w:r>
        <w:rPr/>
        <w:t>并同时确认新金融负债。</w:t>
      </w:r>
    </w:p>
    <w:p>
      <w:pPr>
        <w:pStyle w:val="BodyText"/>
        <w:spacing w:line="240" w:lineRule="auto" w:before="19"/>
        <w:ind w:right="190"/>
        <w:jc w:val="left"/>
      </w:pPr>
      <w:r>
        <w:rPr/>
        <w:t>以常规方式买卖金融资产，按交易日进行会计确认和终止确认。</w:t>
      </w:r>
    </w:p>
    <w:p>
      <w:pPr>
        <w:pStyle w:val="BodyText"/>
        <w:spacing w:line="314" w:lineRule="auto" w:before="76"/>
        <w:ind w:right="190"/>
        <w:jc w:val="left"/>
      </w:pPr>
      <w:r>
        <w:rPr/>
        <w:t>（</w:t>
      </w:r>
      <w:r>
        <w:rPr>
          <w:rFonts w:ascii="Times New Roman" w:hAnsi="Times New Roman" w:cs="Times New Roman" w:eastAsia="Times New Roman" w:hint="default"/>
        </w:rPr>
        <w:t>2</w:t>
      </w:r>
      <w:r>
        <w:rPr/>
        <w:t>）金融资产分类和计量 </w:t>
      </w:r>
      <w:r>
        <w:rPr>
          <w:spacing w:val="-2"/>
        </w:rPr>
        <w:t>本集团的金融资产于初始确认时分为以下四类：以公允价值计量且其变动计入当期损益的金融资产、持有至到期投资、贷款</w:t>
      </w:r>
      <w:r>
        <w:rPr>
          <w:spacing w:val="-63"/>
        </w:rPr>
        <w:t> </w:t>
      </w:r>
      <w:r>
        <w:rPr>
          <w:spacing w:val="-63"/>
        </w:rPr>
      </w:r>
      <w:r>
        <w:rPr>
          <w:spacing w:val="-2"/>
        </w:rPr>
        <w:t>和应收款项、可供出售金融资产。金融资产在初始确认时以公允价值计量。对于以公允价值计量且其变动计入当期损益的金</w:t>
      </w:r>
      <w:r>
        <w:rPr>
          <w:spacing w:val="-63"/>
        </w:rPr>
        <w:t> </w:t>
      </w:r>
      <w:r>
        <w:rPr>
          <w:spacing w:val="-63"/>
        </w:rPr>
      </w:r>
      <w:r>
        <w:rPr/>
        <w:t>融资产，相关交易费用直接计入当期损益，其他类别的金融资产相关交易费用计入其初始确认金额。 以公允价值计量且其变动计入当期损益的金融资产 </w:t>
      </w:r>
      <w:r>
        <w:rPr>
          <w:spacing w:val="-2"/>
        </w:rPr>
        <w:t>以公允价值计量且其变动计入当期损益的金融资产，包括交易性金融资产和初始确认时指定为以公允价值计量且其变动计入</w:t>
      </w:r>
      <w:r>
        <w:rPr>
          <w:spacing w:val="-64"/>
        </w:rPr>
        <w:t> </w:t>
      </w:r>
      <w:r>
        <w:rPr>
          <w:spacing w:val="-64"/>
        </w:rPr>
      </w:r>
      <w:r>
        <w:rPr>
          <w:spacing w:val="-2"/>
        </w:rPr>
        <w:t>当期损益的金融资产。对于此类金融资产，采用公允价值进行后续计量，公允价值变动形成的利得或损失以及与该等金融资</w:t>
      </w:r>
      <w:r>
        <w:rPr>
          <w:spacing w:val="-63"/>
        </w:rPr>
        <w:t> </w:t>
      </w:r>
      <w:r>
        <w:rPr>
          <w:spacing w:val="-63"/>
        </w:rPr>
      </w:r>
      <w:r>
        <w:rPr/>
        <w:t>产相关的股利和利息收入计入当期损益。</w:t>
      </w:r>
    </w:p>
    <w:p>
      <w:pPr>
        <w:pStyle w:val="BodyText"/>
        <w:spacing w:line="316" w:lineRule="auto" w:before="20"/>
        <w:ind w:right="190"/>
        <w:jc w:val="left"/>
      </w:pPr>
      <w:r>
        <w:rPr/>
        <w:t>持有至到期投资 </w:t>
      </w:r>
      <w:r>
        <w:rPr>
          <w:spacing w:val="-2"/>
        </w:rPr>
        <w:t>持有至到期投资，是指到期日固定、回收金额固定或可确定，且本集团有明确意图和能力持有至到期的非衍生金融资产。持</w:t>
      </w:r>
      <w:r>
        <w:rPr>
          <w:spacing w:val="-64"/>
        </w:rPr>
        <w:t> </w:t>
      </w:r>
      <w:r>
        <w:rPr>
          <w:spacing w:val="-64"/>
        </w:rPr>
      </w:r>
      <w:r>
        <w:rPr>
          <w:spacing w:val="-2"/>
        </w:rPr>
        <w:t>有至到期投资采用实际利率法，按照摊余成本进行后续计量，其终止确认、发生减值或摊销产生的利得或损失，均计入当期</w:t>
      </w:r>
      <w:r>
        <w:rPr>
          <w:spacing w:val="-64"/>
        </w:rPr>
        <w:t> </w:t>
      </w:r>
      <w:r>
        <w:rPr>
          <w:spacing w:val="-64"/>
        </w:rPr>
      </w:r>
      <w:r>
        <w:rPr/>
        <w:t>损益。</w:t>
      </w:r>
    </w:p>
    <w:p>
      <w:pPr>
        <w:pStyle w:val="BodyText"/>
        <w:spacing w:line="312" w:lineRule="auto" w:before="19"/>
        <w:ind w:right="93"/>
        <w:jc w:val="left"/>
      </w:pPr>
      <w:r>
        <w:rPr/>
        <w:t>应收款项 </w:t>
      </w:r>
      <w:r>
        <w:rPr>
          <w:spacing w:val="-4"/>
        </w:rPr>
        <w:t>应收款项，是指在活跃市场中没有报价、回收金额固定或可确定的非衍生金融资产，包括应收账款和其他应收款等（附注三、</w:t>
      </w:r>
      <w:r>
        <w:rPr>
          <w:spacing w:val="-43"/>
        </w:rPr>
        <w:t> </w:t>
      </w:r>
      <w:r>
        <w:rPr>
          <w:spacing w:val="-43"/>
        </w:rPr>
      </w:r>
      <w:r>
        <w:rPr>
          <w:rFonts w:ascii="Times New Roman" w:hAnsi="Times New Roman" w:cs="Times New Roman" w:eastAsia="Times New Roman" w:hint="default"/>
          <w:spacing w:val="-2"/>
        </w:rPr>
        <w:t>12</w:t>
      </w:r>
      <w:r>
        <w:rPr>
          <w:spacing w:val="-2"/>
        </w:rPr>
        <w:t>）。应收款项采用实际利率法，按摊余成本进行后续计量，在终止确认、发生减值或摊销时产生的利得或损失，计入当期</w:t>
      </w:r>
      <w:r>
        <w:rPr>
          <w:spacing w:val="-63"/>
        </w:rPr>
        <w:t> </w:t>
      </w:r>
      <w:r>
        <w:rPr>
          <w:spacing w:val="-63"/>
        </w:rPr>
      </w:r>
      <w:r>
        <w:rPr/>
        <w:t>损益。</w:t>
      </w:r>
    </w:p>
    <w:p>
      <w:pPr>
        <w:pStyle w:val="BodyText"/>
        <w:spacing w:line="316" w:lineRule="auto" w:before="22"/>
        <w:ind w:right="93"/>
        <w:jc w:val="left"/>
      </w:pPr>
      <w:r>
        <w:rPr/>
        <w:t>可供出售金融资产 </w:t>
      </w:r>
      <w:r>
        <w:rPr>
          <w:spacing w:val="-2"/>
        </w:rPr>
        <w:t>可供出售金融资产，是指初始确认时即指定为可供出售的非衍生金融资产，以及除上述金融资产类别以外的金融资产。可供</w:t>
      </w:r>
      <w:r>
        <w:rPr>
          <w:spacing w:val="-63"/>
        </w:rPr>
        <w:t> </w:t>
      </w:r>
      <w:r>
        <w:rPr>
          <w:spacing w:val="-63"/>
        </w:rPr>
      </w:r>
      <w:r>
        <w:rPr>
          <w:spacing w:val="-2"/>
        </w:rPr>
        <w:t>出售金融资产采用公允价值进行后续计量，其折溢价采用实际利率法摊销并确认为利息收入。除减值损失及外币货币性金融</w:t>
      </w:r>
      <w:r>
        <w:rPr>
          <w:spacing w:val="-64"/>
        </w:rPr>
        <w:t> </w:t>
      </w:r>
      <w:r>
        <w:rPr>
          <w:spacing w:val="-64"/>
        </w:rPr>
      </w:r>
      <w:r>
        <w:rPr>
          <w:spacing w:val="-4"/>
        </w:rPr>
        <w:t>资产的汇兑差额确认为当期损益外，可供出售金融资产的公允价值变动确认为其他综合收益，在该金融资产终止确认时转出，</w:t>
      </w:r>
      <w:r>
        <w:rPr>
          <w:spacing w:val="-41"/>
        </w:rPr>
        <w:t> </w:t>
      </w:r>
      <w:r>
        <w:rPr>
          <w:spacing w:val="-41"/>
        </w:rPr>
      </w:r>
      <w:r>
        <w:rPr/>
        <w:t>计入当期损益。与可供出售金融资产相关的股利或利息收入，计入当期损益。 </w:t>
      </w:r>
      <w:r>
        <w:rPr>
          <w:spacing w:val="-2"/>
        </w:rPr>
        <w:t>对于在活跃市场中没有报价且其公允价值不能可靠计量的权益工具投资，以及与该权益工具挂钩并须通过交付该权益工具结</w:t>
      </w:r>
      <w:r>
        <w:rPr>
          <w:spacing w:val="-64"/>
        </w:rPr>
        <w:t> </w:t>
      </w:r>
      <w:r>
        <w:rPr>
          <w:spacing w:val="-64"/>
        </w:rPr>
      </w:r>
      <w:r>
        <w:rPr/>
        <w:t>算的衍生金融资产，按成本计量。</w:t>
      </w:r>
    </w:p>
    <w:p>
      <w:pPr>
        <w:pStyle w:val="BodyText"/>
        <w:spacing w:line="300" w:lineRule="auto" w:before="19"/>
        <w:ind w:right="190"/>
        <w:jc w:val="left"/>
      </w:pPr>
      <w:r>
        <w:rPr/>
        <w:t>（</w:t>
      </w:r>
      <w:r>
        <w:rPr>
          <w:rFonts w:ascii="Times New Roman" w:hAnsi="Times New Roman" w:cs="Times New Roman" w:eastAsia="Times New Roman" w:hint="default"/>
        </w:rPr>
        <w:t>3</w:t>
      </w:r>
      <w:r>
        <w:rPr/>
        <w:t>）金融负债分类和计量 </w:t>
      </w:r>
      <w:r>
        <w:rPr>
          <w:spacing w:val="-2"/>
        </w:rPr>
        <w:t>本集团的金融负债于初始确认时分类为：以公允价值计量且其变动计入当期损益的金融负债、其他金融负债。对于未划分为</w:t>
      </w:r>
    </w:p>
    <w:p>
      <w:pPr>
        <w:spacing w:after="0" w:line="30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0"/>
        <w:jc w:val="left"/>
      </w:pPr>
      <w:r>
        <w:rPr/>
        <w:t>以公允价值计量且其变动计入当期损益的金融负债的，相关交易费用计入其初始确认金额。 以公允价值计量且其变动计入当期损益的金融负债 </w:t>
      </w:r>
      <w:r>
        <w:rPr>
          <w:spacing w:val="-2"/>
        </w:rPr>
        <w:t>以公允价值计量且其变动计入当期损益的金融负债，包括交易性金融负债和初始确认时指定为以公允价值计量且其变动计入</w:t>
      </w:r>
      <w:r>
        <w:rPr>
          <w:spacing w:val="-64"/>
        </w:rPr>
        <w:t> </w:t>
      </w:r>
      <w:r>
        <w:rPr>
          <w:spacing w:val="-64"/>
        </w:rPr>
      </w:r>
      <w:r>
        <w:rPr>
          <w:spacing w:val="-2"/>
        </w:rPr>
        <w:t>当期损益的金融负债。对于此类金融负债，按照公允价值进行后续计量，公允价值变动形成的利得或损失以及与该等金融负</w:t>
      </w:r>
      <w:r>
        <w:rPr>
          <w:spacing w:val="-63"/>
        </w:rPr>
        <w:t> </w:t>
      </w:r>
      <w:r>
        <w:rPr>
          <w:spacing w:val="-63"/>
        </w:rPr>
      </w:r>
      <w:r>
        <w:rPr/>
        <w:t>债相关的股利和利息支出计入当期损益。</w:t>
      </w:r>
    </w:p>
    <w:p>
      <w:pPr>
        <w:pStyle w:val="BodyText"/>
        <w:spacing w:line="316" w:lineRule="auto" w:before="19"/>
        <w:ind w:right="93"/>
        <w:jc w:val="left"/>
      </w:pPr>
      <w:r>
        <w:rPr/>
        <w:t>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r>
        <w:rPr>
          <w:spacing w:val="-42"/>
        </w:rPr>
        <w:t> </w:t>
      </w:r>
      <w:r>
        <w:rPr>
          <w:spacing w:val="-42"/>
        </w:rPr>
      </w:r>
      <w:r>
        <w:rPr/>
        <w:t>金融负债与权益工具的区分</w:t>
      </w:r>
    </w:p>
    <w:p>
      <w:pPr>
        <w:pStyle w:val="BodyText"/>
        <w:spacing w:line="240" w:lineRule="auto" w:before="19"/>
        <w:ind w:right="190"/>
        <w:jc w:val="left"/>
      </w:pPr>
      <w:r>
        <w:rPr/>
        <w:t>金融负债，是指符合下列条件之一的负债：</w:t>
      </w:r>
    </w:p>
    <w:p>
      <w:pPr>
        <w:pStyle w:val="BodyText"/>
        <w:spacing w:line="240" w:lineRule="auto" w:before="76"/>
        <w:ind w:right="190"/>
        <w:jc w:val="left"/>
      </w:pPr>
      <w:r>
        <w:rPr/>
        <w:t>①向其他方交付现金或其他金融资产的合同义务。</w:t>
      </w:r>
    </w:p>
    <w:p>
      <w:pPr>
        <w:pStyle w:val="BodyText"/>
        <w:spacing w:line="240" w:lineRule="auto" w:before="76"/>
        <w:ind w:right="190"/>
        <w:jc w:val="left"/>
      </w:pPr>
      <w:r>
        <w:rPr/>
        <w:t>②在潜在不利条件下，与其他方交换金融资产或金融负债的合同义务。</w:t>
      </w:r>
    </w:p>
    <w:p>
      <w:pPr>
        <w:pStyle w:val="BodyText"/>
        <w:spacing w:line="240" w:lineRule="auto" w:before="76"/>
        <w:ind w:right="190"/>
        <w:jc w:val="left"/>
      </w:pPr>
      <w:r>
        <w:rPr/>
        <w:t>③将来须用或可用企业自身权益工具进行结算的非衍生工具合同，且企业根据该合同将交付可变数量的自身权益工具。</w:t>
      </w:r>
    </w:p>
    <w:p>
      <w:pPr>
        <w:pStyle w:val="BodyText"/>
        <w:spacing w:line="316" w:lineRule="auto" w:before="76"/>
        <w:ind w:right="190"/>
        <w:jc w:val="left"/>
      </w:pPr>
      <w:r>
        <w:rPr>
          <w:spacing w:val="-2"/>
        </w:rPr>
        <w:t>④将来须用或可用企业自身权益工具进行结算的衍生工具合同，但以固定数量的自身权益工具交换固定金额的现金或其他金</w:t>
      </w:r>
      <w:r>
        <w:rPr>
          <w:spacing w:val="-64"/>
        </w:rPr>
        <w:t> </w:t>
      </w:r>
      <w:r>
        <w:rPr>
          <w:spacing w:val="-64"/>
        </w:rPr>
      </w:r>
      <w:r>
        <w:rPr/>
        <w:t>融资产的衍生工具合同除外。</w:t>
      </w:r>
    </w:p>
    <w:p>
      <w:pPr>
        <w:pStyle w:val="BodyText"/>
        <w:spacing w:line="316" w:lineRule="auto" w:before="19"/>
        <w:ind w:right="190"/>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3"/>
        </w:rPr>
        <w:t> </w:t>
      </w:r>
      <w:r>
        <w:rPr>
          <w:spacing w:val="-63"/>
        </w:rPr>
      </w:r>
      <w:r>
        <w:rPr/>
        <w:t>具是本集团的金融负债；如果是后者，该工具是本集团的权益工具。</w:t>
      </w:r>
    </w:p>
    <w:p>
      <w:pPr>
        <w:pStyle w:val="BodyText"/>
        <w:spacing w:line="300" w:lineRule="auto" w:before="19"/>
        <w:ind w:right="5314"/>
        <w:jc w:val="left"/>
      </w:pPr>
      <w:r>
        <w:rPr/>
        <w:t>（</w:t>
      </w:r>
      <w:r>
        <w:rPr>
          <w:rFonts w:ascii="Times New Roman" w:hAnsi="Times New Roman" w:cs="Times New Roman" w:eastAsia="Times New Roman" w:hint="default"/>
        </w:rPr>
        <w:t>4</w:t>
      </w:r>
      <w:r>
        <w:rPr/>
        <w:t>）金融工具的公允价值 金融资产和金融负债的公允价值确定方法见附注三、</w:t>
      </w:r>
      <w:r>
        <w:rPr>
          <w:rFonts w:ascii="Times New Roman" w:hAnsi="Times New Roman" w:cs="Times New Roman" w:eastAsia="Times New Roman" w:hint="default"/>
        </w:rPr>
        <w:t>11</w:t>
      </w:r>
      <w:r>
        <w:rPr/>
        <w:t>。</w:t>
      </w:r>
    </w:p>
    <w:p>
      <w:pPr>
        <w:pStyle w:val="BodyText"/>
        <w:spacing w:line="314" w:lineRule="auto" w:before="13"/>
        <w:ind w:right="190"/>
        <w:jc w:val="left"/>
      </w:pPr>
      <w:r>
        <w:rPr/>
        <w:t>（</w:t>
      </w:r>
      <w:r>
        <w:rPr>
          <w:rFonts w:ascii="Times New Roman" w:hAnsi="Times New Roman" w:cs="Times New Roman" w:eastAsia="Times New Roman" w:hint="default"/>
        </w:rPr>
        <w:t>5</w:t>
      </w:r>
      <w:r>
        <w:rPr/>
        <w:t>）金融资产减值 </w:t>
      </w:r>
      <w:r>
        <w:rPr>
          <w:spacing w:val="-2"/>
        </w:rPr>
        <w:t>除了以公允价值计量且其变动计入当期损益的金融资产外，本集团于资产负债表日对其他金融资产的账面价值进行检查，有</w:t>
      </w:r>
      <w:r>
        <w:rPr>
          <w:spacing w:val="-64"/>
        </w:rPr>
        <w:t> </w:t>
      </w:r>
      <w:r>
        <w:rPr>
          <w:spacing w:val="-64"/>
        </w:rPr>
      </w:r>
      <w:r>
        <w:rPr>
          <w:spacing w:val="-2"/>
        </w:rPr>
        <w:t>客观证据表明该金融资产发生减值的，计提减值准备。表明金融资产发生减值的客观证据，是指金融资产初始确认后实际发</w:t>
      </w:r>
      <w:r>
        <w:rPr>
          <w:spacing w:val="-63"/>
        </w:rPr>
        <w:t> </w:t>
      </w:r>
      <w:r>
        <w:rPr>
          <w:spacing w:val="-63"/>
        </w:rPr>
      </w:r>
      <w:r>
        <w:rPr/>
        <w:t>生的、对该金融资产的预计未来现金流量有影响，且企业能够对该影响进行可靠计量的事项。 金融资产发生减值的客观证据，包括下列可观察到的情形：</w:t>
      </w:r>
    </w:p>
    <w:p>
      <w:pPr>
        <w:pStyle w:val="BodyText"/>
        <w:spacing w:line="240" w:lineRule="auto" w:before="20"/>
        <w:ind w:right="190"/>
        <w:jc w:val="left"/>
      </w:pPr>
      <w:r>
        <w:rPr/>
        <w:t>①发行方或债务人发生严重财务困难；</w:t>
      </w:r>
    </w:p>
    <w:p>
      <w:pPr>
        <w:pStyle w:val="BodyText"/>
        <w:spacing w:line="240" w:lineRule="auto" w:before="76"/>
        <w:ind w:right="190"/>
        <w:jc w:val="left"/>
      </w:pPr>
      <w:r>
        <w:rPr/>
        <w:t>②债务人违反了合同条款，如偿付利息或本金发生违约或逾期等；</w:t>
      </w:r>
    </w:p>
    <w:p>
      <w:pPr>
        <w:pStyle w:val="BodyText"/>
        <w:spacing w:line="240" w:lineRule="auto" w:before="76"/>
        <w:ind w:right="190"/>
        <w:jc w:val="left"/>
      </w:pPr>
      <w:r>
        <w:rPr/>
        <w:t>③本集团出于经济或法律等方面因素的考虑，对发生财务困难的债务人作出让步；</w:t>
      </w:r>
    </w:p>
    <w:p>
      <w:pPr>
        <w:pStyle w:val="BodyText"/>
        <w:spacing w:line="240" w:lineRule="auto" w:before="76"/>
        <w:ind w:right="190"/>
        <w:jc w:val="left"/>
      </w:pPr>
      <w:r>
        <w:rPr/>
        <w:t>④债务人很可能倒闭或者进行其他财务重组；</w:t>
      </w:r>
    </w:p>
    <w:p>
      <w:pPr>
        <w:pStyle w:val="BodyText"/>
        <w:spacing w:line="240" w:lineRule="auto" w:before="76"/>
        <w:ind w:right="190"/>
        <w:jc w:val="left"/>
      </w:pPr>
      <w:r>
        <w:rPr/>
        <w:t>⑤因发行方发生重大财务困难，导致金融资产无法在活跃市场继续交易；</w:t>
      </w:r>
    </w:p>
    <w:p>
      <w:pPr>
        <w:pStyle w:val="BodyText"/>
        <w:spacing w:line="316" w:lineRule="auto" w:before="76"/>
        <w:ind w:right="190"/>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产自初始确认以来的预计未来现金流量确已减少且可计量，包括：</w:t>
      </w:r>
    </w:p>
    <w:p>
      <w:pPr>
        <w:pStyle w:val="BodyText"/>
        <w:spacing w:line="240" w:lineRule="auto" w:before="19"/>
        <w:ind w:left="532" w:right="190"/>
        <w:jc w:val="left"/>
      </w:pPr>
      <w:r>
        <w:rPr>
          <w:rFonts w:ascii="Times New Roman" w:hAnsi="Times New Roman" w:cs="Times New Roman" w:eastAsia="Times New Roman" w:hint="default"/>
        </w:rPr>
        <w:t>-  </w:t>
      </w:r>
      <w:r>
        <w:rPr/>
        <w:t>该组金融资产的债务人支付能力逐步恶化；</w:t>
      </w:r>
    </w:p>
    <w:p>
      <w:pPr>
        <w:pStyle w:val="BodyText"/>
        <w:spacing w:line="240" w:lineRule="auto" w:before="63"/>
        <w:ind w:left="532" w:right="190"/>
        <w:jc w:val="left"/>
      </w:pPr>
      <w:r>
        <w:rPr>
          <w:rFonts w:ascii="Times New Roman" w:hAnsi="Times New Roman" w:cs="Times New Roman" w:eastAsia="Times New Roman" w:hint="default"/>
        </w:rPr>
        <w:t>-  </w:t>
      </w:r>
      <w:r>
        <w:rPr/>
        <w:t>债务人所在国家或地区经济出现了可能导致该组金融资产无法支付的状况；</w:t>
      </w:r>
    </w:p>
    <w:p>
      <w:pPr>
        <w:pStyle w:val="BodyText"/>
        <w:spacing w:line="240" w:lineRule="auto" w:before="63"/>
        <w:ind w:right="190"/>
        <w:jc w:val="left"/>
      </w:pPr>
      <w:r>
        <w:rPr/>
        <w:t>⑦债务人经营所处的技术、市场、经济或法律环境等发生重大不利变化，使权益工具投资人可能无法收回投资成本；</w:t>
      </w:r>
    </w:p>
    <w:p>
      <w:pPr>
        <w:pStyle w:val="BodyText"/>
        <w:spacing w:line="307" w:lineRule="auto" w:before="76"/>
        <w:ind w:right="190"/>
        <w:jc w:val="left"/>
      </w:pPr>
      <w:r>
        <w:rPr>
          <w:spacing w:val="-2"/>
        </w:rPr>
        <w:t>⑧权益工具投资的公允价值发生严重或非暂时性下跌，如权益工具投资于资产负债表日的公允价值低于其初始投资成本超过</w:t>
      </w:r>
      <w:r>
        <w:rPr>
          <w:spacing w:val="-64"/>
        </w:rPr>
        <w:t> </w:t>
      </w:r>
      <w:r>
        <w:rPr>
          <w:spacing w:val="-64"/>
        </w:rPr>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 </w:t>
      </w:r>
      <w:r>
        <w:rPr>
          <w:spacing w:val="-2"/>
        </w:rPr>
        <w:t>低于其初始投资成本持续时间超过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个月）是指，权益工具投资公允价值月度均值连续</w:t>
      </w:r>
      <w:r>
        <w:rPr>
          <w:rFonts w:ascii="Times New Roman" w:hAnsi="Times New Roman" w:cs="Times New Roman" w:eastAsia="Times New Roman" w:hint="default"/>
          <w:spacing w:val="-2"/>
        </w:rPr>
        <w:t>12</w:t>
      </w:r>
      <w:r>
        <w:rPr>
          <w:spacing w:val="-2"/>
        </w:rPr>
        <w:t>个月均低于其初始投资</w:t>
      </w:r>
      <w:r>
        <w:rPr>
          <w:spacing w:val="-60"/>
        </w:rPr>
        <w:t> </w:t>
      </w:r>
      <w:r>
        <w:rPr/>
        <w:t>成本</w:t>
      </w:r>
      <w:r>
        <w:rPr>
          <w:color w:val="0000FF"/>
        </w:rPr>
        <w:t>。</w:t>
      </w:r>
      <w:r>
        <w:rPr/>
      </w:r>
    </w:p>
    <w:p>
      <w:pPr>
        <w:pStyle w:val="BodyText"/>
        <w:spacing w:line="316" w:lineRule="auto" w:before="26"/>
        <w:ind w:right="6394"/>
        <w:jc w:val="left"/>
      </w:pPr>
      <w:r>
        <w:rPr/>
        <w:t>⑨其他表明金融资产发生减值的客观证据。 以摊余成本计量的金融资产</w:t>
      </w:r>
    </w:p>
    <w:p>
      <w:pPr>
        <w:pStyle w:val="BodyText"/>
        <w:spacing w:line="240" w:lineRule="auto" w:before="19"/>
        <w:ind w:right="0"/>
        <w:jc w:val="left"/>
      </w:pPr>
      <w:r>
        <w:rPr/>
        <w:t>如果有客观证据表明该金融资产发生减值，则将该金融资产的账面价值减记至预计未来现金流量（不包括尚未发生的未来信</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0"/>
        <w:jc w:val="left"/>
      </w:pPr>
      <w:r>
        <w:rPr>
          <w:spacing w:val="-2"/>
        </w:rPr>
        <w:t>用损失）现值，减记金额计入当期损益。预计未来现金流量现值，按照该金融资产原实际利率折现确定，并考虑相关担保物</w:t>
      </w:r>
      <w:r>
        <w:rPr>
          <w:spacing w:val="-63"/>
        </w:rPr>
        <w:t> </w:t>
      </w:r>
      <w:r>
        <w:rPr>
          <w:spacing w:val="-63"/>
        </w:rPr>
      </w:r>
      <w:r>
        <w:rPr/>
        <w:t>的价值。 </w:t>
      </w:r>
      <w:r>
        <w:rPr>
          <w:spacing w:val="-2"/>
        </w:rPr>
        <w:t>对单项金额重大的金融资产单独进行减值测试，如有客观证据表明其已发生减值，确认减值损失，计入当期损益。对单项金</w:t>
      </w:r>
      <w:r>
        <w:rPr>
          <w:spacing w:val="-64"/>
        </w:rPr>
        <w:t> </w:t>
      </w:r>
      <w:r>
        <w:rPr>
          <w:spacing w:val="-64"/>
        </w:rPr>
      </w:r>
      <w:r>
        <w:rPr>
          <w:spacing w:val="-2"/>
        </w:rPr>
        <w:t>额不重大的金融资产，单独进行减值测试或包括在具有类似信用风险特征的金融资产组合中进行减值测试。单独测试未发生</w:t>
      </w:r>
      <w:r>
        <w:rPr>
          <w:spacing w:val="-64"/>
        </w:rPr>
        <w:t> </w:t>
      </w:r>
      <w:r>
        <w:rPr>
          <w:spacing w:val="-64"/>
        </w:rPr>
      </w:r>
      <w:r>
        <w:rPr>
          <w:spacing w:val="-2"/>
        </w:rPr>
        <w:t>减值的金融资产（包括单项金额重大和不重大的金融资产），包括在具有类似信用风险特征的金融资产组合中再进行减值测</w:t>
      </w:r>
      <w:r>
        <w:rPr>
          <w:spacing w:val="-63"/>
        </w:rPr>
        <w:t> </w:t>
      </w:r>
      <w:r>
        <w:rPr>
          <w:spacing w:val="-63"/>
        </w:rPr>
      </w:r>
      <w:r>
        <w:rPr/>
        <w:t>试。已单项确认减值损失的金融资产，不包括在具有类似信用风险特征的金融资产组合中进行减值测试。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r>
        <w:rPr>
          <w:spacing w:val="-64"/>
        </w:rPr>
        <w:t> </w:t>
      </w:r>
      <w:r>
        <w:rPr>
          <w:spacing w:val="-64"/>
        </w:rPr>
      </w:r>
      <w:r>
        <w:rPr/>
        <w:t>下该金融资产在转回日的摊余成本。</w:t>
      </w:r>
    </w:p>
    <w:p>
      <w:pPr>
        <w:pStyle w:val="BodyText"/>
        <w:spacing w:line="316" w:lineRule="auto" w:before="19"/>
        <w:ind w:right="190"/>
        <w:jc w:val="left"/>
      </w:pPr>
      <w:r>
        <w:rPr/>
        <w:t>可供出售金融资产 </w:t>
      </w:r>
      <w:r>
        <w:rPr>
          <w:spacing w:val="-2"/>
        </w:rPr>
        <w:t>如果有客观证据表明该金融资产发生减值，原直接计入其他综合收益的因公允价值下降形成的累计损失，予以转出，计入当</w:t>
      </w:r>
      <w:r>
        <w:rPr>
          <w:spacing w:val="-63"/>
        </w:rPr>
        <w:t> </w:t>
      </w:r>
      <w:r>
        <w:rPr>
          <w:spacing w:val="-63"/>
        </w:rPr>
      </w:r>
      <w:r>
        <w:rPr>
          <w:spacing w:val="-2"/>
        </w:rPr>
        <w:t>期损益。该转出的累计损失，为可供出售金融资产的初始取得成本扣除已收回本金和已摊销金额、当前公允价值和原已计入</w:t>
      </w:r>
      <w:r>
        <w:rPr>
          <w:spacing w:val="-63"/>
        </w:rPr>
        <w:t> </w:t>
      </w:r>
      <w:r>
        <w:rPr>
          <w:spacing w:val="-63"/>
        </w:rPr>
      </w:r>
      <w:r>
        <w:rPr/>
        <w:t>损益的减值损失后的余额。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有关的，原确认的减值损失予以转回，计入当期损益。可供出售权益工具投资发生的减值损失，不通过损益转回。 以成本计量的金融资产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spacing w:val="-2"/>
        </w:rPr>
        <w:t>生金融资产发生减值时，将该金融资产的账面价值，与按照类似金融资产当时市场收益率对未来现金流量折现确定的现值之</w:t>
      </w:r>
      <w:r>
        <w:rPr>
          <w:spacing w:val="-64"/>
        </w:rPr>
        <w:t> </w:t>
      </w:r>
      <w:r>
        <w:rPr>
          <w:spacing w:val="-64"/>
        </w:rPr>
      </w:r>
      <w:r>
        <w:rPr/>
        <w:t>间的差额，确认为减值损失，计入当期损益。发生的减值损失一经确认，不得转回。</w:t>
      </w:r>
    </w:p>
    <w:p>
      <w:pPr>
        <w:pStyle w:val="BodyText"/>
        <w:spacing w:line="300" w:lineRule="auto" w:before="19"/>
        <w:ind w:right="2614"/>
        <w:jc w:val="left"/>
      </w:pPr>
      <w:r>
        <w:rPr/>
        <w:t>（</w:t>
      </w:r>
      <w:r>
        <w:rPr>
          <w:rFonts w:ascii="Times New Roman" w:hAnsi="Times New Roman" w:cs="Times New Roman" w:eastAsia="Times New Roman" w:hint="default"/>
        </w:rPr>
        <w:t>6</w:t>
      </w:r>
      <w:r>
        <w:rPr/>
        <w:t>）金融资产转移 金融资产转移，是指将金融资产让与或交付给该金融资产发行方以外的另一方（转入方）。</w:t>
      </w:r>
    </w:p>
    <w:p>
      <w:pPr>
        <w:pStyle w:val="BodyText"/>
        <w:spacing w:line="316" w:lineRule="auto" w:before="31"/>
        <w:ind w:right="93"/>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 </w:t>
      </w:r>
      <w:r>
        <w:rPr>
          <w:spacing w:val="-4"/>
        </w:rPr>
        <w:t>本集团既没有转移也没有保留金融资产所有权上几乎所有的风险和报酬的，分别下列情况处理：放弃了对该金融资产控制的，</w:t>
      </w:r>
      <w:r>
        <w:rPr>
          <w:spacing w:val="-41"/>
        </w:rPr>
        <w:t> </w:t>
      </w:r>
      <w:r>
        <w:rPr>
          <w:spacing w:val="-41"/>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pStyle w:val="BodyText"/>
        <w:spacing w:line="312" w:lineRule="auto" w:before="19"/>
        <w:ind w:right="190"/>
        <w:jc w:val="left"/>
      </w:pPr>
      <w:r>
        <w:rPr/>
        <w:t>（</w:t>
      </w:r>
      <w:r>
        <w:rPr>
          <w:rFonts w:ascii="Times New Roman" w:hAnsi="Times New Roman" w:cs="Times New Roman" w:eastAsia="Times New Roman" w:hint="default"/>
        </w:rPr>
        <w:t>7</w:t>
      </w:r>
      <w:r>
        <w:rPr/>
        <w:t>）金融资产和金融负债的抵销 </w:t>
      </w: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3"/>
        </w:rPr>
        <w:t> </w:t>
      </w:r>
      <w:r>
        <w:rPr>
          <w:spacing w:val="-63"/>
        </w:rPr>
      </w:r>
      <w:r>
        <w:rPr/>
        <w:t>和金融负债在资产负债表内分别列示，不予相互抵销。</w:t>
      </w:r>
    </w:p>
    <w:p>
      <w:pPr>
        <w:spacing w:line="240" w:lineRule="auto" w:before="9"/>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万元）以上的应收款项为单 项金额重大的应收款项。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after="0" w:line="316" w:lineRule="auto"/>
        <w:jc w:val="both"/>
        <w:rPr>
          <w:rFonts w:ascii="宋体" w:hAnsi="宋体" w:cs="宋体" w:eastAsia="宋体" w:hint="default"/>
          <w:sz w:val="18"/>
          <w:szCs w:val="18"/>
        </w:rPr>
        <w:sectPr>
          <w:pgSz w:w="11910" w:h="16840"/>
          <w:pgMar w:header="787" w:footer="1016" w:top="1100" w:bottom="1200" w:left="1020" w:right="940"/>
        </w:sectPr>
      </w:pPr>
    </w:p>
    <w:p>
      <w:pPr>
        <w:spacing w:line="240" w:lineRule="auto" w:before="10"/>
        <w:rPr>
          <w:rFonts w:ascii="宋体" w:hAnsi="宋体" w:cs="宋体" w:eastAsia="宋体" w:hint="default"/>
          <w:b/>
          <w:bCs/>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pacing w:val="30"/>
                <w:sz w:val="18"/>
                <w:szCs w:val="18"/>
              </w:rPr>
              <w:t> </w:t>
            </w:r>
            <w:r>
              <w:rPr>
                <w:rFonts w:ascii="宋体" w:hAnsi="宋体" w:cs="宋体" w:eastAsia="宋体" w:hint="default"/>
                <w:sz w:val="18"/>
                <w:szCs w:val="18"/>
              </w:rPr>
              <w:t>账龄状态</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0"/>
              <w:jc w:val="both"/>
              <w:rPr>
                <w:rFonts w:ascii="宋体" w:hAnsi="宋体" w:cs="宋体" w:eastAsia="宋体" w:hint="default"/>
                <w:sz w:val="18"/>
                <w:szCs w:val="18"/>
              </w:rPr>
            </w:pPr>
            <w:r>
              <w:rPr>
                <w:rFonts w:ascii="宋体" w:hAnsi="宋体" w:cs="宋体" w:eastAsia="宋体" w:hint="default"/>
                <w:sz w:val="18"/>
                <w:szCs w:val="18"/>
              </w:rPr>
              <w:t>涉诉款项、客户信用状况恶化的应收款项将单项金额不重大 的债务人发生资金困难的应收款项或已知可收回性存在不确 定性的应收款项以及单项金额不重大的其他应收款进行单项 测试计提坏账准备。</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备根据历史经验个别认定法。</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p>
      <w:pPr>
        <w:pStyle w:val="BodyText"/>
        <w:spacing w:line="300" w:lineRule="auto" w:before="25"/>
        <w:ind w:right="3434"/>
        <w:jc w:val="left"/>
      </w:pPr>
      <w:r>
        <w:rPr/>
        <w:t>（</w:t>
      </w:r>
      <w:r>
        <w:rPr>
          <w:rFonts w:ascii="Times New Roman" w:hAnsi="Times New Roman" w:cs="Times New Roman" w:eastAsia="Times New Roman" w:hint="default"/>
        </w:rPr>
        <w:t>1</w:t>
      </w:r>
      <w:r>
        <w:rPr/>
        <w:t>）存货的分类 本集团存货分为原材料、库存商品、发出商品、委托加工物资、低值易耗品等。</w:t>
      </w:r>
    </w:p>
    <w:p>
      <w:pPr>
        <w:pStyle w:val="BodyText"/>
        <w:spacing w:line="300" w:lineRule="auto" w:before="31"/>
        <w:ind w:right="1274"/>
        <w:jc w:val="left"/>
      </w:pPr>
      <w:r>
        <w:rPr/>
        <w:t>（</w:t>
      </w:r>
      <w:r>
        <w:rPr>
          <w:rFonts w:ascii="Times New Roman" w:hAnsi="Times New Roman" w:cs="Times New Roman" w:eastAsia="Times New Roman" w:hint="default"/>
        </w:rPr>
        <w:t>2</w:t>
      </w:r>
      <w:r>
        <w:rPr/>
        <w:t>）发出存货的计价方法 本公司存货取得时按实际成本计价。原材料、库存商品、委托加工物资等发出时采用移动加权平均法计价。</w:t>
      </w:r>
    </w:p>
    <w:p>
      <w:pPr>
        <w:pStyle w:val="BodyText"/>
        <w:spacing w:line="312" w:lineRule="auto" w:before="31"/>
        <w:ind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 </w:t>
      </w:r>
      <w:r>
        <w:rPr>
          <w:spacing w:val="-2"/>
        </w:rPr>
        <w:t>资产负债表日，存货成本高于其可变现净值的，计提存货跌价准备。本集团通常按照单个存货项目计提存货跌价准备，资产</w:t>
      </w:r>
    </w:p>
    <w:p>
      <w:pPr>
        <w:spacing w:after="0" w:line="312"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负债表日，以前减记存货价值的影响因素已经消失的，存货跌价准备在原已计提的金额内转回。</w:t>
      </w:r>
    </w:p>
    <w:p>
      <w:pPr>
        <w:pStyle w:val="BodyText"/>
        <w:spacing w:line="300" w:lineRule="auto" w:before="76"/>
        <w:ind w:right="6674"/>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00" w:lineRule="auto" w:before="31"/>
        <w:ind w:right="5954"/>
        <w:jc w:val="left"/>
      </w:pPr>
      <w:r>
        <w:rPr/>
        <w:t>（</w:t>
      </w:r>
      <w:r>
        <w:rPr>
          <w:rFonts w:ascii="Times New Roman" w:hAnsi="Times New Roman" w:cs="Times New Roman" w:eastAsia="Times New Roman" w:hint="default"/>
        </w:rPr>
        <w:t>5</w:t>
      </w:r>
      <w:r>
        <w:rPr/>
        <w:t>）低值易耗品和包装物的摊销方法 本集团低值易耗品领用时采用一次转销法摊销。</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长期股权投资包括对子公司、合营企业和联营企业的权益性投资。本集团能够对被投资单位施加重大影响的，为本集团的联</w:t>
      </w:r>
      <w:r>
        <w:rPr>
          <w:spacing w:val="-63"/>
        </w:rPr>
        <w:t> </w:t>
      </w:r>
      <w:r>
        <w:rPr>
          <w:spacing w:val="-63"/>
        </w:rPr>
      </w:r>
      <w:r>
        <w:rPr/>
        <w:t>营企业。</w:t>
      </w:r>
    </w:p>
    <w:p>
      <w:pPr>
        <w:pStyle w:val="BodyText"/>
        <w:spacing w:line="314" w:lineRule="auto" w:before="19"/>
        <w:ind w:right="0"/>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 </w:t>
      </w:r>
      <w:r>
        <w:rPr>
          <w:spacing w:val="-2"/>
        </w:rPr>
        <w:t>对于其他方式取得的长期股权投资：支付现金取得的长期股权投资，按照实际支付的购买价款作为初始投资成本；发行权益</w:t>
      </w:r>
      <w:r>
        <w:rPr>
          <w:spacing w:val="-63"/>
        </w:rPr>
        <w:t> </w:t>
      </w:r>
      <w:r>
        <w:rPr>
          <w:spacing w:val="-63"/>
        </w:rPr>
      </w:r>
      <w:r>
        <w:rPr/>
        <w:t>性证券取得的长期股权投资，以发行权益性证券的公允价值作为初始投资成本。</w:t>
      </w:r>
    </w:p>
    <w:p>
      <w:pPr>
        <w:pStyle w:val="BodyText"/>
        <w:spacing w:line="316" w:lineRule="auto" w:before="20"/>
        <w:ind w:right="0"/>
        <w:jc w:val="left"/>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对子公司的投资，采用成本法核算，除非投资符合持有待售的条件；对联营企业和合营企业的投资，采用权益法核算。 </w:t>
      </w: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 </w:t>
      </w: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r>
        <w:rPr>
          <w:spacing w:val="-64"/>
        </w:rPr>
        <w:t> </w:t>
      </w:r>
      <w:r>
        <w:rPr>
          <w:spacing w:val="-64"/>
        </w:rPr>
      </w:r>
      <w:r>
        <w:rPr/>
        <w:t>进行调整，差额计入投资当期的损益。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价值并计入资本公积（其他资本公积）。在确认应享有被投资单位净损益的份额时，以取得投资时被投资单位各项可辨认资</w:t>
      </w:r>
      <w:r>
        <w:rPr>
          <w:spacing w:val="-64"/>
        </w:rPr>
        <w:t> </w:t>
      </w:r>
      <w:r>
        <w:rPr>
          <w:spacing w:val="-64"/>
        </w:rPr>
      </w:r>
      <w:r>
        <w:rPr/>
        <w:t>产等的公允价值为基础，并按照本集团的会计政策及会计期间，对被投资单位的净利润进行调整后确认。 </w:t>
      </w: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3"/>
        </w:rPr>
        <w:t> </w:t>
      </w:r>
      <w:r>
        <w:rPr>
          <w:spacing w:val="-63"/>
        </w:rPr>
      </w:r>
      <w:r>
        <w:rPr/>
        <w:t>其他综合收益的累计公允价值变动转入改按权益法核算的当期损益。 </w:t>
      </w:r>
      <w:r>
        <w:rPr>
          <w:spacing w:val="-2"/>
        </w:rPr>
        <w:t>因处置部分股权投资等原因丧失了对被投资单位的共同控制或重大影响的，处置后的剩余股权在丧失共同控制或重大影响之</w:t>
      </w:r>
      <w:r>
        <w:rPr>
          <w:spacing w:val="-64"/>
        </w:rPr>
        <w:t> </w:t>
      </w:r>
      <w:r>
        <w:rPr>
          <w:spacing w:val="-64"/>
        </w:rPr>
      </w:r>
      <w:r>
        <w:rPr>
          <w:spacing w:val="-2"/>
        </w:rPr>
        <w:t>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金融工具确认和计量》进行会计处理，公允价值与账面价值之间的差额计入当期损益。原股</w:t>
      </w:r>
      <w:r>
        <w:rPr>
          <w:spacing w:val="-63"/>
        </w:rPr>
        <w:t> </w:t>
      </w:r>
      <w:r>
        <w:rPr>
          <w:spacing w:val="-63"/>
        </w:rPr>
      </w:r>
      <w:r>
        <w:rPr>
          <w:spacing w:val="-2"/>
        </w:rPr>
        <w:t>权投资因采用权益法核算而确认的其他综合收益，在终止采用权益法核算时采用与被投资单位直接处置相关资产或负债相同</w:t>
      </w:r>
      <w:r>
        <w:rPr>
          <w:spacing w:val="-64"/>
        </w:rPr>
        <w:t> </w:t>
      </w:r>
      <w:r>
        <w:rPr>
          <w:spacing w:val="-64"/>
        </w:rPr>
      </w:r>
      <w:r>
        <w:rPr/>
        <w:t>的基础进行会计处理；原股权投资相关的其他所有者权益变动转入当期损益。 </w:t>
      </w: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3"/>
        </w:rPr>
        <w:t> </w:t>
      </w:r>
      <w:r>
        <w:rPr>
          <w:spacing w:val="-63"/>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4"/>
        </w:rPr>
        <w:t> </w:t>
      </w:r>
      <w:r>
        <w:rPr>
          <w:spacing w:val="-64"/>
        </w:rPr>
      </w:r>
      <w:r>
        <w:rPr/>
        <w:t>制之日的公允价值与账面价值之间的差额计入当期损益。 </w:t>
      </w: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spacing w:after="0" w:line="316"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pStyle w:val="BodyText"/>
        <w:spacing w:line="314" w:lineRule="auto" w:before="19"/>
        <w:ind w:right="99"/>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3"/>
        </w:rPr>
        <w:t> </w:t>
      </w:r>
      <w:r>
        <w:rPr>
          <w:spacing w:val="-63"/>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 </w:t>
      </w: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 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的表决权股份时，一般认为对被投资单位具</w:t>
      </w:r>
      <w:r>
        <w:rPr>
          <w:spacing w:val="-85"/>
        </w:rPr>
        <w:t> </w:t>
      </w:r>
      <w:r>
        <w:rPr>
          <w:spacing w:val="-85"/>
        </w:rPr>
      </w:r>
      <w:r>
        <w:rPr>
          <w:spacing w:val="-2"/>
        </w:rPr>
        <w:t>有重大影响，除非有明确证据表明该种情况下不能参与被投资单位的生产经营决策，不形成重大影响；本集团拥有被投资单</w:t>
      </w:r>
      <w:r>
        <w:rPr>
          <w:spacing w:val="-63"/>
        </w:rPr>
        <w:t> </w:t>
      </w:r>
      <w:r>
        <w:rPr>
          <w:spacing w:val="-63"/>
        </w:rPr>
      </w:r>
      <w:r>
        <w:rPr>
          <w:spacing w:val="-1"/>
        </w:rPr>
        <w:t>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（不含）以下的表决权股份时，一般不认为对被投资单位具有重大影响，除非有明确证据表明该种情况下能够参与被</w:t>
      </w:r>
      <w:r>
        <w:rPr/>
        <w:t> 投资单位的生产经营决策，形成重大影响。</w:t>
      </w:r>
    </w:p>
    <w:p>
      <w:pPr>
        <w:pStyle w:val="BodyText"/>
        <w:spacing w:line="300" w:lineRule="auto" w:before="20"/>
        <w:ind w:right="3614"/>
        <w:jc w:val="left"/>
      </w:pPr>
      <w:r>
        <w:rPr/>
        <w:t>（</w:t>
      </w:r>
      <w:r>
        <w:rPr>
          <w:rFonts w:ascii="Times New Roman" w:hAnsi="Times New Roman" w:cs="Times New Roman" w:eastAsia="Times New Roman" w:hint="default"/>
        </w:rPr>
        <w:t>4</w:t>
      </w:r>
      <w:r>
        <w:rPr/>
        <w:t>）减值测试方法及减值准备计提方法 对子公司、联营企业及合营企业的投资，计提资产减值的方法见附注三、</w:t>
      </w:r>
      <w:r>
        <w:rPr>
          <w:rFonts w:ascii="Times New Roman" w:hAnsi="Times New Roman" w:cs="Times New Roman" w:eastAsia="Times New Roman" w:hint="default"/>
        </w:rPr>
        <w:t>22</w:t>
      </w:r>
      <w:r>
        <w:rPr/>
        <w:t>。</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934"/>
        <w:jc w:val="left"/>
      </w:pPr>
      <w:r>
        <w:rPr/>
        <w:t>投资性房地产计量模式 不适用</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
        <w:jc w:val="both"/>
      </w:pPr>
      <w:r>
        <w:rPr>
          <w:spacing w:val="-2"/>
        </w:rPr>
        <w:t>本集团固定资产是指为生产商品、提供劳务、出租或经营管理而持有的，使用寿命超过一个会计年度的有形资产。与该固定</w:t>
      </w:r>
      <w:r>
        <w:rPr>
          <w:spacing w:val="-66"/>
        </w:rPr>
        <w:t> </w:t>
      </w:r>
      <w:r>
        <w:rPr>
          <w:spacing w:val="-66"/>
        </w:rPr>
      </w:r>
      <w:r>
        <w:rPr>
          <w:spacing w:val="-2"/>
        </w:rPr>
        <w:t>资产有关的经济利益很可能流入企业，并且该固定资产的成本能够可靠地计量时，固定资产才能予以确认。本集团固定资产</w:t>
      </w:r>
      <w:r>
        <w:rPr>
          <w:spacing w:val="-65"/>
        </w:rPr>
        <w:t> </w:t>
      </w:r>
      <w:r>
        <w:rPr>
          <w:spacing w:val="-65"/>
        </w:rPr>
      </w:r>
      <w:r>
        <w:rPr/>
        <w:t>按照取得时的实际成本进行初始计量。</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19%-31.67%</w:t>
            </w:r>
          </w:p>
        </w:tc>
      </w:tr>
    </w:tbl>
    <w:p>
      <w:pPr>
        <w:pStyle w:val="BodyText"/>
        <w:spacing w:line="316" w:lineRule="auto" w:before="12"/>
        <w:ind w:right="110"/>
        <w:jc w:val="both"/>
      </w:pPr>
      <w:r>
        <w:rPr>
          <w:spacing w:val="-2"/>
        </w:rPr>
        <w:t>本集团采用年限平均法计提折旧。固定资产自达到预定可使用状态时开始计提折旧，终止确认时或划分为持有待售非流动资</w:t>
      </w:r>
      <w:r>
        <w:rPr>
          <w:spacing w:val="-64"/>
        </w:rPr>
        <w:t> </w:t>
      </w:r>
      <w:r>
        <w:rPr>
          <w:spacing w:val="-64"/>
        </w:rPr>
      </w:r>
      <w:r>
        <w:rPr>
          <w:spacing w:val="-2"/>
        </w:rPr>
        <w:t>产时停止计提折旧。在不考虑减值准备的情况下，按固定资产类别、预计使用寿命和预计残值，本集团确定各类固定资产的</w:t>
      </w:r>
      <w:r>
        <w:rPr>
          <w:spacing w:val="-64"/>
        </w:rPr>
        <w:t> </w:t>
      </w:r>
      <w:r>
        <w:rPr>
          <w:spacing w:val="-64"/>
        </w:rPr>
      </w:r>
      <w:r>
        <w:rPr/>
        <w:t>年折旧率如上表。</w:t>
      </w:r>
    </w:p>
    <w:p>
      <w:pPr>
        <w:pStyle w:val="BodyText"/>
        <w:spacing w:line="240" w:lineRule="auto" w:before="19"/>
        <w:ind w:right="0"/>
        <w:jc w:val="both"/>
      </w:pPr>
      <w:r>
        <w:rPr/>
        <w:t>其中，已计提减值准备的固定资产，还应扣除已计提的固定资产减值准备累计金额计算确定折旧率。</w:t>
      </w:r>
    </w:p>
    <w:p>
      <w:pPr>
        <w:pStyle w:val="BodyText"/>
        <w:spacing w:line="240" w:lineRule="auto" w:before="76"/>
        <w:ind w:right="0"/>
        <w:jc w:val="both"/>
      </w:pPr>
      <w:r>
        <w:rPr/>
        <w:t>（</w:t>
      </w:r>
      <w:r>
        <w:rPr>
          <w:rFonts w:ascii="Times New Roman" w:hAnsi="Times New Roman" w:cs="Times New Roman" w:eastAsia="Times New Roman" w:hint="default"/>
        </w:rPr>
        <w:t>3</w:t>
      </w:r>
      <w:r>
        <w:rPr/>
        <w:t>）固定资产的减值测试方法、减值准备计提方法见附注三、</w:t>
      </w:r>
      <w:r>
        <w:rPr>
          <w:rFonts w:ascii="Times New Roman" w:hAnsi="Times New Roman" w:cs="Times New Roman" w:eastAsia="Times New Roman" w:hint="default"/>
        </w:rPr>
        <w:t>22</w:t>
      </w:r>
      <w:r>
        <w:rPr/>
        <w:t>。</w:t>
      </w:r>
    </w:p>
    <w:p>
      <w:pPr>
        <w:spacing w:after="0" w:line="240" w:lineRule="auto"/>
        <w:jc w:val="both"/>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09" w:lineRule="auto" w:before="44"/>
        <w:ind w:right="190"/>
        <w:jc w:val="left"/>
      </w:pPr>
      <w:r>
        <w:rPr/>
        <w:t>（</w:t>
      </w:r>
      <w:r>
        <w:rPr>
          <w:rFonts w:ascii="Times New Roman" w:hAnsi="Times New Roman" w:cs="Times New Roman" w:eastAsia="Times New Roman" w:hint="default"/>
        </w:rPr>
        <w:t>4</w:t>
      </w:r>
      <w:r>
        <w:rPr/>
        <w:t>）每年年度终了，本集团对固定资产的使用寿命、预计净残值和折旧方法进行复核。 </w:t>
      </w:r>
      <w:r>
        <w:rPr>
          <w:spacing w:val="-2"/>
        </w:rPr>
        <w:t>使用寿命预计数与原先估计数有差异的，调整固定资产使用寿命；预计净残值预计数与原先估计数有差异的，调整预计净残</w:t>
      </w:r>
      <w:r>
        <w:rPr>
          <w:spacing w:val="-63"/>
        </w:rPr>
        <w:t> </w:t>
      </w:r>
      <w:r>
        <w:rPr>
          <w:spacing w:val="-63"/>
        </w:rPr>
      </w:r>
      <w:r>
        <w:rPr/>
        <w:t>值。</w:t>
      </w:r>
    </w:p>
    <w:p>
      <w:pPr>
        <w:pStyle w:val="BodyText"/>
        <w:spacing w:line="309" w:lineRule="auto" w:before="24"/>
        <w:ind w:right="190"/>
        <w:jc w:val="left"/>
      </w:pPr>
      <w:r>
        <w:rPr/>
        <w:t>（</w:t>
      </w:r>
      <w:r>
        <w:rPr>
          <w:rFonts w:ascii="Times New Roman" w:hAnsi="Times New Roman" w:cs="Times New Roman" w:eastAsia="Times New Roman" w:hint="default"/>
        </w:rPr>
        <w:t>5</w:t>
      </w:r>
      <w:r>
        <w:rPr/>
        <w:t>）大修理费用 </w:t>
      </w:r>
      <w:r>
        <w:rPr>
          <w:spacing w:val="-2"/>
        </w:rPr>
        <w:t>本集团对固定资产进行定期检查发生的大修理费用，有确凿证据表明符合固定资产确认条件的部分，计入固定资产成本，不</w:t>
      </w:r>
      <w:r>
        <w:rPr>
          <w:spacing w:val="-63"/>
        </w:rPr>
        <w:t> </w:t>
      </w:r>
      <w:r>
        <w:rPr>
          <w:spacing w:val="-63"/>
        </w:rPr>
      </w:r>
      <w:r>
        <w:rPr/>
        <w:t>符合固定资产确认条件的计入当期损益。固定资产在定期大修理间隔期间，照提折旧。</w:t>
      </w:r>
    </w:p>
    <w:p>
      <w:pPr>
        <w:spacing w:line="240" w:lineRule="auto" w:before="11"/>
        <w:rPr>
          <w:rFonts w:ascii="宋体" w:hAnsi="宋体" w:cs="宋体" w:eastAsia="宋体" w:hint="default"/>
          <w:sz w:val="22"/>
          <w:szCs w:val="22"/>
        </w:rPr>
      </w:pPr>
    </w:p>
    <w:p>
      <w:pPr>
        <w:pStyle w:val="Heading3"/>
        <w:spacing w:line="240" w:lineRule="auto"/>
        <w:ind w:right="19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240" w:lineRule="auto" w:before="2"/>
        <w:rPr>
          <w:rFonts w:ascii="宋体" w:hAnsi="宋体" w:cs="宋体" w:eastAsia="宋体" w:hint="default"/>
          <w:sz w:val="20"/>
          <w:szCs w:val="20"/>
        </w:rPr>
      </w:pPr>
    </w:p>
    <w:p>
      <w:pPr>
        <w:pStyle w:val="Heading3"/>
        <w:spacing w:line="240" w:lineRule="auto"/>
        <w:ind w:right="19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90"/>
        <w:jc w:val="left"/>
      </w:pPr>
      <w:r>
        <w:rPr>
          <w:rFonts w:ascii="Times New Roman" w:hAnsi="Times New Roman" w:cs="Times New Roman" w:eastAsia="Times New Roman" w:hint="default"/>
        </w:rPr>
        <w:t>1</w:t>
      </w:r>
      <w:r>
        <w:rPr/>
        <w:t>）借款费用资本化的确认原则 </w:t>
      </w:r>
      <w:r>
        <w:rPr>
          <w:spacing w:val="-2"/>
        </w:rPr>
        <w:t>本集团发生的借款费用，可直接归属于符合资本化条件的资产的购建或者生产的，予以资本化，计入相关资产成本；其他借</w:t>
      </w:r>
      <w:r>
        <w:rPr>
          <w:spacing w:val="-64"/>
        </w:rPr>
        <w:t> </w:t>
      </w:r>
      <w:r>
        <w:rPr>
          <w:spacing w:val="-64"/>
        </w:rPr>
      </w:r>
      <w:r>
        <w:rPr/>
        <w:t>款费用，在发生时根据其发生额确认为费用，计入当期损益。借款费用同时满足下列条件的，开始资本化：</w:t>
      </w:r>
    </w:p>
    <w:p>
      <w:pPr>
        <w:pStyle w:val="BodyText"/>
        <w:spacing w:line="316" w:lineRule="auto" w:before="24"/>
        <w:ind w:right="178"/>
        <w:jc w:val="left"/>
      </w:pPr>
      <w:r>
        <w:rPr/>
        <w:t>①</w:t>
      </w:r>
      <w:r>
        <w:rPr>
          <w:spacing w:val="6"/>
        </w:rPr>
        <w:t> </w:t>
      </w:r>
      <w:r>
        <w:rPr/>
        <w:t>资产支出已经发生，资产支出包括为购建或者生产符合资本化条件的资产而以支付现金、转移非现金资产或者承担带息</w:t>
      </w:r>
      <w:r>
        <w:rPr/>
        <w:t> 债务形式发生的支出；</w:t>
      </w:r>
    </w:p>
    <w:p>
      <w:pPr>
        <w:pStyle w:val="BodyText"/>
        <w:spacing w:line="240" w:lineRule="auto" w:before="19"/>
        <w:ind w:right="190"/>
        <w:jc w:val="left"/>
      </w:pPr>
      <w:r>
        <w:rPr/>
        <w:t>②</w:t>
      </w:r>
      <w:r>
        <w:rPr>
          <w:spacing w:val="1"/>
        </w:rPr>
        <w:t> </w:t>
      </w:r>
      <w:r>
        <w:rPr/>
        <w:t>借款费用已经发生；</w:t>
      </w:r>
    </w:p>
    <w:p>
      <w:pPr>
        <w:pStyle w:val="BodyText"/>
        <w:spacing w:line="240" w:lineRule="auto" w:before="76"/>
        <w:ind w:right="190"/>
        <w:jc w:val="left"/>
      </w:pPr>
      <w:r>
        <w:rPr/>
        <w:t>③</w:t>
      </w:r>
      <w:r>
        <w:rPr>
          <w:spacing w:val="1"/>
        </w:rPr>
        <w:t> </w:t>
      </w:r>
      <w:r>
        <w:rPr/>
        <w:t>为使资产达到预定可使用或者可销售状态所必要的购建或者生产活动已经开始。</w:t>
      </w:r>
    </w:p>
    <w:p>
      <w:pPr>
        <w:pStyle w:val="BodyText"/>
        <w:spacing w:line="309" w:lineRule="auto" w:before="76"/>
        <w:ind w:right="184"/>
        <w:jc w:val="left"/>
      </w:pPr>
      <w:r>
        <w:rPr/>
        <w:t>（</w:t>
      </w:r>
      <w:r>
        <w:rPr>
          <w:rFonts w:ascii="Times New Roman" w:hAnsi="Times New Roman" w:cs="Times New Roman" w:eastAsia="Times New Roman" w:hint="default"/>
        </w:rPr>
        <w:t>2</w:t>
      </w:r>
      <w:r>
        <w:rPr/>
        <w:t>）借款费用资本化期间 </w:t>
      </w: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 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5"/>
        </w:rPr>
        <w:t> </w:t>
      </w:r>
      <w:r>
        <w:rPr>
          <w:spacing w:val="-85"/>
        </w:rPr>
      </w:r>
      <w:r>
        <w:rPr/>
        <w:t>常中断期间的借款费用继续资本化。</w:t>
      </w:r>
    </w:p>
    <w:p>
      <w:pPr>
        <w:pStyle w:val="BodyText"/>
        <w:spacing w:line="314" w:lineRule="auto" w:before="24"/>
        <w:ind w:right="94"/>
        <w:jc w:val="left"/>
      </w:pPr>
      <w:r>
        <w:rPr/>
        <w:t>（</w:t>
      </w:r>
      <w:r>
        <w:rPr>
          <w:rFonts w:ascii="Times New Roman" w:hAnsi="Times New Roman" w:cs="Times New Roman" w:eastAsia="Times New Roman"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w:t>
      </w:r>
    </w:p>
    <w:p>
      <w:pPr>
        <w:spacing w:line="240" w:lineRule="auto" w:before="7"/>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after="0" w:line="360" w:lineRule="auto"/>
        <w:jc w:val="left"/>
        <w:sectPr>
          <w:footerReference w:type="default" r:id="rId30"/>
          <w:pgSz w:w="11910" w:h="16840"/>
          <w:pgMar w:footer="1016" w:header="787" w:top="1100" w:bottom="1200" w:left="1020" w:right="940"/>
          <w:pgNumType w:start="11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t>本集团无形资产包括开发平台、软件、特许权及专利权等。 </w:t>
      </w:r>
      <w:r>
        <w:rPr>
          <w:spacing w:val="-4"/>
        </w:rPr>
        <w:t>无形资产按照成本进行初始计量，并于取得无形资产时分析判断其使用寿命。使用寿命为有限的，自无形资产可供使用时起，</w:t>
      </w:r>
      <w:r>
        <w:rPr>
          <w:spacing w:val="-40"/>
        </w:rPr>
        <w:t> </w:t>
      </w:r>
      <w:r>
        <w:rPr>
          <w:spacing w:val="-40"/>
        </w:rPr>
      </w:r>
      <w:r>
        <w:rPr/>
        <w:t>采用能反映与该资产有关的经济利益的预期实现方式的摊销方法，在预计使用年限内摊销；无法可靠确定预期实现方式的， 采用直线法摊销；使用寿命不确定的无形资产，不作摊销。</w:t>
      </w:r>
    </w:p>
    <w:p>
      <w:pPr>
        <w:pStyle w:val="BodyText"/>
        <w:spacing w:line="240" w:lineRule="auto" w:before="19"/>
        <w:ind w:right="190"/>
        <w:jc w:val="left"/>
      </w:pPr>
      <w:r>
        <w:rPr/>
        <w:t>使用寿命有限的无形资产摊销方法如下：</w:t>
      </w:r>
    </w:p>
    <w:p>
      <w:pPr>
        <w:spacing w:line="240" w:lineRule="auto" w:before="7"/>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274"/>
        <w:gridCol w:w="2297"/>
        <w:gridCol w:w="5610"/>
      </w:tblGrid>
      <w:tr>
        <w:trPr>
          <w:trHeight w:val="347" w:hRule="exact"/>
        </w:trPr>
        <w:tc>
          <w:tcPr>
            <w:tcW w:w="127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486"/>
              <w:jc w:val="right"/>
              <w:rPr>
                <w:rFonts w:ascii="宋体" w:hAnsi="宋体" w:cs="宋体" w:eastAsia="宋体" w:hint="default"/>
                <w:sz w:val="18"/>
                <w:szCs w:val="18"/>
              </w:rPr>
            </w:pPr>
            <w:r>
              <w:rPr>
                <w:rFonts w:ascii="宋体" w:hAnsi="宋体" w:cs="宋体" w:eastAsia="宋体" w:hint="default"/>
                <w:b/>
                <w:bCs/>
                <w:w w:val="95"/>
                <w:sz w:val="18"/>
                <w:szCs w:val="18"/>
              </w:rPr>
              <w:t>使用寿命（年）</w:t>
            </w:r>
            <w:r>
              <w:rPr>
                <w:rFonts w:ascii="宋体" w:hAnsi="宋体" w:cs="宋体" w:eastAsia="宋体" w:hint="default"/>
                <w:sz w:val="18"/>
                <w:szCs w:val="18"/>
              </w:rPr>
            </w:r>
          </w:p>
        </w:tc>
        <w:tc>
          <w:tcPr>
            <w:tcW w:w="5610" w:type="dxa"/>
            <w:tcBorders>
              <w:top w:val="single" w:sz="6" w:space="0" w:color="000000"/>
              <w:left w:val="nil" w:sz="6" w:space="0" w:color="auto"/>
              <w:bottom w:val="single" w:sz="6" w:space="0" w:color="000000"/>
              <w:right w:val="nil" w:sz="6" w:space="0" w:color="auto"/>
            </w:tcBorders>
          </w:tcPr>
          <w:p>
            <w:pPr>
              <w:pStyle w:val="TableParagraph"/>
              <w:tabs>
                <w:tab w:pos="5240" w:val="left" w:leader="none"/>
              </w:tabs>
              <w:spacing w:line="240" w:lineRule="auto" w:before="21"/>
              <w:ind w:left="488" w:right="0"/>
              <w:jc w:val="left"/>
              <w:rPr>
                <w:rFonts w:ascii="宋体" w:hAnsi="宋体" w:cs="宋体" w:eastAsia="宋体" w:hint="default"/>
                <w:sz w:val="18"/>
                <w:szCs w:val="18"/>
              </w:rPr>
            </w:pPr>
            <w:r>
              <w:rPr>
                <w:rFonts w:ascii="宋体" w:hAnsi="宋体" w:cs="宋体" w:eastAsia="宋体" w:hint="default"/>
                <w:b/>
                <w:bCs/>
                <w:w w:val="95"/>
                <w:sz w:val="18"/>
                <w:szCs w:val="18"/>
              </w:rPr>
              <w:t>摊销方法</w:t>
              <w:tab/>
            </w: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59" w:hRule="exact"/>
        </w:trPr>
        <w:tc>
          <w:tcPr>
            <w:tcW w:w="127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49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10</w:t>
            </w:r>
          </w:p>
        </w:tc>
        <w:tc>
          <w:tcPr>
            <w:tcW w:w="561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hAnsi="宋体" w:cs="宋体" w:eastAsia="宋体" w:hint="default"/>
                <w:sz w:val="18"/>
                <w:szCs w:val="18"/>
              </w:rPr>
              <w:t>直线法</w:t>
            </w:r>
            <w:r>
              <w:rPr>
                <w:rFonts w:ascii="宋体" w:hAnsi="宋体" w:cs="宋体" w:eastAsia="宋体" w:hint="default"/>
                <w:spacing w:val="-18"/>
                <w:sz w:val="18"/>
                <w:szCs w:val="18"/>
              </w:rPr>
              <w:t> </w:t>
            </w:r>
            <w:r>
              <w:rPr>
                <w:rFonts w:ascii="宋体" w:hAnsi="宋体" w:cs="宋体" w:eastAsia="宋体" w:hint="default"/>
                <w:sz w:val="18"/>
                <w:szCs w:val="18"/>
              </w:rPr>
              <w:t>有合同年限的无形资产按照合同年限摊销，无合同年限</w:t>
            </w:r>
          </w:p>
          <w:p>
            <w:pPr>
              <w:pStyle w:val="TableParagraph"/>
              <w:spacing w:line="240" w:lineRule="auto" w:before="76"/>
              <w:ind w:right="7"/>
              <w:jc w:val="right"/>
              <w:rPr>
                <w:rFonts w:ascii="宋体" w:hAnsi="宋体" w:cs="宋体" w:eastAsia="宋体" w:hint="default"/>
                <w:sz w:val="18"/>
                <w:szCs w:val="18"/>
              </w:rPr>
            </w:pPr>
            <w:r>
              <w:rPr>
                <w:rFonts w:ascii="宋体" w:hAnsi="宋体" w:cs="宋体" w:eastAsia="宋体" w:hint="default"/>
                <w:spacing w:val="-1"/>
                <w:sz w:val="18"/>
                <w:szCs w:val="18"/>
              </w:rPr>
              <w:t>的按照</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年摊销</w:t>
            </w:r>
          </w:p>
        </w:tc>
      </w:tr>
      <w:tr>
        <w:trPr>
          <w:trHeight w:val="659" w:hRule="exact"/>
        </w:trPr>
        <w:tc>
          <w:tcPr>
            <w:tcW w:w="127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63"/>
              <w:ind w:right="49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10</w:t>
            </w:r>
          </w:p>
        </w:tc>
        <w:tc>
          <w:tcPr>
            <w:tcW w:w="561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z w:val="18"/>
                <w:szCs w:val="18"/>
              </w:rPr>
              <w:t>直线法</w:t>
            </w:r>
            <w:r>
              <w:rPr>
                <w:rFonts w:ascii="宋体" w:hAnsi="宋体" w:cs="宋体" w:eastAsia="宋体" w:hint="default"/>
                <w:spacing w:val="-18"/>
                <w:sz w:val="18"/>
                <w:szCs w:val="18"/>
              </w:rPr>
              <w:t> </w:t>
            </w:r>
            <w:r>
              <w:rPr>
                <w:rFonts w:ascii="宋体" w:hAnsi="宋体" w:cs="宋体" w:eastAsia="宋体" w:hint="default"/>
                <w:sz w:val="18"/>
                <w:szCs w:val="18"/>
              </w:rPr>
              <w:t>有合同年限的无形资产按照合同年限摊销，无合同年限</w:t>
            </w:r>
          </w:p>
          <w:p>
            <w:pPr>
              <w:pStyle w:val="TableParagraph"/>
              <w:spacing w:line="240" w:lineRule="auto" w:before="76"/>
              <w:ind w:right="7"/>
              <w:jc w:val="right"/>
              <w:rPr>
                <w:rFonts w:ascii="宋体" w:hAnsi="宋体" w:cs="宋体" w:eastAsia="宋体" w:hint="default"/>
                <w:sz w:val="18"/>
                <w:szCs w:val="18"/>
              </w:rPr>
            </w:pPr>
            <w:r>
              <w:rPr>
                <w:rFonts w:ascii="宋体" w:hAnsi="宋体" w:cs="宋体" w:eastAsia="宋体" w:hint="default"/>
                <w:spacing w:val="-1"/>
                <w:sz w:val="18"/>
                <w:szCs w:val="18"/>
              </w:rPr>
              <w:t>的按照</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年摊销</w:t>
            </w:r>
          </w:p>
        </w:tc>
      </w:tr>
      <w:tr>
        <w:trPr>
          <w:trHeight w:val="659" w:hRule="exact"/>
        </w:trPr>
        <w:tc>
          <w:tcPr>
            <w:tcW w:w="127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专利权等</w:t>
            </w:r>
          </w:p>
        </w:tc>
        <w:tc>
          <w:tcPr>
            <w:tcW w:w="229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49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561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直线法</w:t>
            </w:r>
            <w:r>
              <w:rPr>
                <w:rFonts w:ascii="宋体" w:hAnsi="宋体" w:cs="宋体" w:eastAsia="宋体" w:hint="default"/>
                <w:spacing w:val="-18"/>
                <w:sz w:val="18"/>
                <w:szCs w:val="18"/>
              </w:rPr>
              <w:t> </w:t>
            </w:r>
            <w:r>
              <w:rPr>
                <w:rFonts w:ascii="宋体" w:hAnsi="宋体" w:cs="宋体" w:eastAsia="宋体" w:hint="default"/>
                <w:sz w:val="18"/>
                <w:szCs w:val="18"/>
              </w:rPr>
              <w:t>有合同年限的无形资产按照合同年限摊销，无合同年限</w:t>
            </w:r>
          </w:p>
          <w:p>
            <w:pPr>
              <w:pStyle w:val="TableParagraph"/>
              <w:spacing w:line="240" w:lineRule="auto" w:before="76"/>
              <w:ind w:right="7"/>
              <w:jc w:val="right"/>
              <w:rPr>
                <w:rFonts w:ascii="宋体" w:hAnsi="宋体" w:cs="宋体" w:eastAsia="宋体" w:hint="default"/>
                <w:sz w:val="18"/>
                <w:szCs w:val="18"/>
              </w:rPr>
            </w:pPr>
            <w:r>
              <w:rPr>
                <w:rFonts w:ascii="宋体" w:hAnsi="宋体" w:cs="宋体" w:eastAsia="宋体" w:hint="default"/>
                <w:spacing w:val="-1"/>
                <w:sz w:val="18"/>
                <w:szCs w:val="18"/>
              </w:rPr>
              <w:t>的按照</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年摊销</w:t>
            </w:r>
          </w:p>
        </w:tc>
      </w:tr>
    </w:tbl>
    <w:p>
      <w:pPr>
        <w:pStyle w:val="BodyText"/>
        <w:spacing w:line="316" w:lineRule="auto" w:before="3"/>
        <w:ind w:right="93"/>
        <w:jc w:val="left"/>
      </w:pPr>
      <w:r>
        <w:rPr>
          <w:spacing w:val="-4"/>
        </w:rPr>
        <w:t>本集团于每年年度终了，对使用寿命有限的无形资产的使用寿命及摊销方法进行复核，与以前估计不同的，调整原先估计数，</w:t>
      </w:r>
      <w:r>
        <w:rPr>
          <w:spacing w:val="-40"/>
        </w:rPr>
        <w:t> </w:t>
      </w:r>
      <w:r>
        <w:rPr>
          <w:spacing w:val="-40"/>
        </w:rPr>
      </w:r>
      <w:r>
        <w:rPr/>
        <w:t>并按会计估计变更处理。 资产负债表日预计某项无形资产已经不能给企业带来未来经济利益的，将该项无形资产的账面价值全部转入当期损益。 无形资产计提资产减值方法见附注三、</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21"/>
          <w:szCs w:val="21"/>
        </w:rPr>
      </w:pPr>
    </w:p>
    <w:p>
      <w:pPr>
        <w:pStyle w:val="Heading3"/>
        <w:spacing w:line="240" w:lineRule="auto"/>
        <w:ind w:right="19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874"/>
        <w:jc w:val="left"/>
      </w:pPr>
      <w:r>
        <w:rPr/>
        <w:t>本集团将内部研究开发项目的支出，区分为研究阶段支出和开发阶段支出。 研究阶段的支出，于发生时计入当期损益。</w:t>
      </w:r>
    </w:p>
    <w:p>
      <w:pPr>
        <w:pStyle w:val="BodyText"/>
        <w:spacing w:line="316" w:lineRule="auto" w:before="19"/>
        <w:ind w:right="93"/>
        <w:jc w:val="left"/>
      </w:pPr>
      <w:r>
        <w:rPr>
          <w:spacing w:val="-4"/>
        </w:rPr>
        <w:t>开发阶段的支出，同时满足下列条件的，才能予以资本化，即：完成该无形资产以使其能够使用或出售在技术上具有可行性；</w:t>
      </w:r>
      <w:r>
        <w:rPr>
          <w:spacing w:val="-43"/>
        </w:rPr>
        <w:t> </w:t>
      </w:r>
      <w:r>
        <w:rPr>
          <w:spacing w:val="-43"/>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3"/>
        </w:rPr>
        <w:t> </w:t>
      </w:r>
      <w:r>
        <w:rPr>
          <w:spacing w:val="-63"/>
        </w:rPr>
      </w:r>
      <w:r>
        <w:rPr>
          <w:spacing w:val="-2"/>
        </w:rPr>
        <w:t>完成该无形资产的开发，并有能力使用或出售该无形资产；归属于该无形资产开发阶段的支出能够可靠地计量。不满足上述</w:t>
      </w:r>
      <w:r>
        <w:rPr>
          <w:spacing w:val="-63"/>
        </w:rPr>
        <w:t> </w:t>
      </w:r>
      <w:r>
        <w:rPr>
          <w:spacing w:val="-63"/>
        </w:rPr>
      </w:r>
      <w:r>
        <w:rPr/>
        <w:t>条件的开发支出计入当期损益。 本集团研究开发项目在满足上述条件，通过技术可行性及经济可行性研究，形成项目立项后，进入开发阶段。 已资本化的开发阶段的支出在资产负债表上列示为开发支出，自该项目达到预定用途状态之日转为无形资产。</w:t>
      </w:r>
    </w:p>
    <w:p>
      <w:pPr>
        <w:spacing w:line="240" w:lineRule="auto" w:before="6"/>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jc w:val="left"/>
      </w:pPr>
      <w:r>
        <w:rPr>
          <w:spacing w:val="-2"/>
        </w:rPr>
        <w:t>对子公司、联营企业和合营企业的长期股权投资、固定资产、无形资产、商誉等（存货递延所得税资产、金融资产除外）的</w:t>
      </w:r>
      <w:r>
        <w:rPr>
          <w:spacing w:val="-63"/>
        </w:rPr>
        <w:t> </w:t>
      </w:r>
      <w:r>
        <w:rPr>
          <w:spacing w:val="-63"/>
        </w:rPr>
      </w:r>
      <w:r>
        <w:rPr/>
        <w:t>资产减值，按以下方法确定： </w:t>
      </w:r>
      <w:r>
        <w:rPr>
          <w:spacing w:val="-2"/>
        </w:rPr>
        <w:t>于资产负债表日判断资产是否存在可能发生减值的迹象，存在减值迹象的，本集团将估计其可收回金额，进行减值测试。对</w:t>
      </w:r>
      <w:r>
        <w:rPr>
          <w:spacing w:val="-64"/>
        </w:rPr>
        <w:t> </w:t>
      </w:r>
      <w:r>
        <w:rPr>
          <w:spacing w:val="-64"/>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当资产或资产组的可收回金额低于其账面价值时，本集团将其账面价值减记至可收回金额，减记的金额计入当期损益，同时</w:t>
      </w:r>
      <w:r>
        <w:rPr>
          <w:spacing w:val="-63"/>
        </w:rPr>
        <w:t> </w:t>
      </w:r>
      <w:r>
        <w:rPr>
          <w:spacing w:val="-63"/>
        </w:rPr>
      </w:r>
      <w:r>
        <w:rPr/>
        <w:t>计提相应的资产减值准备。 </w:t>
      </w:r>
      <w:r>
        <w:rPr>
          <w:spacing w:val="-2"/>
        </w:rPr>
        <w:t>就商誉的减值测试而言，对于因企业合并形成的商誉的账面价值，自购买日起按照合理的方法分摊至相关的资产组；难以分</w:t>
      </w:r>
      <w:r>
        <w:rPr>
          <w:spacing w:val="-63"/>
        </w:rPr>
        <w:t> </w:t>
      </w:r>
      <w:r>
        <w:rPr>
          <w:spacing w:val="-63"/>
        </w:rPr>
      </w:r>
      <w:r>
        <w:rPr>
          <w:spacing w:val="-2"/>
        </w:rPr>
        <w:t>摊至相关的资产组的，将其分摊至相关的资产组组合。相关的资产组或资产组组合，是能够从企业合并的协同效应中受益的</w:t>
      </w:r>
      <w:r>
        <w:rPr>
          <w:spacing w:val="-63"/>
        </w:rPr>
        <w:t> </w:t>
      </w:r>
      <w:r>
        <w:rPr>
          <w:spacing w:val="-63"/>
        </w:rPr>
      </w:r>
      <w:r>
        <w:rPr/>
        <w:t>资产组或者资产组组合，且不大于本集团确定的报告分部。</w:t>
      </w:r>
    </w:p>
    <w:p>
      <w:pPr>
        <w:spacing w:after="0" w:line="316"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0"/>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4"/>
        </w:rPr>
        <w:t> </w:t>
      </w:r>
      <w:r>
        <w:rPr>
          <w:spacing w:val="-64"/>
        </w:rPr>
      </w:r>
      <w:r>
        <w:rPr/>
        <w:t>可收回金额，如可收回金额低于账面价值的，确认商誉的减值损失。</w:t>
      </w:r>
    </w:p>
    <w:p>
      <w:pPr>
        <w:pStyle w:val="BodyText"/>
        <w:spacing w:line="240" w:lineRule="auto" w:before="19"/>
        <w:ind w:right="190"/>
        <w:jc w:val="left"/>
      </w:pPr>
      <w:r>
        <w:rPr/>
        <w:t>资产减值损失一经确认，在以后会计期间不再转回。</w:t>
      </w:r>
    </w:p>
    <w:p>
      <w:pPr>
        <w:spacing w:line="240" w:lineRule="auto" w:before="11"/>
        <w:rPr>
          <w:rFonts w:ascii="宋体" w:hAnsi="宋体" w:cs="宋体" w:eastAsia="宋体" w:hint="default"/>
          <w:sz w:val="26"/>
          <w:szCs w:val="26"/>
        </w:rPr>
      </w:pPr>
    </w:p>
    <w:p>
      <w:pPr>
        <w:pStyle w:val="Heading3"/>
        <w:spacing w:line="240" w:lineRule="auto"/>
        <w:ind w:right="19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3"/>
        <w:jc w:val="left"/>
      </w:pPr>
      <w:r>
        <w:rPr>
          <w:spacing w:val="-4"/>
        </w:rPr>
        <w:t>本集团发生的长期待摊费用按实际成本计价，并按预计受益期限平均摊销。对不能使以后会计期间受益的长期待摊费用项目，</w:t>
      </w:r>
      <w:r>
        <w:rPr>
          <w:spacing w:val="-41"/>
        </w:rPr>
        <w:t> </w:t>
      </w:r>
      <w:r>
        <w:rPr>
          <w:spacing w:val="-41"/>
        </w:rPr>
      </w:r>
      <w:r>
        <w:rPr/>
        <w:t>其摊余价值全部计入当期损益。</w:t>
      </w:r>
    </w:p>
    <w:p>
      <w:pPr>
        <w:spacing w:line="240" w:lineRule="auto" w:before="8"/>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jc w:val="both"/>
      </w:pPr>
      <w:r>
        <w:rPr>
          <w:spacing w:val="-2"/>
        </w:rPr>
        <w:t>本集团在职工提供服务的会计期间，将实际发生的职工工资、奖金、按规定的基准和比例为职工缴纳的医疗保险费、工伤保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险费和生育保险费等社会保险费和住房公积金，确认为负债，并计入当期损益或相关资产成本。如果该负债预期在职工提供</w:t>
      </w:r>
      <w:r>
        <w:rPr>
          <w:spacing w:val="-63"/>
        </w:rPr>
        <w:t> </w:t>
      </w:r>
      <w:r>
        <w:rPr>
          <w:spacing w:val="-63"/>
        </w:rPr>
      </w:r>
      <w:r>
        <w:rPr/>
        <w:t>相关服务的年度报告期结束后十二个月内不能完全支付，且财务影响重大的，则该负债将以折现后的金额计量。</w:t>
      </w:r>
    </w:p>
    <w:p>
      <w:pPr>
        <w:spacing w:line="240" w:lineRule="auto" w:before="6"/>
        <w:rPr>
          <w:rFonts w:ascii="宋体" w:hAnsi="宋体" w:cs="宋体" w:eastAsia="宋体" w:hint="default"/>
          <w:sz w:val="22"/>
          <w:szCs w:val="22"/>
        </w:rPr>
      </w:pPr>
    </w:p>
    <w:p>
      <w:pPr>
        <w:pStyle w:val="Heading3"/>
        <w:spacing w:line="240" w:lineRule="auto"/>
        <w:ind w:right="19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0"/>
        <w:jc w:val="left"/>
      </w:pPr>
      <w:r>
        <w:rPr>
          <w:spacing w:val="-2"/>
        </w:rPr>
        <w:t>离职后福利计划包括设定提存计划和设定受益计划。其中，设定提存计划，是指向独立的基金缴存固定费用后，企业不再承</w:t>
      </w:r>
      <w:r>
        <w:rPr>
          <w:spacing w:val="-64"/>
        </w:rPr>
        <w:t> </w:t>
      </w:r>
      <w:r>
        <w:rPr>
          <w:spacing w:val="-64"/>
        </w:rPr>
      </w:r>
      <w:r>
        <w:rPr/>
        <w:t>担进一步支付义务的离职后福利计划；设定受益计划，是指除设定提存计划以外的离职后福利计划。</w:t>
      </w:r>
    </w:p>
    <w:p>
      <w:pPr>
        <w:pStyle w:val="BodyText"/>
        <w:spacing w:line="316" w:lineRule="auto" w:before="19"/>
        <w:ind w:right="6034"/>
        <w:jc w:val="left"/>
      </w:pPr>
      <w:r>
        <w:rPr/>
        <w:t>设定提存计划 设定提存计划包括基本养老保险、失业保险等。</w:t>
      </w:r>
    </w:p>
    <w:p>
      <w:pPr>
        <w:pStyle w:val="BodyText"/>
        <w:spacing w:line="316" w:lineRule="auto" w:before="19"/>
        <w:ind w:right="190"/>
        <w:jc w:val="left"/>
      </w:pPr>
      <w:r>
        <w:rPr/>
        <w:t>在职工提供服务的会计期间，根据设定提存计划计算的应缴存金额确认为负债，并计入当期损益或相关资产成本。 设定受益计划 </w:t>
      </w:r>
      <w:r>
        <w:rPr>
          <w:spacing w:val="-2"/>
        </w:rPr>
        <w:t>对于设定受益计划，在年度资产负债表日由独立精算师进行精算估值，以预期累积福利单位法确定提供福利的成本。本集团</w:t>
      </w:r>
      <w:r>
        <w:rPr>
          <w:spacing w:val="-63"/>
        </w:rPr>
        <w:t> </w:t>
      </w:r>
      <w:r>
        <w:rPr>
          <w:spacing w:val="-63"/>
        </w:rPr>
      </w:r>
      <w:r>
        <w:rPr/>
        <w:t>设定受益计划导致的职工薪酬成本包括下列组成部分：</w:t>
      </w:r>
    </w:p>
    <w:p>
      <w:pPr>
        <w:pStyle w:val="BodyText"/>
        <w:spacing w:line="316" w:lineRule="auto" w:before="19"/>
        <w:ind w:right="190"/>
        <w:jc w:val="both"/>
      </w:pPr>
      <w:r>
        <w:rPr>
          <w:spacing w:val="-2"/>
        </w:rPr>
        <w:t>①服务成本，包括当期服务成本、过去服务成本和结算利得或损失。其中，当期服务成本，是指职工当期提供服务所导致的</w:t>
      </w:r>
      <w:r>
        <w:rPr>
          <w:spacing w:val="-63"/>
        </w:rPr>
        <w:t> </w:t>
      </w:r>
      <w:r>
        <w:rPr>
          <w:spacing w:val="-63"/>
        </w:rPr>
      </w:r>
      <w:r>
        <w:rPr>
          <w:spacing w:val="-2"/>
        </w:rPr>
        <w:t>设定受益计划义务现值的增加额；过去服务成本，是指设定受益计划修改所导致的与以前期间职工服务相关的设定受益计划</w:t>
      </w:r>
      <w:r>
        <w:rPr>
          <w:spacing w:val="-64"/>
        </w:rPr>
        <w:t> </w:t>
      </w:r>
      <w:r>
        <w:rPr>
          <w:spacing w:val="-64"/>
        </w:rPr>
      </w:r>
      <w:r>
        <w:rPr/>
        <w:t>义务现值的增加或减少。</w:t>
      </w:r>
    </w:p>
    <w:p>
      <w:pPr>
        <w:pStyle w:val="BodyText"/>
        <w:spacing w:line="316" w:lineRule="auto" w:before="19"/>
        <w:ind w:right="190"/>
        <w:jc w:val="left"/>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pStyle w:val="BodyText"/>
        <w:spacing w:line="316" w:lineRule="auto" w:before="19"/>
        <w:ind w:right="190"/>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除非其他会计准则要求或允许职工福利成本计入资产成本，本集团将上述第①和②项计入当期损益；第③项计入其他综合收</w:t>
      </w:r>
      <w:r>
        <w:rPr>
          <w:spacing w:val="-64"/>
        </w:rPr>
        <w:t> </w:t>
      </w:r>
      <w:r>
        <w:rPr>
          <w:spacing w:val="-64"/>
        </w:rPr>
      </w:r>
      <w:r>
        <w:rPr>
          <w:spacing w:val="-2"/>
        </w:rPr>
        <w:t>益且不会在后续会计期间转回至损益，在原设定受益计划终止时在权益范围内将原计入其他综合收益的部分全部结转至未分</w:t>
      </w:r>
      <w:r>
        <w:rPr>
          <w:spacing w:val="-64"/>
        </w:rPr>
        <w:t> </w:t>
      </w:r>
      <w:r>
        <w:rPr>
          <w:spacing w:val="-64"/>
        </w:rPr>
      </w:r>
      <w:r>
        <w:rPr/>
        <w:t>配利润。</w:t>
      </w:r>
    </w:p>
    <w:p>
      <w:pPr>
        <w:spacing w:line="240" w:lineRule="auto" w:before="6"/>
        <w:rPr>
          <w:rFonts w:ascii="宋体" w:hAnsi="宋体" w:cs="宋体" w:eastAsia="宋体" w:hint="default"/>
          <w:sz w:val="22"/>
          <w:szCs w:val="22"/>
        </w:rPr>
      </w:pPr>
    </w:p>
    <w:p>
      <w:pPr>
        <w:pStyle w:val="Heading3"/>
        <w:spacing w:line="240" w:lineRule="auto"/>
        <w:ind w:right="19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jc w:val="left"/>
      </w:pPr>
      <w:r>
        <w:rPr>
          <w:spacing w:val="-2"/>
        </w:rPr>
        <w:t>本集团向职工提供辞退福利的，在下列两者孰早日确认辞退福利产生的职工薪酬负债，并计入当期损益：本集团不能单方面</w:t>
      </w:r>
      <w:r>
        <w:rPr>
          <w:spacing w:val="-63"/>
        </w:rPr>
        <w:t> </w:t>
      </w:r>
      <w:r>
        <w:rPr>
          <w:spacing w:val="-63"/>
        </w:rPr>
      </w:r>
      <w:r>
        <w:rPr/>
        <w:t>撤回因解除劳动关系计划或裁减建议所提供的辞退福利时；本集团确认与涉及支付辞退福利的重组相关的成本或费用时。 </w:t>
      </w:r>
      <w:r>
        <w:rPr>
          <w:spacing w:val="-2"/>
        </w:rPr>
        <w:t>实行职工内部退休计划的，在正式退休日之前的经济补偿，属于辞退福利，自职工停止提供服务日至正常退休日期间，拟支</w:t>
      </w:r>
      <w:r>
        <w:rPr>
          <w:spacing w:val="-64"/>
        </w:rPr>
        <w:t> </w:t>
      </w:r>
      <w:r>
        <w:rPr>
          <w:spacing w:val="-64"/>
        </w:rPr>
      </w:r>
      <w:r>
        <w:rPr>
          <w:spacing w:val="-2"/>
        </w:rPr>
        <w:t>付的内退职工工资和缴纳的社会保险费等一次性计入当期损益。正式退休日期之后的经济补偿（如正常养老退休金），按照</w:t>
      </w:r>
      <w:r>
        <w:rPr>
          <w:spacing w:val="-64"/>
        </w:rPr>
        <w:t> </w:t>
      </w:r>
      <w:r>
        <w:rPr>
          <w:spacing w:val="-64"/>
        </w:rPr>
      </w:r>
      <w:r>
        <w:rPr/>
        <w:t>离职后福利处理。</w:t>
      </w:r>
    </w:p>
    <w:p>
      <w:pPr>
        <w:spacing w:after="0" w:line="316" w:lineRule="auto"/>
        <w:jc w:val="left"/>
        <w:sectPr>
          <w:footerReference w:type="default" r:id="rId31"/>
          <w:pgSz w:w="11910" w:h="16840"/>
          <w:pgMar w:footer="1016" w:header="787" w:top="1100" w:bottom="1200" w:left="1020" w:right="940"/>
          <w:pgNumType w:start="112"/>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0"/>
        <w:jc w:val="both"/>
      </w:pPr>
      <w:r>
        <w:rPr>
          <w:spacing w:val="-2"/>
        </w:rPr>
        <w:t>本集团向职工提供的其他长期职工福利，符合设定提存计划条件的，按照上述关于设定提存计划的有关规定进行处理。符合</w:t>
      </w:r>
      <w:r>
        <w:rPr>
          <w:spacing w:val="-63"/>
        </w:rPr>
        <w:t> </w:t>
      </w:r>
      <w:r>
        <w:rPr>
          <w:spacing w:val="-63"/>
        </w:rPr>
      </w:r>
      <w:r>
        <w:rPr/>
        <w:t>设定受益计划的，按照上述关于设定受益计划的有关规定进行处理，但相关职工薪酬成本中</w:t>
      </w:r>
      <w:r>
        <w:rPr>
          <w:rFonts w:ascii="Times New Roman" w:hAnsi="Times New Roman" w:cs="Times New Roman" w:eastAsia="Times New Roman" w:hint="default"/>
        </w:rPr>
        <w:t>“</w:t>
      </w:r>
      <w:r>
        <w:rPr/>
        <w:t>重新计量设定受益计划净负债</w:t>
      </w:r>
      <w:r>
        <w:rPr>
          <w:spacing w:val="-74"/>
        </w:rPr>
        <w:t> </w:t>
      </w:r>
      <w:r>
        <w:rPr>
          <w:spacing w:val="-74"/>
        </w:rPr>
      </w:r>
      <w:r>
        <w:rPr/>
        <w:t>或净资产所产生的变动</w:t>
      </w:r>
      <w:r>
        <w:rPr>
          <w:rFonts w:ascii="Times New Roman" w:hAnsi="Times New Roman" w:cs="Times New Roman" w:eastAsia="Times New Roman" w:hint="default"/>
        </w:rPr>
        <w:t>”</w:t>
      </w:r>
      <w:r>
        <w:rPr/>
        <w:t>部分计入当期损益或相关资产成本。</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如果与或有事项相关的义务同时符合以下条件，本集团将其确认为预计负债：</w:t>
      </w:r>
    </w:p>
    <w:p>
      <w:pPr>
        <w:pStyle w:val="BodyText"/>
        <w:spacing w:line="240" w:lineRule="auto" w:before="76"/>
        <w:ind w:right="0"/>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63"/>
        <w:ind w:right="0"/>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14" w:lineRule="auto" w:before="63"/>
        <w:ind w:right="0"/>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r>
        <w:rPr>
          <w:spacing w:val="-63"/>
        </w:rPr>
        <w:t> </w:t>
      </w:r>
      <w:r>
        <w:rPr>
          <w:spacing w:val="-63"/>
        </w:rPr>
      </w:r>
      <w:r>
        <w:rPr/>
        <w:t>对预计负债的账面价值进行复核，并对账面价值进行调整以反映当前最佳估计数。 </w:t>
      </w: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4154"/>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307" w:lineRule="auto" w:before="31"/>
        <w:ind w:right="0"/>
        <w:jc w:val="left"/>
      </w:pPr>
      <w:r>
        <w:rPr/>
        <w:t>（</w:t>
      </w:r>
      <w:r>
        <w:rPr>
          <w:rFonts w:ascii="Times New Roman" w:hAnsi="Times New Roman" w:cs="Times New Roman" w:eastAsia="Times New Roman" w:hint="default"/>
        </w:rPr>
        <w:t>2</w:t>
      </w:r>
      <w:r>
        <w:rPr/>
        <w:t>）权益工具公允价值的确定方法 </w:t>
      </w:r>
      <w:r>
        <w:rPr>
          <w:spacing w:val="-2"/>
        </w:rPr>
        <w:t>本集团对于授予的存在活跃市场的期权等权益工具，按照活跃市场中的报价确定其公允价值。对于授予的不存在活跃市场的</w:t>
      </w:r>
      <w:r>
        <w:rPr>
          <w:spacing w:val="-64"/>
        </w:rPr>
        <w:t> </w:t>
      </w:r>
      <w:r>
        <w:rPr>
          <w:spacing w:val="-64"/>
        </w:rPr>
      </w:r>
      <w:r>
        <w:rPr/>
        <w:t>期权等权益工具，采用期权定价模型等确定其公允价值。选用的期权定价模型考虑以下因素：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w:t>
      </w:r>
      <w:r>
        <w:rPr>
          <w:spacing w:val="-68"/>
        </w:rPr>
        <w:t> </w:t>
      </w:r>
      <w:r>
        <w:rPr/>
        <w:t>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309" w:lineRule="auto" w:before="7"/>
        <w:ind w:right="0"/>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等待期内每个资产负债表日，本集团根据最新取得的可行权职工人数变动等后续信息作出最佳估计，修正预计可行权的权益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pStyle w:val="BodyText"/>
        <w:spacing w:line="316" w:lineRule="auto" w:before="24"/>
        <w:ind w:right="0"/>
        <w:jc w:val="left"/>
      </w:pPr>
      <w:r>
        <w:rPr/>
        <w:t>（</w:t>
      </w:r>
      <w:r>
        <w:rPr>
          <w:rFonts w:ascii="Times New Roman" w:hAnsi="Times New Roman" w:cs="Times New Roman" w:eastAsia="Times New Roman" w:hint="default"/>
        </w:rPr>
        <w:t>4</w:t>
      </w:r>
      <w:r>
        <w:rPr/>
        <w:t>）实施、修改、终止股份支付计划的相关会计处理 </w:t>
      </w:r>
      <w:r>
        <w:rPr>
          <w:spacing w:val="-2"/>
        </w:rPr>
        <w:t>以权益结算的股份支付，按授予职工权益工具的公允价值计量。授予后立即可行权的，在授予日按照权益工具的公允价值计</w:t>
      </w:r>
      <w:r>
        <w:rPr>
          <w:spacing w:val="-63"/>
        </w:rPr>
        <w:t> </w:t>
      </w:r>
      <w:r>
        <w:rPr>
          <w:spacing w:val="-63"/>
        </w:rPr>
      </w:r>
      <w:r>
        <w:rPr>
          <w:spacing w:val="-2"/>
        </w:rPr>
        <w:t>入相关成本或费用，相应增加资本公积。在完成等待期内的服务或达到规定业绩条件才可行权的，在等待期内的每个资产负</w:t>
      </w:r>
      <w:r>
        <w:rPr>
          <w:spacing w:val="-63"/>
        </w:rPr>
        <w:t> </w:t>
      </w:r>
      <w:r>
        <w:rPr>
          <w:spacing w:val="-63"/>
        </w:rPr>
      </w:r>
      <w:r>
        <w:rPr>
          <w:spacing w:val="-2"/>
        </w:rPr>
        <w:t>债表日，以对可行权权益工具数量的最佳估计为基础，按照权益工具授予日的公允价值，将当期取得的服务计入相关成本或</w:t>
      </w:r>
      <w:r>
        <w:rPr>
          <w:spacing w:val="-63"/>
        </w:rPr>
        <w:t> </w:t>
      </w:r>
      <w:r>
        <w:rPr>
          <w:spacing w:val="-63"/>
        </w:rPr>
      </w:r>
      <w:r>
        <w:rPr/>
        <w:t>费用和资本公积。在可行权日之后不再对已确认的相关成本或费用和所有者权益总额进行调整。 </w:t>
      </w:r>
      <w:r>
        <w:rPr>
          <w:spacing w:val="-2"/>
        </w:rPr>
        <w:t>以现金结算的股份支付，按照本集团承担的以股份或其他权益工具为基础计算确定的负债的公允价值计量。授予后立即可行</w:t>
      </w:r>
      <w:r>
        <w:rPr>
          <w:spacing w:val="-64"/>
        </w:rPr>
        <w:t> </w:t>
      </w:r>
      <w:r>
        <w:rPr>
          <w:spacing w:val="-64"/>
        </w:rPr>
      </w:r>
      <w:r>
        <w:rPr>
          <w:spacing w:val="-2"/>
        </w:rPr>
        <w:t>权的，在授予日以本集团承担负债的公允价值计入相关成本或费用，相应增加负债。在完成等待期内的服务或达到规定业绩</w:t>
      </w:r>
      <w:r>
        <w:rPr>
          <w:spacing w:val="-63"/>
        </w:rPr>
        <w:t> </w:t>
      </w:r>
      <w:r>
        <w:rPr>
          <w:spacing w:val="-63"/>
        </w:rPr>
      </w:r>
      <w:r>
        <w:rPr>
          <w:spacing w:val="-2"/>
        </w:rPr>
        <w:t>条件以后才可行权的以现金结算的股份支付，在等待期内的每个资产负债表日，以对可行权情况的最佳估计为基础，按照本</w:t>
      </w:r>
      <w:r>
        <w:rPr>
          <w:spacing w:val="-63"/>
        </w:rPr>
        <w:t> </w:t>
      </w:r>
      <w:r>
        <w:rPr>
          <w:spacing w:val="-63"/>
        </w:rPr>
      </w:r>
      <w:r>
        <w:rPr>
          <w:spacing w:val="-2"/>
        </w:rPr>
        <w:t>集团承担负债的公允价值金额，将当期取得的服务计入成本或费用和相应的负债。在相关负债结算前的每个资产负债表日以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 </w:t>
      </w:r>
      <w:r>
        <w:rPr>
          <w:spacing w:val="-2"/>
        </w:rPr>
        <w:t>本集团对股份支付计划进行修改时，若修改增加了所授予权益工具的公允价值，按照权益工具公允价值的增加相应地确认取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3"/>
        </w:rPr>
        <w:t> </w:t>
      </w:r>
      <w:r>
        <w:rPr>
          <w:spacing w:val="-63"/>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3"/>
        </w:rPr>
        <w:t> </w:t>
      </w:r>
      <w:r>
        <w:rPr>
          <w:spacing w:val="-63"/>
        </w:rPr>
      </w:r>
      <w:r>
        <w:rPr/>
        <w:t>非本集团取消了部分或全部已授予的权益工具。 </w:t>
      </w:r>
      <w:r>
        <w:rPr>
          <w:spacing w:val="-2"/>
        </w:rPr>
        <w:t>在等待期内，如果取消了授予的权益工具（因未满足可行权条件的非市场条件而被取消的除外），本集团对取消所授予的权</w:t>
      </w:r>
    </w:p>
    <w:p>
      <w:pPr>
        <w:spacing w:after="0" w:line="316" w:lineRule="auto"/>
        <w:jc w:val="left"/>
        <w:sectPr>
          <w:footerReference w:type="default" r:id="rId32"/>
          <w:pgSz w:w="11910" w:h="16840"/>
          <w:pgMar w:footer="1016" w:header="787" w:top="1100" w:bottom="1200" w:left="1020" w:right="1020"/>
          <w:pgNumType w:start="113"/>
        </w:sectPr>
      </w:pPr>
    </w:p>
    <w:p>
      <w:pPr>
        <w:spacing w:line="240" w:lineRule="auto" w:before="13"/>
        <w:rPr>
          <w:rFonts w:ascii="宋体" w:hAnsi="宋体" w:cs="宋体" w:eastAsia="宋体" w:hint="default"/>
          <w:sz w:val="22"/>
          <w:szCs w:val="22"/>
        </w:rPr>
      </w:pPr>
    </w:p>
    <w:p>
      <w:pPr>
        <w:pStyle w:val="BodyText"/>
        <w:spacing w:line="316" w:lineRule="auto" w:before="44"/>
        <w:ind w:right="190"/>
        <w:jc w:val="left"/>
      </w:pPr>
      <w:r>
        <w:rPr>
          <w:spacing w:val="-2"/>
        </w:rPr>
        <w:t>益性工具作为加速行权处理，将剩余等待期内应确认的金额立即计入当期损益，同时确认资本公积。职工或其他方能够选择</w:t>
      </w:r>
      <w:r>
        <w:rPr>
          <w:spacing w:val="-63"/>
        </w:rPr>
        <w:t> </w:t>
      </w:r>
      <w:r>
        <w:rPr>
          <w:spacing w:val="-63"/>
        </w:rPr>
      </w:r>
      <w:r>
        <w:rPr/>
        <w:t>满足非可行权条件但在等待期内未满足的，本集团将其作为授予权益工具的取消处理。</w:t>
      </w:r>
    </w:p>
    <w:p>
      <w:pPr>
        <w:spacing w:line="240" w:lineRule="auto" w:before="6"/>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27"/>
        <w:ind w:right="190"/>
        <w:jc w:val="left"/>
      </w:pPr>
      <w:r>
        <w:rPr/>
        <w:t>（</w:t>
      </w:r>
      <w:r>
        <w:rPr>
          <w:rFonts w:ascii="Times New Roman" w:hAnsi="Times New Roman" w:cs="Times New Roman" w:eastAsia="Times New Roman" w:hint="default"/>
        </w:rPr>
        <w:t>1</w:t>
      </w:r>
      <w:r>
        <w:rPr/>
        <w:t>）一般原则</w:t>
      </w:r>
    </w:p>
    <w:p>
      <w:pPr>
        <w:pStyle w:val="BodyText"/>
        <w:spacing w:line="316" w:lineRule="auto" w:before="63"/>
        <w:ind w:right="190"/>
        <w:jc w:val="left"/>
      </w:pPr>
      <w:r>
        <w:rPr/>
        <w:t>①销售商品 </w:t>
      </w: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r>
        <w:rPr>
          <w:spacing w:val="-63"/>
        </w:rPr>
        <w:t> </w:t>
      </w:r>
      <w:r>
        <w:rPr>
          <w:spacing w:val="-63"/>
        </w:rPr>
      </w:r>
      <w:r>
        <w:rPr/>
        <w:t>时，确认商品销售收入的实现。</w:t>
      </w:r>
    </w:p>
    <w:p>
      <w:pPr>
        <w:pStyle w:val="BodyText"/>
        <w:spacing w:line="316" w:lineRule="auto" w:before="19"/>
        <w:ind w:right="1894"/>
        <w:jc w:val="left"/>
      </w:pPr>
      <w:r>
        <w:rPr/>
        <w:t>②提供劳务 对在提供劳务交易的结果能够可靠估计的情况下，本公司于资产负债表日按完工百分比法确认收入。 劳务交易的完工进度按已经发生的劳务成本占估计总成本的比例确定。</w:t>
      </w:r>
    </w:p>
    <w:p>
      <w:pPr>
        <w:pStyle w:val="BodyText"/>
        <w:spacing w:line="307" w:lineRule="auto" w:before="19"/>
        <w:ind w:right="190"/>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w:t>
      </w:r>
      <w:r>
        <w:rPr>
          <w:spacing w:val="-67"/>
        </w:rPr>
        <w:t> </w:t>
      </w:r>
      <w:r>
        <w:rPr>
          <w:spacing w:val="-67"/>
        </w:rPr>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pStyle w:val="BodyText"/>
        <w:spacing w:line="316" w:lineRule="auto" w:before="26"/>
        <w:ind w:right="2254"/>
        <w:jc w:val="left"/>
      </w:pPr>
      <w:r>
        <w:rPr/>
        <w:t>③让渡资产使用权 与资产使用权让渡相关的经济利益能够流入及收入的金额能够可靠地计量时，本集团确认收入。</w:t>
      </w:r>
    </w:p>
    <w:p>
      <w:pPr>
        <w:pStyle w:val="BodyText"/>
        <w:spacing w:line="309" w:lineRule="auto" w:before="19"/>
        <w:ind w:right="190"/>
        <w:jc w:val="left"/>
      </w:pPr>
      <w:r>
        <w:rPr/>
        <w:t>（</w:t>
      </w:r>
      <w:r>
        <w:rPr>
          <w:rFonts w:ascii="Times New Roman" w:hAnsi="Times New Roman" w:cs="Times New Roman" w:eastAsia="Times New Roman" w:hint="default"/>
        </w:rPr>
        <w:t>2</w:t>
      </w:r>
      <w:r>
        <w:rPr/>
        <w:t>）收入确认的具体方法 </w:t>
      </w:r>
      <w:r>
        <w:rPr>
          <w:spacing w:val="-2"/>
        </w:rPr>
        <w:t>产品销售主要分国内销售和国外销售，国外销售又分为直接销售模式、买断式经销模式以及代理销售模式，收入确认的具体</w:t>
      </w:r>
      <w:r>
        <w:rPr>
          <w:spacing w:val="-63"/>
        </w:rPr>
        <w:t> </w:t>
      </w:r>
      <w:r>
        <w:rPr>
          <w:spacing w:val="-63"/>
        </w:rPr>
      </w:r>
      <w:r>
        <w:rPr/>
        <w:t>方法如下：</w:t>
      </w:r>
    </w:p>
    <w:p>
      <w:pPr>
        <w:pStyle w:val="BodyText"/>
        <w:spacing w:line="312" w:lineRule="auto" w:before="24"/>
        <w:ind w:right="93"/>
        <w:jc w:val="left"/>
      </w:pPr>
      <w:r>
        <w:rPr/>
        <w:t>国内销售收入确认的具体方法：产品已经发出并取得买方签收的送货单或托运单时，凭相关单据确认收入； </w:t>
      </w:r>
      <w:r>
        <w:rPr>
          <w:spacing w:val="-2"/>
        </w:rPr>
        <w:t>国外销售收入确认的具体方法：国外销售主要采用</w:t>
      </w:r>
      <w:r>
        <w:rPr>
          <w:rFonts w:ascii="Times New Roman" w:hAnsi="Times New Roman" w:cs="Times New Roman" w:eastAsia="Times New Roman" w:hint="default"/>
          <w:spacing w:val="-2"/>
        </w:rPr>
        <w:t>FOB</w:t>
      </w:r>
      <w:r>
        <w:rPr>
          <w:spacing w:val="-2"/>
        </w:rPr>
        <w:t>结算，目前国外销售包括直接销售模式、买断式经销模式以及代理销</w:t>
      </w:r>
      <w:r>
        <w:rPr>
          <w:spacing w:val="-50"/>
        </w:rPr>
        <w:t> </w:t>
      </w:r>
      <w:r>
        <w:rPr>
          <w:spacing w:val="-50"/>
        </w:rPr>
      </w:r>
      <w:r>
        <w:rPr>
          <w:spacing w:val="-2"/>
        </w:rPr>
        <w:t>售模式。在直接销售模式及买断式经销模式下，本公司在办理完毕报关和商检手续时确认收入；在代理销售模式下，本公司</w:t>
      </w:r>
      <w:r>
        <w:rPr>
          <w:spacing w:val="-64"/>
        </w:rPr>
        <w:t> </w:t>
      </w:r>
      <w:r>
        <w:rPr>
          <w:spacing w:val="-64"/>
        </w:rPr>
      </w:r>
      <w:r>
        <w:rPr/>
        <w:t>按销售合同约定的时间将产品运送至代理商，待代理商最终销售给客户后确认销售收入。</w:t>
      </w:r>
    </w:p>
    <w:p>
      <w:pPr>
        <w:spacing w:line="240" w:lineRule="auto" w:before="9"/>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3"/>
        <w:jc w:val="left"/>
      </w:pPr>
      <w:r>
        <w:rPr>
          <w:spacing w:val="-2"/>
        </w:rPr>
        <w:t>与资产相关的政府补助，是指本集团取得的、用于购建或以其他方式形成长期资产的政府补助；除此之外，作为与收益相关</w:t>
      </w:r>
      <w:r>
        <w:rPr>
          <w:spacing w:val="-64"/>
        </w:rPr>
        <w:t> </w:t>
      </w:r>
      <w:r>
        <w:rPr>
          <w:spacing w:val="-64"/>
        </w:rPr>
      </w:r>
      <w:r>
        <w:rPr/>
        <w:t>的政府补助。 </w:t>
      </w:r>
      <w:r>
        <w:rPr>
          <w:spacing w:val="-4"/>
        </w:rPr>
        <w:t>对于政府文件未明确规定补助对象的，能够形成长期资产的，与资产价值相对应的政府补助部分作为与资产相关的政府补助，</w:t>
      </w:r>
      <w:r>
        <w:rPr>
          <w:spacing w:val="-41"/>
        </w:rPr>
        <w:t> </w:t>
      </w:r>
      <w:r>
        <w:rPr>
          <w:spacing w:val="-41"/>
        </w:rPr>
      </w:r>
      <w:r>
        <w:rPr/>
        <w:t>其余部分作为与收益相关的政府补助；难以区分的，将政府补助整体作为与收益相关的政府补助。 </w:t>
      </w:r>
      <w:r>
        <w:rPr>
          <w:spacing w:val="-2"/>
        </w:rPr>
        <w:t>与资产相关的政府补助，确认为递延收益在相关资产使用期限内按照合理、系统的方法分期计入损益。与收益相关的政府补</w:t>
      </w:r>
      <w:r>
        <w:rPr>
          <w:spacing w:val="-63"/>
        </w:rPr>
        <w:t> </w:t>
      </w:r>
      <w:r>
        <w:rPr>
          <w:spacing w:val="-63"/>
        </w:rPr>
      </w:r>
      <w:r>
        <w:rPr>
          <w:spacing w:val="-4"/>
        </w:rPr>
        <w:t>助，用于补偿已发生的相关成本费用或损失的，计入当期损益或冲减相关成本；用于补偿以后期间的相关成本费用或损失的，</w:t>
      </w:r>
      <w:r>
        <w:rPr>
          <w:spacing w:val="-40"/>
        </w:rPr>
        <w:t> </w:t>
      </w:r>
      <w:r>
        <w:rPr>
          <w:spacing w:val="-40"/>
        </w:rPr>
      </w:r>
      <w:r>
        <w:rPr>
          <w:spacing w:val="-2"/>
        </w:rPr>
        <w:t>则计入递延收益，于相关成本费用或损失确认期间计入当期损益或冲减相关成本。按照名义金额计量的政府补助，直接计入</w:t>
      </w:r>
      <w:r>
        <w:rPr>
          <w:spacing w:val="-63"/>
        </w:rPr>
        <w:t> </w:t>
      </w:r>
      <w:r>
        <w:rPr>
          <w:spacing w:val="-63"/>
        </w:rPr>
      </w:r>
      <w:r>
        <w:rPr/>
        <w:t>当期损益。本集团对相同或类似的政府补助业务，采用一致的方法处理。</w:t>
      </w:r>
    </w:p>
    <w:p>
      <w:pPr>
        <w:spacing w:after="0" w:line="316" w:lineRule="auto"/>
        <w:jc w:val="left"/>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pStyle w:val="Heading3"/>
        <w:spacing w:line="240" w:lineRule="auto" w:before="34"/>
        <w:ind w:right="19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jc w:val="left"/>
      </w:pPr>
      <w:r>
        <w:rPr/>
        <w:t>与日常活动相关的政府补助，按照经济业务实质，计入其他收益。与日常活动无关的政府补助，计入营业外收支。 </w:t>
      </w:r>
      <w:r>
        <w:rPr>
          <w:spacing w:val="-2"/>
        </w:rPr>
        <w:t>已确认的政府补助需要返还时，初始确认时冲减相关资产账面价值的，调整资产账面价值；存在相关递延收益余额的，冲减</w:t>
      </w:r>
      <w:r>
        <w:rPr>
          <w:spacing w:val="-64"/>
        </w:rPr>
        <w:t> </w:t>
      </w:r>
      <w:r>
        <w:rPr>
          <w:spacing w:val="-64"/>
        </w:rPr>
      </w:r>
      <w:r>
        <w:rPr/>
        <w:t>相关递延收益账面余额，超出部分计入当期损益；属于其他情况的，直接计入当期损益。</w:t>
      </w:r>
    </w:p>
    <w:p>
      <w:pPr>
        <w:spacing w:line="240" w:lineRule="auto" w:before="8"/>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 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00" w:lineRule="auto" w:before="19"/>
        <w:ind w:right="184"/>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w:t>
      </w:r>
      <w:r>
        <w:rPr>
          <w:spacing w:val="-84"/>
        </w:rPr>
        <w:t> </w:t>
      </w:r>
      <w:r>
        <w:rPr>
          <w:spacing w:val="-84"/>
        </w:rPr>
      </w:r>
      <w:r>
        <w:rPr/>
        <w:t>既不影响会计利润也不影响应纳税所得额；</w:t>
      </w:r>
    </w:p>
    <w:p>
      <w:pPr>
        <w:pStyle w:val="BodyText"/>
        <w:spacing w:line="314" w:lineRule="auto" w:before="31"/>
        <w:ind w:right="184"/>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w:t>
      </w:r>
      <w:r>
        <w:rPr>
          <w:spacing w:val="-84"/>
        </w:rPr>
        <w:t> </w:t>
      </w:r>
      <w:r>
        <w:rPr>
          <w:spacing w:val="-84"/>
        </w:rPr>
      </w:r>
      <w:r>
        <w:rPr/>
        <w:t>差异在可预见的未来很可能不会转回。 </w:t>
      </w:r>
      <w:r>
        <w:rPr>
          <w:spacing w:val="-2"/>
        </w:rPr>
        <w:t>对于可抵扣暂时性差异、能够结转以后年度的可抵扣亏损和税款抵减，本集团以很可能取得用来抵扣可抵扣暂时性差异、可</w:t>
      </w:r>
      <w:r>
        <w:rPr>
          <w:spacing w:val="-63"/>
        </w:rPr>
        <w:t> </w:t>
      </w:r>
      <w:r>
        <w:rPr>
          <w:spacing w:val="-63"/>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pStyle w:val="BodyText"/>
        <w:spacing w:line="240" w:lineRule="auto" w:before="20"/>
        <w:ind w:right="19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14" w:lineRule="auto" w:before="63"/>
        <w:ind w:right="94"/>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w:t>
      </w:r>
      <w:r>
        <w:rPr>
          <w:spacing w:val="-84"/>
        </w:rPr>
        <w:t> </w:t>
      </w:r>
      <w:r>
        <w:rPr>
          <w:spacing w:val="-84"/>
        </w:rPr>
      </w:r>
      <w:r>
        <w:rPr/>
        <w:t>产：暂时性差异在可预见的未来很可能转回，且未来很可能获得用来抵扣可抵扣暂时性差异的应纳税所得额。 </w:t>
      </w:r>
      <w:r>
        <w:rPr>
          <w:spacing w:val="-2"/>
        </w:rPr>
        <w:t>于资产负债表日，本集团对递延所得税资产和递延所得税负债，按照预期收回该资产或清偿该负债期间的适用税率计量，并</w:t>
      </w:r>
      <w:r>
        <w:rPr>
          <w:spacing w:val="-63"/>
        </w:rPr>
        <w:t> </w:t>
      </w:r>
      <w:r>
        <w:rPr>
          <w:spacing w:val="-63"/>
        </w:rPr>
      </w:r>
      <w:r>
        <w:rPr/>
        <w:t>反映资产负债表日预期收回资产或清偿负债方式的所得税影响。 </w:t>
      </w:r>
      <w:r>
        <w:rPr>
          <w:spacing w:val="-2"/>
        </w:rPr>
        <w:t>于资产负债表日，本集团对递延所得税资产的账面价值进行复核。如果未来期间很可能无法获得足够的应纳税所得额用以抵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line="240" w:lineRule="auto" w:before="10"/>
        <w:rPr>
          <w:rFonts w:ascii="宋体" w:hAnsi="宋体" w:cs="宋体" w:eastAsia="宋体" w:hint="default"/>
          <w:sz w:val="22"/>
          <w:szCs w:val="22"/>
        </w:rPr>
      </w:pPr>
    </w:p>
    <w:p>
      <w:pPr>
        <w:pStyle w:val="Heading3"/>
        <w:spacing w:line="240" w:lineRule="auto"/>
        <w:ind w:right="19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0"/>
        <w:jc w:val="left"/>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w:t>
      </w:r>
    </w:p>
    <w:p>
      <w:pPr>
        <w:pStyle w:val="BodyText"/>
        <w:spacing w:line="314" w:lineRule="auto" w:before="19"/>
        <w:ind w:right="190"/>
        <w:jc w:val="left"/>
      </w:pPr>
      <w:r>
        <w:rPr/>
        <w:t>（</w:t>
      </w:r>
      <w:r>
        <w:rPr>
          <w:rFonts w:ascii="Times New Roman" w:hAnsi="Times New Roman" w:cs="Times New Roman" w:eastAsia="Times New Roman" w:hint="default"/>
        </w:rPr>
        <w:t>1</w:t>
      </w:r>
      <w:r>
        <w:rPr/>
        <w:t>）本集团作为出租人 </w:t>
      </w:r>
      <w:r>
        <w:rPr>
          <w:spacing w:val="-2"/>
        </w:rPr>
        <w:t>融资租赁中，在租赁期开始日本集团按最低租赁收款额与初始直接费用之和作为应收融资租赁款的入账价值，同时记录未担</w:t>
      </w:r>
      <w:r>
        <w:rPr>
          <w:spacing w:val="-64"/>
        </w:rPr>
        <w:t> </w:t>
      </w:r>
      <w:r>
        <w:rPr>
          <w:spacing w:val="-64"/>
        </w:rPr>
      </w:r>
      <w:r>
        <w:rPr>
          <w:spacing w:val="-2"/>
        </w:rPr>
        <w:t>保余值；将最低租赁收款额、初始直接费用及未担保余值之和与其现值之和的差额确认为未实现融资收益。未实现融资收益</w:t>
      </w:r>
      <w:r>
        <w:rPr>
          <w:spacing w:val="-64"/>
        </w:rPr>
        <w:t> </w:t>
      </w:r>
      <w:r>
        <w:rPr>
          <w:spacing w:val="-64"/>
        </w:rPr>
      </w:r>
      <w:r>
        <w:rPr/>
        <w:t>在租赁期内各个期间采用实际利率法计算确认当期的融资收入。 经营租赁中的租金，本集团在租赁期内各个期间按照直线法确认当期损益。发生的初始直接费用，计入当期损益。</w:t>
      </w:r>
    </w:p>
    <w:p>
      <w:pPr>
        <w:pStyle w:val="BodyText"/>
        <w:spacing w:line="314" w:lineRule="auto" w:before="20"/>
        <w:ind w:right="190"/>
        <w:jc w:val="left"/>
      </w:pPr>
      <w:r>
        <w:rPr/>
        <w:t>（</w:t>
      </w:r>
      <w:r>
        <w:rPr>
          <w:rFonts w:ascii="Times New Roman" w:hAnsi="Times New Roman" w:cs="Times New Roman" w:eastAsia="Times New Roman" w:hint="default"/>
        </w:rPr>
        <w:t>2</w:t>
      </w:r>
      <w:r>
        <w:rPr/>
        <w:t>）本集团作为承租人 </w:t>
      </w:r>
      <w:r>
        <w:rPr>
          <w:spacing w:val="-2"/>
        </w:rPr>
        <w:t>融资租赁中，在租赁期开始日本集团将租赁资产公允价值与最低租赁付款额现值两者中较低者作为租入资产的入账价值，将</w:t>
      </w:r>
      <w:r>
        <w:rPr>
          <w:spacing w:val="-64"/>
        </w:rPr>
        <w:t> </w:t>
      </w:r>
      <w:r>
        <w:rPr>
          <w:spacing w:val="-64"/>
        </w:rPr>
      </w:r>
      <w:r>
        <w:rPr>
          <w:spacing w:val="-2"/>
        </w:rPr>
        <w:t>最低租赁付款额作为长期应付款的入账价值，其差额作为未确认融资费用。初始直接费用计入租入资产价值。未确认融资费</w:t>
      </w:r>
      <w:r>
        <w:rPr>
          <w:spacing w:val="-63"/>
        </w:rPr>
        <w:t> </w:t>
      </w:r>
      <w:r>
        <w:rPr>
          <w:spacing w:val="-63"/>
        </w:rPr>
      </w:r>
      <w:r>
        <w:rPr>
          <w:spacing w:val="-2"/>
        </w:rPr>
        <w:t>用在租赁期内各个期间采用实际利率法计算确认当期的融资费用。本集团采用与自有固定资产相一致的折旧政策计提租赁资</w:t>
      </w:r>
      <w:r>
        <w:rPr>
          <w:spacing w:val="-64"/>
        </w:rPr>
        <w:t> </w:t>
      </w:r>
      <w:r>
        <w:rPr>
          <w:spacing w:val="-64"/>
        </w:rPr>
      </w:r>
      <w:r>
        <w:rPr/>
        <w:t>产折旧。 </w:t>
      </w:r>
      <w:r>
        <w:rPr>
          <w:spacing w:val="-2"/>
        </w:rPr>
        <w:t>经营租赁中的租金，本集团在租赁期内各个期间按照直线法计入相关资产成本或当期损益；发生的初始直接费用，计入当期</w:t>
      </w:r>
      <w:r>
        <w:rPr>
          <w:spacing w:val="-63"/>
        </w:rPr>
        <w:t> </w:t>
      </w:r>
      <w:r>
        <w:rPr>
          <w:spacing w:val="-63"/>
        </w:rPr>
      </w:r>
      <w:r>
        <w:rPr/>
        <w:t>损益。</w:t>
      </w:r>
    </w:p>
    <w:p>
      <w:pPr>
        <w:spacing w:after="0" w:line="314" w:lineRule="auto"/>
        <w:jc w:val="left"/>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374"/>
        <w:jc w:val="left"/>
      </w:pPr>
      <w:r>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316" w:lineRule="auto" w:before="19"/>
        <w:ind w:right="0"/>
        <w:jc w:val="left"/>
      </w:pPr>
      <w:r>
        <w:rPr/>
        <w:t>商誉减值 </w:t>
      </w:r>
      <w:r>
        <w:rPr>
          <w:spacing w:val="-2"/>
        </w:rPr>
        <w:t>本集团至少每年评估商誉是否发生减值。这要求对分配了商誉的资产组的使用价值进行估计。估计使用价值时，本集团需要</w:t>
      </w:r>
      <w:r>
        <w:rPr>
          <w:spacing w:val="-63"/>
        </w:rPr>
        <w:t> </w:t>
      </w:r>
      <w:r>
        <w:rPr>
          <w:spacing w:val="-63"/>
        </w:rPr>
      </w:r>
      <w:r>
        <w:rPr/>
        <w:t>估计未来来自资产组的现金流量，同时选择恰当的折现率计算未来现金流量的现值。</w:t>
      </w:r>
    </w:p>
    <w:p>
      <w:pPr>
        <w:pStyle w:val="BodyText"/>
        <w:spacing w:line="316" w:lineRule="auto" w:before="19"/>
        <w:ind w:right="0"/>
        <w:jc w:val="left"/>
      </w:pPr>
      <w:r>
        <w:rPr/>
        <w:t>开发支出 确定资本化的金额时，管理层必须做出有关资产的预期未来现金的产生、应采用的折现率以及预计受益期间的假设。 递延所得税资产 </w:t>
      </w: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w:t>
      </w:r>
    </w:p>
    <w:p>
      <w:pPr>
        <w:spacing w:line="240" w:lineRule="auto" w:before="13"/>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191"/>
        <w:gridCol w:w="1482"/>
        <w:gridCol w:w="380"/>
        <w:gridCol w:w="1327"/>
        <w:gridCol w:w="2059"/>
        <w:gridCol w:w="978"/>
        <w:gridCol w:w="152"/>
      </w:tblGrid>
      <w:tr>
        <w:trPr>
          <w:trHeight w:val="1137"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tc>
        <w:tc>
          <w:tcPr>
            <w:tcW w:w="6378" w:type="dxa"/>
            <w:gridSpan w:val="6"/>
            <w:vMerge w:val="restart"/>
            <w:tcBorders>
              <w:top w:val="nil" w:sz="6" w:space="0" w:color="auto"/>
              <w:left w:val="nil" w:sz="6" w:space="0" w:color="auto"/>
              <w:right w:val="nil" w:sz="6" w:space="0" w:color="auto"/>
            </w:tcBorders>
          </w:tcPr>
          <w:p>
            <w:pPr/>
          </w:p>
        </w:tc>
      </w:tr>
      <w:tr>
        <w:trPr>
          <w:trHeight w:val="495" w:hRule="exact"/>
        </w:trPr>
        <w:tc>
          <w:tcPr>
            <w:tcW w:w="3191"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tc>
        <w:tc>
          <w:tcPr>
            <w:tcW w:w="6378" w:type="dxa"/>
            <w:gridSpan w:val="6"/>
            <w:vMerge/>
            <w:tcBorders>
              <w:left w:val="nil" w:sz="6" w:space="0" w:color="auto"/>
              <w:bottom w:val="single" w:sz="4" w:space="0" w:color="000000"/>
              <w:right w:val="nil" w:sz="6" w:space="0" w:color="auto"/>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5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right="282"/>
              <w:jc w:val="right"/>
              <w:rPr>
                <w:rFonts w:ascii="宋体" w:hAnsi="宋体" w:cs="宋体" w:eastAsia="宋体" w:hint="default"/>
                <w:sz w:val="18"/>
                <w:szCs w:val="18"/>
              </w:rPr>
            </w:pPr>
            <w:r>
              <w:rPr>
                <w:rFonts w:ascii="宋体" w:hAnsi="宋体" w:cs="宋体" w:eastAsia="宋体" w:hint="default"/>
                <w:sz w:val="18"/>
                <w:szCs w:val="18"/>
              </w:rPr>
              <w:t>备注</w:t>
            </w:r>
          </w:p>
        </w:tc>
        <w:tc>
          <w:tcPr>
            <w:tcW w:w="978" w:type="dxa"/>
            <w:tcBorders>
              <w:top w:val="single" w:sz="4" w:space="0" w:color="000000"/>
              <w:left w:val="nil" w:sz="6" w:space="0" w:color="auto"/>
              <w:bottom w:val="single" w:sz="4" w:space="0" w:color="000000"/>
              <w:right w:val="nil" w:sz="6" w:space="0" w:color="auto"/>
            </w:tcBorders>
            <w:shd w:val="clear" w:color="auto" w:fill="D2D2D2"/>
          </w:tcPr>
          <w:p>
            <w:pPr/>
          </w:p>
        </w:tc>
        <w:tc>
          <w:tcPr>
            <w:tcW w:w="152" w:type="dxa"/>
            <w:tcBorders>
              <w:top w:val="single" w:sz="4" w:space="0" w:color="000000"/>
              <w:left w:val="nil" w:sz="6" w:space="0" w:color="auto"/>
              <w:bottom w:val="single" w:sz="4" w:space="0" w:color="000000"/>
              <w:right w:val="single" w:sz="4" w:space="0" w:color="000000"/>
            </w:tcBorders>
            <w:shd w:val="clear" w:color="auto" w:fill="D2D2D2"/>
          </w:tcPr>
          <w:p>
            <w:pPr/>
          </w:p>
        </w:tc>
      </w:tr>
      <w:tr>
        <w:trPr>
          <w:trHeight w:val="324" w:hRule="exact"/>
        </w:trPr>
        <w:tc>
          <w:tcPr>
            <w:tcW w:w="3191" w:type="dxa"/>
            <w:tcBorders>
              <w:top w:val="single" w:sz="4" w:space="0" w:color="000000"/>
              <w:left w:val="nil" w:sz="6" w:space="0" w:color="auto"/>
              <w:bottom w:val="single" w:sz="6"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）重要会计政策变更</w:t>
            </w:r>
          </w:p>
        </w:tc>
        <w:tc>
          <w:tcPr>
            <w:tcW w:w="1482" w:type="dxa"/>
            <w:tcBorders>
              <w:top w:val="single" w:sz="4" w:space="0" w:color="000000"/>
              <w:left w:val="nil" w:sz="6" w:space="0" w:color="auto"/>
              <w:bottom w:val="single" w:sz="6" w:space="0" w:color="000000"/>
              <w:right w:val="nil" w:sz="6" w:space="0" w:color="auto"/>
            </w:tcBorders>
          </w:tcPr>
          <w:p>
            <w:pPr/>
          </w:p>
        </w:tc>
        <w:tc>
          <w:tcPr>
            <w:tcW w:w="1707" w:type="dxa"/>
            <w:gridSpan w:val="2"/>
            <w:tcBorders>
              <w:top w:val="single" w:sz="4" w:space="0" w:color="000000"/>
              <w:left w:val="nil" w:sz="6" w:space="0" w:color="auto"/>
              <w:bottom w:val="single" w:sz="6" w:space="0" w:color="000000"/>
              <w:right w:val="nil" w:sz="6" w:space="0" w:color="auto"/>
            </w:tcBorders>
          </w:tcPr>
          <w:p>
            <w:pPr/>
          </w:p>
        </w:tc>
        <w:tc>
          <w:tcPr>
            <w:tcW w:w="3189" w:type="dxa"/>
            <w:gridSpan w:val="3"/>
            <w:tcBorders>
              <w:top w:val="single" w:sz="4" w:space="0" w:color="000000"/>
              <w:left w:val="nil" w:sz="6" w:space="0" w:color="auto"/>
              <w:bottom w:val="single" w:sz="6" w:space="0" w:color="000000"/>
              <w:right w:val="nil" w:sz="6" w:space="0" w:color="auto"/>
            </w:tcBorders>
          </w:tcPr>
          <w:p>
            <w:pPr/>
          </w:p>
        </w:tc>
      </w:tr>
      <w:tr>
        <w:trPr>
          <w:trHeight w:val="347" w:hRule="exact"/>
        </w:trPr>
        <w:tc>
          <w:tcPr>
            <w:tcW w:w="319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70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3189" w:type="dxa"/>
            <w:gridSpan w:val="3"/>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790" w:right="0"/>
              <w:jc w:val="left"/>
              <w:rPr>
                <w:rFonts w:ascii="宋体" w:hAnsi="宋体" w:cs="宋体" w:eastAsia="宋体" w:hint="default"/>
                <w:sz w:val="18"/>
                <w:szCs w:val="18"/>
              </w:rPr>
            </w:pPr>
            <w:r>
              <w:rPr>
                <w:rFonts w:ascii="宋体" w:hAnsi="宋体" w:cs="宋体" w:eastAsia="宋体" w:hint="default"/>
                <w:b/>
                <w:bCs/>
                <w:sz w:val="18"/>
                <w:szCs w:val="18"/>
              </w:rPr>
              <w:t>影响本期金额</w:t>
            </w:r>
            <w:r>
              <w:rPr>
                <w:rFonts w:ascii="宋体" w:hAnsi="宋体" w:cs="宋体" w:eastAsia="宋体" w:hint="default"/>
                <w:b/>
                <w:bCs/>
                <w:spacing w:val="-22"/>
                <w:sz w:val="18"/>
                <w:szCs w:val="18"/>
              </w:rPr>
              <w:t> </w:t>
            </w:r>
            <w:r>
              <w:rPr>
                <w:rFonts w:ascii="宋体" w:hAnsi="宋体" w:cs="宋体" w:eastAsia="宋体" w:hint="default"/>
                <w:b/>
                <w:bCs/>
                <w:sz w:val="18"/>
                <w:szCs w:val="18"/>
              </w:rPr>
              <w:t>影响上期金额</w:t>
            </w:r>
            <w:r>
              <w:rPr>
                <w:rFonts w:ascii="宋体" w:hAnsi="宋体" w:cs="宋体" w:eastAsia="宋体" w:hint="default"/>
                <w:sz w:val="18"/>
                <w:szCs w:val="18"/>
              </w:rPr>
            </w:r>
          </w:p>
        </w:tc>
      </w:tr>
      <w:tr>
        <w:trPr>
          <w:trHeight w:val="954" w:hRule="exact"/>
        </w:trPr>
        <w:tc>
          <w:tcPr>
            <w:tcW w:w="4673" w:type="dxa"/>
            <w:gridSpan w:val="2"/>
            <w:tcBorders>
              <w:top w:val="single" w:sz="6" w:space="0" w:color="000000"/>
              <w:left w:val="nil" w:sz="6" w:space="0" w:color="auto"/>
              <w:bottom w:val="nil" w:sz="6" w:space="0" w:color="auto"/>
              <w:right w:val="nil" w:sz="6" w:space="0" w:color="auto"/>
            </w:tcBorders>
          </w:tcPr>
          <w:p>
            <w:pPr>
              <w:pStyle w:val="TableParagraph"/>
              <w:spacing w:line="300" w:lineRule="auto" w:before="21"/>
              <w:ind w:left="10" w:right="1049"/>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资产、处置组和终止经营》对于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9"/>
                <w:sz w:val="18"/>
                <w:szCs w:val="18"/>
              </w:rPr>
              <w:t>日之后持有待售的非流动资产或处置组的分</w:t>
            </w:r>
          </w:p>
        </w:tc>
        <w:tc>
          <w:tcPr>
            <w:tcW w:w="380"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3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6" w:space="0" w:color="000000"/>
              <w:left w:val="nil" w:sz="6" w:space="0" w:color="auto"/>
              <w:bottom w:val="nil" w:sz="6" w:space="0" w:color="auto"/>
              <w:right w:val="nil" w:sz="6" w:space="0" w:color="auto"/>
            </w:tcBorders>
          </w:tcPr>
          <w:p>
            <w:pPr/>
          </w:p>
        </w:tc>
        <w:tc>
          <w:tcPr>
            <w:tcW w:w="2059"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187"/>
              <w:jc w:val="right"/>
              <w:rPr>
                <w:rFonts w:ascii="Times New Roman" w:hAnsi="Times New Roman" w:cs="Times New Roman" w:eastAsia="Times New Roman" w:hint="default"/>
                <w:sz w:val="18"/>
                <w:szCs w:val="18"/>
              </w:rPr>
            </w:pPr>
            <w:r>
              <w:rPr>
                <w:rFonts w:ascii="Times New Roman"/>
                <w:sz w:val="18"/>
              </w:rPr>
              <w:t>--</w:t>
            </w:r>
          </w:p>
        </w:tc>
        <w:tc>
          <w:tcPr>
            <w:tcW w:w="978"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z w:val="18"/>
              </w:rPr>
              <w:t>--</w:t>
            </w:r>
          </w:p>
        </w:tc>
        <w:tc>
          <w:tcPr>
            <w:tcW w:w="152" w:type="dxa"/>
            <w:tcBorders>
              <w:top w:val="nil" w:sz="6" w:space="0" w:color="auto"/>
              <w:left w:val="nil" w:sz="6" w:space="0" w:color="auto"/>
              <w:bottom w:val="nil" w:sz="6" w:space="0" w:color="auto"/>
              <w:right w:val="nil" w:sz="6" w:space="0" w:color="auto"/>
            </w:tcBorders>
          </w:tcPr>
          <w:p>
            <w:pPr/>
          </w:p>
        </w:tc>
      </w:tr>
      <w:tr>
        <w:trPr>
          <w:trHeight w:val="312"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类、计量和列报，以及终止经营的列报等进行</w:t>
            </w:r>
          </w:p>
        </w:tc>
        <w:tc>
          <w:tcPr>
            <w:tcW w:w="38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29" w:hRule="exact"/>
        </w:trPr>
        <w:tc>
          <w:tcPr>
            <w:tcW w:w="4673"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了规定，并采用未来适用法进行处理；</w:t>
            </w:r>
          </w:p>
        </w:tc>
        <w:tc>
          <w:tcPr>
            <w:tcW w:w="380" w:type="dxa"/>
            <w:tcBorders>
              <w:top w:val="nil" w:sz="6" w:space="0" w:color="auto"/>
              <w:left w:val="nil" w:sz="6" w:space="0" w:color="auto"/>
              <w:bottom w:val="single" w:sz="6" w:space="0" w:color="000000"/>
              <w:right w:val="nil" w:sz="6" w:space="0" w:color="auto"/>
            </w:tcBorders>
          </w:tcPr>
          <w:p>
            <w:pPr/>
          </w:p>
        </w:tc>
        <w:tc>
          <w:tcPr>
            <w:tcW w:w="1327" w:type="dxa"/>
            <w:tcBorders>
              <w:top w:val="nil" w:sz="6" w:space="0" w:color="auto"/>
              <w:left w:val="nil" w:sz="6" w:space="0" w:color="auto"/>
              <w:bottom w:val="single" w:sz="6" w:space="0" w:color="000000"/>
              <w:right w:val="nil" w:sz="6" w:space="0" w:color="auto"/>
            </w:tcBorders>
          </w:tcPr>
          <w:p>
            <w:pPr/>
          </w:p>
        </w:tc>
        <w:tc>
          <w:tcPr>
            <w:tcW w:w="2059" w:type="dxa"/>
            <w:tcBorders>
              <w:top w:val="nil" w:sz="6" w:space="0" w:color="auto"/>
              <w:left w:val="nil" w:sz="6" w:space="0" w:color="auto"/>
              <w:bottom w:val="single" w:sz="6" w:space="0" w:color="000000"/>
              <w:right w:val="nil" w:sz="6" w:space="0" w:color="auto"/>
            </w:tcBorders>
          </w:tcPr>
          <w:p>
            <w:pPr/>
          </w:p>
        </w:tc>
        <w:tc>
          <w:tcPr>
            <w:tcW w:w="978" w:type="dxa"/>
            <w:tcBorders>
              <w:top w:val="nil" w:sz="6" w:space="0" w:color="auto"/>
              <w:left w:val="nil" w:sz="6" w:space="0" w:color="auto"/>
              <w:bottom w:val="single" w:sz="6"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35" w:hRule="exact"/>
        </w:trPr>
        <w:tc>
          <w:tcPr>
            <w:tcW w:w="4673"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80"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9" w:right="0"/>
              <w:jc w:val="center"/>
              <w:rPr>
                <w:rFonts w:ascii="宋体" w:hAnsi="宋体" w:cs="宋体" w:eastAsia="宋体" w:hint="default"/>
                <w:sz w:val="18"/>
                <w:szCs w:val="18"/>
              </w:rPr>
            </w:pPr>
            <w:r>
              <w:rPr>
                <w:rFonts w:ascii="宋体"/>
                <w:sz w:val="18"/>
              </w:rPr>
              <w:t>1.</w:t>
            </w:r>
          </w:p>
        </w:tc>
        <w:tc>
          <w:tcPr>
            <w:tcW w:w="1327"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8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85"/>
              <w:jc w:val="right"/>
              <w:rPr>
                <w:rFonts w:ascii="Times New Roman" w:hAnsi="Times New Roman" w:cs="Times New Roman" w:eastAsia="Times New Roman" w:hint="default"/>
                <w:sz w:val="18"/>
                <w:szCs w:val="18"/>
              </w:rPr>
            </w:pPr>
            <w:r>
              <w:rPr>
                <w:rFonts w:ascii="Times New Roman"/>
                <w:spacing w:val="-1"/>
                <w:sz w:val="18"/>
              </w:rPr>
              <w:t>5,070,884.20</w:t>
            </w:r>
          </w:p>
        </w:tc>
        <w:tc>
          <w:tcPr>
            <w:tcW w:w="978"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w:t>
            </w:r>
          </w:p>
        </w:tc>
        <w:tc>
          <w:tcPr>
            <w:tcW w:w="152" w:type="dxa"/>
            <w:tcBorders>
              <w:top w:val="nil" w:sz="6" w:space="0" w:color="auto"/>
              <w:left w:val="nil" w:sz="6" w:space="0" w:color="auto"/>
              <w:bottom w:val="nil" w:sz="6" w:space="0" w:color="auto"/>
              <w:right w:val="nil" w:sz="6" w:space="0" w:color="auto"/>
            </w:tcBorders>
          </w:tcPr>
          <w:p>
            <w:pPr/>
          </w:p>
        </w:tc>
      </w:tr>
      <w:tr>
        <w:trPr>
          <w:trHeight w:val="620"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300" w:lineRule="auto" w:before="6"/>
              <w:ind w:left="10" w:right="10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），政府补助的会计处理方法从总额法 改为允许采用净额法，将与资产相关的政府补</w:t>
            </w:r>
          </w:p>
        </w:tc>
        <w:tc>
          <w:tcPr>
            <w:tcW w:w="38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9" w:right="0"/>
              <w:jc w:val="center"/>
              <w:rPr>
                <w:rFonts w:ascii="宋体" w:hAnsi="宋体" w:cs="宋体" w:eastAsia="宋体" w:hint="default"/>
                <w:sz w:val="18"/>
                <w:szCs w:val="18"/>
              </w:rPr>
            </w:pPr>
            <w:r>
              <w:rPr>
                <w:rFonts w:ascii="宋体"/>
                <w:sz w:val="18"/>
              </w:rPr>
              <w:t>2.</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
              <w:ind w:left="8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85"/>
              <w:jc w:val="right"/>
              <w:rPr>
                <w:rFonts w:ascii="Times New Roman" w:hAnsi="Times New Roman" w:cs="Times New Roman" w:eastAsia="Times New Roman" w:hint="default"/>
                <w:sz w:val="18"/>
                <w:szCs w:val="18"/>
              </w:rPr>
            </w:pPr>
            <w:r>
              <w:rPr>
                <w:rFonts w:ascii="Times New Roman"/>
                <w:spacing w:val="-1"/>
                <w:sz w:val="18"/>
              </w:rPr>
              <w:t>-5,070,884.20</w:t>
            </w:r>
          </w:p>
        </w:tc>
        <w:tc>
          <w:tcPr>
            <w:tcW w:w="978"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12"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助相关递延收益的摊销方式从在相关资产使用</w:t>
            </w:r>
          </w:p>
        </w:tc>
        <w:tc>
          <w:tcPr>
            <w:tcW w:w="38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12"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寿命内平均分配改为按照合理、系统的方法分</w:t>
            </w:r>
          </w:p>
        </w:tc>
        <w:tc>
          <w:tcPr>
            <w:tcW w:w="38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952" w:hRule="exact"/>
        </w:trPr>
        <w:tc>
          <w:tcPr>
            <w:tcW w:w="4673" w:type="dxa"/>
            <w:gridSpan w:val="2"/>
            <w:tcBorders>
              <w:top w:val="nil" w:sz="6" w:space="0" w:color="auto"/>
              <w:left w:val="nil" w:sz="6" w:space="0" w:color="auto"/>
              <w:bottom w:val="single" w:sz="6" w:space="0" w:color="000000"/>
              <w:right w:val="nil" w:sz="6" w:space="0" w:color="auto"/>
            </w:tcBorders>
          </w:tcPr>
          <w:p>
            <w:pPr>
              <w:pStyle w:val="TableParagraph"/>
              <w:spacing w:line="300" w:lineRule="auto" w:before="10"/>
              <w:ind w:left="10" w:right="1151"/>
              <w:jc w:val="both"/>
              <w:rPr>
                <w:rFonts w:ascii="宋体" w:hAnsi="宋体" w:cs="宋体" w:eastAsia="宋体" w:hint="default"/>
                <w:sz w:val="18"/>
                <w:szCs w:val="18"/>
              </w:rPr>
            </w:pPr>
            <w:r>
              <w:rPr>
                <w:rFonts w:ascii="宋体" w:hAnsi="宋体" w:cs="宋体" w:eastAsia="宋体" w:hint="default"/>
                <w:sz w:val="18"/>
                <w:szCs w:val="18"/>
              </w:rPr>
              <w:t>配，并修改了政府补助的列报项目。</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日尚未摊销完毕的政府补助和</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年取得</w:t>
            </w:r>
            <w:r>
              <w:rPr>
                <w:rFonts w:ascii="宋体" w:hAnsi="宋体" w:cs="宋体" w:eastAsia="宋体" w:hint="default"/>
                <w:spacing w:val="-72"/>
                <w:sz w:val="18"/>
                <w:szCs w:val="18"/>
              </w:rPr>
              <w:t> </w:t>
            </w:r>
            <w:r>
              <w:rPr>
                <w:rFonts w:ascii="宋体" w:hAnsi="宋体" w:cs="宋体" w:eastAsia="宋体" w:hint="default"/>
                <w:sz w:val="18"/>
                <w:szCs w:val="18"/>
              </w:rPr>
              <w:t>的政府补助适用修订后的准则。</w:t>
            </w:r>
          </w:p>
        </w:tc>
        <w:tc>
          <w:tcPr>
            <w:tcW w:w="380" w:type="dxa"/>
            <w:tcBorders>
              <w:top w:val="nil" w:sz="6" w:space="0" w:color="auto"/>
              <w:left w:val="nil" w:sz="6" w:space="0" w:color="auto"/>
              <w:bottom w:val="single" w:sz="6" w:space="0" w:color="000000"/>
              <w:right w:val="nil" w:sz="6" w:space="0" w:color="auto"/>
            </w:tcBorders>
          </w:tcPr>
          <w:p>
            <w:pPr/>
          </w:p>
        </w:tc>
        <w:tc>
          <w:tcPr>
            <w:tcW w:w="1327" w:type="dxa"/>
            <w:tcBorders>
              <w:top w:val="nil" w:sz="6" w:space="0" w:color="auto"/>
              <w:left w:val="nil" w:sz="6" w:space="0" w:color="auto"/>
              <w:bottom w:val="single" w:sz="6" w:space="0" w:color="000000"/>
              <w:right w:val="nil" w:sz="6" w:space="0" w:color="auto"/>
            </w:tcBorders>
          </w:tcPr>
          <w:p>
            <w:pPr/>
          </w:p>
        </w:tc>
        <w:tc>
          <w:tcPr>
            <w:tcW w:w="2059" w:type="dxa"/>
            <w:tcBorders>
              <w:top w:val="nil" w:sz="6" w:space="0" w:color="auto"/>
              <w:left w:val="nil" w:sz="6" w:space="0" w:color="auto"/>
              <w:bottom w:val="single" w:sz="6" w:space="0" w:color="000000"/>
              <w:right w:val="nil" w:sz="6" w:space="0" w:color="auto"/>
            </w:tcBorders>
          </w:tcPr>
          <w:p>
            <w:pPr/>
          </w:p>
        </w:tc>
        <w:tc>
          <w:tcPr>
            <w:tcW w:w="978" w:type="dxa"/>
            <w:tcBorders>
              <w:top w:val="nil" w:sz="6" w:space="0" w:color="auto"/>
              <w:left w:val="nil" w:sz="6" w:space="0" w:color="auto"/>
              <w:bottom w:val="single" w:sz="6"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34" w:hRule="exact"/>
        </w:trPr>
        <w:tc>
          <w:tcPr>
            <w:tcW w:w="4673"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根据《关于修订印发一般企业财务报表格式的</w:t>
            </w:r>
          </w:p>
        </w:tc>
        <w:tc>
          <w:tcPr>
            <w:tcW w:w="380"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9" w:right="0"/>
              <w:jc w:val="center"/>
              <w:rPr>
                <w:rFonts w:ascii="宋体" w:hAnsi="宋体" w:cs="宋体" w:eastAsia="宋体" w:hint="default"/>
                <w:sz w:val="18"/>
                <w:szCs w:val="18"/>
              </w:rPr>
            </w:pPr>
            <w:r>
              <w:rPr>
                <w:rFonts w:ascii="宋体"/>
                <w:sz w:val="18"/>
              </w:rPr>
              <w:t>3.</w:t>
            </w:r>
          </w:p>
        </w:tc>
        <w:tc>
          <w:tcPr>
            <w:tcW w:w="132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059"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185"/>
              <w:jc w:val="right"/>
              <w:rPr>
                <w:rFonts w:ascii="Times New Roman" w:hAnsi="Times New Roman" w:cs="Times New Roman" w:eastAsia="Times New Roman" w:hint="default"/>
                <w:sz w:val="18"/>
                <w:szCs w:val="18"/>
              </w:rPr>
            </w:pPr>
            <w:r>
              <w:rPr>
                <w:rFonts w:ascii="Times New Roman"/>
                <w:spacing w:val="-1"/>
                <w:sz w:val="18"/>
              </w:rPr>
              <w:t>-40,905.01</w:t>
            </w:r>
          </w:p>
        </w:tc>
        <w:tc>
          <w:tcPr>
            <w:tcW w:w="978"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-12,962.28</w:t>
            </w:r>
          </w:p>
        </w:tc>
        <w:tc>
          <w:tcPr>
            <w:tcW w:w="152" w:type="dxa"/>
            <w:tcBorders>
              <w:top w:val="nil" w:sz="6" w:space="0" w:color="auto"/>
              <w:left w:val="nil" w:sz="6" w:space="0" w:color="auto"/>
              <w:bottom w:val="nil" w:sz="6" w:space="0" w:color="auto"/>
              <w:right w:val="nil" w:sz="6" w:space="0" w:color="auto"/>
            </w:tcBorders>
          </w:tcPr>
          <w:p>
            <w:pPr/>
          </w:p>
        </w:tc>
      </w:tr>
      <w:tr>
        <w:trPr>
          <w:trHeight w:val="312"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0" w:right="0"/>
              <w:jc w:val="left"/>
              <w:rPr>
                <w:rFonts w:ascii="宋体" w:hAnsi="宋体" w:cs="宋体" w:eastAsia="宋体" w:hint="default"/>
                <w:sz w:val="18"/>
                <w:szCs w:val="18"/>
              </w:rPr>
            </w:pPr>
            <w:r>
              <w:rPr>
                <w:rFonts w:ascii="宋体" w:hAnsi="宋体" w:cs="宋体" w:eastAsia="宋体" w:hint="default"/>
                <w:sz w:val="18"/>
                <w:szCs w:val="18"/>
              </w:rPr>
              <w:t>通知</w:t>
            </w:r>
            <w:r>
              <w:rPr>
                <w:rFonts w:ascii="宋体" w:hAnsi="宋体" w:cs="宋体" w:eastAsia="宋体" w:hint="default"/>
                <w:spacing w:val="-96"/>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号</w:t>
            </w:r>
            <w:r>
              <w:rPr>
                <w:rFonts w:ascii="宋体" w:hAnsi="宋体" w:cs="宋体" w:eastAsia="宋体" w:hint="default"/>
                <w:spacing w:val="-48"/>
                <w:sz w:val="18"/>
                <w:szCs w:val="18"/>
              </w:rPr>
              <w:t>），</w:t>
            </w:r>
            <w:r>
              <w:rPr>
                <w:rFonts w:ascii="宋体" w:hAnsi="宋体" w:cs="宋体" w:eastAsia="宋体" w:hint="default"/>
                <w:sz w:val="18"/>
                <w:szCs w:val="18"/>
              </w:rPr>
              <w:t>在利润表中新增</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资</w:t>
            </w:r>
          </w:p>
        </w:tc>
        <w:tc>
          <w:tcPr>
            <w:tcW w:w="3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 w:right="0"/>
              <w:jc w:val="center"/>
              <w:rPr>
                <w:rFonts w:ascii="宋体" w:hAnsi="宋体" w:cs="宋体" w:eastAsia="宋体" w:hint="default"/>
                <w:sz w:val="18"/>
                <w:szCs w:val="18"/>
              </w:rPr>
            </w:pPr>
            <w:r>
              <w:rPr>
                <w:rFonts w:ascii="宋体"/>
                <w:sz w:val="18"/>
              </w:rPr>
              <w:t>4.</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8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8"/>
              <w:jc w:val="right"/>
              <w:rPr>
                <w:rFonts w:ascii="Times New Roman" w:hAnsi="Times New Roman" w:cs="Times New Roman" w:eastAsia="Times New Roman" w:hint="default"/>
                <w:sz w:val="18"/>
                <w:szCs w:val="18"/>
              </w:rPr>
            </w:pPr>
            <w:r>
              <w:rPr>
                <w:rFonts w:ascii="Times New Roman"/>
                <w:spacing w:val="-1"/>
                <w:sz w:val="18"/>
              </w:rPr>
              <w:t>-5,446.36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
              <w:jc w:val="right"/>
              <w:rPr>
                <w:rFonts w:ascii="Times New Roman" w:hAnsi="Times New Roman" w:cs="Times New Roman" w:eastAsia="Times New Roman" w:hint="default"/>
                <w:sz w:val="18"/>
                <w:szCs w:val="18"/>
              </w:rPr>
            </w:pPr>
            <w:r>
              <w:rPr>
                <w:rFonts w:ascii="Times New Roman"/>
                <w:sz w:val="18"/>
              </w:rPr>
              <w:t>--</w:t>
            </w:r>
          </w:p>
        </w:tc>
        <w:tc>
          <w:tcPr>
            <w:tcW w:w="152" w:type="dxa"/>
            <w:tcBorders>
              <w:top w:val="nil" w:sz="6" w:space="0" w:color="auto"/>
              <w:left w:val="nil" w:sz="6" w:space="0" w:color="auto"/>
              <w:bottom w:val="nil" w:sz="6" w:space="0" w:color="auto"/>
              <w:right w:val="nil" w:sz="6" w:space="0" w:color="auto"/>
            </w:tcBorders>
          </w:tcPr>
          <w:p>
            <w:pPr/>
          </w:p>
        </w:tc>
      </w:tr>
      <w:tr>
        <w:trPr>
          <w:trHeight w:val="619"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300" w:lineRule="auto" w:before="5"/>
              <w:ind w:left="10" w:right="1050"/>
              <w:jc w:val="left"/>
              <w:rPr>
                <w:rFonts w:ascii="宋体" w:hAnsi="宋体" w:cs="宋体" w:eastAsia="宋体" w:hint="default"/>
                <w:sz w:val="18"/>
                <w:szCs w:val="18"/>
              </w:rPr>
            </w:pPr>
            <w:r>
              <w:rPr>
                <w:rFonts w:ascii="宋体" w:hAnsi="宋体" w:cs="宋体" w:eastAsia="宋体" w:hint="default"/>
                <w:spacing w:val="-4"/>
                <w:sz w:val="18"/>
                <w:szCs w:val="18"/>
              </w:rPr>
              <w:t>产处置收益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行项目，反映企业出售划分为持有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待售的非流动资产（金融工具、长期股权投资</w:t>
            </w:r>
          </w:p>
        </w:tc>
        <w:tc>
          <w:tcPr>
            <w:tcW w:w="3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 w:right="0"/>
              <w:jc w:val="center"/>
              <w:rPr>
                <w:rFonts w:ascii="宋体" w:hAnsi="宋体" w:cs="宋体" w:eastAsia="宋体" w:hint="default"/>
                <w:sz w:val="18"/>
                <w:szCs w:val="18"/>
              </w:rPr>
            </w:pPr>
            <w:r>
              <w:rPr>
                <w:rFonts w:ascii="宋体"/>
                <w:sz w:val="18"/>
              </w:rPr>
              <w:t>5.</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89"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5"/>
              <w:jc w:val="right"/>
              <w:rPr>
                <w:rFonts w:ascii="Times New Roman" w:hAnsi="Times New Roman" w:cs="Times New Roman" w:eastAsia="Times New Roman" w:hint="default"/>
                <w:sz w:val="18"/>
                <w:szCs w:val="18"/>
              </w:rPr>
            </w:pPr>
            <w:r>
              <w:rPr>
                <w:rFonts w:ascii="Times New Roman"/>
                <w:spacing w:val="-1"/>
                <w:sz w:val="18"/>
              </w:rPr>
              <w:t>46,351.37</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pacing w:val="-1"/>
                <w:sz w:val="18"/>
              </w:rPr>
              <w:t>12,962.28</w:t>
            </w:r>
          </w:p>
        </w:tc>
        <w:tc>
          <w:tcPr>
            <w:tcW w:w="152" w:type="dxa"/>
            <w:tcBorders>
              <w:top w:val="nil" w:sz="6" w:space="0" w:color="auto"/>
              <w:left w:val="nil" w:sz="6" w:space="0" w:color="auto"/>
              <w:bottom w:val="nil" w:sz="6" w:space="0" w:color="auto"/>
              <w:right w:val="nil" w:sz="6" w:space="0" w:color="auto"/>
            </w:tcBorders>
          </w:tcPr>
          <w:p>
            <w:pPr/>
          </w:p>
        </w:tc>
      </w:tr>
      <w:tr>
        <w:trPr>
          <w:trHeight w:val="312"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和投资性房地产除外）或处置组时确认的处置</w:t>
            </w:r>
          </w:p>
        </w:tc>
        <w:tc>
          <w:tcPr>
            <w:tcW w:w="38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12" w:hRule="exact"/>
        </w:trPr>
        <w:tc>
          <w:tcPr>
            <w:tcW w:w="4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利得或损失，处置未划分为持有待售的固定资</w:t>
            </w:r>
          </w:p>
        </w:tc>
        <w:tc>
          <w:tcPr>
            <w:tcW w:w="38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r>
        <w:trPr>
          <w:trHeight w:val="343" w:hRule="exact"/>
        </w:trPr>
        <w:tc>
          <w:tcPr>
            <w:tcW w:w="4673"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产、在建工程、生产性生物资产及无形资产而</w:t>
            </w:r>
          </w:p>
        </w:tc>
        <w:tc>
          <w:tcPr>
            <w:tcW w:w="380" w:type="dxa"/>
            <w:tcBorders>
              <w:top w:val="nil" w:sz="6" w:space="0" w:color="auto"/>
              <w:left w:val="nil" w:sz="6" w:space="0" w:color="auto"/>
              <w:bottom w:val="single" w:sz="6" w:space="0" w:color="000000"/>
              <w:right w:val="nil" w:sz="6" w:space="0" w:color="auto"/>
            </w:tcBorders>
          </w:tcPr>
          <w:p>
            <w:pPr/>
          </w:p>
        </w:tc>
        <w:tc>
          <w:tcPr>
            <w:tcW w:w="1327" w:type="dxa"/>
            <w:tcBorders>
              <w:top w:val="nil" w:sz="6" w:space="0" w:color="auto"/>
              <w:left w:val="nil" w:sz="6" w:space="0" w:color="auto"/>
              <w:bottom w:val="single" w:sz="6" w:space="0" w:color="000000"/>
              <w:right w:val="nil" w:sz="6" w:space="0" w:color="auto"/>
            </w:tcBorders>
          </w:tcPr>
          <w:p>
            <w:pPr/>
          </w:p>
        </w:tc>
        <w:tc>
          <w:tcPr>
            <w:tcW w:w="2059" w:type="dxa"/>
            <w:tcBorders>
              <w:top w:val="nil" w:sz="6" w:space="0" w:color="auto"/>
              <w:left w:val="nil" w:sz="6" w:space="0" w:color="auto"/>
              <w:bottom w:val="single" w:sz="6" w:space="0" w:color="000000"/>
              <w:right w:val="nil" w:sz="6" w:space="0" w:color="auto"/>
            </w:tcBorders>
          </w:tcPr>
          <w:p>
            <w:pPr/>
          </w:p>
        </w:tc>
        <w:tc>
          <w:tcPr>
            <w:tcW w:w="978" w:type="dxa"/>
            <w:tcBorders>
              <w:top w:val="nil" w:sz="6" w:space="0" w:color="auto"/>
              <w:left w:val="nil" w:sz="6" w:space="0" w:color="auto"/>
              <w:bottom w:val="single" w:sz="6"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1.6pt;height:.75pt;mso-position-horizontal-relative:char;mso-position-vertical-relative:line" coordorigin="0,0" coordsize="9432,15">
            <v:group style="position:absolute;left:7;top:7;width:9417;height:2" coordorigin="7,7" coordsize="9417,2">
              <v:shape style="position:absolute;left:7;top:7;width:9417;height:2" coordorigin="7,7" coordsize="9417,0" path="m7,7l9424,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15"/>
        <w:ind w:left="124" w:right="6139"/>
        <w:jc w:val="both"/>
      </w:pPr>
      <w:r>
        <w:rPr/>
        <w:t>产生的处置利得或损失，以及债务重组中因处 置非流动资产产生的利得或损失和非货币性资 产交换产生的利得或损失。</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1.6pt;height:.75pt;mso-position-horizontal-relative:char;mso-position-vertical-relative:line" coordorigin="0,0" coordsize="9432,15">
            <v:group style="position:absolute;left:7;top:7;width:9417;height:2" coordorigin="7,7" coordsize="9417,2">
              <v:shape style="position:absolute;left:7;top:7;width:9417;height:2" coordorigin="7,7" coordsize="9417,0" path="m7,7l9424,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spacing w:line="487" w:lineRule="auto" w:before="0"/>
        <w:ind w:left="112" w:right="79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0"/>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  </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累进税率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）企业所得税税收优惠 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日，再次取得深圳市科技创新委员会、深圳市财政委员会、深圳市国家税务局及深圳市地方税务局联</w:t>
      </w:r>
      <w:r>
        <w:rPr>
          <w:spacing w:val="-86"/>
        </w:rPr>
        <w:t> </w:t>
      </w:r>
      <w:r>
        <w:rPr>
          <w:spacing w:val="-86"/>
        </w:rPr>
      </w:r>
      <w:r>
        <w:rPr/>
        <w:t>合颁发的《高新技术企业证书》，证书编号：</w:t>
      </w:r>
      <w:r>
        <w:rPr>
          <w:rFonts w:ascii="Times New Roman" w:hAnsi="Times New Roman" w:cs="Times New Roman" w:eastAsia="Times New Roman" w:hint="default"/>
        </w:rPr>
        <w:t>GF201544201495</w:t>
      </w:r>
      <w:r>
        <w:rPr/>
        <w:t>。根据《中华人民共和国企业所得税法》第二十八条规定，</w:t>
      </w:r>
      <w:r>
        <w:rPr>
          <w:spacing w:val="-58"/>
        </w:rPr>
        <w:t> </w:t>
      </w:r>
      <w:r>
        <w:rPr>
          <w:spacing w:val="-58"/>
        </w:rPr>
      </w:r>
      <w:r>
        <w:rPr/>
        <w:t>国家需要重点扶持的高新技术企业，减按</w:t>
      </w:r>
      <w:r>
        <w:rPr>
          <w:rFonts w:ascii="Times New Roman" w:hAnsi="Times New Roman" w:cs="Times New Roman" w:eastAsia="Times New Roman" w:hint="default"/>
        </w:rPr>
        <w:t>15%</w:t>
      </w:r>
      <w:r>
        <w:rPr/>
        <w:t>的税率征收企业所得税，税收优惠期限为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本公司之子公司广和通软件于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日，取得深圳市科技创新委员会、深圳市财政委员会、深圳市国家税务局及深圳</w:t>
      </w:r>
      <w:r>
        <w:rPr>
          <w:spacing w:val="-59"/>
        </w:rPr>
        <w:t> </w:t>
      </w:r>
      <w:r>
        <w:rPr>
          <w:spacing w:val="-59"/>
        </w:rPr>
      </w:r>
      <w:r>
        <w:rPr/>
        <w:t>市地方税务局联合颁发的《高新技术企业证书》，证书编号：</w:t>
      </w:r>
      <w:r>
        <w:rPr>
          <w:rFonts w:ascii="Times New Roman" w:hAnsi="Times New Roman" w:cs="Times New Roman" w:eastAsia="Times New Roman" w:hint="default"/>
        </w:rPr>
        <w:t>GR201644202100</w:t>
      </w:r>
      <w:r>
        <w:rPr/>
        <w:t>。根据《中华人民共和国企业所得税法》第</w:t>
      </w:r>
      <w:r>
        <w:rPr>
          <w:spacing w:val="-71"/>
        </w:rPr>
        <w:t> </w:t>
      </w:r>
      <w:r>
        <w:rPr>
          <w:spacing w:val="-71"/>
        </w:rPr>
      </w:r>
      <w:r>
        <w:rPr>
          <w:spacing w:val="-1"/>
        </w:rPr>
        <w:t>二十八条规定，国家需要重点扶持的高新技术企业，减按</w:t>
      </w:r>
      <w:r>
        <w:rPr>
          <w:rFonts w:ascii="Times New Roman" w:hAnsi="Times New Roman" w:cs="Times New Roman" w:eastAsia="Times New Roman" w:hint="default"/>
          <w:spacing w:val="-1"/>
        </w:rPr>
        <w:t>15%</w:t>
      </w:r>
      <w:r>
        <w:rPr>
          <w:spacing w:val="-1"/>
        </w:rPr>
        <w:t>的税率征收企业所得税，税收优惠期限为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本公司之子公司浙江诺控于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日，取得浙江省科学技术厅、浙江省财政厅、浙江省国家税务局及浙江省地方税务</w:t>
      </w:r>
      <w:r>
        <w:rPr>
          <w:spacing w:val="-59"/>
        </w:rPr>
        <w:t> </w:t>
      </w:r>
      <w:r>
        <w:rPr>
          <w:spacing w:val="-59"/>
        </w:rPr>
      </w:r>
      <w:r>
        <w:rPr/>
        <w:t>局联合颁发的《高新技术企业证书》，证书编号：</w:t>
      </w:r>
      <w:r>
        <w:rPr>
          <w:rFonts w:ascii="Times New Roman" w:hAnsi="Times New Roman" w:cs="Times New Roman" w:eastAsia="Times New Roman" w:hint="default"/>
        </w:rPr>
        <w:t>GR201733003438</w:t>
      </w:r>
      <w:r>
        <w:rPr/>
        <w:t>。根据《中华人民共和国企业所得税法》第二十八条规</w:t>
      </w:r>
      <w:r>
        <w:rPr>
          <w:spacing w:val="-74"/>
        </w:rPr>
        <w:t> </w:t>
      </w:r>
      <w:r>
        <w:rPr>
          <w:spacing w:val="-74"/>
        </w:rPr>
      </w:r>
      <w:r>
        <w:rPr/>
        <w:t>定，国家需要重点扶持的高新技术企业，减按</w:t>
      </w:r>
      <w:r>
        <w:rPr>
          <w:rFonts w:ascii="Times New Roman" w:hAnsi="Times New Roman" w:cs="Times New Roman" w:eastAsia="Times New Roman" w:hint="default"/>
        </w:rPr>
        <w:t>15%</w:t>
      </w:r>
      <w:r>
        <w:rPr/>
        <w:t>的税率征收企业所得税，税收优惠期限为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spacing w:after="0" w:line="300" w:lineRule="auto"/>
        <w:jc w:val="left"/>
        <w:rPr>
          <w:rFonts w:ascii="Times New Roman" w:hAnsi="Times New Roman" w:cs="Times New Roman" w:eastAsia="Times New Roman" w:hint="default"/>
        </w:rPr>
        <w:sectPr>
          <w:pgSz w:w="11910" w:h="16840"/>
          <w:pgMar w:header="787" w:footer="1016" w:top="1100" w:bottom="1200" w:left="1020" w:right="1020"/>
        </w:sectPr>
      </w:pPr>
    </w:p>
    <w:p>
      <w:pPr>
        <w:spacing w:line="240" w:lineRule="auto" w:before="2"/>
        <w:rPr>
          <w:rFonts w:ascii="Times New Roman" w:hAnsi="Times New Roman" w:cs="Times New Roman" w:eastAsia="Times New Roman" w:hint="default"/>
          <w:sz w:val="26"/>
          <w:szCs w:val="26"/>
        </w:rPr>
      </w:pPr>
    </w:p>
    <w:p>
      <w:pPr>
        <w:pStyle w:val="BodyText"/>
        <w:spacing w:line="240" w:lineRule="auto" w:before="44"/>
        <w:ind w:right="0"/>
        <w:jc w:val="left"/>
      </w:pPr>
      <w:r>
        <w:rPr/>
        <w:t>日。</w:t>
      </w:r>
    </w:p>
    <w:p>
      <w:pPr>
        <w:pStyle w:val="BodyText"/>
        <w:spacing w:line="300" w:lineRule="auto" w:before="76"/>
        <w:ind w:right="110"/>
        <w:jc w:val="left"/>
      </w:pPr>
      <w:r>
        <w:rPr/>
        <w:t>（</w:t>
      </w:r>
      <w:r>
        <w:rPr>
          <w:rFonts w:ascii="Times New Roman" w:hAnsi="Times New Roman" w:cs="Times New Roman" w:eastAsia="Times New Roman" w:hint="default"/>
        </w:rPr>
        <w:t>2</w:t>
      </w:r>
      <w:r>
        <w:rPr/>
        <w:t>）增值税税收优惠 根据《国务院关于印发进一步鼓励软件产业和集成电路产业发展若干政策的通知》（国发</w:t>
      </w:r>
      <w:r>
        <w:rPr>
          <w:rFonts w:ascii="Times New Roman" w:hAnsi="Times New Roman" w:cs="Times New Roman" w:eastAsia="Times New Roman" w:hint="default"/>
        </w:rPr>
        <w:t>[2011]4</w:t>
      </w:r>
      <w:r>
        <w:rPr/>
        <w:t>号）及《财政部、国家税</w:t>
      </w:r>
      <w:r>
        <w:rPr>
          <w:spacing w:val="-34"/>
        </w:rPr>
        <w:t> </w:t>
      </w:r>
      <w:r>
        <w:rPr>
          <w:spacing w:val="-34"/>
        </w:rPr>
      </w:r>
      <w:r>
        <w:rPr/>
        <w:t>务总局关于软件产品增值税政策的通知》（财税</w:t>
      </w:r>
      <w:r>
        <w:rPr>
          <w:rFonts w:ascii="Times New Roman" w:hAnsi="Times New Roman" w:cs="Times New Roman" w:eastAsia="Times New Roman" w:hint="default"/>
        </w:rPr>
        <w:t>[2011]100</w:t>
      </w:r>
      <w:r>
        <w:rPr/>
        <w:t>号）的有关规定，本公司之子公司广和通软件销售自行开发生产</w:t>
      </w:r>
      <w:r>
        <w:rPr>
          <w:spacing w:val="-35"/>
        </w:rPr>
        <w:t> </w:t>
      </w:r>
      <w:r>
        <w:rPr>
          <w:spacing w:val="-35"/>
        </w:rPr>
      </w:r>
      <w:r>
        <w:rPr>
          <w:spacing w:val="-1"/>
        </w:rPr>
        <w:t>的软件商品，增值税实际税负超过</w:t>
      </w:r>
      <w:r>
        <w:rPr>
          <w:rFonts w:ascii="Times New Roman" w:hAnsi="Times New Roman" w:cs="Times New Roman" w:eastAsia="Times New Roman" w:hint="default"/>
          <w:spacing w:val="-1"/>
        </w:rPr>
        <w:t>3%</w:t>
      </w:r>
      <w:r>
        <w:rPr>
          <w:spacing w:val="-1"/>
        </w:rPr>
        <w:t>的部分可享受即征即退的税收优惠，广和通软件于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日取得由深圳市经济贸</w:t>
      </w:r>
      <w:r>
        <w:rPr/>
        <w:t> 易和信息化文员会颁发的</w:t>
      </w:r>
      <w:r>
        <w:rPr>
          <w:rFonts w:ascii="Times New Roman" w:hAnsi="Times New Roman" w:cs="Times New Roman" w:eastAsia="Times New Roman" w:hint="default"/>
        </w:rPr>
        <w:t>“</w:t>
      </w:r>
      <w:r>
        <w:rPr/>
        <w:t>软件企业认定证书</w:t>
      </w:r>
      <w:r>
        <w:rPr>
          <w:rFonts w:ascii="Times New Roman" w:hAnsi="Times New Roman" w:cs="Times New Roman" w:eastAsia="Times New Roman" w:hint="default"/>
        </w:rPr>
        <w:t>”</w:t>
      </w:r>
      <w:r>
        <w:rPr/>
        <w:t>证书编号：</w:t>
      </w:r>
      <w:r>
        <w:rPr>
          <w:rFonts w:ascii="Times New Roman" w:hAnsi="Times New Roman" w:cs="Times New Roman" w:eastAsia="Times New Roman" w:hint="default"/>
        </w:rPr>
        <w:t>R-2012-0330</w:t>
      </w:r>
      <w:r>
        <w:rPr/>
        <w:t>，享受增值税即征即退的税收优惠政策。</w:t>
      </w:r>
    </w:p>
    <w:p>
      <w:pPr>
        <w:spacing w:line="240" w:lineRule="auto" w:before="13"/>
        <w:rPr>
          <w:rFonts w:ascii="宋体" w:hAnsi="宋体" w:cs="宋体" w:eastAsia="宋体" w:hint="default"/>
          <w:sz w:val="21"/>
          <w:szCs w:val="21"/>
        </w:rPr>
      </w:pPr>
    </w:p>
    <w:p>
      <w:pPr>
        <w:spacing w:line="487" w:lineRule="auto" w:before="0"/>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18,809.33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27,065.56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72,605,762.35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114,379,738.95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10,197,800.07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4,788,628.08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82,822,371.75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119,195,432.59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18,654,716.89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10,543,161.83</w:t>
            </w:r>
          </w:p>
        </w:tc>
      </w:tr>
    </w:tbl>
    <w:p>
      <w:pPr>
        <w:pStyle w:val="BodyText"/>
        <w:spacing w:line="360" w:lineRule="auto" w:before="49"/>
        <w:ind w:right="0"/>
        <w:jc w:val="left"/>
      </w:pPr>
      <w:r>
        <w:rPr/>
        <w:t>其他说明 </w:t>
      </w:r>
      <w:r>
        <w:rPr>
          <w:spacing w:val="-1"/>
        </w:rPr>
        <w:t>期末，本集团其他货币资金</w:t>
      </w:r>
      <w:r>
        <w:rPr>
          <w:rFonts w:ascii="Times New Roman" w:hAnsi="Times New Roman" w:cs="Times New Roman" w:eastAsia="Times New Roman" w:hint="default"/>
          <w:spacing w:val="-1"/>
        </w:rPr>
        <w:t>10,197,800.07</w:t>
      </w:r>
      <w:r>
        <w:rPr>
          <w:spacing w:val="-1"/>
        </w:rPr>
        <w:t>元，其中</w:t>
      </w:r>
      <w:r>
        <w:rPr>
          <w:rFonts w:ascii="Times New Roman" w:hAnsi="Times New Roman" w:cs="Times New Roman" w:eastAsia="Times New Roman" w:hint="default"/>
          <w:spacing w:val="-1"/>
        </w:rPr>
        <w:t>7,847,111.07</w:t>
      </w:r>
      <w:r>
        <w:rPr>
          <w:spacing w:val="-1"/>
        </w:rPr>
        <w:t>元为银行承兑汇票保证金，</w:t>
      </w:r>
      <w:r>
        <w:rPr>
          <w:rFonts w:ascii="Times New Roman" w:hAnsi="Times New Roman" w:cs="Times New Roman" w:eastAsia="Times New Roman" w:hint="default"/>
          <w:spacing w:val="-1"/>
        </w:rPr>
        <w:t>2,350,689.00</w:t>
      </w:r>
      <w:r>
        <w:rPr>
          <w:spacing w:val="-1"/>
        </w:rPr>
        <w:t>元为诉讼冻结资金。</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26,792,401.83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51,571,657.67</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30,014,735.25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56,807,137.08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53,771,657.67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5,892,634.58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5,892,634.58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3254"/>
        <w:jc w:val="left"/>
      </w:pPr>
      <w:r>
        <w:rPr/>
        <w:t>其他说明 说明：不存在客观证据表明本集团应收票据发生减值，未计提应收票据减值准备。</w:t>
      </w:r>
    </w:p>
    <w:p>
      <w:pPr>
        <w:pStyle w:val="BodyText"/>
        <w:spacing w:line="316" w:lineRule="auto" w:before="27"/>
        <w:ind w:right="0"/>
        <w:jc w:val="left"/>
      </w:pPr>
      <w:r>
        <w:rPr>
          <w:spacing w:val="-2"/>
        </w:rPr>
        <w:t>用于背书或贴现的银行承兑汇票是由信用等级较高的银行承兑，信用风险和延期付款风险很小，并且票据相关的利率风险已</w:t>
      </w:r>
      <w:r>
        <w:rPr>
          <w:spacing w:val="-64"/>
        </w:rPr>
        <w:t> </w:t>
      </w:r>
      <w:r>
        <w:rPr>
          <w:spacing w:val="-64"/>
        </w:rPr>
      </w:r>
      <w:r>
        <w:rPr/>
        <w:t>转移给银行，可以判断票据所有权上的主要风险和报酬已经转移，故终止确认。</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205,366,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778.30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10,355,7</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82.73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195,010,9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58,074,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120.95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55,143,414.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205,366,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778.30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10,355,7</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82.73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195,010,9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58,074,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120.95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55,143,414.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50"/>
        <w:ind w:right="0"/>
        <w:jc w:val="left"/>
      </w:pPr>
      <w:r>
        <w:rPr/>
        <w:t>期末单项金额重大并单项计提坏账准备的应收账款：</w:t>
      </w:r>
    </w:p>
    <w:p>
      <w:pPr>
        <w:pStyle w:val="BodyText"/>
        <w:spacing w:line="34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spacing w:after="0" w:line="3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204,960,840.22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10,248,042.02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204,960,840.22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10,248,042.02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334,938.08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50,240.71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205,366,778.30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10,355,782.73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5.04%</w:t>
            </w:r>
          </w:p>
        </w:tc>
      </w:tr>
    </w:tbl>
    <w:p>
      <w:pPr>
        <w:pStyle w:val="BodyText"/>
        <w:spacing w:line="360" w:lineRule="auto" w:before="50"/>
        <w:ind w:right="5414"/>
        <w:jc w:val="left"/>
      </w:pPr>
      <w:r>
        <w:rPr/>
        <w:t>确定该组合依据的说明： 组合中，采用余额百分比法计提坏账准备的应收账款：</w:t>
      </w:r>
    </w:p>
    <w:p>
      <w:pPr>
        <w:pStyle w:val="BodyText"/>
        <w:spacing w:line="338" w:lineRule="auto" w:before="27"/>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3"/>
          <w:pgSz w:w="11910" w:h="16840"/>
          <w:pgMar w:footer="1016" w:header="787" w:top="1100" w:bottom="1200" w:left="1020" w:right="1020"/>
          <w:pgNumType w:start="12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6,777,654.49</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6413" w:space="241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其中重要的应收账款核销情况：</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p>
      <w:pPr>
        <w:pStyle w:val="BodyText"/>
        <w:spacing w:line="300" w:lineRule="auto" w:before="25"/>
        <w:ind w:right="146"/>
        <w:jc w:val="left"/>
      </w:pPr>
      <w:r>
        <w:rPr/>
        <w:t>本期按欠款方归集的期末余额前五名应收账款汇总金额 </w:t>
      </w:r>
      <w:r>
        <w:rPr>
          <w:rFonts w:ascii="Times New Roman" w:hAnsi="Times New Roman" w:cs="Times New Roman" w:eastAsia="Times New Roman" w:hint="default"/>
        </w:rPr>
        <w:t>131,295,414.84 </w:t>
      </w:r>
      <w:r>
        <w:rPr/>
        <w:t>元，占应收账款期末余额合计数的比例</w:t>
      </w:r>
      <w:r>
        <w:rPr>
          <w:spacing w:val="-57"/>
        </w:rPr>
        <w:t> </w:t>
      </w:r>
      <w:r>
        <w:rPr>
          <w:rFonts w:ascii="Times New Roman" w:hAnsi="Times New Roman" w:cs="Times New Roman" w:eastAsia="Times New Roman" w:hint="default"/>
        </w:rPr>
        <w:t>63.93%</w:t>
      </w:r>
      <w:r>
        <w:rPr/>
        <w:t>，相 应计提的坏账准备期末余额汇总金额 </w:t>
      </w:r>
      <w:r>
        <w:rPr>
          <w:rFonts w:ascii="Times New Roman" w:hAnsi="Times New Roman" w:cs="Times New Roman" w:eastAsia="Times New Roman" w:hint="default"/>
        </w:rPr>
        <w:t>6,564,770.74</w:t>
      </w:r>
      <w:r>
        <w:rPr>
          <w:rFonts w:ascii="Times New Roman" w:hAnsi="Times New Roman" w:cs="Times New Roman" w:eastAsia="Times New Roman" w:hint="default"/>
          <w:spacing w:val="-6"/>
        </w:rPr>
        <w:t> </w:t>
      </w:r>
      <w:r>
        <w:rPr/>
        <w:t>元。</w:t>
      </w:r>
    </w:p>
    <w:p>
      <w:pPr>
        <w:spacing w:after="0" w:line="300" w:lineRule="auto"/>
        <w:jc w:val="left"/>
        <w:sectPr>
          <w:type w:val="continuous"/>
          <w:pgSz w:w="11910" w:h="16840"/>
          <w:pgMar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2,470,659.22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8"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2,470,659.22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71"/>
        <w:jc w:val="left"/>
      </w:pPr>
      <w:r>
        <w:rPr/>
        <w:t>本期按预付对象归集的期末余额前五名预付款项汇总金额</w:t>
      </w:r>
      <w:r>
        <w:rPr>
          <w:spacing w:val="-48"/>
        </w:rPr>
        <w:t> </w:t>
      </w:r>
      <w:r>
        <w:rPr>
          <w:rFonts w:ascii="Times New Roman" w:hAnsi="Times New Roman" w:cs="Times New Roman" w:eastAsia="Times New Roman" w:hint="default"/>
        </w:rPr>
        <w:t>1,953,342.41</w:t>
      </w:r>
      <w:r>
        <w:rPr>
          <w:rFonts w:ascii="Times New Roman" w:hAnsi="Times New Roman" w:cs="Times New Roman" w:eastAsia="Times New Roman" w:hint="default"/>
          <w:spacing w:val="-4"/>
        </w:rPr>
        <w:t> </w:t>
      </w:r>
      <w:r>
        <w:rPr/>
        <w:t>元，占预付款项期末余额合计数的比例</w:t>
      </w:r>
      <w:r>
        <w:rPr>
          <w:spacing w:val="-50"/>
        </w:rPr>
        <w:t> </w:t>
      </w:r>
      <w:r>
        <w:rPr>
          <w:rFonts w:ascii="Times New Roman" w:hAnsi="Times New Roman" w:cs="Times New Roman" w:eastAsia="Times New Roman" w:hint="default"/>
        </w:rPr>
        <w:t>79.06%</w:t>
      </w:r>
      <w:r>
        <w:rPr/>
        <w:t>。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12,404,4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765,761.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11,638,69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1,274,4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159,147.4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1,115,261.8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12,404,4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11,638,69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1,274,4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159,147.4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1,115,261.8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pStyle w:val="BodyText"/>
        <w:spacing w:line="240" w:lineRule="auto" w:before="50"/>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11,888,893.09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595,305.65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11,888,893.09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595,305.65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375,156.95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26,223.00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87,959.24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12,404,455.28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765,761.43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6.17%</w:t>
            </w:r>
          </w:p>
        </w:tc>
      </w:tr>
    </w:tbl>
    <w:p>
      <w:pPr>
        <w:pStyle w:val="BodyText"/>
        <w:spacing w:line="357" w:lineRule="auto" w:before="51"/>
        <w:ind w:right="5234"/>
        <w:jc w:val="left"/>
      </w:pPr>
      <w:r>
        <w:rPr/>
        <w:t>确定该组合依据的说明： 组合中，采用余额百分比法计提坏账准备的其他应收款：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组合中，采用其他方法计提坏账准备的其他应收款：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6" w:top="1100" w:bottom="1200" w:left="1020" w:right="1020"/>
        </w:sectPr>
      </w:pPr>
    </w:p>
    <w:p>
      <w:pPr>
        <w:pStyle w:val="BodyText"/>
        <w:spacing w:line="338" w:lineRule="auto" w:before="44"/>
        <w:ind w:right="-9"/>
        <w:jc w:val="left"/>
      </w:pPr>
      <w:r>
        <w:rPr/>
        <w:t>本期计提坏账准备金额</w:t>
      </w:r>
      <w:r>
        <w:rPr>
          <w:spacing w:val="-47"/>
        </w:rPr>
        <w:t> </w:t>
      </w:r>
      <w:r>
        <w:rPr>
          <w:rFonts w:ascii="Times New Roman" w:hAnsi="Times New Roman" w:cs="Times New Roman" w:eastAsia="Times New Roman" w:hint="default"/>
        </w:rPr>
        <w:t>522,954.00</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6279" w:space="2551"/>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其中重要的其他应收款核销情况：</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10,333,290.55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1,347,730.26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893,891.00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289,334.13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102,177.48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257,163.25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167,296.87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176,937.09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111,043.93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12,404,455.28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1,274,409.28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10,333,290.55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516,664.53</w:t>
            </w:r>
          </w:p>
        </w:tc>
      </w:tr>
      <w:tr>
        <w:trPr>
          <w:trHeight w:val="71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深圳市科大二期置 业管理有限公司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16,291.60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深圳招商房地产有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34,903.25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杭州海兴电力科技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年和</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华南国际经济贸易 仲裁委员会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117,982.00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13,914.10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11,173,155.55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614,273.48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9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2,174,510.46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1,883,412.00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228,579.64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124,724.64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31,873,141.97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1,200,834.57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30,672,307.40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11,757,696.21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423,246.32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11,334,449.89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45,428,435.80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538,849.40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44,889,586.40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20,125,788.72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467,316.68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19,658,472.04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2,507,776.72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2,507,776.72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81,983,864.95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2,030,782.43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79,953,082.52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32,112,064.57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31,117,646.57</w:t>
            </w:r>
          </w:p>
        </w:tc>
      </w:tr>
    </w:tbl>
    <w:p>
      <w:pPr>
        <w:pStyle w:val="BodyText"/>
        <w:spacing w:line="340" w:lineRule="auto" w:before="50"/>
        <w:ind w:right="145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55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240" w:lineRule="auto" w:before="43"/>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103,855.00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187,243.46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291,098.46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423,246.32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710,816.29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66,771.96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1,200,834.57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467,316.68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71,532.72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538,849.40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994,418.00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969,592.47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66,771.96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2,030,782.43</w:t>
            </w:r>
          </w:p>
        </w:tc>
      </w:tr>
    </w:tbl>
    <w:p>
      <w:pPr>
        <w:pStyle w:val="BodyText"/>
        <w:spacing w:line="316" w:lineRule="auto" w:before="11"/>
        <w:ind w:right="0"/>
        <w:jc w:val="left"/>
      </w:pPr>
      <w:r>
        <w:rPr>
          <w:spacing w:val="-2"/>
        </w:rPr>
        <w:t>原材料与委托加工物资确认可变现净值的依据：存货的估计售价减去至完工时估计将要发生的成本、估计的销售费用以及相</w:t>
      </w:r>
      <w:r>
        <w:rPr>
          <w:spacing w:val="-64"/>
        </w:rPr>
        <w:t> </w:t>
      </w:r>
      <w:r>
        <w:rPr>
          <w:spacing w:val="-64"/>
        </w:rPr>
      </w:r>
      <w:r>
        <w:rPr/>
        <w:t>关税费后的金额；</w:t>
      </w:r>
    </w:p>
    <w:p>
      <w:pPr>
        <w:pStyle w:val="BodyText"/>
        <w:spacing w:line="240" w:lineRule="auto" w:before="19"/>
        <w:ind w:right="0"/>
        <w:jc w:val="left"/>
      </w:pPr>
      <w:r>
        <w:rPr/>
        <w:t>库存商品确认可变现净值的依据：存货的估计售价减去估计的销售费用以及相关税费后的金额。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5,007,709.97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550,955.78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应收供应商返利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19,896,697.66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申报中介机构费用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1,367,924.53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125,455,363.41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1,367,924.53</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深圳市博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378,835.9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 w:right="0"/>
              <w:jc w:val="left"/>
              <w:rPr>
                <w:rFonts w:ascii="Times New Roman" w:hAnsi="Times New Roman" w:cs="Times New Roman" w:eastAsia="Times New Roman" w:hint="default"/>
                <w:sz w:val="18"/>
                <w:szCs w:val="18"/>
              </w:rPr>
            </w:pPr>
            <w:r>
              <w:rPr>
                <w:rFonts w:ascii="Times New Roman"/>
                <w:sz w:val="18"/>
              </w:rPr>
              <w:t>66,165.33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left"/>
              <w:rPr>
                <w:rFonts w:ascii="Times New Roman" w:hAnsi="Times New Roman" w:cs="Times New Roman" w:eastAsia="Times New Roman" w:hint="default"/>
                <w:sz w:val="18"/>
                <w:szCs w:val="18"/>
              </w:rPr>
            </w:pPr>
            <w:r>
              <w:rPr>
                <w:rFonts w:ascii="Times New Roman"/>
                <w:sz w:val="18"/>
              </w:rPr>
              <w:t>445,001.2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格斯通信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378,835.9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both"/>
      </w:pPr>
      <w:r>
        <w:rPr/>
        <w:t>其他说明</w:t>
      </w:r>
    </w:p>
    <w:p>
      <w:pPr>
        <w:pStyle w:val="BodyText"/>
        <w:spacing w:line="300" w:lineRule="auto" w:before="117"/>
        <w:ind w:right="165"/>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月，王洪媛、周学兵、梁德流、李佳军、赖小美与本公司签订《关于深圳市博格斯通信技术有限公司之增资投资 </w:t>
      </w:r>
      <w:r>
        <w:rPr>
          <w:spacing w:val="-7"/>
        </w:rPr>
        <w:t>协议书》，同意本公司以人民币</w:t>
      </w:r>
      <w:r>
        <w:rPr>
          <w:spacing w:val="-42"/>
        </w:rPr>
        <w:t> </w:t>
      </w:r>
      <w:r>
        <w:rPr>
          <w:rFonts w:ascii="Times New Roman" w:hAnsi="Times New Roman" w:cs="Times New Roman" w:eastAsia="Times New Roman" w:hint="default"/>
        </w:rPr>
        <w:t>45 </w:t>
      </w:r>
      <w:r>
        <w:rPr/>
        <w:t>万元出资认缴深圳市博格斯通信技术有限公司（以下简称博格斯公司）</w:t>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t>万元新增注册 资本，本公司持股比例为</w:t>
      </w:r>
      <w:r>
        <w:rPr>
          <w:spacing w:val="-47"/>
        </w:rPr>
        <w:t> </w:t>
      </w:r>
      <w:r>
        <w:rPr>
          <w:rFonts w:ascii="Times New Roman" w:hAnsi="Times New Roman" w:cs="Times New Roman" w:eastAsia="Times New Roman" w:hint="default"/>
        </w:rPr>
        <w:t>15%</w:t>
      </w:r>
      <w:r>
        <w:rPr/>
        <w:t>，因本公司在博格斯公司三名董事会成员中占有一席之位，对博格斯公司具有重大影响，故 本公司按权益法对博格斯公司股权投资进行核算。</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研发检测设备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10,756,860.45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4,101,179.94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1,800,351.88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16,658,392.27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7,189,592.71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520,719.91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1,789,876.05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9,500,188.67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6,616,013.27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132,492.56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1,216,461.89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7,964,967.72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573,579.44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573,414.16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1,535,220.95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1,610,425.01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1,732,372.01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1,610,425.01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1,732,372.01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16,336,028.15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4,509,699.85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3,580,480.93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24,426,208.93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4,404,679.53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2,201,653.88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1,182,341.42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7,788,674.83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2,893,301.40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727,334.04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752,033.60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4,372,669.04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2,802,221.01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481,193.97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468,490.07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3,751,905.05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）其它增加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91,080.39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246,140.07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283,543.53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620,763.99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634,884.44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88,825.00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732,969.09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634,884.44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9,259.65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732,969.09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6,663,096.49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2,840,162.92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1,925,115.37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11,428,374.78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9,672,931.66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1,669,536.93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1,655,365.56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12,997,834.15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6,352,180.92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1,899,526.06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618,010.46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8,869,717.14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footerReference w:type="default" r:id="rId34"/>
          <w:pgSz w:w="11910" w:h="16840"/>
          <w:pgMar w:footer="1016" w:header="787" w:top="1100" w:bottom="1200" w:left="1020" w:right="1020"/>
          <w:pgNumType w:start="13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2,882,617.00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2,542,455.67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5,425,072.67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8,326,856.51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4,053,485.00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266,554.78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12,646,896.29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4,021,275.46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4,053,485.00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246,896.66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8,321,657.12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4,305,581.05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4,325,239.17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8,326,856.51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6,936,102.00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2,809,010.45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18,071,968.96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3,793,040.73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2,882,617.00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910,423.73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3,793,040.73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370,796.29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305,172.58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763,290.77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370,796.29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294,032.82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752,151.01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11,139.76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4,163,837.02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2,969,938.90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1,215,596.31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4,556,331.50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4,163,019.49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3,966,163.10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1,593,414.14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13,515,637.46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1,632,031.94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1,632,031.94</w:t>
            </w:r>
          </w:p>
        </w:tc>
      </w:tr>
    </w:tbl>
    <w:p>
      <w:pPr>
        <w:pStyle w:val="BodyText"/>
        <w:spacing w:line="240" w:lineRule="auto" w:before="51"/>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0"/>
        <w:jc w:val="left"/>
      </w:pPr>
      <w:r>
        <w:rPr/>
        <w:t>其他说明：</w:t>
      </w:r>
    </w:p>
    <w:p>
      <w:pPr>
        <w:pStyle w:val="BodyText"/>
        <w:spacing w:line="240" w:lineRule="auto" w:before="117"/>
        <w:ind w:right="0"/>
        <w:jc w:val="left"/>
      </w:pPr>
      <w:r>
        <w:rPr/>
        <w:t>本期企业合并增加无形资产</w:t>
      </w:r>
      <w:r>
        <w:rPr>
          <w:spacing w:val="-68"/>
        </w:rPr>
        <w:t> </w:t>
      </w:r>
      <w:r>
        <w:rPr>
          <w:rFonts w:ascii="Times New Roman" w:hAnsi="Times New Roman" w:cs="Times New Roman" w:eastAsia="Times New Roman" w:hint="default"/>
        </w:rPr>
        <w:t>4,305,581.05</w:t>
      </w:r>
      <w:r>
        <w:rPr>
          <w:rFonts w:ascii="Times New Roman" w:hAnsi="Times New Roman" w:cs="Times New Roman" w:eastAsia="Times New Roman" w:hint="default"/>
          <w:spacing w:val="-23"/>
        </w:rPr>
        <w:t> </w:t>
      </w:r>
      <w:r>
        <w:rPr/>
        <w:t>元，为非同一控制下企业合并，被并购方浙江诺控在购买日按公允价值确认的专利</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3189"/>
        <w:gridCol w:w="3189"/>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浙江诺控通信技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22,970,110.91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22,970,110.91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22,970,110.91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22,970,110.91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9"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right="5054"/>
        <w:jc w:val="left"/>
      </w:pPr>
      <w:r>
        <w:rPr/>
        <w:t>说明商誉减值测试过程、参数及商誉减值损失的确认方法： 其他说明</w:t>
      </w:r>
    </w:p>
    <w:p>
      <w:pPr>
        <w:pStyle w:val="BodyText"/>
        <w:spacing w:line="240" w:lineRule="auto" w:before="25"/>
        <w:ind w:right="0"/>
        <w:jc w:val="left"/>
        <w:rPr>
          <w:rFonts w:ascii="Times New Roman" w:hAnsi="Times New Roman" w:cs="Times New Roman" w:eastAsia="Times New Roman" w:hint="default"/>
        </w:rPr>
      </w:pPr>
      <w:r>
        <w:rPr/>
        <w:t>根据本公司</w:t>
      </w:r>
      <w:r>
        <w:rPr>
          <w:spacing w:val="-5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年</w:t>
      </w:r>
      <w:r>
        <w:rPr>
          <w:spacing w:val="-6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月</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日召开的董事会第十七次会议决议</w:t>
      </w:r>
      <w:r>
        <w:rPr>
          <w:spacing w:val="-89"/>
        </w:rPr>
        <w:t>，</w:t>
      </w:r>
      <w:r>
        <w:rPr/>
        <w:t>公司以现金</w:t>
      </w:r>
      <w:r>
        <w:rPr>
          <w:spacing w:val="-6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万元收购浙江诺控通信技术有限公司</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p>
    <w:p>
      <w:pPr>
        <w:pStyle w:val="BodyText"/>
        <w:spacing w:line="307" w:lineRule="auto" w:before="63"/>
        <w:ind w:right="97"/>
        <w:jc w:val="left"/>
      </w:pPr>
      <w:r>
        <w:rPr/>
        <w:t>股权，形成商誉</w:t>
      </w:r>
      <w:r>
        <w:rPr>
          <w:spacing w:val="-49"/>
        </w:rPr>
        <w:t> </w:t>
      </w:r>
      <w:r>
        <w:rPr>
          <w:rFonts w:ascii="Times New Roman" w:hAnsi="Times New Roman" w:cs="Times New Roman" w:eastAsia="Times New Roman" w:hint="default"/>
        </w:rPr>
        <w:t>22,970,110.91</w:t>
      </w:r>
      <w:r>
        <w:rPr>
          <w:rFonts w:ascii="Times New Roman" w:hAnsi="Times New Roman" w:cs="Times New Roman" w:eastAsia="Times New Roman" w:hint="default"/>
          <w:spacing w:val="-5"/>
        </w:rPr>
        <w:t> </w:t>
      </w:r>
      <w:r>
        <w:rPr/>
        <w:t>元。本集团采用预计未来现金流现值的方法计算资产组的可收回金额。本集团根据管理层批 准的财务预算预计未来</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年内现金流量，其后年度采用的现金流量增长率预计为</w:t>
      </w:r>
      <w:r>
        <w:rPr>
          <w:spacing w:val="-63"/>
        </w:rPr>
        <w:t> </w:t>
      </w:r>
      <w:r>
        <w:rPr>
          <w:rFonts w:ascii="Times New Roman" w:hAnsi="Times New Roman" w:cs="Times New Roman" w:eastAsia="Times New Roman" w:hint="default"/>
        </w:rPr>
        <w:t>7.93%</w:t>
      </w:r>
      <w:r>
        <w:rPr/>
        <w:t>，不会超过资产组经营业务的长期平 均增长率。管理层根据过往表现及其对市场发展的预期编制上述财务预算。计算未来现金流现值所采用的税前折现率为 </w:t>
      </w:r>
      <w:r>
        <w:rPr>
          <w:rFonts w:ascii="Times New Roman" w:hAnsi="Times New Roman" w:cs="Times New Roman" w:eastAsia="Times New Roman" w:hint="default"/>
        </w:rPr>
        <w:t>12.66%</w:t>
      </w:r>
      <w:r>
        <w:rPr/>
        <w:t>，已反映了相对于有关分部的风险。根据减值测试的结果，本期期末商誉未发生减值。</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76,181.22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1" w:right="0"/>
              <w:jc w:val="left"/>
              <w:rPr>
                <w:rFonts w:ascii="Times New Roman" w:hAnsi="Times New Roman" w:cs="Times New Roman" w:eastAsia="Times New Roman" w:hint="default"/>
                <w:sz w:val="18"/>
                <w:szCs w:val="18"/>
              </w:rPr>
            </w:pPr>
            <w:r>
              <w:rPr>
                <w:rFonts w:ascii="Times New Roman"/>
                <w:sz w:val="18"/>
              </w:rPr>
              <w:t>177,536.64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86,725.38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166,992.48</w:t>
            </w:r>
          </w:p>
        </w:tc>
      </w:tr>
      <w:tr>
        <w:trPr>
          <w:trHeight w:val="71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产学研合作项目费 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291,666.65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534,514.55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177,536.64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253,392.06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0" w:right="0"/>
              <w:jc w:val="left"/>
              <w:rPr>
                <w:rFonts w:ascii="Times New Roman" w:hAnsi="Times New Roman" w:cs="Times New Roman" w:eastAsia="Times New Roman" w:hint="default"/>
                <w:sz w:val="18"/>
                <w:szCs w:val="18"/>
              </w:rPr>
            </w:pPr>
            <w:r>
              <w:rPr>
                <w:rFonts w:ascii="Times New Roman"/>
                <w:sz w:val="18"/>
              </w:rPr>
              <w:t>458,659.13</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13,152,326.59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2,014,202.94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4,084,271.45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617,665.95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1,822,282.35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284,549.18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1,119,979.49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167,996.92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2,521,573.80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378,236.07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22,496,182.74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3,426,988.19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10,204,250.94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1,535,662.87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4,360,454.94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654,068.24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9,584.51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4,393,335.47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659,000.32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63,896.73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9,584.51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3,426,988.19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1,535,662.87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659,000.32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9,584.51</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8,272,358.35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3,401,557.37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8,272,358.35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3,401,557.37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126,009.51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3,275,547.86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3,275,547.86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4,870,800.98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8,272,358.35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3,401,557.37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2985"/>
        <w:jc w:val="left"/>
      </w:pPr>
      <w:r>
        <w:rPr/>
        <w:t>其他说明： 美国广和通纳税年度发生的亏损用以后年度的所得弥补，结转年限最长不超过</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预付平台许可费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659,033.37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659,033.37</w:t>
            </w:r>
          </w:p>
        </w:tc>
      </w:tr>
    </w:tbl>
    <w:p>
      <w:pPr>
        <w:pStyle w:val="BodyText"/>
        <w:spacing w:line="240" w:lineRule="auto" w:before="49"/>
        <w:ind w:right="0"/>
        <w:jc w:val="left"/>
      </w:pPr>
      <w:r>
        <w:rPr/>
        <w:t>其他说明：</w:t>
      </w:r>
    </w:p>
    <w:p>
      <w:pPr>
        <w:pStyle w:val="BodyText"/>
        <w:spacing w:line="240" w:lineRule="auto" w:before="117"/>
        <w:ind w:right="0"/>
        <w:jc w:val="left"/>
      </w:pPr>
      <w:r>
        <w:rPr/>
        <w:t>股权投资款</w:t>
      </w:r>
      <w:r>
        <w:rPr>
          <w:spacing w:val="-47"/>
        </w:rPr>
        <w:t> </w:t>
      </w:r>
      <w:r>
        <w:rPr>
          <w:rFonts w:ascii="Times New Roman" w:hAnsi="Times New Roman" w:cs="Times New Roman" w:eastAsia="Times New Roman" w:hint="default"/>
        </w:rPr>
        <w:t>6,273,040.00</w:t>
      </w:r>
      <w:r>
        <w:rPr>
          <w:rFonts w:ascii="Times New Roman" w:hAnsi="Times New Roman" w:cs="Times New Roman" w:eastAsia="Times New Roman" w:hint="default"/>
          <w:spacing w:val="-3"/>
        </w:rPr>
        <w:t> </w:t>
      </w:r>
      <w:r>
        <w:rPr/>
        <w:t>元为对德国全资子公司的股权投资，截至本报告期末，德国子公司尚未完成注册登记。</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53,568,400.00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13,550,000.00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57" w:lineRule="auto" w:before="44"/>
        <w:ind w:right="6854"/>
        <w:jc w:val="left"/>
      </w:pPr>
      <w:r>
        <w:rPr/>
        <w:t>其他说明： 本公司无已到期但尚未偿还的借款。</w:t>
      </w:r>
    </w:p>
    <w:p>
      <w:pPr>
        <w:pStyle w:val="BodyText"/>
        <w:spacing w:line="240" w:lineRule="auto" w:before="29"/>
        <w:ind w:right="0"/>
        <w:jc w:val="left"/>
        <w:rPr>
          <w:rFonts w:ascii="Times New Roman" w:hAnsi="Times New Roman" w:cs="Times New Roman" w:eastAsia="Times New Roman" w:hint="default"/>
        </w:rPr>
      </w:pPr>
      <w:r>
        <w:rPr/>
        <w:t>关联方保证、抵押或质押情况详见本报告第十一节</w:t>
      </w:r>
      <w:r>
        <w:rPr>
          <w:spacing w:val="1"/>
        </w:rPr>
        <w:t> </w:t>
      </w:r>
      <w:r>
        <w:rPr/>
        <w:t>十二、</w:t>
      </w:r>
      <w:r>
        <w:rPr>
          <w:rFonts w:ascii="Times New Roman" w:hAnsi="Times New Roman" w:cs="Times New Roman" w:eastAsia="Times New Roman" w:hint="default"/>
        </w:rPr>
        <w:t>5</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7"/>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月，本公司通过非同一控制下并购取得了浙江诺控</w:t>
      </w:r>
      <w:r>
        <w:rPr>
          <w:spacing w:val="-47"/>
        </w:rPr>
        <w:t> </w:t>
      </w:r>
      <w:r>
        <w:rPr>
          <w:rFonts w:ascii="Times New Roman" w:hAnsi="Times New Roman" w:cs="Times New Roman" w:eastAsia="Times New Roman" w:hint="default"/>
        </w:rPr>
        <w:t>100%</w:t>
      </w:r>
      <w:r>
        <w:rPr/>
        <w:t>股权，股权取得成本</w:t>
      </w:r>
      <w:r>
        <w:rPr>
          <w:spacing w:val="-4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万元。第一笔股权转让价款</w:t>
      </w:r>
    </w:p>
    <w:p>
      <w:pPr>
        <w:pStyle w:val="BodyText"/>
        <w:spacing w:line="240" w:lineRule="auto" w:before="63"/>
        <w:ind w:right="0"/>
        <w:jc w:val="left"/>
      </w:pPr>
      <w:r>
        <w:rPr>
          <w:rFonts w:ascii="Times New Roman" w:hAnsi="Times New Roman" w:cs="Times New Roman" w:eastAsia="Times New Roman" w:hint="default"/>
        </w:rPr>
        <w:t>1,500</w:t>
      </w:r>
      <w:r>
        <w:rPr>
          <w:rFonts w:ascii="Times New Roman" w:hAnsi="Times New Roman" w:cs="Times New Roman" w:eastAsia="Times New Roman" w:hint="default"/>
          <w:spacing w:val="-4"/>
        </w:rPr>
        <w:t> </w:t>
      </w:r>
      <w:r>
        <w:rPr/>
        <w:t>万元已于签订股权转让协议并完成股权交割等事项支付；浙江诺控需满足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4"/>
        </w:rPr>
        <w:t>年、</w:t>
      </w:r>
      <w:r>
        <w:rPr>
          <w:rFonts w:ascii="Times New Roman" w:hAnsi="Times New Roman" w:cs="Times New Roman" w:eastAsia="Times New Roman" w:hint="default"/>
          <w:spacing w:val="-4"/>
        </w:rPr>
        <w:t>2018 </w:t>
      </w:r>
      <w:r>
        <w:rPr/>
        <w:t>年和</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年审计后的销售收</w:t>
      </w:r>
    </w:p>
    <w:p>
      <w:pPr>
        <w:pStyle w:val="BodyText"/>
        <w:spacing w:line="240" w:lineRule="auto" w:before="63"/>
        <w:ind w:right="0"/>
        <w:jc w:val="left"/>
      </w:pPr>
      <w:r>
        <w:rPr/>
        <w:t>入合计不低于</w:t>
      </w:r>
      <w:r>
        <w:rPr>
          <w:spacing w:val="-46"/>
        </w:rPr>
        <w:t> </w:t>
      </w:r>
      <w:r>
        <w:rPr>
          <w:rFonts w:ascii="Times New Roman" w:hAnsi="Times New Roman" w:cs="Times New Roman" w:eastAsia="Times New Roman" w:hint="default"/>
        </w:rPr>
        <w:t>24,000</w:t>
      </w:r>
      <w:r>
        <w:rPr>
          <w:rFonts w:ascii="Times New Roman" w:hAnsi="Times New Roman" w:cs="Times New Roman" w:eastAsia="Times New Roman" w:hint="default"/>
          <w:spacing w:val="-2"/>
        </w:rPr>
        <w:t> </w:t>
      </w:r>
      <w:r>
        <w:rPr/>
        <w:t>万元时支付剩余转让款。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21,864,241.70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13,375,507.36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21,864,241.70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13,375,507.36</w:t>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117,054,112.40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84,813,321.14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3,635,484.41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120,689,596.81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84,813,321.14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3,257,536.74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674,698.00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预收产品开发费用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320,411.87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1,691,968.57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3,577,948.61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2,366,666.57</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4;height:397" coordorigin="13,12" coordsize="4774,397">
              <v:shape style="position:absolute;left:13;top:12;width:4774;height:397" coordorigin="13,12" coordsize="4774,397" path="m13,12l4787,12,4787,409,13,409,13,12xe" filled="true" fillcolor="#d2d2d2" stroked="false">
                <v:path arrowok="t"/>
                <v:fill type="solid"/>
              </v:shape>
            </v:group>
            <v:group style="position:absolute;left:4792;top:12;width:4784;height:397" coordorigin="4792,12" coordsize="4784,397">
              <v:shape style="position:absolute;left:4792;top:12;width:4784;height:397" coordorigin="4792,12" coordsize="4784,397" path="m4792,12l9576,12,9576,409,4792,409,4792,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7,782,107.06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70,437,620.92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59,522,465.65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18,697,262.33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1,556,135.86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1,556,135.86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153,743.85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153,743.85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7,782,107.06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72,147,500.63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61,232,345.36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18,697,262.33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7,782,107.06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65,896,236.88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54,981,081.61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18,697,262.33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2,843,522.36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2,843,522.36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606,691.45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606,691.45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504,772.46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504,772.46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46,894.29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46,894.29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55,024.70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55,024.70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619,184.50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619,184.50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471,985.73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471,985.73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7,782,107.06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70,437,620.92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59,522,465.65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18,697,262.33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1,484,750.59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1,484,750.59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71,385.27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71,385.27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1,556,135.86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1,556,135.86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1,507,314.49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1,598,073.81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1,630,813.36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2,912,748.53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313,696.51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114,086.83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107,904.44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81,490.60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77,074.64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56,701.82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110,166.91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3,929,045.27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5,119,664.84</w:t>
            </w:r>
          </w:p>
        </w:tc>
      </w:tr>
    </w:tbl>
    <w:p>
      <w:pPr>
        <w:pStyle w:val="BodyText"/>
        <w:spacing w:line="240" w:lineRule="auto" w:before="50"/>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重要的已逾期未支付的利息情况：</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2,603,920.51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409,727.71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产学研合作项目费用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2,895,720.51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609,727.71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0"/>
        <w:ind w:right="757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5"/>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234"/>
        <w:jc w:val="left"/>
      </w:pPr>
      <w:r>
        <w:rPr/>
        <w:t>期末发行在外的优先股、永续债等其他金融工具基本情况 期末发行在外的优先股、永续债等金融工具变动情况表</w:t>
      </w:r>
    </w:p>
    <w:p>
      <w:pPr>
        <w:spacing w:after="0" w:line="360" w:lineRule="auto"/>
        <w:jc w:val="left"/>
        <w:sectPr>
          <w:footerReference w:type="default" r:id="rId35"/>
          <w:pgSz w:w="11910" w:h="16840"/>
          <w:pgMar w:footer="1016" w:header="787" w:top="1100" w:bottom="1200" w:left="1020" w:right="1020"/>
          <w:pgNumType w:start="140"/>
        </w:sectPr>
      </w:pPr>
    </w:p>
    <w:p>
      <w:pPr>
        <w:spacing w:line="240" w:lineRule="auto" w:before="13"/>
        <w:rPr>
          <w:rFonts w:ascii="宋体" w:hAnsi="宋体" w:cs="宋体" w:eastAsia="宋体" w:hint="default"/>
          <w:sz w:val="22"/>
          <w:szCs w:val="22"/>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0"/>
        <w:ind w:right="6494"/>
        <w:jc w:val="left"/>
      </w:pPr>
      <w:r>
        <w:rPr/>
        <w:t>其他金融工具划分为金融负债的依据说明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设定受益计划净负债（净资产）</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253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61"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技</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28"/>
              <w:jc w:val="left"/>
              <w:rPr>
                <w:rFonts w:ascii="宋体" w:hAnsi="宋体" w:cs="宋体" w:eastAsia="宋体" w:hint="default"/>
                <w:sz w:val="18"/>
                <w:szCs w:val="18"/>
              </w:rPr>
            </w:pPr>
            <w:r>
              <w:rPr>
                <w:rFonts w:ascii="宋体" w:hAnsi="宋体" w:cs="宋体" w:eastAsia="宋体" w:hint="default"/>
                <w:sz w:val="18"/>
                <w:szCs w:val="18"/>
              </w:rPr>
              <w:t>术的车用无 线通信系统</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7"/>
        <w:ind w:right="116"/>
        <w:jc w:val="left"/>
      </w:pPr>
      <w:r>
        <w:rPr/>
        <w:t>深圳市科技创新委员会按照深发改【</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808 </w:t>
      </w:r>
      <w:r>
        <w:rPr/>
        <w:t>号文规定就</w:t>
      </w:r>
      <w:r>
        <w:rPr>
          <w:rFonts w:ascii="Times New Roman" w:hAnsi="Times New Roman" w:cs="Times New Roman" w:eastAsia="Times New Roman" w:hint="default"/>
        </w:rPr>
        <w:t>“</w:t>
      </w:r>
      <w:r>
        <w:rPr/>
        <w:t>重</w:t>
      </w:r>
      <w:r>
        <w:rPr>
          <w:spacing w:val="-48"/>
        </w:rPr>
        <w:t> </w:t>
      </w:r>
      <w:r>
        <w:rPr>
          <w:rFonts w:ascii="Times New Roman" w:hAnsi="Times New Roman" w:cs="Times New Roman" w:eastAsia="Times New Roman" w:hint="default"/>
        </w:rPr>
        <w:t>20160509</w:t>
      </w:r>
      <w:r>
        <w:rPr>
          <w:rFonts w:ascii="Times New Roman" w:hAnsi="Times New Roman" w:cs="Times New Roman" w:eastAsia="Times New Roman" w:hint="default"/>
          <w:spacing w:val="-2"/>
        </w:rPr>
        <w:t> </w:t>
      </w:r>
      <w:r>
        <w:rPr/>
        <w:t>基于</w:t>
      </w:r>
      <w:r>
        <w:rPr>
          <w:spacing w:val="-46"/>
        </w:rPr>
        <w:t> </w:t>
      </w:r>
      <w:r>
        <w:rPr>
          <w:rFonts w:ascii="Times New Roman" w:hAnsi="Times New Roman" w:cs="Times New Roman" w:eastAsia="Times New Roman" w:hint="default"/>
          <w:spacing w:val="-6"/>
        </w:rPr>
        <w:t>LTE</w:t>
      </w:r>
      <w:r>
        <w:rPr>
          <w:rFonts w:ascii="Times New Roman" w:hAnsi="Times New Roman" w:cs="Times New Roman" w:eastAsia="Times New Roman" w:hint="default"/>
          <w:spacing w:val="-3"/>
        </w:rPr>
        <w:t> </w:t>
      </w:r>
      <w:r>
        <w:rPr/>
        <w:t>技术的车用无线通信系统研发</w:t>
      </w:r>
      <w:r>
        <w:rPr>
          <w:rFonts w:ascii="Times New Roman" w:hAnsi="Times New Roman" w:cs="Times New Roman" w:eastAsia="Times New Roman" w:hint="default"/>
        </w:rPr>
        <w:t>”</w:t>
      </w:r>
      <w:r>
        <w:rPr/>
        <w:t>拨付本公 司深圳市战略新兴产业发展专项资金</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万元，其中设备费</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万元，材料费</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万元，测试化验加工费</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万元，差旅费</w:t>
      </w:r>
    </w:p>
    <w:p>
      <w:pPr>
        <w:pStyle w:val="BodyText"/>
        <w:spacing w:line="300" w:lineRule="auto" w:before="13"/>
        <w:ind w:right="101"/>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万元，出版</w:t>
      </w:r>
      <w:r>
        <w:rPr>
          <w:rFonts w:ascii="Times New Roman" w:hAnsi="Times New Roman" w:cs="Times New Roman" w:eastAsia="Times New Roman" w:hint="default"/>
        </w:rPr>
        <w:t>/</w:t>
      </w:r>
      <w:r>
        <w:rPr/>
        <w:t>文献</w:t>
      </w:r>
      <w:r>
        <w:rPr>
          <w:rFonts w:ascii="Times New Roman" w:hAnsi="Times New Roman" w:cs="Times New Roman" w:eastAsia="Times New Roman" w:hint="default"/>
        </w:rPr>
        <w:t>/</w:t>
      </w:r>
      <w:r>
        <w:rPr/>
        <w:t>信息传播</w:t>
      </w:r>
      <w:r>
        <w:rPr>
          <w:rFonts w:ascii="Times New Roman" w:hAnsi="Times New Roman" w:cs="Times New Roman" w:eastAsia="Times New Roman" w:hint="default"/>
        </w:rPr>
        <w:t>/</w:t>
      </w:r>
      <w:r>
        <w:rPr/>
        <w:t>知识产权事务费</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万元，绩效支出</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万元。截止本报告期末，项目尚未通过深圳市科技创新 委员会验收。</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5980"/>
        <w:gridCol w:w="1196"/>
      </w:tblGrid>
      <w:tr>
        <w:trPr>
          <w:trHeight w:val="400"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80,000,000.00</w:t>
            </w:r>
          </w:p>
        </w:tc>
      </w:tr>
    </w:tbl>
    <w:p>
      <w:pPr>
        <w:pStyle w:val="BodyText"/>
        <w:spacing w:line="360" w:lineRule="auto" w:before="50"/>
        <w:ind w:right="4694"/>
        <w:jc w:val="left"/>
      </w:pPr>
      <w:r>
        <w:rPr/>
        <w:t>其他说明： 上述股本变化情况详见本报告第十一节第三点、公司基本情况。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0"/>
        <w:ind w:right="3614"/>
        <w:jc w:val="left"/>
      </w:pPr>
      <w:r>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9,347,097.75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162,169,998.89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171,517,096.64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9,347,097.75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162,169,998.89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171,517,096.64</w:t>
            </w:r>
          </w:p>
        </w:tc>
      </w:tr>
    </w:tbl>
    <w:p>
      <w:pPr>
        <w:pStyle w:val="BodyText"/>
        <w:spacing w:line="240" w:lineRule="auto" w:before="50"/>
        <w:ind w:right="0"/>
        <w:jc w:val="left"/>
      </w:pPr>
      <w:r>
        <w:rPr/>
        <w:t>其他说明，包括本期增减变动情况、变动原因说明：</w:t>
      </w:r>
    </w:p>
    <w:p>
      <w:pPr>
        <w:pStyle w:val="BodyText"/>
        <w:spacing w:line="240" w:lineRule="auto" w:before="117"/>
        <w:ind w:right="0"/>
        <w:jc w:val="left"/>
      </w:pPr>
      <w:r>
        <w:rPr/>
        <w:t>本期资本公积增加</w:t>
      </w:r>
      <w:r>
        <w:rPr>
          <w:spacing w:val="-47"/>
        </w:rPr>
        <w:t> </w:t>
      </w:r>
      <w:r>
        <w:rPr>
          <w:rFonts w:ascii="Times New Roman" w:hAnsi="Times New Roman" w:cs="Times New Roman" w:eastAsia="Times New Roman" w:hint="default"/>
        </w:rPr>
        <w:t>162,169,998.89</w:t>
      </w:r>
      <w:r>
        <w:rPr>
          <w:rFonts w:ascii="Times New Roman" w:hAnsi="Times New Roman" w:cs="Times New Roman" w:eastAsia="Times New Roman" w:hint="default"/>
          <w:spacing w:val="-3"/>
        </w:rPr>
        <w:t> </w:t>
      </w:r>
      <w:r>
        <w:rPr/>
        <w:t>元为</w:t>
      </w:r>
      <w:r>
        <w:rPr>
          <w:spacing w:val="-49"/>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 </w:t>
      </w:r>
      <w:r>
        <w:rPr/>
        <w:t>发行募集资金扣除发行费用后金额。</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685,646.92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-357,575.80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-357,575.80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1" w:right="0"/>
              <w:jc w:val="left"/>
              <w:rPr>
                <w:rFonts w:ascii="Times New Roman" w:hAnsi="Times New Roman" w:cs="Times New Roman" w:eastAsia="Times New Roman" w:hint="default"/>
                <w:sz w:val="18"/>
                <w:szCs w:val="18"/>
              </w:rPr>
            </w:pPr>
            <w:r>
              <w:rPr>
                <w:rFonts w:ascii="Times New Roman"/>
                <w:sz w:val="18"/>
              </w:rPr>
              <w:t>328,071.1</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685,646.92</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-357,575.80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328,071.1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685,646.92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-357,575.80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-357,575.80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0"/>
        <w:ind w:right="196"/>
        <w:jc w:val="left"/>
      </w:pPr>
      <w:r>
        <w:rPr/>
        <w:t>其他说明，包括对现金流量套期损益的有效部分转为被套期项目初始确认金额调整： 其他综合收益的税后净额本期发生额为</w:t>
      </w:r>
      <w:r>
        <w:rPr>
          <w:rFonts w:ascii="Times New Roman" w:hAnsi="Times New Roman" w:cs="Times New Roman" w:eastAsia="Times New Roman" w:hint="default"/>
        </w:rPr>
        <w:t>-357,575.80</w:t>
      </w:r>
      <w:r>
        <w:rPr>
          <w:rFonts w:ascii="Times New Roman" w:hAnsi="Times New Roman" w:cs="Times New Roman" w:eastAsia="Times New Roman" w:hint="default"/>
          <w:spacing w:val="-6"/>
        </w:rPr>
        <w:t> </w:t>
      </w:r>
      <w:r>
        <w:rPr/>
        <w:t>元。其中，归属于母公司股东的其他综合收益的税后净额本期发生额为</w:t>
      </w:r>
    </w:p>
    <w:p>
      <w:pPr>
        <w:pStyle w:val="BodyText"/>
        <w:spacing w:line="212" w:lineRule="exact"/>
        <w:ind w:right="0"/>
        <w:jc w:val="left"/>
      </w:pPr>
      <w:r>
        <w:rPr>
          <w:rFonts w:ascii="Times New Roman" w:hAnsi="Times New Roman" w:cs="Times New Roman" w:eastAsia="Times New Roman" w:hint="default"/>
        </w:rPr>
        <w:t>-357,575.80</w:t>
      </w:r>
      <w:r>
        <w:rPr>
          <w:rFonts w:ascii="Times New Roman" w:hAnsi="Times New Roman" w:cs="Times New Roman" w:eastAsia="Times New Roman" w:hint="default"/>
          <w:spacing w:val="-6"/>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8,582,660.58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2,832,012.89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11,414,673.47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8,582,660.58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2,832,012.89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11,414,673.47</w:t>
            </w:r>
          </w:p>
        </w:tc>
      </w:tr>
    </w:tbl>
    <w:p>
      <w:pPr>
        <w:pStyle w:val="BodyText"/>
        <w:spacing w:line="357" w:lineRule="auto" w:before="50"/>
        <w:ind w:right="4682"/>
        <w:jc w:val="left"/>
      </w:pPr>
      <w:r>
        <w:rPr/>
        <w:t>盈余公积说明，包括本期增减变动情况、变动原因说明： 盈余公积的增加系根据本公司净利润的</w:t>
      </w:r>
      <w:r>
        <w:rPr>
          <w:spacing w:val="-48"/>
        </w:rPr>
        <w:t> </w:t>
      </w:r>
      <w:r>
        <w:rPr>
          <w:rFonts w:ascii="Times New Roman" w:hAnsi="Times New Roman" w:cs="Times New Roman" w:eastAsia="Times New Roman" w:hint="default"/>
        </w:rPr>
        <w:t>10%</w:t>
      </w:r>
      <w:r>
        <w:rPr/>
        <w:t>提取法定盈余公积。</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64,079,149.80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37,432,732.42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64,079,149.80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37,432,732.42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43,857,380.81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40,321,549.87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2,832,012.89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3,675,132.49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105,104,517.72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64,079,149.80</w:t>
            </w:r>
          </w:p>
        </w:tc>
      </w:tr>
    </w:tbl>
    <w:p>
      <w:pPr>
        <w:pStyle w:val="BodyText"/>
        <w:spacing w:line="240" w:lineRule="auto" w:before="50"/>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562,769,777.19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411,716,453.59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343,370,126.61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246,794,329.68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534,701.05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655,688.74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983,495.04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355,231.90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563,304,478.24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412,372,142.33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344,353,621.65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247,149,561.58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986,941.71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565,128.85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704,958.35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403,438.32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452,324.51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110,166.91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2,144,224.57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1,078,734.08</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12,988,171.10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7,935,164.68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7,464,882.00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3,075,363.81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2,361,963.63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1,404,512.00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1,379,702.18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741,940.46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494,421.31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558,929.86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477,239.68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363,743.64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59,579.66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47,758.18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1,190,813.76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821,717.71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28,227,830.58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13,881,711.01</w:t>
            </w:r>
          </w:p>
        </w:tc>
      </w:tr>
    </w:tbl>
    <w:p>
      <w:pPr>
        <w:pStyle w:val="BodyText"/>
        <w:spacing w:line="240" w:lineRule="auto" w:before="49"/>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50,908,385.94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30,678,683.59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11,528,453.97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7,100,752.16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903,776.91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555,356.45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961,462.62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900,420.83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1,008,509.58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648,056.86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1,447,135.80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674,857.82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223,802.63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9,522.66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502,717.96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388,644.18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101,857.46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147,470.91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940,536.10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557,825.54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397,887.58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209,649.81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542,055.43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540,784.77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492,384.71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383,908.49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69,958,966.69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42,795,934.07</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751,917.10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813,851.08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1,168,369.66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1,262,949.30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汇总损益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2,544,653.14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1,337,544.78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121,605.33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2,334,055.10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1,010,051.89</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7,300,608.49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858,758.86</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969,592.47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436,301.56</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8,270,200.96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1,295,060.42</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2,473,176.25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2,539,341.58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-3,300.94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-40,905.01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-12,962.28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3,210,334.97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深圳市场和质量补贴款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3"/>
              <w:jc w:val="left"/>
              <w:rPr>
                <w:rFonts w:ascii="宋体" w:hAnsi="宋体" w:cs="宋体" w:eastAsia="宋体" w:hint="default"/>
                <w:sz w:val="18"/>
                <w:szCs w:val="18"/>
              </w:rPr>
            </w:pPr>
            <w:r>
              <w:rPr>
                <w:rFonts w:ascii="宋体" w:hAnsi="宋体" w:cs="宋体" w:eastAsia="宋体" w:hint="default"/>
                <w:sz w:val="18"/>
                <w:szCs w:val="18"/>
              </w:rPr>
              <w:t>南山区科技创业服务平台</w:t>
            </w:r>
            <w:r>
              <w:rPr>
                <w:rFonts w:ascii="宋体" w:hAnsi="宋体" w:cs="宋体" w:eastAsia="宋体" w:hint="default"/>
                <w:spacing w:val="1"/>
                <w:sz w:val="18"/>
                <w:szCs w:val="18"/>
              </w:rPr>
              <w:t> </w:t>
            </w:r>
            <w:r>
              <w:rPr>
                <w:rFonts w:ascii="宋体" w:hAnsi="宋体" w:cs="宋体" w:eastAsia="宋体" w:hint="default"/>
                <w:sz w:val="18"/>
                <w:szCs w:val="18"/>
              </w:rPr>
              <w:t>集合信贷贴</w:t>
            </w:r>
            <w:r>
              <w:rPr>
                <w:rFonts w:ascii="宋体" w:hAnsi="宋体" w:cs="宋体" w:eastAsia="宋体" w:hint="default"/>
                <w:sz w:val="18"/>
                <w:szCs w:val="18"/>
              </w:rPr>
              <w:t> 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南山区科学技术国家高新技术企业增培 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失业稳岗补贴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31,488.39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南山区人才安居住房补租款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南山区科学技术局专利申请补贴款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107,949.84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r>
        <w:rPr/>
        <w:pict>
          <v:group style="position:absolute;margin-left:269.549988pt;margin-top:519.75pt;width:52.9pt;height:66.650pt;mso-position-horizontal-relative:page;mso-position-vertical-relative:page;z-index:-1160536" coordorigin="5391,10395" coordsize="1058,1333">
            <v:shape style="position:absolute;left:5391;top:10395;width:1058;height:1333" coordorigin="5391,10395" coordsize="1058,1333" path="m5391,10395l6449,10395,6449,11728,5391,11728,5391,10395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知识产权专利资助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经贸委海外展会资助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18,011.00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南山科技局专利支持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5,070,884.20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7,781,561.67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133,142.51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7,914,704.18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计入当期损益的政府补助：</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3,285,491.90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示范区科研 资金</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奖励上市而</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上市补贴</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给予的政府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5"/>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房租补贴款</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5"/>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35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南山区自主</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5"/>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创新专项资</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651,800.00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5"/>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中小企业信 息化资助款</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531,269.77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7,781,561.67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4604"/>
        <w:jc w:val="left"/>
      </w:pPr>
      <w:r>
        <w:rPr/>
        <w:pict>
          <v:group style="position:absolute;margin-left:269.549988pt;margin-top:-87.07827pt;width:52.9pt;height:66.650pt;mso-position-horizontal-relative:page;mso-position-vertical-relative:paragraph;z-index:-1160512" coordorigin="5391,-1742" coordsize="1058,1333">
            <v:shape style="position:absolute;left:5391;top:-1742;width:1058;height:1333" coordorigin="5391,-1742" coordsize="1058,1333" path="m5391,-1742l6449,-1742,6449,-409,5391,-409,5391,-1742xe" filled="true" fillcolor="#ffffff" stroked="false">
              <v:path arrowok="t"/>
              <v:fill type="solid"/>
            </v:shape>
            <w10:wrap type="none"/>
          </v:group>
        </w:pict>
      </w:r>
      <w:r>
        <w:rPr/>
        <w:t>其他说明： 作为经常性损益的政府补助，具体原因见报告第十二节十八、</w:t>
      </w:r>
      <w:r>
        <w:rPr>
          <w:rFonts w:ascii="Times New Roman" w:hAnsi="Times New Roman" w:cs="Times New Roman" w:eastAsia="Times New Roman" w:hint="default"/>
        </w:rPr>
        <w:t>1</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863.15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863.15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863.15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863.15</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5,289,042.16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5,689,000.39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-1,580,907.34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-969,540.70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3,708,134.82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4,719,459.69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47,565,515.63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7,134,827.34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25,552.37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93,526.91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730,620.15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-9,924.80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-4,252,792.70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-13,674.45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3,708,134.82</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12" w:right="75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详见附注第十一节七、</w:t>
      </w:r>
      <w:r>
        <w:rPr>
          <w:rFonts w:ascii="Times New Roman" w:hAnsi="Times New Roman" w:cs="Times New Roman" w:eastAsia="Times New Roman" w:hint="default"/>
          <w:sz w:val="18"/>
          <w:szCs w:val="18"/>
        </w:rPr>
        <w:t>54</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3,892,284.36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5,070,884.20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7,496,069.77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1,168,369.66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1,396,091.81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10,131,538.22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8,892,161.58</w:t>
            </w:r>
          </w:p>
        </w:tc>
      </w:tr>
    </w:tbl>
    <w:p>
      <w:pPr>
        <w:pStyle w:val="BodyText"/>
        <w:spacing w:line="240" w:lineRule="auto" w:before="50"/>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1,333,996.07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555,778.04</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32,111,420.08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19,660,451.77</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1016" w:header="787" w:top="1100" w:bottom="1200" w:left="1020" w:right="1020"/>
          <w:pgNumType w:start="15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诉讼资金冻结</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2,350,689.00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205,854.52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121,605.33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33,651,270.67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22,688,524.14</w:t>
            </w:r>
          </w:p>
        </w:tc>
      </w:tr>
    </w:tbl>
    <w:p>
      <w:pPr>
        <w:pStyle w:val="BodyText"/>
        <w:spacing w:line="240" w:lineRule="auto" w:before="51"/>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240" w:lineRule="auto" w:before="50"/>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6,273,040.00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10,103,610.92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10,103,610.92</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5,409,171.99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中介机构费用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5,409,171.99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w:t>
            </w:r>
          </w:p>
        </w:tc>
      </w:tr>
    </w:tbl>
    <w:p>
      <w:pPr>
        <w:pStyle w:val="BodyText"/>
        <w:spacing w:line="240" w:lineRule="auto" w:before="52"/>
        <w:ind w:right="0"/>
        <w:jc w:val="left"/>
      </w:pPr>
      <w:r>
        <w:rPr/>
        <w:t>支付的其他与筹资活动有关的现金说明：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r>
        <w:rPr/>
        <w:pict>
          <v:shape style="position:absolute;margin-left:217.199997pt;margin-top:403.600037pt;width:158.6pt;height:19.7pt;mso-position-horizontal-relative:page;mso-position-vertical-relative:page;z-index:-1160440"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217.199997pt;margin-top:423.700012pt;width:158.6pt;height:19.7pt;mso-position-horizontal-relative:page;mso-position-vertical-relative:page;z-index:-1160416"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403.600037pt;width:152.6pt;height:39.950pt;mso-position-horizontal-relative:page;mso-position-vertical-relative:page;z-index:-1160392" coordorigin="4464,8072" coordsize="3052,799">
            <v:group style="position:absolute;left:4464;top:8072;width:3052;height:397" coordorigin="4464,8072" coordsize="3052,397">
              <v:shape style="position:absolute;left:4464;top:8072;width:3052;height:397" coordorigin="4464,8072" coordsize="3052,397" path="m4464,8072l7516,8072,7516,8469,4464,8469,4464,8072xe" filled="true" fillcolor="#ffffff" stroked="false">
                <v:path arrowok="t"/>
                <v:fill type="solid"/>
              </v:shape>
            </v:group>
            <v:group style="position:absolute;left:4464;top:8474;width:3052;height:397" coordorigin="4464,8474" coordsize="3052,397">
              <v:shape style="position:absolute;left:4464;top:8474;width:3052;height:397" coordorigin="4464,8474" coordsize="3052,397" path="m4464,8474l7516,8474,7516,8871,4464,8871,4464,8474xe" filled="true" fillcolor="#ffffff" stroked="false">
                <v:path arrowok="t"/>
                <v:fill type="solid"/>
              </v:shape>
            </v:group>
            <w10:wrap type="none"/>
          </v:group>
        </w:pict>
      </w:r>
    </w:p>
    <w:p>
      <w:pPr>
        <w:pStyle w:val="Heading3"/>
        <w:spacing w:line="240" w:lineRule="auto" w:before="34"/>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43,857,380.81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40,321,549.87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8,270,200.96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1,295,060.42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3,751,905.05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2,837,548.86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752,151.01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388,655.40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253,392.06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79,757.29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40,905.01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12,962.28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3,296,570.24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2,151,395.86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-2,539,341.58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-1,563,289.28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-962,810.59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-17,618.06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-8,443.67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-48,828,656.56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-1,034,126.59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-174,902,248.49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-31,680,490.87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44,793,344.43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35,418,004.09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-122,835,304.40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48,822,363.29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72,624,571.68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114,406,804.51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114,406,804.51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61,970,042.16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-41,782,232.83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52,436,762.35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4983;height:397" coordorigin="13,12" coordsize="4983,397">
              <v:shape style="position:absolute;left:13;top:12;width:4983;height:397" coordorigin="13,12" coordsize="4983,397" path="m13,12l4996,12,4996,409,13,409,13,12xe" filled="true" fillcolor="#d2d2d2" stroked="false">
                <v:path arrowok="t"/>
                <v:fill type="solid"/>
              </v:shape>
            </v:group>
            <v:group style="position:absolute;left:5001;top:12;width:4575;height:397" coordorigin="5001,12" coordsize="4575,397">
              <v:shape style="position:absolute;left:5001;top:12;width:4575;height:397" coordorigin="5001,12" coordsize="4575,397" path="m5001,12l9576,12,9576,409,5001,409,5001,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998;top:5;width:2;height:400" coordorigin="4998,5" coordsize="2,400">
              <v:shape style="position:absolute;left:4998;top:5;width:2;height:400" coordorigin="4998,5" coordsize="0,400" path="m4998,5l4998,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710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1,742,364.68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13,257,635.32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72,624,571.68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114,406,804.51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18,809.33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27,065.56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72,605,762.35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114,379,738.95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72,624,571.68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114,406,804.51</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12" w:right="43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2,350,689.00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诉讼冻结资金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7,847,111.07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10,197,800.07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6,047,150.35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39,589,655.35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84,804.63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70,889.04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8,939,218.31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58,410,640.28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8,640,249.44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56,457,117.89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13,068,400.00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56" w:lineRule="auto" w:before="118"/>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12" w:right="7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浙江诺控通 信技术有限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非同一控制 下的企业合 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6"/>
              <w:jc w:val="both"/>
              <w:rPr>
                <w:rFonts w:ascii="宋体" w:hAnsi="宋体" w:cs="宋体" w:eastAsia="宋体" w:hint="default"/>
                <w:sz w:val="18"/>
                <w:szCs w:val="18"/>
              </w:rPr>
            </w:pPr>
            <w:r>
              <w:rPr>
                <w:rFonts w:ascii="宋体" w:hAnsi="宋体" w:cs="宋体" w:eastAsia="宋体" w:hint="default"/>
                <w:sz w:val="18"/>
                <w:szCs w:val="18"/>
              </w:rPr>
              <w:t>工商变更完 成并按规定 支付对价</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9,730,290.41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-452,373.44</w:t>
            </w:r>
          </w:p>
        </w:tc>
      </w:tr>
    </w:tbl>
    <w:p>
      <w:pPr>
        <w:pStyle w:val="BodyText"/>
        <w:spacing w:line="240" w:lineRule="auto" w:before="50"/>
        <w:ind w:right="0"/>
        <w:jc w:val="left"/>
      </w:pPr>
      <w:r>
        <w:rPr/>
        <w:t>其他说明：</w:t>
      </w:r>
    </w:p>
    <w:p>
      <w:pPr>
        <w:spacing w:after="0" w:line="240" w:lineRule="auto"/>
        <w:jc w:val="left"/>
        <w:sectPr>
          <w:pgSz w:w="11910" w:h="16840"/>
          <w:pgMar w:header="787" w:footer="1016" w:top="1100" w:bottom="1200" w:left="1020" w:right="100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根据本公司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日召开的董事会第十七次会议决议，公司拟以现金</w:t>
      </w:r>
      <w:r>
        <w:rPr>
          <w:spacing w:val="-4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万元收购浙江诺控通信技术有限公司</w:t>
      </w:r>
    </w:p>
    <w:p>
      <w:pPr>
        <w:pStyle w:val="BodyText"/>
        <w:spacing w:line="240" w:lineRule="auto" w:before="63"/>
        <w:ind w:right="0"/>
        <w:jc w:val="left"/>
      </w:pP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日上述股权已在杭州市高新区（滨江）市场监督管理局完成股权变更，</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日本公</w:t>
      </w:r>
    </w:p>
    <w:p>
      <w:pPr>
        <w:pStyle w:val="BodyText"/>
        <w:spacing w:line="240" w:lineRule="auto" w:before="63"/>
        <w:ind w:right="0"/>
        <w:jc w:val="left"/>
      </w:pPr>
      <w:r>
        <w:rPr/>
        <w:t>司已据协议支付第一笔股权购买款</w:t>
      </w:r>
      <w:r>
        <w:rPr>
          <w:spacing w:val="-4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万元。据此，本公司对浙江诺控的购买日为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日，本公司将浙江诺</w:t>
      </w:r>
    </w:p>
    <w:p>
      <w:pPr>
        <w:pStyle w:val="BodyText"/>
        <w:spacing w:line="240" w:lineRule="auto" w:before="63"/>
        <w:ind w:right="0"/>
        <w:jc w:val="left"/>
      </w:pPr>
      <w:r>
        <w:rPr/>
        <w:t>控</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日的利润表及现金流量表纳入合并范围。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7,029,889.09</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22,970,110.91</w:t>
            </w:r>
          </w:p>
        </w:tc>
      </w:tr>
    </w:tbl>
    <w:p>
      <w:pPr>
        <w:pStyle w:val="BodyText"/>
        <w:spacing w:line="240" w:lineRule="auto" w:before="51"/>
        <w:ind w:right="0"/>
        <w:jc w:val="left"/>
      </w:pPr>
      <w:r>
        <w:rPr/>
        <w:t>合并成本公允价值的确定方法、或有对价及其变动的说明：</w:t>
      </w:r>
    </w:p>
    <w:p>
      <w:pPr>
        <w:pStyle w:val="BodyText"/>
        <w:spacing w:line="240" w:lineRule="auto" w:before="117"/>
        <w:ind w:right="0"/>
        <w:jc w:val="left"/>
      </w:pPr>
      <w:r>
        <w:rPr/>
        <w:t>说明：经中水致远资产评估有限公司对浙江诺控</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日的股权价值进行了评估，并于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日出具了</w:t>
      </w:r>
    </w:p>
    <w:p>
      <w:pPr>
        <w:pStyle w:val="BodyText"/>
        <w:spacing w:line="300" w:lineRule="auto" w:before="63"/>
        <w:ind w:right="0"/>
        <w:jc w:val="left"/>
      </w:pPr>
      <w:r>
        <w:rPr/>
        <w:t>中水致远评报字</w:t>
      </w:r>
      <w:r>
        <w:rPr>
          <w:rFonts w:ascii="Times New Roman" w:hAnsi="Times New Roman" w:cs="Times New Roman" w:eastAsia="Times New Roman" w:hint="default"/>
        </w:rPr>
        <w:t>[2017]</w:t>
      </w:r>
      <w:r>
        <w:rPr/>
        <w:t>第</w:t>
      </w:r>
      <w:r>
        <w:rPr>
          <w:spacing w:val="-46"/>
        </w:rPr>
        <w:t> </w:t>
      </w:r>
      <w:r>
        <w:rPr>
          <w:rFonts w:ascii="Times New Roman" w:hAnsi="Times New Roman" w:cs="Times New Roman" w:eastAsia="Times New Roman" w:hint="default"/>
        </w:rPr>
        <w:t>090030</w:t>
      </w:r>
      <w:r>
        <w:rPr>
          <w:rFonts w:ascii="Times New Roman" w:hAnsi="Times New Roman" w:cs="Times New Roman" w:eastAsia="Times New Roman" w:hint="default"/>
          <w:spacing w:val="-2"/>
        </w:rPr>
        <w:t> </w:t>
      </w:r>
      <w:r>
        <w:rPr/>
        <w:t>号资产评估报告。浙江诺控</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日的股权评估价值为人民币</w:t>
      </w:r>
      <w:r>
        <w:rPr>
          <w:spacing w:val="-48"/>
        </w:rPr>
        <w:t> </w:t>
      </w:r>
      <w:r>
        <w:rPr>
          <w:rFonts w:ascii="Times New Roman" w:hAnsi="Times New Roman" w:cs="Times New Roman" w:eastAsia="Times New Roman" w:hint="default"/>
        </w:rPr>
        <w:t>3,178.22 </w:t>
      </w:r>
      <w:r>
        <w:rPr/>
        <w:t>万元，经 交易双方协商最终确定</w:t>
      </w:r>
      <w:r>
        <w:rPr>
          <w:spacing w:val="-47"/>
        </w:rPr>
        <w:t> </w:t>
      </w:r>
      <w:r>
        <w:rPr>
          <w:rFonts w:ascii="Times New Roman" w:hAnsi="Times New Roman" w:cs="Times New Roman" w:eastAsia="Times New Roman" w:hint="default"/>
        </w:rPr>
        <w:t>100%</w:t>
      </w:r>
      <w:r>
        <w:rPr/>
        <w:t>股权的交易价格为</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w:t>
      </w:r>
    </w:p>
    <w:p>
      <w:pPr>
        <w:pStyle w:val="BodyText"/>
        <w:spacing w:line="360" w:lineRule="auto" w:before="51"/>
        <w:ind w:right="7574"/>
        <w:jc w:val="left"/>
      </w:pPr>
      <w:r>
        <w:rPr/>
        <w:t>大额商誉形成的主要原因：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23,370,577.39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18,923,684.94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1,742,364.68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1,742,364.68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13,520,862.81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13,520,862.81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976,371.86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914,456.96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773,145.56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4,314,099.41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16,340,688.30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15,673,654.43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9,550,976.34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9,550,976.34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667,033.87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7,029,889.09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3,250,030.51</w:t>
            </w:r>
          </w:p>
        </w:tc>
      </w:tr>
    </w:tbl>
    <w:p>
      <w:pPr>
        <w:pStyle w:val="BodyText"/>
        <w:spacing w:line="240" w:lineRule="auto" w:before="49"/>
        <w:ind w:right="0"/>
        <w:jc w:val="left"/>
      </w:pPr>
      <w:r>
        <w:rPr/>
        <w:t>可辨认资产、负债公允价值的确定方法：</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57" w:lineRule="auto" w:before="44"/>
        <w:ind w:right="6494"/>
        <w:jc w:val="left"/>
      </w:pPr>
      <w:r>
        <w:rPr/>
        <w:t>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7574"/>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3;width:3185;height:397" coordorigin="13,13" coordsize="3185,397">
              <v:shape style="position:absolute;left:13;top:13;width:3185;height:397" coordorigin="13,13" coordsize="3185,397" path="m13,13l3198,13,3198,410,13,410,13,13xe" filled="true" fillcolor="#d2d2d2" stroked="false">
                <v:path arrowok="t"/>
                <v:fill type="solid"/>
              </v:shape>
            </v:group>
            <v:group style="position:absolute;left:3203;top:13;width:6375;height:397" coordorigin="3203,13" coordsize="6375,397">
              <v:shape style="position:absolute;left:3203;top:13;width:6375;height:397" coordorigin="3203,13" coordsize="6375,397" path="m3203,13l9578,13,9578,410,3203,410,3203,13xe" filled="true" fillcolor="#e0ffff" stroked="false">
                <v:path arrowok="t"/>
                <v:fill type="solid"/>
              </v:shape>
            </v:group>
            <v:group style="position:absolute;left:13;top:415;width:3185;height:397" coordorigin="13,415" coordsize="3185,397">
              <v:shape style="position:absolute;left:13;top:415;width:3185;height:397" coordorigin="13,415" coordsize="3185,397" path="m13,415l3198,415,3198,812,13,812,13,415xe" filled="true" fillcolor="#d2d2d2" stroked="false">
                <v:path arrowok="t"/>
                <v:fill type="solid"/>
              </v:shape>
            </v:group>
            <v:group style="position:absolute;left:3203;top:415;width:3185;height:397" coordorigin="3203,415" coordsize="3185,397">
              <v:shape style="position:absolute;left:3203;top:415;width:3185;height:397" coordorigin="3203,415" coordsize="3185,397" path="m3203,415l6388,415,6388,812,3203,812,3203,415xe" filled="true" fillcolor="#d2d2d2" stroked="false">
                <v:path arrowok="t"/>
                <v:fill type="solid"/>
              </v:shape>
            </v:group>
            <v:group style="position:absolute;left:6393;top:415;width:3185;height:397" coordorigin="6393,415" coordsize="3185,397">
              <v:shape style="position:absolute;left:6393;top:415;width:3185;height:397" coordorigin="6393,415" coordsize="3185,397" path="m6393,415l9578,415,9578,812,6393,812,6393,415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6494"/>
        <w:jc w:val="left"/>
      </w:pPr>
      <w:r>
        <w:rPr/>
        <w:t>企业合并中承担的被合并方的或有负债：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after="0" w:line="316"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3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360" w:lineRule="auto" w:before="49"/>
        <w:ind w:right="181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667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1"/>
        <w:ind w:right="5414"/>
        <w:jc w:val="left"/>
      </w:pPr>
      <w:r>
        <w:rPr/>
        <w:t>子公司少数股东的持股比例不同于表决权比例的说明： 其他说明：</w:t>
      </w:r>
    </w:p>
    <w:p>
      <w:pPr>
        <w:spacing w:after="0" w:line="357"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深圳市博格斯通 信技术有限公司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无线通信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2"/>
        <w:ind w:right="0"/>
        <w:jc w:val="left"/>
      </w:pPr>
      <w:r>
        <w:rPr/>
        <w:t>在合营企业或联营企业的持股比例不同于表决权比例的说明：</w:t>
      </w:r>
    </w:p>
    <w:p>
      <w:pPr>
        <w:pStyle w:val="BodyText"/>
        <w:spacing w:line="240" w:lineRule="auto" w:before="115"/>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445,001.26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378,835.93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66,165.33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66,165.33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-3,300.94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19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right="4594"/>
        <w:jc w:val="left"/>
      </w:pPr>
      <w:r>
        <w:rPr/>
        <w:t>在共同经营中的持股比例或享有的份额不同于表决权比例的说明： 共同经营为单独主体的，分类为共同经营的依据：</w:t>
      </w:r>
    </w:p>
    <w:p>
      <w:pPr>
        <w:pStyle w:val="BodyText"/>
        <w:spacing w:line="240" w:lineRule="auto" w:before="29"/>
        <w:ind w:right="19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9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9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19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9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2"/>
        <w:jc w:val="both"/>
      </w:pPr>
      <w:r>
        <w:rPr>
          <w:spacing w:val="-2"/>
        </w:rPr>
        <w:t>本集团的主要金融工具包括货币资金、应收账款、应收票据、其他应收款、其他流动资产、应付账款、应付票据、其他应付</w:t>
      </w:r>
      <w:r>
        <w:rPr>
          <w:spacing w:val="-64"/>
        </w:rPr>
        <w:t> </w:t>
      </w:r>
      <w:r>
        <w:rPr>
          <w:spacing w:val="-64"/>
        </w:rPr>
      </w:r>
      <w:r>
        <w:rPr>
          <w:spacing w:val="-2"/>
        </w:rPr>
        <w:t>款、短期借款。各项金融工具的详细情况已于相关附注内披露。与这些金融工具有关的风险，以及本集团为降低这些风险所</w:t>
      </w:r>
      <w:r>
        <w:rPr>
          <w:spacing w:val="-66"/>
        </w:rPr>
        <w:t> </w:t>
      </w:r>
      <w:r>
        <w:rPr>
          <w:spacing w:val="-66"/>
        </w:rPr>
      </w:r>
      <w:r>
        <w:rPr/>
        <w:t>采取的风险管理政策如下所述。本集团管理层对这些风险敞口进行管理和监控以确保将上述风险控制在限定的范围之内。</w:t>
      </w:r>
    </w:p>
    <w:p>
      <w:pPr>
        <w:pStyle w:val="BodyText"/>
        <w:spacing w:line="324" w:lineRule="auto" w:before="57"/>
        <w:ind w:right="190"/>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r>
        <w:rPr>
          <w:spacing w:val="-65"/>
        </w:rPr>
        <w:t> </w:t>
      </w:r>
      <w:r>
        <w:rPr>
          <w:spacing w:val="-65"/>
        </w:rPr>
      </w:r>
      <w:r>
        <w:rPr/>
        <w:t>团经营活动的改变。本集团的内部审计部门也定期或随机检查内部控制系统的执行是否符合风险管理政策。</w:t>
      </w:r>
    </w:p>
    <w:p>
      <w:pPr>
        <w:pStyle w:val="BodyText"/>
        <w:spacing w:line="300" w:lineRule="auto" w:before="54"/>
        <w:ind w:right="190"/>
        <w:jc w:val="left"/>
      </w:pPr>
      <w:r>
        <w:rPr/>
        <w:t>本集团的金融工具导致的主要风险是信用风险、流动性风险、市场风险（包括利率风险、汇率风险和商品价格风险</w:t>
      </w:r>
      <w:r>
        <w:rPr>
          <w:rFonts w:ascii="Times New Roman" w:hAnsi="Times New Roman" w:cs="Times New Roman" w:eastAsia="Times New Roman" w:hint="default"/>
        </w:rPr>
        <w:t>/</w:t>
      </w:r>
      <w:r>
        <w:rPr/>
        <w:t>权益工 </w:t>
      </w:r>
      <w:r>
        <w:rPr>
          <w:spacing w:val="-13"/>
        </w:rPr>
        <w:t>具价格风险）。</w:t>
      </w:r>
    </w:p>
    <w:p>
      <w:pPr>
        <w:pStyle w:val="BodyText"/>
        <w:spacing w:line="316" w:lineRule="auto" w:before="70"/>
        <w:ind w:right="111"/>
        <w:jc w:val="both"/>
      </w:pPr>
      <w:r>
        <w:rPr>
          <w:spacing w:val="-2"/>
        </w:rPr>
        <w:t>董事会负责规划并建立本集团的风险管理架构，指定本集团的风险管理政策和相关指引并监督风险管理措施的执行情况。本</w:t>
      </w:r>
      <w:r>
        <w:rPr>
          <w:spacing w:val="-64"/>
        </w:rPr>
        <w:t> </w:t>
      </w:r>
      <w:r>
        <w:rPr>
          <w:spacing w:val="-64"/>
        </w:rPr>
      </w:r>
      <w:r>
        <w:rPr>
          <w:spacing w:val="-2"/>
        </w:rPr>
        <w:t>集团已制定风险管理政策以识别和分析本集团所面临的风险，这些风险管理政策对特定风险进行了明确规定，涵盖了信用风</w:t>
      </w:r>
      <w:r>
        <w:rPr>
          <w:spacing w:val="-64"/>
        </w:rPr>
        <w:t> </w:t>
      </w:r>
      <w:r>
        <w:rPr>
          <w:spacing w:val="-64"/>
        </w:rPr>
      </w:r>
      <w:r>
        <w:rPr>
          <w:spacing w:val="-2"/>
        </w:rPr>
        <w:t>险、流动性风险和市场风险管理等诸多方面。本集团定期评估市场环境及本集团经营活动的变化以决定是否对风险管理政策</w:t>
      </w:r>
      <w:r>
        <w:rPr>
          <w:spacing w:val="-64"/>
        </w:rPr>
        <w:t> </w:t>
      </w:r>
      <w:r>
        <w:rPr>
          <w:spacing w:val="-64"/>
        </w:rPr>
      </w:r>
      <w:r>
        <w:rPr>
          <w:spacing w:val="-2"/>
        </w:rPr>
        <w:t>及系统进行更新。本集团的风险管理由风险管理委员会按照董事会批准的政策开展。风险管理委员会通过与本集团其他业务</w:t>
      </w:r>
      <w:r>
        <w:rPr>
          <w:spacing w:val="-64"/>
        </w:rPr>
        <w:t> </w:t>
      </w:r>
      <w:r>
        <w:rPr>
          <w:spacing w:val="-64"/>
        </w:rPr>
      </w:r>
      <w:r>
        <w:rPr>
          <w:spacing w:val="-2"/>
        </w:rPr>
        <w:t>部门的紧密合作来识别、评价和规避相关风险。本集团内部审计部门就风险管理控制及程序进行定期的审核，并将审核结果</w:t>
      </w:r>
      <w:r>
        <w:rPr>
          <w:spacing w:val="-65"/>
        </w:rPr>
        <w:t> </w:t>
      </w:r>
      <w:r>
        <w:rPr>
          <w:spacing w:val="-65"/>
        </w:rPr>
      </w:r>
      <w:r>
        <w:rPr/>
        <w:t>上报本集团的审计委员会。</w:t>
      </w:r>
    </w:p>
    <w:p>
      <w:pPr>
        <w:pStyle w:val="BodyText"/>
        <w:spacing w:line="316" w:lineRule="auto" w:before="59"/>
        <w:ind w:right="94"/>
        <w:jc w:val="left"/>
      </w:pPr>
      <w:r>
        <w:rPr/>
        <w:t>本集团通过适当的多样化投资及业务组合来分散金融工具风险，并通过制定相应的风险管理政策减少集中于任何单一行业、 特定地区或特定交易对手方的风险。</w:t>
      </w:r>
    </w:p>
    <w:p>
      <w:pPr>
        <w:pStyle w:val="BodyText"/>
        <w:spacing w:line="348" w:lineRule="auto" w:before="59"/>
        <w:ind w:right="2974"/>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240" w:lineRule="auto" w:before="36"/>
        <w:ind w:right="190"/>
        <w:jc w:val="left"/>
      </w:pPr>
      <w:r>
        <w:rPr/>
        <w:t>本集团银行存款主要存放于国有银行和其它大中型上市银行，本集团预期银行存款不存在重大的信用风险。</w:t>
      </w:r>
    </w:p>
    <w:p>
      <w:pPr>
        <w:spacing w:after="0" w:line="240" w:lineRule="auto"/>
        <w:jc w:val="left"/>
        <w:sectPr>
          <w:footerReference w:type="default" r:id="rId37"/>
          <w:pgSz w:w="11910" w:h="16840"/>
          <w:pgMar w:footer="1016" w:header="787" w:top="1100" w:bottom="1200" w:left="1020" w:right="940"/>
          <w:pgNumType w:start="160"/>
        </w:sectPr>
      </w:pPr>
    </w:p>
    <w:p>
      <w:pPr>
        <w:spacing w:line="240" w:lineRule="auto" w:before="13"/>
        <w:rPr>
          <w:rFonts w:ascii="宋体" w:hAnsi="宋体" w:cs="宋体" w:eastAsia="宋体" w:hint="default"/>
          <w:sz w:val="22"/>
          <w:szCs w:val="22"/>
        </w:rPr>
      </w:pPr>
    </w:p>
    <w:p>
      <w:pPr>
        <w:pStyle w:val="BodyText"/>
        <w:spacing w:line="316" w:lineRule="auto" w:before="44"/>
        <w:ind w:right="112"/>
        <w:jc w:val="both"/>
      </w:pPr>
      <w:r>
        <w:rPr>
          <w:spacing w:val="-2"/>
        </w:rPr>
        <w:t>对于应收款项，本集团设定相关政策以控制信用风险敞口。本集团基于对债务人的财务状况、外部评级、从第三方获取担保</w:t>
      </w:r>
      <w:r>
        <w:rPr>
          <w:spacing w:val="-66"/>
        </w:rPr>
        <w:t> </w:t>
      </w:r>
      <w:r>
        <w:rPr>
          <w:spacing w:val="-66"/>
        </w:rPr>
      </w:r>
      <w:r>
        <w:rPr>
          <w:spacing w:val="-2"/>
        </w:rPr>
        <w:t>的可能性、信用记录及其它因素诸如目前市场状况等评估债务人的信用资质并设置相应欠款额度与信用期限。本集团已采取</w:t>
      </w:r>
      <w:r>
        <w:rPr>
          <w:spacing w:val="-64"/>
        </w:rPr>
        <w:t> </w:t>
      </w:r>
      <w:r>
        <w:rPr>
          <w:spacing w:val="-64"/>
        </w:rPr>
      </w: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损失的风险。本集团会定期对债务人信用记录进行监控，对于信用记录不良的债务人，本集团会采用书面催款、缩短信用期</w:t>
      </w:r>
      <w:r>
        <w:rPr>
          <w:spacing w:val="-66"/>
        </w:rPr>
        <w:t> </w:t>
      </w:r>
      <w:r>
        <w:rPr>
          <w:spacing w:val="-66"/>
        </w:rPr>
      </w:r>
      <w:r>
        <w:rPr/>
        <w:t>或取消信用期等方式，以确保本集团的整体信用风险在可控的范围内。</w:t>
      </w:r>
    </w:p>
    <w:p>
      <w:pPr>
        <w:pStyle w:val="BodyText"/>
        <w:spacing w:line="338" w:lineRule="auto" w:before="57"/>
        <w:ind w:right="0"/>
        <w:jc w:val="left"/>
      </w:pPr>
      <w:r>
        <w:rPr>
          <w:spacing w:val="-2"/>
        </w:rPr>
        <w:t>本集团应收账款的债务人为分布于不同行业和地区的客户。本集团持续对应收账款的财务状况实施信用评估，并在适当时购</w:t>
      </w:r>
      <w:r>
        <w:rPr>
          <w:spacing w:val="-64"/>
        </w:rPr>
        <w:t> </w:t>
      </w:r>
      <w:r>
        <w:rPr>
          <w:spacing w:val="-64"/>
        </w:rPr>
      </w:r>
      <w:r>
        <w:rPr/>
        <w:t>买信用担保保险。 </w:t>
      </w:r>
      <w:r>
        <w:rPr>
          <w:spacing w:val="-2"/>
        </w:rPr>
        <w:t>本集团所承受的最大信用风险敞口为资产负债表中每项金融资产的账面金额。本集团没有提供任何其他可能令本集团承受信</w:t>
      </w:r>
    </w:p>
    <w:p>
      <w:pPr>
        <w:pStyle w:val="BodyText"/>
        <w:spacing w:line="240" w:lineRule="auto" w:before="2"/>
        <w:ind w:right="0"/>
        <w:jc w:val="both"/>
      </w:pPr>
      <w:r>
        <w:rPr/>
        <w:t>用风险的担保。</w:t>
      </w:r>
    </w:p>
    <w:p>
      <w:pPr>
        <w:pStyle w:val="BodyText"/>
        <w:spacing w:line="300" w:lineRule="auto" w:before="117"/>
        <w:ind w:right="172"/>
        <w:jc w:val="left"/>
      </w:pPr>
      <w:r>
        <w:rPr/>
        <w:t>本集团应收账款中，欠款金额前五大客户的应收账款占本集团应收账款总额的</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3%</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6%</w:t>
      </w:r>
      <w:r>
        <w:rPr>
          <w:spacing w:val="-89"/>
        </w:rPr>
        <w:t>）</w:t>
      </w:r>
      <w:r>
        <w:rPr/>
        <w:t>；本集团其他应</w:t>
      </w:r>
      <w:r>
        <w:rPr/>
        <w:t> 收款中，欠款金额前五大公司的其他应收款占本集团其他应收款总额的</w:t>
      </w:r>
      <w:r>
        <w:rPr>
          <w:spacing w:val="-45"/>
        </w:rPr>
        <w:t> </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w:t>
      </w:r>
      <w:r>
        <w:rPr>
          <w:spacing w:val="-92"/>
        </w:rPr>
        <w:t>）</w:t>
      </w:r>
      <w:r>
        <w:rPr/>
        <w:t>。</w:t>
      </w:r>
    </w:p>
    <w:p>
      <w:pPr>
        <w:pStyle w:val="BodyText"/>
        <w:spacing w:line="340" w:lineRule="auto" w:before="51"/>
        <w:ind w:right="1634"/>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316" w:lineRule="auto" w:before="41"/>
        <w:ind w:right="112"/>
        <w:jc w:val="both"/>
      </w:pPr>
      <w:r>
        <w:rPr>
          <w:spacing w:val="-2"/>
        </w:rPr>
        <w:t>管理流动风险时，本集团保持管理层认为充分的现金及现金等价物并对其进行监控，以满足本集团经营需要，并降低现金流</w:t>
      </w:r>
      <w:r>
        <w:rPr>
          <w:spacing w:val="-65"/>
        </w:rPr>
        <w:t> </w:t>
      </w:r>
      <w:r>
        <w:rPr>
          <w:spacing w:val="-65"/>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pStyle w:val="BodyText"/>
        <w:spacing w:line="240" w:lineRule="auto" w:before="57"/>
        <w:ind w:right="0"/>
        <w:jc w:val="both"/>
      </w:pPr>
      <w:r>
        <w:rPr/>
        <w:t>本集团通过经营业务产生的资金及银行及其他借款来筹措营运资金。于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日，本集团尚未使用的银行借款额</w:t>
      </w:r>
    </w:p>
    <w:p>
      <w:pPr>
        <w:pStyle w:val="BodyText"/>
        <w:spacing w:line="340" w:lineRule="auto" w:before="63"/>
        <w:ind w:right="1903"/>
        <w:jc w:val="left"/>
      </w:pPr>
      <w:r>
        <w:rPr/>
        <w:t>度为人民币</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日：人民币</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w:t>
      </w:r>
      <w:r>
        <w:rPr>
          <w:spacing w:val="-92"/>
        </w:rPr>
        <w:t>）</w:t>
      </w:r>
      <w:r>
        <w:rPr/>
        <w:t>。</w:t>
      </w:r>
      <w:r>
        <w:rPr/>
        <w:t> 期末本集团持有的金融负债按未折现剩余合同现金流量的到期期限分析如下（单位：人民币万元</w:t>
      </w:r>
      <w:r>
        <w:rPr>
          <w:spacing w:val="-89"/>
        </w:rPr>
        <w:t>）</w:t>
      </w:r>
      <w:r>
        <w:rPr/>
        <w:t>：</w:t>
      </w:r>
    </w:p>
    <w:p>
      <w:pPr>
        <w:spacing w:line="240" w:lineRule="auto" w:before="4"/>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7.25pt;height:1pt;mso-position-horizontal-relative:char;mso-position-vertical-relative:line" coordorigin="0,0" coordsize="9145,20">
            <v:group style="position:absolute;left:10;top:10;width:9125;height:2" coordorigin="10,10" coordsize="9125,2">
              <v:shape style="position:absolute;left:10;top:10;width:9125;height:2" coordorigin="10,10" coordsize="9125,0" path="m10,10l9135,10e" filled="false" stroked="true" strokeweight=".96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2352"/>
        <w:gridCol w:w="1440"/>
        <w:gridCol w:w="1121"/>
        <w:gridCol w:w="1040"/>
        <w:gridCol w:w="916"/>
        <w:gridCol w:w="913"/>
        <w:gridCol w:w="1343"/>
      </w:tblGrid>
      <w:tr>
        <w:trPr>
          <w:trHeight w:val="405" w:hRule="exact"/>
        </w:trPr>
        <w:tc>
          <w:tcPr>
            <w:tcW w:w="2352" w:type="dxa"/>
            <w:tcBorders>
              <w:top w:val="nil" w:sz="6" w:space="0" w:color="auto"/>
              <w:left w:val="nil" w:sz="6" w:space="0" w:color="auto"/>
              <w:bottom w:val="single" w:sz="8" w:space="0" w:color="000000"/>
              <w:right w:val="nil" w:sz="6" w:space="0" w:color="auto"/>
            </w:tcBorders>
          </w:tcPr>
          <w:p>
            <w:pPr/>
          </w:p>
        </w:tc>
        <w:tc>
          <w:tcPr>
            <w:tcW w:w="144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6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5333" w:type="dxa"/>
            <w:gridSpan w:val="5"/>
            <w:tcBorders>
              <w:top w:val="nil" w:sz="6" w:space="0" w:color="auto"/>
              <w:left w:val="nil" w:sz="6" w:space="0" w:color="auto"/>
              <w:bottom w:val="single" w:sz="8" w:space="0" w:color="000000"/>
              <w:right w:val="nil" w:sz="6" w:space="0" w:color="auto"/>
            </w:tcBorders>
          </w:tcPr>
          <w:p>
            <w:pPr/>
          </w:p>
        </w:tc>
      </w:tr>
      <w:tr>
        <w:trPr>
          <w:trHeight w:val="373" w:hRule="exact"/>
        </w:trPr>
        <w:tc>
          <w:tcPr>
            <w:tcW w:w="235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361" w:right="0"/>
              <w:jc w:val="left"/>
              <w:rPr>
                <w:rFonts w:ascii="宋体" w:hAnsi="宋体" w:cs="宋体" w:eastAsia="宋体" w:hint="default"/>
                <w:sz w:val="18"/>
                <w:szCs w:val="18"/>
              </w:rPr>
            </w:pPr>
            <w:r>
              <w:rPr>
                <w:rFonts w:ascii="宋体" w:hAnsi="宋体" w:cs="宋体" w:eastAsia="宋体" w:hint="default"/>
                <w:sz w:val="18"/>
                <w:szCs w:val="18"/>
              </w:rPr>
              <w:t>六个月以内</w:t>
            </w:r>
          </w:p>
        </w:tc>
        <w:tc>
          <w:tcPr>
            <w:tcW w:w="1121"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7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4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221" w:right="0"/>
              <w:jc w:val="left"/>
              <w:rPr>
                <w:rFonts w:ascii="宋体" w:hAnsi="宋体" w:cs="宋体" w:eastAsia="宋体" w:hint="default"/>
                <w:sz w:val="18"/>
                <w:szCs w:val="18"/>
              </w:rPr>
            </w:pPr>
            <w:r>
              <w:rPr>
                <w:rFonts w:ascii="宋体" w:hAnsi="宋体" w:cs="宋体" w:eastAsia="宋体" w:hint="default"/>
                <w:sz w:val="18"/>
                <w:szCs w:val="18"/>
              </w:rPr>
              <w:t>一年至两</w:t>
            </w:r>
          </w:p>
        </w:tc>
        <w:tc>
          <w:tcPr>
            <w:tcW w:w="916"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98" w:right="0"/>
              <w:jc w:val="left"/>
              <w:rPr>
                <w:rFonts w:ascii="宋体" w:hAnsi="宋体" w:cs="宋体" w:eastAsia="宋体" w:hint="default"/>
                <w:sz w:val="18"/>
                <w:szCs w:val="18"/>
              </w:rPr>
            </w:pPr>
            <w:r>
              <w:rPr>
                <w:rFonts w:ascii="宋体" w:hAnsi="宋体" w:cs="宋体" w:eastAsia="宋体" w:hint="default"/>
                <w:sz w:val="18"/>
                <w:szCs w:val="18"/>
              </w:rPr>
              <w:t>两年至三</w:t>
            </w:r>
          </w:p>
        </w:tc>
        <w:tc>
          <w:tcPr>
            <w:tcW w:w="91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9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4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95"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371" w:hRule="exact"/>
        </w:trPr>
        <w:tc>
          <w:tcPr>
            <w:tcW w:w="2352" w:type="dxa"/>
            <w:tcBorders>
              <w:top w:val="nil" w:sz="6" w:space="0" w:color="auto"/>
              <w:left w:val="nil" w:sz="6" w:space="0" w:color="auto"/>
              <w:bottom w:val="single" w:sz="8" w:space="0" w:color="000000"/>
              <w:right w:val="nil" w:sz="6" w:space="0" w:color="auto"/>
            </w:tcBorders>
          </w:tcPr>
          <w:p>
            <w:pPr/>
          </w:p>
        </w:tc>
        <w:tc>
          <w:tcPr>
            <w:tcW w:w="1440" w:type="dxa"/>
            <w:tcBorders>
              <w:top w:val="nil" w:sz="6" w:space="0" w:color="auto"/>
              <w:left w:val="nil" w:sz="6" w:space="0" w:color="auto"/>
              <w:bottom w:val="single" w:sz="8" w:space="0" w:color="000000"/>
              <w:right w:val="nil" w:sz="6" w:space="0" w:color="auto"/>
            </w:tcBorders>
          </w:tcPr>
          <w:p>
            <w:pPr/>
          </w:p>
        </w:tc>
        <w:tc>
          <w:tcPr>
            <w:tcW w:w="1121" w:type="dxa"/>
            <w:tcBorders>
              <w:top w:val="nil" w:sz="6" w:space="0" w:color="auto"/>
              <w:left w:val="nil" w:sz="6" w:space="0" w:color="auto"/>
              <w:bottom w:val="single" w:sz="8" w:space="0" w:color="000000"/>
              <w:right w:val="nil" w:sz="6" w:space="0" w:color="auto"/>
            </w:tcBorders>
          </w:tcPr>
          <w:p>
            <w:pPr/>
          </w:p>
        </w:tc>
        <w:tc>
          <w:tcPr>
            <w:tcW w:w="1040"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221" w:right="0"/>
              <w:jc w:val="left"/>
              <w:rPr>
                <w:rFonts w:ascii="宋体" w:hAnsi="宋体" w:cs="宋体" w:eastAsia="宋体" w:hint="default"/>
                <w:sz w:val="18"/>
                <w:szCs w:val="18"/>
              </w:rPr>
            </w:pPr>
            <w:r>
              <w:rPr>
                <w:rFonts w:ascii="宋体" w:hAnsi="宋体" w:cs="宋体" w:eastAsia="宋体" w:hint="default"/>
                <w:sz w:val="18"/>
                <w:szCs w:val="18"/>
              </w:rPr>
              <w:t>年以内</w:t>
            </w:r>
          </w:p>
        </w:tc>
        <w:tc>
          <w:tcPr>
            <w:tcW w:w="91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年以内</w:t>
            </w:r>
          </w:p>
        </w:tc>
        <w:tc>
          <w:tcPr>
            <w:tcW w:w="913" w:type="dxa"/>
            <w:tcBorders>
              <w:top w:val="nil" w:sz="6" w:space="0" w:color="auto"/>
              <w:left w:val="nil" w:sz="6" w:space="0" w:color="auto"/>
              <w:bottom w:val="single" w:sz="8" w:space="0" w:color="000000"/>
              <w:right w:val="nil" w:sz="6" w:space="0" w:color="auto"/>
            </w:tcBorders>
          </w:tcPr>
          <w:p>
            <w:pPr/>
          </w:p>
        </w:tc>
        <w:tc>
          <w:tcPr>
            <w:tcW w:w="1343" w:type="dxa"/>
            <w:tcBorders>
              <w:top w:val="nil" w:sz="6" w:space="0" w:color="auto"/>
              <w:left w:val="nil" w:sz="6" w:space="0" w:color="auto"/>
              <w:bottom w:val="single" w:sz="8" w:space="0" w:color="000000"/>
              <w:right w:val="nil" w:sz="6" w:space="0" w:color="auto"/>
            </w:tcBorders>
          </w:tcPr>
          <w:p>
            <w:pPr/>
          </w:p>
        </w:tc>
      </w:tr>
      <w:tr>
        <w:trPr>
          <w:trHeight w:val="432" w:hRule="exact"/>
        </w:trPr>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40" w:type="dxa"/>
            <w:tcBorders>
              <w:top w:val="single" w:sz="8" w:space="0" w:color="000000"/>
              <w:left w:val="nil" w:sz="6" w:space="0" w:color="auto"/>
              <w:bottom w:val="single" w:sz="8" w:space="0" w:color="000000"/>
              <w:right w:val="nil" w:sz="6" w:space="0" w:color="auto"/>
            </w:tcBorders>
          </w:tcPr>
          <w:p>
            <w:pPr/>
          </w:p>
        </w:tc>
        <w:tc>
          <w:tcPr>
            <w:tcW w:w="1121" w:type="dxa"/>
            <w:tcBorders>
              <w:top w:val="single" w:sz="8" w:space="0" w:color="000000"/>
              <w:left w:val="nil" w:sz="6" w:space="0" w:color="auto"/>
              <w:bottom w:val="single" w:sz="8" w:space="0" w:color="000000"/>
              <w:right w:val="nil" w:sz="6" w:space="0" w:color="auto"/>
            </w:tcBorders>
          </w:tcPr>
          <w:p>
            <w:pPr/>
          </w:p>
        </w:tc>
        <w:tc>
          <w:tcPr>
            <w:tcW w:w="1040" w:type="dxa"/>
            <w:tcBorders>
              <w:top w:val="single" w:sz="8" w:space="0" w:color="000000"/>
              <w:left w:val="nil" w:sz="6" w:space="0" w:color="auto"/>
              <w:bottom w:val="single" w:sz="8" w:space="0" w:color="000000"/>
              <w:right w:val="nil" w:sz="6" w:space="0" w:color="auto"/>
            </w:tcBorders>
          </w:tcPr>
          <w:p>
            <w:pPr/>
          </w:p>
        </w:tc>
        <w:tc>
          <w:tcPr>
            <w:tcW w:w="916" w:type="dxa"/>
            <w:tcBorders>
              <w:top w:val="single" w:sz="8" w:space="0" w:color="000000"/>
              <w:left w:val="nil" w:sz="6" w:space="0" w:color="auto"/>
              <w:bottom w:val="single" w:sz="8" w:space="0" w:color="000000"/>
              <w:right w:val="nil" w:sz="6" w:space="0" w:color="auto"/>
            </w:tcBorders>
          </w:tcPr>
          <w:p>
            <w:pPr/>
          </w:p>
        </w:tc>
        <w:tc>
          <w:tcPr>
            <w:tcW w:w="913" w:type="dxa"/>
            <w:tcBorders>
              <w:top w:val="single" w:sz="8" w:space="0" w:color="000000"/>
              <w:left w:val="nil" w:sz="6" w:space="0" w:color="auto"/>
              <w:bottom w:val="single" w:sz="8" w:space="0" w:color="000000"/>
              <w:right w:val="nil" w:sz="6" w:space="0" w:color="auto"/>
            </w:tcBorders>
          </w:tcPr>
          <w:p>
            <w:pPr/>
          </w:p>
        </w:tc>
        <w:tc>
          <w:tcPr>
            <w:tcW w:w="1343" w:type="dxa"/>
            <w:tcBorders>
              <w:top w:val="single" w:sz="8" w:space="0" w:color="000000"/>
              <w:left w:val="nil" w:sz="6" w:space="0" w:color="auto"/>
              <w:bottom w:val="single" w:sz="8" w:space="0" w:color="000000"/>
              <w:right w:val="nil" w:sz="6" w:space="0" w:color="auto"/>
            </w:tcBorders>
          </w:tcPr>
          <w:p>
            <w:pPr/>
          </w:p>
        </w:tc>
      </w:tr>
      <w:tr>
        <w:trPr>
          <w:trHeight w:val="432" w:hRule="exact"/>
        </w:trPr>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61" w:right="0"/>
              <w:jc w:val="left"/>
              <w:rPr>
                <w:rFonts w:ascii="Times New Roman" w:hAnsi="Times New Roman" w:cs="Times New Roman" w:eastAsia="Times New Roman" w:hint="default"/>
                <w:sz w:val="18"/>
                <w:szCs w:val="18"/>
              </w:rPr>
            </w:pPr>
            <w:r>
              <w:rPr>
                <w:rFonts w:ascii="Times New Roman"/>
                <w:sz w:val="18"/>
              </w:rPr>
              <w:t>750.00</w:t>
            </w:r>
          </w:p>
        </w:tc>
        <w:tc>
          <w:tcPr>
            <w:tcW w:w="1121"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178" w:right="0"/>
              <w:jc w:val="left"/>
              <w:rPr>
                <w:rFonts w:ascii="Times New Roman" w:hAnsi="Times New Roman" w:cs="Times New Roman" w:eastAsia="Times New Roman" w:hint="default"/>
                <w:sz w:val="18"/>
                <w:szCs w:val="18"/>
              </w:rPr>
            </w:pPr>
            <w:r>
              <w:rPr>
                <w:rFonts w:ascii="Times New Roman"/>
                <w:sz w:val="18"/>
              </w:rPr>
              <w:t>4,606.84</w:t>
            </w: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221" w:right="0"/>
              <w:jc w:val="left"/>
              <w:rPr>
                <w:rFonts w:ascii="Times New Roman" w:hAnsi="Times New Roman" w:cs="Times New Roman" w:eastAsia="Times New Roman" w:hint="default"/>
                <w:sz w:val="18"/>
                <w:szCs w:val="18"/>
              </w:rPr>
            </w:pPr>
            <w:r>
              <w:rPr>
                <w:rFonts w:ascii="Times New Roman"/>
                <w:sz w:val="18"/>
              </w:rPr>
              <w:t>--</w:t>
            </w:r>
          </w:p>
        </w:tc>
        <w:tc>
          <w:tcPr>
            <w:tcW w:w="916"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8" w:right="0"/>
              <w:jc w:val="left"/>
              <w:rPr>
                <w:rFonts w:ascii="Times New Roman" w:hAnsi="Times New Roman" w:cs="Times New Roman" w:eastAsia="Times New Roman" w:hint="default"/>
                <w:sz w:val="18"/>
                <w:szCs w:val="18"/>
              </w:rPr>
            </w:pPr>
            <w:r>
              <w:rPr>
                <w:rFonts w:ascii="Times New Roman"/>
                <w:sz w:val="18"/>
              </w:rPr>
              <w:t>--</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7"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5,356.84</w:t>
            </w:r>
          </w:p>
        </w:tc>
      </w:tr>
      <w:tr>
        <w:trPr>
          <w:trHeight w:val="432" w:hRule="exact"/>
        </w:trPr>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61" w:right="0"/>
              <w:jc w:val="left"/>
              <w:rPr>
                <w:rFonts w:ascii="Times New Roman" w:hAnsi="Times New Roman" w:cs="Times New Roman" w:eastAsia="Times New Roman" w:hint="default"/>
                <w:sz w:val="18"/>
                <w:szCs w:val="18"/>
              </w:rPr>
            </w:pPr>
            <w:r>
              <w:rPr>
                <w:rFonts w:ascii="Times New Roman"/>
                <w:sz w:val="18"/>
              </w:rPr>
              <w:t>2,186.42</w:t>
            </w:r>
          </w:p>
        </w:tc>
        <w:tc>
          <w:tcPr>
            <w:tcW w:w="1121"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178" w:right="0"/>
              <w:jc w:val="left"/>
              <w:rPr>
                <w:rFonts w:ascii="Times New Roman" w:hAnsi="Times New Roman" w:cs="Times New Roman" w:eastAsia="Times New Roman" w:hint="default"/>
                <w:sz w:val="18"/>
                <w:szCs w:val="18"/>
              </w:rPr>
            </w:pPr>
            <w:r>
              <w:rPr>
                <w:rFonts w:ascii="Times New Roman"/>
                <w:sz w:val="18"/>
              </w:rPr>
              <w:t>--</w:t>
            </w: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221" w:right="0"/>
              <w:jc w:val="left"/>
              <w:rPr>
                <w:rFonts w:ascii="Times New Roman" w:hAnsi="Times New Roman" w:cs="Times New Roman" w:eastAsia="Times New Roman" w:hint="default"/>
                <w:sz w:val="18"/>
                <w:szCs w:val="18"/>
              </w:rPr>
            </w:pPr>
            <w:r>
              <w:rPr>
                <w:rFonts w:ascii="Times New Roman"/>
                <w:sz w:val="18"/>
              </w:rPr>
              <w:t>--</w:t>
            </w:r>
          </w:p>
        </w:tc>
        <w:tc>
          <w:tcPr>
            <w:tcW w:w="916"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8" w:right="0"/>
              <w:jc w:val="left"/>
              <w:rPr>
                <w:rFonts w:ascii="Times New Roman" w:hAnsi="Times New Roman" w:cs="Times New Roman" w:eastAsia="Times New Roman" w:hint="default"/>
                <w:sz w:val="18"/>
                <w:szCs w:val="18"/>
              </w:rPr>
            </w:pPr>
            <w:r>
              <w:rPr>
                <w:rFonts w:ascii="Times New Roman"/>
                <w:sz w:val="18"/>
              </w:rPr>
              <w:t>--</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7"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2,186.42</w:t>
            </w:r>
          </w:p>
        </w:tc>
      </w:tr>
      <w:tr>
        <w:trPr>
          <w:trHeight w:val="432" w:hRule="exact"/>
        </w:trPr>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61" w:right="0"/>
              <w:jc w:val="left"/>
              <w:rPr>
                <w:rFonts w:ascii="Times New Roman" w:hAnsi="Times New Roman" w:cs="Times New Roman" w:eastAsia="Times New Roman" w:hint="default"/>
                <w:sz w:val="18"/>
                <w:szCs w:val="18"/>
              </w:rPr>
            </w:pPr>
            <w:r>
              <w:rPr>
                <w:rFonts w:ascii="Times New Roman"/>
                <w:sz w:val="18"/>
              </w:rPr>
              <w:t>12,068.96</w:t>
            </w:r>
          </w:p>
        </w:tc>
        <w:tc>
          <w:tcPr>
            <w:tcW w:w="1121"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178" w:right="0"/>
              <w:jc w:val="left"/>
              <w:rPr>
                <w:rFonts w:ascii="Times New Roman" w:hAnsi="Times New Roman" w:cs="Times New Roman" w:eastAsia="Times New Roman" w:hint="default"/>
                <w:sz w:val="18"/>
                <w:szCs w:val="18"/>
              </w:rPr>
            </w:pPr>
            <w:r>
              <w:rPr>
                <w:rFonts w:ascii="Times New Roman"/>
                <w:sz w:val="18"/>
              </w:rPr>
              <w:t>--</w:t>
            </w: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221" w:right="0"/>
              <w:jc w:val="left"/>
              <w:rPr>
                <w:rFonts w:ascii="Times New Roman" w:hAnsi="Times New Roman" w:cs="Times New Roman" w:eastAsia="Times New Roman" w:hint="default"/>
                <w:sz w:val="18"/>
                <w:szCs w:val="18"/>
              </w:rPr>
            </w:pPr>
            <w:r>
              <w:rPr>
                <w:rFonts w:ascii="Times New Roman"/>
                <w:sz w:val="18"/>
              </w:rPr>
              <w:t>--</w:t>
            </w:r>
          </w:p>
        </w:tc>
        <w:tc>
          <w:tcPr>
            <w:tcW w:w="916"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8" w:right="0"/>
              <w:jc w:val="left"/>
              <w:rPr>
                <w:rFonts w:ascii="Times New Roman" w:hAnsi="Times New Roman" w:cs="Times New Roman" w:eastAsia="Times New Roman" w:hint="default"/>
                <w:sz w:val="18"/>
                <w:szCs w:val="18"/>
              </w:rPr>
            </w:pPr>
            <w:r>
              <w:rPr>
                <w:rFonts w:ascii="Times New Roman"/>
                <w:sz w:val="18"/>
              </w:rPr>
              <w:t>--</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7"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12,068.96</w:t>
            </w:r>
          </w:p>
        </w:tc>
      </w:tr>
      <w:tr>
        <w:trPr>
          <w:trHeight w:val="432" w:hRule="exact"/>
        </w:trPr>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61" w:right="0"/>
              <w:jc w:val="left"/>
              <w:rPr>
                <w:rFonts w:ascii="Times New Roman" w:hAnsi="Times New Roman" w:cs="Times New Roman" w:eastAsia="Times New Roman" w:hint="default"/>
                <w:sz w:val="18"/>
                <w:szCs w:val="18"/>
              </w:rPr>
            </w:pPr>
            <w:r>
              <w:rPr>
                <w:rFonts w:ascii="Times New Roman"/>
                <w:sz w:val="18"/>
              </w:rPr>
              <w:t>289.57</w:t>
            </w:r>
          </w:p>
        </w:tc>
        <w:tc>
          <w:tcPr>
            <w:tcW w:w="1121"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178" w:right="0"/>
              <w:jc w:val="left"/>
              <w:rPr>
                <w:rFonts w:ascii="Times New Roman" w:hAnsi="Times New Roman" w:cs="Times New Roman" w:eastAsia="Times New Roman" w:hint="default"/>
                <w:sz w:val="18"/>
                <w:szCs w:val="18"/>
              </w:rPr>
            </w:pPr>
            <w:r>
              <w:rPr>
                <w:rFonts w:ascii="Times New Roman"/>
                <w:sz w:val="18"/>
              </w:rPr>
              <w:t>--</w:t>
            </w: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221" w:right="0"/>
              <w:jc w:val="left"/>
              <w:rPr>
                <w:rFonts w:ascii="Times New Roman" w:hAnsi="Times New Roman" w:cs="Times New Roman" w:eastAsia="Times New Roman" w:hint="default"/>
                <w:sz w:val="18"/>
                <w:szCs w:val="18"/>
              </w:rPr>
            </w:pPr>
            <w:r>
              <w:rPr>
                <w:rFonts w:ascii="Times New Roman"/>
                <w:sz w:val="18"/>
              </w:rPr>
              <w:t>--</w:t>
            </w:r>
          </w:p>
        </w:tc>
        <w:tc>
          <w:tcPr>
            <w:tcW w:w="916"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8" w:right="0"/>
              <w:jc w:val="left"/>
              <w:rPr>
                <w:rFonts w:ascii="Times New Roman" w:hAnsi="Times New Roman" w:cs="Times New Roman" w:eastAsia="Times New Roman" w:hint="default"/>
                <w:sz w:val="18"/>
                <w:szCs w:val="18"/>
              </w:rPr>
            </w:pPr>
            <w:r>
              <w:rPr>
                <w:rFonts w:ascii="Times New Roman"/>
                <w:sz w:val="18"/>
              </w:rPr>
              <w:t>--</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7"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289.57</w:t>
            </w:r>
          </w:p>
        </w:tc>
      </w:tr>
      <w:tr>
        <w:trPr>
          <w:trHeight w:val="315" w:hRule="exact"/>
        </w:trPr>
        <w:tc>
          <w:tcPr>
            <w:tcW w:w="235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440"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361" w:right="0"/>
              <w:jc w:val="left"/>
              <w:rPr>
                <w:rFonts w:ascii="Times New Roman" w:hAnsi="Times New Roman" w:cs="Times New Roman" w:eastAsia="Times New Roman" w:hint="default"/>
                <w:sz w:val="18"/>
                <w:szCs w:val="18"/>
              </w:rPr>
            </w:pPr>
            <w:r>
              <w:rPr>
                <w:rFonts w:ascii="Times New Roman"/>
                <w:sz w:val="18"/>
              </w:rPr>
              <w:t>15,294.96</w:t>
            </w:r>
          </w:p>
        </w:tc>
        <w:tc>
          <w:tcPr>
            <w:tcW w:w="1121"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178" w:right="0"/>
              <w:jc w:val="left"/>
              <w:rPr>
                <w:rFonts w:ascii="Times New Roman" w:hAnsi="Times New Roman" w:cs="Times New Roman" w:eastAsia="Times New Roman" w:hint="default"/>
                <w:sz w:val="18"/>
                <w:szCs w:val="18"/>
              </w:rPr>
            </w:pPr>
            <w:r>
              <w:rPr>
                <w:rFonts w:ascii="Times New Roman"/>
                <w:sz w:val="18"/>
              </w:rPr>
              <w:t>4,606.84</w:t>
            </w:r>
          </w:p>
        </w:tc>
        <w:tc>
          <w:tcPr>
            <w:tcW w:w="1040"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221" w:right="0"/>
              <w:jc w:val="left"/>
              <w:rPr>
                <w:rFonts w:ascii="Times New Roman" w:hAnsi="Times New Roman" w:cs="Times New Roman" w:eastAsia="Times New Roman" w:hint="default"/>
                <w:sz w:val="18"/>
                <w:szCs w:val="18"/>
              </w:rPr>
            </w:pPr>
            <w:r>
              <w:rPr>
                <w:rFonts w:ascii="Times New Roman"/>
                <w:sz w:val="18"/>
              </w:rPr>
              <w:t>--</w:t>
            </w:r>
          </w:p>
        </w:tc>
        <w:tc>
          <w:tcPr>
            <w:tcW w:w="916"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98" w:right="0"/>
              <w:jc w:val="left"/>
              <w:rPr>
                <w:rFonts w:ascii="Times New Roman" w:hAnsi="Times New Roman" w:cs="Times New Roman" w:eastAsia="Times New Roman" w:hint="default"/>
                <w:sz w:val="18"/>
                <w:szCs w:val="18"/>
              </w:rPr>
            </w:pPr>
            <w:r>
              <w:rPr>
                <w:rFonts w:ascii="Times New Roman"/>
                <w:sz w:val="18"/>
              </w:rPr>
              <w:t>--</w:t>
            </w:r>
          </w:p>
        </w:tc>
        <w:tc>
          <w:tcPr>
            <w:tcW w:w="913"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97"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18,901.80</w:t>
            </w:r>
          </w:p>
        </w:tc>
      </w:tr>
      <w:tr>
        <w:trPr>
          <w:trHeight w:val="510" w:hRule="exact"/>
        </w:trPr>
        <w:tc>
          <w:tcPr>
            <w:tcW w:w="912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457pt;height:.75pt;mso-position-horizontal-relative:char;mso-position-vertical-relative:line" coordorigin="0,0" coordsize="9140,15">
                  <v:group style="position:absolute;left:7;top:7;width:9125;height:2" coordorigin="7,7" coordsize="9125,2">
                    <v:shape style="position:absolute;left:7;top:7;width:9125;height:2" coordorigin="7,7" coordsize="9125,0" path="m7,7l913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期初本集团持有的金融负债按未折现剩余合同现金流量的到期期限分析如下（单位：人民币万元</w:t>
            </w:r>
            <w:r>
              <w:rPr>
                <w:rFonts w:ascii="宋体" w:hAnsi="宋体" w:cs="宋体" w:eastAsia="宋体" w:hint="default"/>
                <w:spacing w:val="-89"/>
                <w:sz w:val="18"/>
                <w:szCs w:val="18"/>
              </w:rPr>
              <w:t>）</w:t>
            </w:r>
            <w:r>
              <w:rPr>
                <w:rFonts w:ascii="宋体" w:hAnsi="宋体" w:cs="宋体" w:eastAsia="宋体" w:hint="default"/>
                <w:sz w:val="18"/>
                <w:szCs w:val="18"/>
              </w:rPr>
              <w:t>：</w:t>
            </w:r>
          </w:p>
        </w:tc>
      </w:tr>
    </w:tbl>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1.1pt;height:1pt;mso-position-horizontal-relative:char;mso-position-vertical-relative:line" coordorigin="0,0" coordsize="9222,20">
            <v:group style="position:absolute;left:10;top:10;width:9202;height:2" coordorigin="10,10" coordsize="9202,2">
              <v:shape style="position:absolute;left:10;top:10;width:9202;height:2" coordorigin="10,10" coordsize="9202,0" path="m10,10l9212,10e" filled="false" stroked="true" strokeweight=".96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32"/>
        <w:gridCol w:w="1086"/>
        <w:gridCol w:w="1064"/>
        <w:gridCol w:w="1157"/>
        <w:gridCol w:w="1087"/>
        <w:gridCol w:w="1158"/>
        <w:gridCol w:w="1517"/>
      </w:tblGrid>
      <w:tr>
        <w:trPr>
          <w:trHeight w:val="406"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8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4" w:type="dxa"/>
            <w:gridSpan w:val="5"/>
            <w:tcBorders>
              <w:top w:val="nil" w:sz="6" w:space="0" w:color="auto"/>
              <w:left w:val="nil" w:sz="6" w:space="0" w:color="auto"/>
              <w:bottom w:val="single" w:sz="8" w:space="0" w:color="000000"/>
              <w:right w:val="nil" w:sz="6" w:space="0" w:color="auto"/>
            </w:tcBorders>
          </w:tcPr>
          <w:p>
            <w:pPr/>
          </w:p>
        </w:tc>
      </w:tr>
      <w:tr>
        <w:trPr>
          <w:trHeight w:val="744" w:hRule="exact"/>
        </w:trPr>
        <w:tc>
          <w:tcPr>
            <w:tcW w:w="2132" w:type="dxa"/>
            <w:tcBorders>
              <w:top w:val="nil" w:sz="6" w:space="0" w:color="auto"/>
              <w:left w:val="nil" w:sz="6" w:space="0" w:color="auto"/>
              <w:bottom w:val="single" w:sz="8" w:space="0" w:color="000000"/>
              <w:right w:val="nil" w:sz="6" w:space="0" w:color="auto"/>
            </w:tcBorders>
          </w:tcPr>
          <w:p>
            <w:pPr/>
          </w:p>
        </w:tc>
        <w:tc>
          <w:tcPr>
            <w:tcW w:w="1086"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六个月以内</w:t>
            </w:r>
          </w:p>
        </w:tc>
        <w:tc>
          <w:tcPr>
            <w:tcW w:w="106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7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57" w:type="dxa"/>
            <w:tcBorders>
              <w:top w:val="single" w:sz="8" w:space="0" w:color="000000"/>
              <w:left w:val="nil" w:sz="6" w:space="0" w:color="auto"/>
              <w:bottom w:val="single" w:sz="8" w:space="0" w:color="000000"/>
              <w:right w:val="nil" w:sz="6" w:space="0" w:color="auto"/>
            </w:tcBorders>
          </w:tcPr>
          <w:p>
            <w:pPr>
              <w:pStyle w:val="TableParagraph"/>
              <w:spacing w:line="316" w:lineRule="auto" w:before="60"/>
              <w:ind w:left="167" w:right="86"/>
              <w:jc w:val="left"/>
              <w:rPr>
                <w:rFonts w:ascii="宋体" w:hAnsi="宋体" w:cs="宋体" w:eastAsia="宋体" w:hint="default"/>
                <w:sz w:val="18"/>
                <w:szCs w:val="18"/>
              </w:rPr>
            </w:pPr>
            <w:r>
              <w:rPr>
                <w:rFonts w:ascii="宋体" w:hAnsi="宋体" w:cs="宋体" w:eastAsia="宋体" w:hint="default"/>
                <w:sz w:val="18"/>
                <w:szCs w:val="18"/>
              </w:rPr>
              <w:t>一年至两年 以内</w:t>
            </w:r>
          </w:p>
        </w:tc>
        <w:tc>
          <w:tcPr>
            <w:tcW w:w="1087" w:type="dxa"/>
            <w:tcBorders>
              <w:top w:val="single" w:sz="8" w:space="0" w:color="000000"/>
              <w:left w:val="nil" w:sz="6" w:space="0" w:color="auto"/>
              <w:bottom w:val="single" w:sz="8" w:space="0" w:color="000000"/>
              <w:right w:val="nil" w:sz="6" w:space="0" w:color="auto"/>
            </w:tcBorders>
          </w:tcPr>
          <w:p>
            <w:pPr>
              <w:pStyle w:val="TableParagraph"/>
              <w:spacing w:line="316" w:lineRule="auto" w:before="60"/>
              <w:ind w:left="88" w:right="96"/>
              <w:jc w:val="left"/>
              <w:rPr>
                <w:rFonts w:ascii="宋体" w:hAnsi="宋体" w:cs="宋体" w:eastAsia="宋体" w:hint="default"/>
                <w:sz w:val="18"/>
                <w:szCs w:val="18"/>
              </w:rPr>
            </w:pPr>
            <w:r>
              <w:rPr>
                <w:rFonts w:ascii="宋体" w:hAnsi="宋体" w:cs="宋体" w:eastAsia="宋体" w:hint="default"/>
                <w:sz w:val="18"/>
                <w:szCs w:val="18"/>
              </w:rPr>
              <w:t>两年至三年 以内</w:t>
            </w:r>
          </w:p>
        </w:tc>
        <w:tc>
          <w:tcPr>
            <w:tcW w:w="115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9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1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33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32" w:hRule="exact"/>
        </w:trPr>
        <w:tc>
          <w:tcPr>
            <w:tcW w:w="213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86" w:type="dxa"/>
            <w:tcBorders>
              <w:top w:val="single" w:sz="8" w:space="0" w:color="000000"/>
              <w:left w:val="nil" w:sz="6" w:space="0" w:color="auto"/>
              <w:bottom w:val="single" w:sz="8" w:space="0" w:color="000000"/>
              <w:right w:val="nil" w:sz="6" w:space="0" w:color="auto"/>
            </w:tcBorders>
          </w:tcPr>
          <w:p>
            <w:pPr/>
          </w:p>
        </w:tc>
        <w:tc>
          <w:tcPr>
            <w:tcW w:w="1064" w:type="dxa"/>
            <w:tcBorders>
              <w:top w:val="single" w:sz="8" w:space="0" w:color="000000"/>
              <w:left w:val="nil" w:sz="6" w:space="0" w:color="auto"/>
              <w:bottom w:val="single" w:sz="8" w:space="0" w:color="000000"/>
              <w:right w:val="nil" w:sz="6" w:space="0" w:color="auto"/>
            </w:tcBorders>
          </w:tcPr>
          <w:p>
            <w:pPr/>
          </w:p>
        </w:tc>
        <w:tc>
          <w:tcPr>
            <w:tcW w:w="1157" w:type="dxa"/>
            <w:tcBorders>
              <w:top w:val="single" w:sz="8" w:space="0" w:color="000000"/>
              <w:left w:val="nil" w:sz="6" w:space="0" w:color="auto"/>
              <w:bottom w:val="single" w:sz="8" w:space="0" w:color="000000"/>
              <w:right w:val="nil" w:sz="6" w:space="0" w:color="auto"/>
            </w:tcBorders>
          </w:tcPr>
          <w:p>
            <w:pPr/>
          </w:p>
        </w:tc>
        <w:tc>
          <w:tcPr>
            <w:tcW w:w="1087" w:type="dxa"/>
            <w:tcBorders>
              <w:top w:val="single" w:sz="8" w:space="0" w:color="000000"/>
              <w:left w:val="nil" w:sz="6" w:space="0" w:color="auto"/>
              <w:bottom w:val="single" w:sz="8" w:space="0" w:color="000000"/>
              <w:right w:val="nil" w:sz="6" w:space="0" w:color="auto"/>
            </w:tcBorders>
          </w:tcPr>
          <w:p>
            <w:pPr/>
          </w:p>
        </w:tc>
        <w:tc>
          <w:tcPr>
            <w:tcW w:w="1158" w:type="dxa"/>
            <w:tcBorders>
              <w:top w:val="single" w:sz="8" w:space="0" w:color="000000"/>
              <w:left w:val="nil" w:sz="6" w:space="0" w:color="auto"/>
              <w:bottom w:val="single" w:sz="8" w:space="0" w:color="000000"/>
              <w:right w:val="nil" w:sz="6" w:space="0" w:color="auto"/>
            </w:tcBorders>
          </w:tcPr>
          <w:p>
            <w:pPr/>
          </w:p>
        </w:tc>
        <w:tc>
          <w:tcPr>
            <w:tcW w:w="1517" w:type="dxa"/>
            <w:tcBorders>
              <w:top w:val="single" w:sz="8" w:space="0" w:color="000000"/>
              <w:left w:val="nil" w:sz="6" w:space="0" w:color="auto"/>
              <w:bottom w:val="single" w:sz="8" w:space="0" w:color="000000"/>
              <w:right w:val="nil" w:sz="6" w:space="0" w:color="auto"/>
            </w:tcBorders>
          </w:tcPr>
          <w:p>
            <w:pPr/>
          </w:p>
        </w:tc>
      </w:tr>
      <w:tr>
        <w:trPr>
          <w:trHeight w:val="432" w:hRule="exact"/>
        </w:trPr>
        <w:tc>
          <w:tcPr>
            <w:tcW w:w="213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1,355.00</w:t>
            </w:r>
          </w:p>
        </w:tc>
        <w:tc>
          <w:tcPr>
            <w:tcW w:w="1064" w:type="dxa"/>
            <w:tcBorders>
              <w:top w:val="single" w:sz="8" w:space="0" w:color="000000"/>
              <w:left w:val="nil" w:sz="6" w:space="0" w:color="auto"/>
              <w:bottom w:val="single" w:sz="8" w:space="0" w:color="000000"/>
              <w:right w:val="nil" w:sz="6" w:space="0" w:color="auto"/>
            </w:tcBorders>
          </w:tcPr>
          <w:p>
            <w:pPr/>
          </w:p>
        </w:tc>
        <w:tc>
          <w:tcPr>
            <w:tcW w:w="11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w:t>
            </w:r>
          </w:p>
        </w:tc>
        <w:tc>
          <w:tcPr>
            <w:tcW w:w="1158"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339" w:right="0"/>
              <w:jc w:val="left"/>
              <w:rPr>
                <w:rFonts w:ascii="Times New Roman" w:hAnsi="Times New Roman" w:cs="Times New Roman" w:eastAsia="Times New Roman" w:hint="default"/>
                <w:sz w:val="18"/>
                <w:szCs w:val="18"/>
              </w:rPr>
            </w:pPr>
            <w:r>
              <w:rPr>
                <w:rFonts w:ascii="Times New Roman"/>
                <w:sz w:val="18"/>
              </w:rPr>
              <w:t>1,355.00</w:t>
            </w:r>
          </w:p>
        </w:tc>
      </w:tr>
      <w:tr>
        <w:trPr>
          <w:trHeight w:val="432" w:hRule="exact"/>
        </w:trPr>
        <w:tc>
          <w:tcPr>
            <w:tcW w:w="213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1,337.55</w:t>
            </w:r>
          </w:p>
        </w:tc>
        <w:tc>
          <w:tcPr>
            <w:tcW w:w="1064" w:type="dxa"/>
            <w:tcBorders>
              <w:top w:val="single" w:sz="8" w:space="0" w:color="000000"/>
              <w:left w:val="nil" w:sz="6" w:space="0" w:color="auto"/>
              <w:bottom w:val="single" w:sz="8" w:space="0" w:color="000000"/>
              <w:right w:val="nil" w:sz="6" w:space="0" w:color="auto"/>
            </w:tcBorders>
          </w:tcPr>
          <w:p>
            <w:pPr/>
          </w:p>
        </w:tc>
        <w:tc>
          <w:tcPr>
            <w:tcW w:w="11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w:t>
            </w:r>
          </w:p>
        </w:tc>
        <w:tc>
          <w:tcPr>
            <w:tcW w:w="1158"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339" w:right="0"/>
              <w:jc w:val="left"/>
              <w:rPr>
                <w:rFonts w:ascii="Times New Roman" w:hAnsi="Times New Roman" w:cs="Times New Roman" w:eastAsia="Times New Roman" w:hint="default"/>
                <w:sz w:val="18"/>
                <w:szCs w:val="18"/>
              </w:rPr>
            </w:pPr>
            <w:r>
              <w:rPr>
                <w:rFonts w:ascii="Times New Roman"/>
                <w:sz w:val="18"/>
              </w:rPr>
              <w:t>1,337.55</w:t>
            </w:r>
          </w:p>
        </w:tc>
      </w:tr>
      <w:tr>
        <w:trPr>
          <w:trHeight w:val="432" w:hRule="exact"/>
        </w:trPr>
        <w:tc>
          <w:tcPr>
            <w:tcW w:w="213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8,481.33</w:t>
            </w:r>
          </w:p>
        </w:tc>
        <w:tc>
          <w:tcPr>
            <w:tcW w:w="1064" w:type="dxa"/>
            <w:tcBorders>
              <w:top w:val="single" w:sz="8" w:space="0" w:color="000000"/>
              <w:left w:val="nil" w:sz="6" w:space="0" w:color="auto"/>
              <w:bottom w:val="single" w:sz="8" w:space="0" w:color="000000"/>
              <w:right w:val="nil" w:sz="6" w:space="0" w:color="auto"/>
            </w:tcBorders>
          </w:tcPr>
          <w:p>
            <w:pPr/>
          </w:p>
        </w:tc>
        <w:tc>
          <w:tcPr>
            <w:tcW w:w="11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w:t>
            </w:r>
          </w:p>
        </w:tc>
        <w:tc>
          <w:tcPr>
            <w:tcW w:w="1158"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339" w:right="0"/>
              <w:jc w:val="left"/>
              <w:rPr>
                <w:rFonts w:ascii="Times New Roman" w:hAnsi="Times New Roman" w:cs="Times New Roman" w:eastAsia="Times New Roman" w:hint="default"/>
                <w:sz w:val="18"/>
                <w:szCs w:val="18"/>
              </w:rPr>
            </w:pPr>
            <w:r>
              <w:rPr>
                <w:rFonts w:ascii="Times New Roman"/>
                <w:sz w:val="18"/>
              </w:rPr>
              <w:t>8,481.33</w:t>
            </w:r>
          </w:p>
        </w:tc>
      </w:tr>
      <w:tr>
        <w:trPr>
          <w:trHeight w:val="416" w:hRule="exact"/>
        </w:trPr>
        <w:tc>
          <w:tcPr>
            <w:tcW w:w="2132"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86"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60.97</w:t>
            </w:r>
          </w:p>
        </w:tc>
        <w:tc>
          <w:tcPr>
            <w:tcW w:w="1064" w:type="dxa"/>
            <w:tcBorders>
              <w:top w:val="single" w:sz="8" w:space="0" w:color="000000"/>
              <w:left w:val="nil" w:sz="6" w:space="0" w:color="auto"/>
              <w:bottom w:val="nil" w:sz="6" w:space="0" w:color="auto"/>
              <w:right w:val="nil" w:sz="6" w:space="0" w:color="auto"/>
            </w:tcBorders>
          </w:tcPr>
          <w:p>
            <w:pPr/>
          </w:p>
        </w:tc>
        <w:tc>
          <w:tcPr>
            <w:tcW w:w="1157"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w:t>
            </w:r>
          </w:p>
        </w:tc>
        <w:tc>
          <w:tcPr>
            <w:tcW w:w="1158"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339" w:right="0"/>
              <w:jc w:val="left"/>
              <w:rPr>
                <w:rFonts w:ascii="Times New Roman" w:hAnsi="Times New Roman" w:cs="Times New Roman" w:eastAsia="Times New Roman" w:hint="default"/>
                <w:sz w:val="18"/>
                <w:szCs w:val="18"/>
              </w:rPr>
            </w:pPr>
            <w:r>
              <w:rPr>
                <w:rFonts w:ascii="Times New Roman"/>
                <w:sz w:val="18"/>
              </w:rPr>
              <w:t>60.97</w:t>
            </w: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0.85pt;height:.75pt;mso-position-horizontal-relative:char;mso-position-vertical-relative:line" coordorigin="0,0" coordsize="9217,15">
            <v:group style="position:absolute;left:7;top:7;width:9202;height:2" coordorigin="7,7" coordsize="9202,2">
              <v:shape style="position:absolute;left:7;top:7;width:9202;height:2" coordorigin="7,7" coordsize="9202,0" path="m7,7l9209,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1.1pt;height:1pt;mso-position-horizontal-relative:char;mso-position-vertical-relative:line" coordorigin="0,0" coordsize="9222,20">
            <v:group style="position:absolute;left:10;top:10;width:9202;height:2" coordorigin="10,10" coordsize="9202,2">
              <v:shape style="position:absolute;left:10;top:10;width:9202;height:2" coordorigin="10,10" coordsize="9202,0" path="m10,10l9212,10e" filled="false" stroked="true" strokeweight=".96pt" strokecolor="#000000">
                <v:path arrowok="t"/>
              </v:shape>
            </v:group>
          </v:group>
        </w:pict>
      </w:r>
      <w:r>
        <w:rPr>
          <w:rFonts w:ascii="宋体" w:hAnsi="宋体" w:cs="宋体" w:eastAsia="宋体" w:hint="default"/>
          <w:sz w:val="2"/>
          <w:szCs w:val="2"/>
        </w:rPr>
      </w:r>
    </w:p>
    <w:p>
      <w:pPr>
        <w:pStyle w:val="BodyText"/>
        <w:tabs>
          <w:tab w:pos="2255" w:val="left" w:leader="none"/>
          <w:tab w:pos="4564" w:val="left" w:leader="none"/>
          <w:tab w:pos="5642" w:val="left" w:leader="none"/>
          <w:tab w:pos="6739" w:val="left" w:leader="none"/>
          <w:tab w:pos="8138" w:val="left" w:leader="none"/>
        </w:tabs>
        <w:spacing w:line="240" w:lineRule="auto" w:before="61"/>
        <w:ind w:left="124" w:right="190"/>
        <w:jc w:val="left"/>
        <w:rPr>
          <w:rFonts w:ascii="Times New Roman" w:hAnsi="Times New Roman" w:cs="Times New Roman" w:eastAsia="Times New Roman" w:hint="default"/>
        </w:rPr>
      </w:pPr>
      <w:r>
        <w:rPr/>
        <w:t>金融负债合计</w:t>
        <w:tab/>
      </w:r>
      <w:r>
        <w:rPr>
          <w:rFonts w:ascii="Times New Roman" w:hAnsi="Times New Roman" w:cs="Times New Roman" w:eastAsia="Times New Roman" w:hint="default"/>
          <w:spacing w:val="-2"/>
        </w:rPr>
        <w:t>11,234.85</w:t>
        <w:tab/>
      </w:r>
      <w:r>
        <w:rPr>
          <w:rFonts w:ascii="Times New Roman" w:hAnsi="Times New Roman" w:cs="Times New Roman" w:eastAsia="Times New Roman" w:hint="default"/>
        </w:rPr>
        <w:t>--</w:t>
        <w:tab/>
        <w:t>--</w:t>
        <w:tab/>
        <w:t>--</w:t>
        <w:tab/>
      </w:r>
      <w:r>
        <w:rPr>
          <w:rFonts w:ascii="Times New Roman" w:hAnsi="Times New Roman" w:cs="Times New Roman" w:eastAsia="Times New Roman" w:hint="default"/>
          <w:spacing w:val="-2"/>
        </w:rPr>
        <w:t>11,234.85</w:t>
      </w:r>
    </w:p>
    <w:p>
      <w:pPr>
        <w:spacing w:line="240" w:lineRule="auto" w:before="10"/>
        <w:rPr>
          <w:rFonts w:ascii="Times New Roman" w:hAnsi="Times New Roman" w:cs="Times New Roman" w:eastAsia="Times New Roman" w:hint="default"/>
          <w:sz w:val="8"/>
          <w:szCs w:val="8"/>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0.85pt;height:.75pt;mso-position-horizontal-relative:char;mso-position-vertical-relative:line" coordorigin="0,0" coordsize="9217,15">
            <v:group style="position:absolute;left:7;top:7;width:9202;height:2" coordorigin="7,7" coordsize="9202,2">
              <v:shape style="position:absolute;left:7;top:7;width:9202;height:2" coordorigin="7,7" coordsize="9202,0" path="m7,7l9209,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46"/>
        <w:ind w:right="190"/>
        <w:jc w:val="left"/>
      </w:pPr>
      <w:r>
        <w:rPr/>
        <w:t>上表中披露的金融负债金额为未经折现的合同现金流量，因而可能与资产负债表中的账面金额有所不同。</w:t>
      </w:r>
    </w:p>
    <w:p>
      <w:pPr>
        <w:pStyle w:val="BodyText"/>
        <w:spacing w:line="328" w:lineRule="auto" w:before="115"/>
        <w:ind w:right="190"/>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金融工具的市场风险，是指金融工具的公允价值或未来现金流量因市场价格变动而发生波动的风险，包括利率风险、汇率风</w:t>
      </w:r>
      <w:r>
        <w:rPr>
          <w:spacing w:val="-65"/>
        </w:rPr>
        <w:t> </w:t>
      </w:r>
      <w:r>
        <w:rPr>
          <w:spacing w:val="-65"/>
        </w:rPr>
      </w:r>
      <w:r>
        <w:rPr/>
        <w:t>险和其他价格风险。</w:t>
      </w:r>
    </w:p>
    <w:p>
      <w:pPr>
        <w:pStyle w:val="BodyText"/>
        <w:spacing w:line="338" w:lineRule="auto" w:before="50"/>
        <w:ind w:right="190"/>
        <w:jc w:val="left"/>
      </w:pPr>
      <w:r>
        <w:rPr/>
        <w:t>利率风险 </w:t>
      </w:r>
      <w:r>
        <w:rPr>
          <w:spacing w:val="-2"/>
        </w:rPr>
        <w:t>利率风险，是指金融工具的公允价值或未来现金流量因市场利率变动而发生波动的风险。利率风险可源于已确认的计息金融</w:t>
      </w:r>
      <w:r>
        <w:rPr>
          <w:spacing w:val="-64"/>
        </w:rPr>
        <w:t> </w:t>
      </w:r>
      <w:r>
        <w:rPr>
          <w:spacing w:val="-64"/>
        </w:rPr>
      </w:r>
      <w:r>
        <w:rPr>
          <w:spacing w:val="-5"/>
        </w:rPr>
        <w:t>工具和未确认的金融工具（如某些贷款承诺）。</w:t>
      </w:r>
    </w:p>
    <w:p>
      <w:pPr>
        <w:pStyle w:val="BodyText"/>
        <w:spacing w:line="316" w:lineRule="auto" w:before="43"/>
        <w:ind w:right="192"/>
        <w:jc w:val="both"/>
      </w:pPr>
      <w:r>
        <w:rPr>
          <w:spacing w:val="-2"/>
        </w:rPr>
        <w:t>本集团的利率风险主要产生于长期银行借款及应付债券等长期带息债务。浮动利率的金融负债使本集团面临现金流量利率风</w:t>
      </w:r>
      <w:r>
        <w:rPr>
          <w:spacing w:val="-64"/>
        </w:rPr>
        <w:t> </w:t>
      </w:r>
      <w:r>
        <w:rPr>
          <w:spacing w:val="-64"/>
        </w:rPr>
      </w:r>
      <w:r>
        <w:rPr>
          <w:spacing w:val="-2"/>
        </w:rPr>
        <w:t>险，固定利率的金融负债使本集团面临公允价值利率风险。本集团根据当时的市场环境来决定固定利率及浮动利率合同的相</w:t>
      </w:r>
      <w:r>
        <w:rPr>
          <w:spacing w:val="-64"/>
        </w:rPr>
        <w:t> </w:t>
      </w:r>
      <w:r>
        <w:rPr>
          <w:spacing w:val="-64"/>
        </w:rPr>
      </w:r>
      <w:r>
        <w:rPr/>
        <w:t>对比例，并通过定期审阅与监察维持适当的固定和浮动利率工具组合。</w:t>
      </w:r>
    </w:p>
    <w:p>
      <w:pPr>
        <w:pStyle w:val="BodyText"/>
        <w:spacing w:line="240" w:lineRule="auto" w:before="59"/>
        <w:ind w:right="190"/>
        <w:jc w:val="left"/>
      </w:pPr>
      <w:r>
        <w:rPr/>
        <w:t>于</w:t>
      </w:r>
      <w:r>
        <w:rPr>
          <w:spacing w:val="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t>年</w:t>
      </w:r>
      <w:r>
        <w:rPr>
          <w:spacing w:val="-45"/>
        </w:rPr>
        <w:t> </w:t>
      </w:r>
      <w:r>
        <w:rPr>
          <w:rFonts w:ascii="Times New Roman" w:hAnsi="Times New Roman" w:cs="Times New Roman" w:eastAsia="Times New Roman" w:hint="default"/>
        </w:rPr>
        <w:t>12  </w:t>
      </w:r>
      <w:r>
        <w:rPr/>
        <w:t>月</w:t>
      </w:r>
      <w:r>
        <w:rPr>
          <w:spacing w:val="-47"/>
        </w:rPr>
        <w:t> </w:t>
      </w:r>
      <w:r>
        <w:rPr>
          <w:rFonts w:ascii="Times New Roman" w:hAnsi="Times New Roman" w:cs="Times New Roman" w:eastAsia="Times New Roman" w:hint="default"/>
        </w:rPr>
        <w:t>31  </w:t>
      </w:r>
      <w:r>
        <w:rPr/>
        <w:t>日，如果以浮动利率计算的借款利率上升或下降</w:t>
      </w:r>
      <w:r>
        <w:rPr>
          <w:spacing w:val="-45"/>
        </w:rPr>
        <w:t> </w:t>
      </w:r>
      <w:r>
        <w:rPr>
          <w:rFonts w:ascii="Times New Roman" w:hAnsi="Times New Roman" w:cs="Times New Roman" w:eastAsia="Times New Roman" w:hint="default"/>
        </w:rPr>
        <w:t>50</w:t>
      </w:r>
      <w:r>
        <w:rPr>
          <w:rFonts w:ascii="Times New Roman" w:hAnsi="Times New Roman" w:cs="Times New Roman" w:eastAsia="Times New Roman" w:hint="default"/>
          <w:spacing w:val="42"/>
        </w:rPr>
        <w:t> </w:t>
      </w:r>
      <w:r>
        <w:rPr/>
        <w:t>个基点，而其它因素保持不变，本集团的净利润</w:t>
      </w:r>
    </w:p>
    <w:p>
      <w:pPr>
        <w:pStyle w:val="BodyText"/>
        <w:spacing w:line="324" w:lineRule="auto" w:before="63"/>
        <w:ind w:right="190"/>
        <w:jc w:val="left"/>
      </w:pPr>
      <w:r>
        <w:rPr/>
        <w:t>及股东权益将减少或增加约</w:t>
      </w:r>
      <w:r>
        <w:rPr>
          <w:spacing w:val="-45"/>
        </w:rPr>
        <w:t> </w:t>
      </w:r>
      <w:r>
        <w:rPr>
          <w:rFonts w:ascii="Times New Roman" w:hAnsi="Times New Roman" w:cs="Times New Roman" w:eastAsia="Times New Roman" w:hint="default"/>
          <w:spacing w:val="-1"/>
        </w:rPr>
        <w:t>0.36 </w:t>
      </w:r>
      <w:r>
        <w:rPr/>
        <w:t>万元（</w:t>
      </w:r>
      <w:r>
        <w:rPr>
          <w:rFonts w:ascii="Times New Roman" w:hAnsi="Times New Roman" w:cs="Times New Roman" w:eastAsia="Times New Roman" w:hint="default"/>
        </w:rPr>
        <w:t>2016 </w:t>
      </w:r>
      <w:r>
        <w:rPr/>
        <w:t>年</w:t>
      </w:r>
      <w:r>
        <w:rPr>
          <w:spacing w:val="-47"/>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42"/>
        </w:rPr>
        <w:t> </w:t>
      </w:r>
      <w:r>
        <w:rPr>
          <w:spacing w:val="-1"/>
        </w:rPr>
        <w:t>日：</w:t>
      </w:r>
      <w:r>
        <w:rPr>
          <w:rFonts w:ascii="Times New Roman" w:hAnsi="Times New Roman" w:cs="Times New Roman" w:eastAsia="Times New Roman" w:hint="default"/>
          <w:spacing w:val="-1"/>
        </w:rPr>
        <w:t>0.41 </w:t>
      </w:r>
      <w:r>
        <w:rPr>
          <w:spacing w:val="-23"/>
        </w:rPr>
        <w:t>万元）。</w:t>
      </w:r>
      <w:r>
        <w:rPr>
          <w:spacing w:val="-79"/>
        </w:rPr>
        <w:t> </w:t>
      </w:r>
      <w:r>
        <w:rPr>
          <w:spacing w:val="-79"/>
        </w:rPr>
      </w:r>
      <w:r>
        <w:rPr>
          <w:spacing w:val="-2"/>
        </w:rPr>
        <w:t>对于资产负债表日持有的、使本集团面临公允价值利率风险的金融工具，上述敏感性分析中的净利润及股东权益的影响是假</w:t>
      </w:r>
      <w:r>
        <w:rPr>
          <w:spacing w:val="-64"/>
        </w:rPr>
        <w:t> </w:t>
      </w:r>
      <w:r>
        <w:rPr>
          <w:spacing w:val="-64"/>
        </w:rPr>
      </w:r>
      <w:r>
        <w:rPr>
          <w:spacing w:val="-2"/>
        </w:rPr>
        <w:t>设在资产负债表日利率发生变动，按照新利率对上述金融工具进行重新计量后的影响。对于资产负债表日持有的、使本集团</w:t>
      </w:r>
      <w:r>
        <w:rPr>
          <w:spacing w:val="-65"/>
        </w:rPr>
        <w:t> </w:t>
      </w:r>
      <w:r>
        <w:rPr>
          <w:spacing w:val="-65"/>
        </w:rPr>
      </w:r>
      <w:r>
        <w:rPr>
          <w:spacing w:val="-2"/>
        </w:rPr>
        <w:t>面临现金流量利率风险的浮动利率非衍生工具，上述敏感性分析中的净利润及股东权益的影响是上述利率变动对按年度估算</w:t>
      </w:r>
      <w:r>
        <w:rPr>
          <w:spacing w:val="-64"/>
        </w:rPr>
        <w:t> </w:t>
      </w:r>
      <w:r>
        <w:rPr>
          <w:spacing w:val="-64"/>
        </w:rPr>
      </w:r>
      <w:r>
        <w:rPr/>
        <w:t>的利息费用或收入的影响。上一年度的分析基于同样的假设和方法。</w:t>
      </w:r>
    </w:p>
    <w:p>
      <w:pPr>
        <w:pStyle w:val="BodyText"/>
        <w:spacing w:line="338" w:lineRule="auto" w:before="54"/>
        <w:ind w:right="190"/>
        <w:jc w:val="left"/>
      </w:pPr>
      <w:r>
        <w:rPr/>
        <w:t>汇率风险 </w:t>
      </w: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w:t>
      </w:r>
    </w:p>
    <w:p>
      <w:pPr>
        <w:pStyle w:val="BodyText"/>
        <w:spacing w:line="316" w:lineRule="auto" w:before="41"/>
        <w:ind w:right="190"/>
        <w:jc w:val="left"/>
      </w:pPr>
      <w:r>
        <w:rPr>
          <w:spacing w:val="-2"/>
        </w:rPr>
        <w:t>汇率风险主要为本集团的财务状况和现金流量受外汇汇率波动的影响。除了在香港设立的子公司持有以美元、港币为结算货</w:t>
      </w:r>
      <w:r>
        <w:rPr>
          <w:spacing w:val="-64"/>
        </w:rPr>
        <w:t> </w:t>
      </w:r>
      <w:r>
        <w:rPr>
          <w:spacing w:val="-64"/>
        </w:rPr>
      </w:r>
      <w:r>
        <w:rPr/>
        <w:t>币的资产外，本公司也存在以美元为交易计价货币外币资产和负债，公司存在外汇风险。</w:t>
      </w:r>
    </w:p>
    <w:p>
      <w:pPr>
        <w:pStyle w:val="BodyText"/>
        <w:spacing w:line="240" w:lineRule="auto" w:before="59"/>
        <w:ind w:right="93"/>
        <w:jc w:val="left"/>
      </w:pPr>
      <w:r>
        <w:rPr/>
        <w:t>于</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日，本集团持有的外币金融资产和外币金融负债折算成人民币的金额列示如下（单位：人民币万</w:t>
      </w:r>
      <w:r>
        <w:rPr>
          <w:spacing w:val="-1"/>
        </w:rPr>
        <w:t>元</w:t>
      </w:r>
      <w:r>
        <w:rPr>
          <w:spacing w:val="-89"/>
        </w:rPr>
        <w:t>）</w:t>
      </w:r>
      <w:r>
        <w:rPr/>
        <w:t>：</w:t>
      </w:r>
    </w:p>
    <w:p>
      <w:pPr>
        <w:spacing w:line="240" w:lineRule="auto" w:before="0"/>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7.5pt;height:.75pt;mso-position-horizontal-relative:char;mso-position-vertical-relative:line" coordorigin="0,0" coordsize="9150,15">
            <v:group style="position:absolute;left:7;top:7;width:9135;height:2" coordorigin="7,7" coordsize="9135,2">
              <v:shape style="position:absolute;left:7;top:7;width:9135;height:2" coordorigin="7,7" coordsize="9135,0" path="m7,7l9142,7e" filled="false" stroked="true" strokeweight=".72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1827"/>
        <w:gridCol w:w="1283"/>
        <w:gridCol w:w="1781"/>
        <w:gridCol w:w="1873"/>
        <w:gridCol w:w="2371"/>
      </w:tblGrid>
      <w:tr>
        <w:trPr>
          <w:trHeight w:val="404"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8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外币负债</w:t>
            </w:r>
          </w:p>
        </w:tc>
        <w:tc>
          <w:tcPr>
            <w:tcW w:w="1781" w:type="dxa"/>
            <w:tcBorders>
              <w:top w:val="nil" w:sz="6" w:space="0" w:color="auto"/>
              <w:left w:val="nil" w:sz="6" w:space="0" w:color="auto"/>
              <w:bottom w:val="single" w:sz="8" w:space="0" w:color="000000"/>
              <w:right w:val="nil" w:sz="6" w:space="0" w:color="auto"/>
            </w:tcBorders>
          </w:tcPr>
          <w:p>
            <w:pPr/>
          </w:p>
        </w:tc>
        <w:tc>
          <w:tcPr>
            <w:tcW w:w="187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98" w:right="0"/>
              <w:jc w:val="left"/>
              <w:rPr>
                <w:rFonts w:ascii="宋体" w:hAnsi="宋体" w:cs="宋体" w:eastAsia="宋体" w:hint="default"/>
                <w:sz w:val="18"/>
                <w:szCs w:val="18"/>
              </w:rPr>
            </w:pPr>
            <w:r>
              <w:rPr>
                <w:rFonts w:ascii="宋体" w:hAnsi="宋体" w:cs="宋体" w:eastAsia="宋体" w:hint="default"/>
                <w:sz w:val="18"/>
                <w:szCs w:val="18"/>
              </w:rPr>
              <w:t>外币资产</w:t>
            </w:r>
          </w:p>
        </w:tc>
        <w:tc>
          <w:tcPr>
            <w:tcW w:w="2371" w:type="dxa"/>
            <w:tcBorders>
              <w:top w:val="nil" w:sz="6" w:space="0" w:color="auto"/>
              <w:left w:val="nil" w:sz="6" w:space="0" w:color="auto"/>
              <w:bottom w:val="single" w:sz="8" w:space="0" w:color="000000"/>
              <w:right w:val="nil" w:sz="6" w:space="0" w:color="auto"/>
            </w:tcBorders>
          </w:tcPr>
          <w:p>
            <w:pPr/>
          </w:p>
        </w:tc>
      </w:tr>
      <w:tr>
        <w:trPr>
          <w:trHeight w:val="432" w:hRule="exact"/>
        </w:trPr>
        <w:tc>
          <w:tcPr>
            <w:tcW w:w="1827" w:type="dxa"/>
            <w:tcBorders>
              <w:top w:val="nil" w:sz="6" w:space="0" w:color="auto"/>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8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5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7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9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37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5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32" w:hRule="exact"/>
        </w:trPr>
        <w:tc>
          <w:tcPr>
            <w:tcW w:w="182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6,952.55</w:t>
            </w:r>
          </w:p>
        </w:tc>
        <w:tc>
          <w:tcPr>
            <w:tcW w:w="1781"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4,968.52</w:t>
            </w:r>
          </w:p>
        </w:tc>
        <w:tc>
          <w:tcPr>
            <w:tcW w:w="187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598" w:right="0"/>
              <w:jc w:val="left"/>
              <w:rPr>
                <w:rFonts w:ascii="Times New Roman" w:hAnsi="Times New Roman" w:cs="Times New Roman" w:eastAsia="Times New Roman" w:hint="default"/>
                <w:sz w:val="18"/>
                <w:szCs w:val="18"/>
              </w:rPr>
            </w:pPr>
            <w:r>
              <w:rPr>
                <w:rFonts w:ascii="Times New Roman"/>
                <w:sz w:val="18"/>
              </w:rPr>
              <w:t>9,800.03</w:t>
            </w:r>
          </w:p>
        </w:tc>
        <w:tc>
          <w:tcPr>
            <w:tcW w:w="2371"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5,628.21</w:t>
            </w:r>
          </w:p>
        </w:tc>
      </w:tr>
      <w:tr>
        <w:trPr>
          <w:trHeight w:val="432" w:hRule="exact"/>
        </w:trPr>
        <w:tc>
          <w:tcPr>
            <w:tcW w:w="182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w:t>
            </w:r>
          </w:p>
        </w:tc>
        <w:tc>
          <w:tcPr>
            <w:tcW w:w="1781"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w:t>
            </w:r>
          </w:p>
        </w:tc>
        <w:tc>
          <w:tcPr>
            <w:tcW w:w="187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598" w:right="0"/>
              <w:jc w:val="left"/>
              <w:rPr>
                <w:rFonts w:ascii="Times New Roman" w:hAnsi="Times New Roman" w:cs="Times New Roman" w:eastAsia="Times New Roman" w:hint="default"/>
                <w:sz w:val="18"/>
                <w:szCs w:val="18"/>
              </w:rPr>
            </w:pPr>
            <w:r>
              <w:rPr>
                <w:rFonts w:ascii="Times New Roman"/>
                <w:sz w:val="18"/>
              </w:rPr>
              <w:t>7.09</w:t>
            </w:r>
          </w:p>
        </w:tc>
        <w:tc>
          <w:tcPr>
            <w:tcW w:w="2371"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3.19</w:t>
            </w:r>
          </w:p>
        </w:tc>
      </w:tr>
      <w:tr>
        <w:trPr>
          <w:trHeight w:val="415" w:hRule="exact"/>
        </w:trPr>
        <w:tc>
          <w:tcPr>
            <w:tcW w:w="1827"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83"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6,952.55</w:t>
            </w:r>
          </w:p>
        </w:tc>
        <w:tc>
          <w:tcPr>
            <w:tcW w:w="1781"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553" w:right="0"/>
              <w:jc w:val="left"/>
              <w:rPr>
                <w:rFonts w:ascii="Times New Roman" w:hAnsi="Times New Roman" w:cs="Times New Roman" w:eastAsia="Times New Roman" w:hint="default"/>
                <w:sz w:val="18"/>
                <w:szCs w:val="18"/>
              </w:rPr>
            </w:pPr>
            <w:r>
              <w:rPr>
                <w:rFonts w:ascii="Times New Roman"/>
                <w:sz w:val="18"/>
              </w:rPr>
              <w:t>4,968.52</w:t>
            </w:r>
          </w:p>
        </w:tc>
        <w:tc>
          <w:tcPr>
            <w:tcW w:w="1873"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598" w:right="0"/>
              <w:jc w:val="left"/>
              <w:rPr>
                <w:rFonts w:ascii="Times New Roman" w:hAnsi="Times New Roman" w:cs="Times New Roman" w:eastAsia="Times New Roman" w:hint="default"/>
                <w:sz w:val="18"/>
                <w:szCs w:val="18"/>
              </w:rPr>
            </w:pPr>
            <w:r>
              <w:rPr>
                <w:rFonts w:ascii="Times New Roman"/>
                <w:sz w:val="18"/>
              </w:rPr>
              <w:t>9,807.12</w:t>
            </w:r>
          </w:p>
        </w:tc>
        <w:tc>
          <w:tcPr>
            <w:tcW w:w="2371"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5,631.40</w:t>
            </w:r>
          </w:p>
        </w:tc>
      </w:tr>
    </w:tbl>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7.75pt;height:1pt;mso-position-horizontal-relative:char;mso-position-vertical-relative:line" coordorigin="0,0" coordsize="9155,20">
            <v:group style="position:absolute;left:10;top:10;width:9135;height:2" coordorigin="10,10" coordsize="9135,2">
              <v:shape style="position:absolute;left:10;top:10;width:9135;height:2" coordorigin="10,10" coordsize="9135,0" path="m10,10l9145,10e" filled="false" stroked="true" strokeweight=".96pt" strokecolor="#000000">
                <v:path arrowok="t"/>
              </v:shape>
            </v:group>
          </v:group>
        </w:pict>
      </w:r>
      <w:r>
        <w:rPr>
          <w:rFonts w:ascii="宋体" w:hAnsi="宋体" w:cs="宋体" w:eastAsia="宋体" w:hint="default"/>
          <w:sz w:val="2"/>
          <w:szCs w:val="2"/>
        </w:rPr>
      </w:r>
    </w:p>
    <w:p>
      <w:pPr>
        <w:pStyle w:val="BodyText"/>
        <w:spacing w:line="316" w:lineRule="auto" w:before="69"/>
        <w:ind w:right="190"/>
        <w:jc w:val="left"/>
      </w:pPr>
      <w:r>
        <w:rPr>
          <w:spacing w:val="-2"/>
        </w:rPr>
        <w:t>本集团密切关注汇率变动对本集团汇率风险的影响。本集团目前并未采取任何措施规避汇率风险。但管理层负责监控汇率风</w:t>
      </w:r>
      <w:r>
        <w:rPr>
          <w:spacing w:val="-64"/>
        </w:rPr>
        <w:t> </w:t>
      </w:r>
      <w:r>
        <w:rPr>
          <w:spacing w:val="-64"/>
        </w:rPr>
      </w:r>
      <w:r>
        <w:rPr/>
        <w:t>险，并将于需要时考虑对冲重大汇率风险。</w:t>
      </w:r>
    </w:p>
    <w:p>
      <w:pPr>
        <w:pStyle w:val="BodyText"/>
        <w:spacing w:line="300" w:lineRule="auto" w:before="59"/>
        <w:ind w:right="201"/>
        <w:jc w:val="both"/>
      </w:pPr>
      <w:r>
        <w:rPr/>
        <w:t>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日，对于本集团以外币计价的货币资金、应收账款、应付账款，假设人民币对外币（主要为对美元、港 币）升值或贬值</w:t>
      </w:r>
      <w:r>
        <w:rPr>
          <w:spacing w:val="-47"/>
        </w:rPr>
        <w:t> </w:t>
      </w:r>
      <w:r>
        <w:rPr>
          <w:rFonts w:ascii="Times New Roman" w:hAnsi="Times New Roman" w:cs="Times New Roman" w:eastAsia="Times New Roman" w:hint="default"/>
        </w:rPr>
        <w:t>10%</w:t>
      </w:r>
      <w:r>
        <w:rPr/>
        <w:t>，而其他因素保持不变，则会导致本集团股东权益及净利润均减少或增加约人民币</w:t>
      </w:r>
      <w:r>
        <w:rPr>
          <w:spacing w:val="-47"/>
        </w:rPr>
        <w:t> </w:t>
      </w:r>
      <w:r>
        <w:rPr>
          <w:rFonts w:ascii="Times New Roman" w:hAnsi="Times New Roman" w:cs="Times New Roman" w:eastAsia="Times New Roman" w:hint="default"/>
        </w:rPr>
        <w:t>242.64</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日：约人民币</w:t>
      </w:r>
      <w:r>
        <w:rPr>
          <w:spacing w:val="-45"/>
        </w:rPr>
        <w:t> </w:t>
      </w:r>
      <w:r>
        <w:rPr>
          <w:rFonts w:ascii="Times New Roman" w:hAnsi="Times New Roman" w:cs="Times New Roman" w:eastAsia="Times New Roman" w:hint="default"/>
        </w:rPr>
        <w:t>56.32</w:t>
      </w:r>
      <w:r>
        <w:rPr>
          <w:rFonts w:ascii="Times New Roman" w:hAnsi="Times New Roman" w:cs="Times New Roman" w:eastAsia="Times New Roman" w:hint="default"/>
          <w:spacing w:val="-1"/>
        </w:rPr>
        <w:t> </w:t>
      </w:r>
      <w:r>
        <w:rPr>
          <w:spacing w:val="-23"/>
        </w:rPr>
        <w:t>万元）。</w:t>
      </w:r>
    </w:p>
    <w:p>
      <w:pPr>
        <w:pStyle w:val="BodyText"/>
        <w:spacing w:line="338" w:lineRule="auto" w:before="53"/>
        <w:ind w:right="94"/>
        <w:jc w:val="left"/>
      </w:pP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本集团资本管理政策的目标是为了保障本集团能够持续经营，从而为股东提供回报，并使其他利益相关者获益，同时维持最</w:t>
      </w:r>
      <w:r>
        <w:rPr>
          <w:spacing w:val="-65"/>
        </w:rPr>
        <w:t> </w:t>
      </w:r>
      <w:r>
        <w:rPr>
          <w:spacing w:val="-65"/>
        </w:rPr>
      </w:r>
      <w:r>
        <w:rPr/>
        <w:t>佳的资本结构以降低资本成本。 为了维持或调整资本结构，本集团可能会调整支付给股东的股利金额、向股东返还资本、发行新股或出售资产以减低债务。</w:t>
      </w:r>
    </w:p>
    <w:p>
      <w:pPr>
        <w:pStyle w:val="BodyText"/>
        <w:spacing w:line="240" w:lineRule="auto" w:before="43"/>
        <w:ind w:right="93"/>
        <w:jc w:val="left"/>
      </w:pPr>
      <w:r>
        <w:rPr/>
        <w:t>本集团以资产负债率（即总负债除以总资产）为基础对资本结构进行监控。于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日，本集团的资产负债率为</w:t>
      </w:r>
    </w:p>
    <w:p>
      <w:pPr>
        <w:pStyle w:val="BodyText"/>
        <w:spacing w:line="240" w:lineRule="auto" w:before="63"/>
        <w:ind w:right="190"/>
        <w:jc w:val="left"/>
      </w:pP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spacing w:val="-89"/>
        </w:rPr>
        <w:t>）</w:t>
      </w:r>
      <w:r>
        <w:rPr/>
        <w:t>。</w:t>
      </w:r>
    </w:p>
    <w:p>
      <w:pPr>
        <w:spacing w:after="0" w:line="240" w:lineRule="auto"/>
        <w:jc w:val="left"/>
        <w:sectPr>
          <w:pgSz w:w="11910" w:h="16840"/>
          <w:pgMar w:header="787" w:footer="1016" w:top="1100" w:bottom="1200" w:left="1020" w:right="940"/>
        </w:sectPr>
      </w:pPr>
    </w:p>
    <w:p>
      <w:pPr>
        <w:spacing w:line="240" w:lineRule="auto" w:before="9"/>
        <w:rPr>
          <w:rFonts w:ascii="宋体" w:hAnsi="宋体" w:cs="宋体" w:eastAsia="宋体" w:hint="default"/>
          <w:sz w:val="20"/>
          <w:szCs w:val="20"/>
        </w:rPr>
      </w:pPr>
    </w:p>
    <w:p>
      <w:pPr>
        <w:pStyle w:val="Heading2"/>
        <w:spacing w:line="240" w:lineRule="auto" w:before="26"/>
        <w:ind w:right="19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19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t>按照在公允价值计量中对计量整体具有重大意义的最低层次的输入值，公允价值层次可分为： </w:t>
      </w:r>
      <w:r>
        <w:rPr>
          <w:spacing w:val="-4"/>
        </w:rPr>
        <w:t>第一层次：相同资产或负债在活跃市场中的报价（未经调整的）。</w:t>
      </w:r>
      <w:r>
        <w:rPr>
          <w:spacing w:val="-63"/>
        </w:rPr>
        <w:t> </w:t>
      </w:r>
      <w:r>
        <w:rPr>
          <w:spacing w:val="-63"/>
        </w:rPr>
      </w:r>
      <w:r>
        <w:rPr/>
        <w:t>第二层次：直接（即价格）或间接（即从价格推导出）地使用除第一层次中的资产或负债的市场报价之外的可观察输入值。 </w:t>
      </w:r>
      <w:r>
        <w:rPr>
          <w:spacing w:val="-3"/>
        </w:rPr>
        <w:t>第三层次：资产或负债使用了任何非基于可观察市场数据的输入值（不可观察输入值）。</w:t>
      </w:r>
    </w:p>
    <w:p>
      <w:pPr>
        <w:pStyle w:val="BodyText"/>
        <w:spacing w:line="300" w:lineRule="auto" w:before="19"/>
        <w:ind w:right="4954"/>
        <w:jc w:val="left"/>
      </w:pPr>
      <w:r>
        <w:rPr/>
        <w:t>（</w:t>
      </w:r>
      <w:r>
        <w:rPr>
          <w:rFonts w:ascii="Times New Roman" w:hAnsi="Times New Roman" w:cs="Times New Roman" w:eastAsia="Times New Roman" w:hint="default"/>
        </w:rPr>
        <w:t>1</w:t>
      </w:r>
      <w:r>
        <w:rPr/>
        <w:t>）以公允价值计量的项目和金额 于报告各期末，本公司不存在以公允价值计量的资产及负债。</w:t>
      </w:r>
    </w:p>
    <w:p>
      <w:pPr>
        <w:pStyle w:val="BodyText"/>
        <w:spacing w:line="312" w:lineRule="auto" w:before="31"/>
        <w:ind w:right="190"/>
        <w:jc w:val="left"/>
      </w:pPr>
      <w:r>
        <w:rPr/>
        <w:t>（</w:t>
      </w:r>
      <w:r>
        <w:rPr>
          <w:rFonts w:ascii="Times New Roman" w:hAnsi="Times New Roman" w:cs="Times New Roman" w:eastAsia="Times New Roman" w:hint="default"/>
        </w:rPr>
        <w:t>2</w:t>
      </w:r>
      <w:r>
        <w:rPr/>
        <w:t>）不以公允价值计量但披露其公允价值的项目和金额 </w:t>
      </w:r>
      <w:r>
        <w:rPr>
          <w:spacing w:val="-2"/>
        </w:rPr>
        <w:t>本集团以摊余成本计量的金融资产和金融负债主要包括：货币资金、应收票据、应收账款、其他应收款、其他流动资产、短</w:t>
      </w:r>
      <w:r>
        <w:rPr>
          <w:spacing w:val="-66"/>
        </w:rPr>
        <w:t> </w:t>
      </w:r>
      <w:r>
        <w:rPr>
          <w:spacing w:val="-66"/>
        </w:rPr>
      </w:r>
      <w:r>
        <w:rPr/>
        <w:t>期借款、应付票据、应付账款、其他应付款等。 本集团不以公允价值计量的金融资产和金融负债的账面价值与公允价值相差很小。</w:t>
      </w:r>
    </w:p>
    <w:p>
      <w:pPr>
        <w:spacing w:after="0" w:line="312" w:lineRule="auto"/>
        <w:jc w:val="left"/>
        <w:sectPr>
          <w:pgSz w:w="11910" w:h="16840"/>
          <w:pgMar w:header="787" w:footer="1016" w:top="1100" w:bottom="1200" w:left="1020" w:right="94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0"/>
        <w:ind w:right="7394"/>
        <w:jc w:val="left"/>
      </w:pPr>
      <w:r>
        <w:rPr/>
        <w:pict>
          <v:group style="position:absolute;margin-left:56.700001pt;margin-top:131.421738pt;width:439pt;height:.1pt;mso-position-horizontal-relative:page;mso-position-vertical-relative:paragraph;z-index:-1159912" coordorigin="1134,2628" coordsize="8780,2">
            <v:shape style="position:absolute;left:1134;top:2628;width:8780;height:2" coordorigin="1134,2628" coordsize="8780,0" path="m1134,2628l9914,2628e" filled="false" stroked="true" strokeweight=".96pt" strokecolor="#000000">
              <v:path arrowok="t"/>
            </v:shape>
            <w10:wrap type="none"/>
          </v:group>
        </w:pict>
      </w:r>
      <w:r>
        <w:rPr/>
        <w:t>本企业的母公司情况的说明 本企业最终控制方是张天瑜。 其他说明：</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9.75pt;height:.75pt;mso-position-horizontal-relative:char;mso-position-vertical-relative:line" coordorigin="0,0" coordsize="8795,15">
            <v:group style="position:absolute;left:7;top:7;width:8780;height:2" coordorigin="7,7" coordsize="8780,2">
              <v:shape style="position:absolute;left:7;top:7;width:8780;height:2" coordorigin="7,7" coordsize="8780,0" path="m7,7l878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064"/>
        <w:gridCol w:w="1162"/>
        <w:gridCol w:w="2243"/>
        <w:gridCol w:w="1478"/>
        <w:gridCol w:w="1134"/>
        <w:gridCol w:w="1699"/>
        <w:gridCol w:w="93"/>
      </w:tblGrid>
      <w:tr>
        <w:trPr>
          <w:trHeight w:val="758" w:hRule="exact"/>
        </w:trPr>
        <w:tc>
          <w:tcPr>
            <w:tcW w:w="10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6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243" w:type="dxa"/>
            <w:tcBorders>
              <w:top w:val="nil" w:sz="6" w:space="0" w:color="auto"/>
              <w:left w:val="nil" w:sz="6" w:space="0" w:color="auto"/>
              <w:bottom w:val="single" w:sz="8" w:space="0" w:color="000000"/>
              <w:right w:val="nil" w:sz="6" w:space="0" w:color="auto"/>
            </w:tcBorders>
          </w:tcPr>
          <w:p>
            <w:pPr>
              <w:pStyle w:val="TableParagraph"/>
              <w:spacing w:line="360" w:lineRule="auto" w:before="44"/>
              <w:ind w:left="535" w:right="85"/>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直接拥有本公司股份 比例</w:t>
            </w:r>
            <w:r>
              <w:rPr>
                <w:rFonts w:ascii="Times New Roman" w:hAnsi="Times New Roman" w:cs="Times New Roman" w:eastAsia="Times New Roman" w:hint="default"/>
                <w:sz w:val="18"/>
                <w:szCs w:val="18"/>
              </w:rPr>
              <w:t>%</w:t>
            </w:r>
          </w:p>
        </w:tc>
        <w:tc>
          <w:tcPr>
            <w:tcW w:w="2612" w:type="dxa"/>
            <w:gridSpan w:val="2"/>
            <w:tcBorders>
              <w:top w:val="nil" w:sz="6" w:space="0" w:color="auto"/>
              <w:left w:val="nil" w:sz="6" w:space="0" w:color="auto"/>
              <w:bottom w:val="single" w:sz="8" w:space="0" w:color="000000"/>
              <w:right w:val="nil" w:sz="6" w:space="0" w:color="auto"/>
            </w:tcBorders>
          </w:tcPr>
          <w:p>
            <w:pPr>
              <w:pStyle w:val="TableParagraph"/>
              <w:spacing w:line="360" w:lineRule="auto" w:before="44"/>
              <w:ind w:left="625" w:right="365"/>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间接拥有本公司股份 比例</w:t>
            </w:r>
            <w:r>
              <w:rPr>
                <w:rFonts w:ascii="Times New Roman" w:hAnsi="Times New Roman" w:cs="Times New Roman" w:eastAsia="Times New Roman" w:hint="default"/>
                <w:sz w:val="18"/>
                <w:szCs w:val="18"/>
              </w:rPr>
              <w:t>%</w:t>
            </w:r>
          </w:p>
        </w:tc>
        <w:tc>
          <w:tcPr>
            <w:tcW w:w="169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出资方式</w:t>
            </w:r>
          </w:p>
        </w:tc>
        <w:tc>
          <w:tcPr>
            <w:tcW w:w="93" w:type="dxa"/>
            <w:vMerge w:val="restart"/>
            <w:tcBorders>
              <w:top w:val="nil" w:sz="6" w:space="0" w:color="auto"/>
              <w:left w:val="nil" w:sz="6" w:space="0" w:color="auto"/>
              <w:right w:val="nil" w:sz="6" w:space="0" w:color="auto"/>
            </w:tcBorders>
          </w:tcPr>
          <w:p>
            <w:pPr/>
          </w:p>
        </w:tc>
      </w:tr>
      <w:tr>
        <w:trPr>
          <w:trHeight w:val="376" w:hRule="exact"/>
        </w:trPr>
        <w:tc>
          <w:tcPr>
            <w:tcW w:w="1064"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62"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17"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2243"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535" w:right="0"/>
              <w:jc w:val="left"/>
              <w:rPr>
                <w:rFonts w:ascii="Times New Roman" w:hAnsi="Times New Roman" w:cs="Times New Roman" w:eastAsia="Times New Roman" w:hint="default"/>
                <w:sz w:val="18"/>
                <w:szCs w:val="18"/>
              </w:rPr>
            </w:pPr>
            <w:r>
              <w:rPr>
                <w:rFonts w:ascii="Times New Roman"/>
                <w:sz w:val="18"/>
              </w:rPr>
              <w:t>50.06</w:t>
            </w:r>
          </w:p>
        </w:tc>
        <w:tc>
          <w:tcPr>
            <w:tcW w:w="261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01"/>
              <w:ind w:left="625" w:right="0"/>
              <w:jc w:val="left"/>
              <w:rPr>
                <w:rFonts w:ascii="Times New Roman" w:hAnsi="Times New Roman" w:cs="Times New Roman" w:eastAsia="Times New Roman" w:hint="default"/>
                <w:sz w:val="18"/>
                <w:szCs w:val="18"/>
              </w:rPr>
            </w:pPr>
            <w:r>
              <w:rPr>
                <w:rFonts w:ascii="Times New Roman"/>
                <w:sz w:val="18"/>
              </w:rPr>
              <w:t>2.03</w:t>
            </w:r>
          </w:p>
        </w:tc>
        <w:tc>
          <w:tcPr>
            <w:tcW w:w="1699"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367" w:right="0"/>
              <w:jc w:val="left"/>
              <w:rPr>
                <w:rFonts w:ascii="宋体" w:hAnsi="宋体" w:cs="宋体" w:eastAsia="宋体" w:hint="default"/>
                <w:sz w:val="18"/>
                <w:szCs w:val="18"/>
              </w:rPr>
            </w:pPr>
            <w:r>
              <w:rPr>
                <w:rFonts w:ascii="宋体" w:hAnsi="宋体" w:cs="宋体" w:eastAsia="宋体" w:hint="default"/>
                <w:sz w:val="18"/>
                <w:szCs w:val="18"/>
              </w:rPr>
              <w:t>货币资金及净资</w:t>
            </w:r>
          </w:p>
        </w:tc>
        <w:tc>
          <w:tcPr>
            <w:tcW w:w="93" w:type="dxa"/>
            <w:vMerge/>
            <w:tcBorders>
              <w:left w:val="nil" w:sz="6" w:space="0" w:color="auto"/>
              <w:right w:val="nil" w:sz="6" w:space="0" w:color="auto"/>
            </w:tcBorders>
          </w:tcPr>
          <w:p>
            <w:pPr/>
          </w:p>
        </w:tc>
      </w:tr>
      <w:tr>
        <w:trPr>
          <w:trHeight w:val="242" w:hRule="exact"/>
        </w:trPr>
        <w:tc>
          <w:tcPr>
            <w:tcW w:w="106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612" w:type="dxa"/>
            <w:gridSpan w:val="2"/>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6"/>
              <w:ind w:left="367" w:right="0"/>
              <w:jc w:val="left"/>
              <w:rPr>
                <w:rFonts w:ascii="宋体" w:hAnsi="宋体" w:cs="宋体" w:eastAsia="宋体" w:hint="default"/>
                <w:sz w:val="18"/>
                <w:szCs w:val="18"/>
              </w:rPr>
            </w:pPr>
            <w:r>
              <w:rPr>
                <w:rFonts w:ascii="宋体" w:hAnsi="宋体" w:cs="宋体" w:eastAsia="宋体" w:hint="default"/>
                <w:sz w:val="18"/>
                <w:szCs w:val="18"/>
              </w:rPr>
              <w:t>产折股</w:t>
            </w:r>
          </w:p>
        </w:tc>
        <w:tc>
          <w:tcPr>
            <w:tcW w:w="93" w:type="dxa"/>
            <w:vMerge/>
            <w:tcBorders>
              <w:left w:val="nil" w:sz="6" w:space="0" w:color="auto"/>
              <w:right w:val="nil" w:sz="6" w:space="0" w:color="auto"/>
            </w:tcBorders>
          </w:tcPr>
          <w:p>
            <w:pPr/>
          </w:p>
        </w:tc>
      </w:tr>
      <w:tr>
        <w:trPr>
          <w:trHeight w:val="539" w:hRule="exact"/>
        </w:trPr>
        <w:tc>
          <w:tcPr>
            <w:tcW w:w="878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报告期内，控股股东直接所持本公司股份及变化如下：</w:t>
            </w:r>
          </w:p>
        </w:tc>
        <w:tc>
          <w:tcPr>
            <w:tcW w:w="93" w:type="dxa"/>
            <w:vMerge/>
            <w:tcBorders>
              <w:left w:val="nil" w:sz="6" w:space="0" w:color="auto"/>
              <w:bottom w:val="nil" w:sz="6" w:space="0" w:color="auto"/>
              <w:right w:val="nil" w:sz="6" w:space="0" w:color="auto"/>
            </w:tcBorders>
          </w:tcPr>
          <w:p>
            <w:pPr/>
          </w:p>
        </w:tc>
      </w:tr>
      <w:tr>
        <w:trPr>
          <w:trHeight w:val="425" w:hRule="exact"/>
        </w:trPr>
        <w:tc>
          <w:tcPr>
            <w:tcW w:w="1064"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40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63"/>
              <w:ind w:right="228"/>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78"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left="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926"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63"/>
              <w:ind w:left="6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15" w:hRule="exact"/>
        </w:trPr>
        <w:tc>
          <w:tcPr>
            <w:tcW w:w="1064"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40,050,000.00</w:t>
            </w:r>
          </w:p>
        </w:tc>
        <w:tc>
          <w:tcPr>
            <w:tcW w:w="340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02"/>
              <w:ind w:right="83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87" w:right="0"/>
              <w:jc w:val="left"/>
              <w:rPr>
                <w:rFonts w:ascii="Times New Roman" w:hAnsi="Times New Roman" w:cs="Times New Roman" w:eastAsia="Times New Roman" w:hint="default"/>
                <w:sz w:val="18"/>
                <w:szCs w:val="18"/>
              </w:rPr>
            </w:pPr>
            <w:r>
              <w:rPr>
                <w:rFonts w:ascii="Times New Roman"/>
                <w:sz w:val="18"/>
              </w:rPr>
              <w:t>--</w:t>
            </w:r>
          </w:p>
        </w:tc>
        <w:tc>
          <w:tcPr>
            <w:tcW w:w="2926"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102"/>
              <w:ind w:left="670" w:right="0"/>
              <w:jc w:val="left"/>
              <w:rPr>
                <w:rFonts w:ascii="Times New Roman" w:hAnsi="Times New Roman" w:cs="Times New Roman" w:eastAsia="Times New Roman" w:hint="default"/>
                <w:sz w:val="18"/>
                <w:szCs w:val="18"/>
              </w:rPr>
            </w:pPr>
            <w:r>
              <w:rPr>
                <w:rFonts w:ascii="Times New Roman"/>
                <w:sz w:val="18"/>
              </w:rPr>
              <w:t>40,050,000.00</w:t>
            </w:r>
          </w:p>
        </w:tc>
      </w:tr>
    </w:tbl>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4.65pt;height:1pt;mso-position-horizontal-relative:char;mso-position-vertical-relative:line" coordorigin="0,0" coordsize="8893,20">
            <v:group style="position:absolute;left:10;top:10;width:8873;height:2" coordorigin="10,10" coordsize="8873,2">
              <v:shape style="position:absolute;left:10;top:10;width:8873;height:2" coordorigin="10,10" coordsize="8873,0" path="m10,10l8883,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544" w:lineRule="auto" w:before="34"/>
        <w:ind w:left="112" w:right="4514" w:firstLine="0"/>
        <w:jc w:val="left"/>
        <w:rPr>
          <w:rFonts w:ascii="宋体" w:hAnsi="宋体" w:cs="宋体" w:eastAsia="宋体" w:hint="default"/>
          <w:sz w:val="21"/>
          <w:szCs w:val="21"/>
        </w:rPr>
      </w:pPr>
      <w:r>
        <w:rPr/>
        <w:pict>
          <v:group style="position:absolute;margin-left:56.700001pt;margin-top:-71.785316pt;width:443.65pt;height:.1pt;mso-position-horizontal-relative:page;mso-position-vertical-relative:paragraph;z-index:-1159888" coordorigin="1134,-1436" coordsize="8873,2">
            <v:shape style="position:absolute;left:1134;top:-1436;width:8873;height:2" coordorigin="1134,-1436" coordsize="8873,0" path="m1134,-1436l10007,-1436e" filled="false" stroked="true" strokeweight=".72pt" strokecolor="#000000">
              <v:path arrowok="t"/>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本企业子公司的情况详见附注第十一节 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4"/>
        <w:ind w:right="1274"/>
        <w:jc w:val="left"/>
      </w:pPr>
      <w:r>
        <w:rPr/>
        <w:t>本企业重要的合营或联营企业详见附注第十一节九、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2"/>
        <w:rPr>
          <w:rFonts w:ascii="宋体" w:hAnsi="宋体" w:cs="宋体" w:eastAsia="宋体" w:hint="default"/>
          <w:sz w:val="2"/>
          <w:szCs w:val="2"/>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2d2d2"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深圳市广宇通信技术有限公司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深圳市永和顺五金有限公司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公司股东许宁控制的公司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永和顺科技有限公司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公司股东许宁控制的公司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深圳市鑫桥投资咨询有限公司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财务总监、董事会秘书陈仕江配偶控制的公司</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Lantiq Beteiligungs-GmbH &amp;</w:t>
            </w:r>
            <w:r>
              <w:rPr>
                <w:rFonts w:ascii="Times New Roman"/>
                <w:spacing w:val="-13"/>
                <w:sz w:val="18"/>
              </w:rPr>
              <w:t> </w:t>
            </w:r>
            <w:r>
              <w:rPr>
                <w:rFonts w:ascii="Times New Roman"/>
                <w:sz w:val="18"/>
              </w:rPr>
              <w:t>Co.KG</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英特尔移动通信技术（上海）有限公司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英特尔（中国）有限公司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英特尔亚太研发有限公司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Deutschland</w:t>
            </w:r>
            <w:r>
              <w:rPr>
                <w:rFonts w:ascii="Times New Roman"/>
                <w:spacing w:val="-10"/>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 Semiconductor (US)</w:t>
            </w:r>
            <w:r>
              <w:rPr>
                <w:rFonts w:ascii="Times New Roman"/>
                <w:spacing w:val="-1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Technology India Private</w:t>
            </w:r>
            <w:r>
              <w:rPr>
                <w:rFonts w:ascii="Times New Roman"/>
                <w:spacing w:val="-31"/>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 Mobile communications Korea CO,</w:t>
            </w:r>
            <w:r>
              <w:rPr>
                <w:rFonts w:ascii="Times New Roman"/>
                <w:spacing w:val="-11"/>
                <w:sz w:val="18"/>
              </w:rPr>
              <w:t>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Products (M)</w:t>
            </w:r>
            <w:r>
              <w:rPr>
                <w:rFonts w:ascii="Times New Roman"/>
                <w:spacing w:val="-10"/>
                <w:sz w:val="18"/>
              </w:rPr>
              <w:t> </w:t>
            </w:r>
            <w:r>
              <w:rPr>
                <w:rFonts w:ascii="Times New Roman"/>
                <w:sz w:val="18"/>
              </w:rPr>
              <w:t>Sdn.Bhd.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0"/>
                <w:sz w:val="18"/>
              </w:rPr>
              <w:t> </w:t>
            </w:r>
            <w:r>
              <w:rPr>
                <w:rFonts w:ascii="Times New Roman"/>
                <w:sz w:val="18"/>
              </w:rPr>
              <w:t>MOBILE</w:t>
            </w:r>
            <w:r>
              <w:rPr>
                <w:rFonts w:ascii="Times New Roman"/>
                <w:spacing w:val="-6"/>
                <w:sz w:val="18"/>
              </w:rPr>
              <w:t> </w:t>
            </w:r>
            <w:r>
              <w:rPr>
                <w:rFonts w:ascii="Times New Roman"/>
                <w:sz w:val="18"/>
              </w:rPr>
              <w:t>COMMUNICATIONS</w:t>
            </w:r>
            <w:r>
              <w:rPr>
                <w:rFonts w:ascii="Times New Roman"/>
                <w:spacing w:val="-8"/>
                <w:sz w:val="18"/>
              </w:rPr>
              <w:t> </w:t>
            </w:r>
            <w:r>
              <w:rPr>
                <w:rFonts w:ascii="Times New Roman"/>
                <w:sz w:val="18"/>
              </w:rPr>
              <w:t>INDIA</w:t>
            </w:r>
            <w:r>
              <w:rPr>
                <w:rFonts w:ascii="Times New Roman"/>
                <w:spacing w:val="-15"/>
                <w:sz w:val="18"/>
              </w:rPr>
              <w:t> </w:t>
            </w:r>
            <w:r>
              <w:rPr>
                <w:rFonts w:ascii="Times New Roman"/>
                <w:spacing w:val="-7"/>
                <w:sz w:val="18"/>
              </w:rPr>
              <w:t>PRIVATE</w:t>
            </w:r>
            <w:r>
              <w:rPr>
                <w:rFonts w:ascii="Times New Roman"/>
                <w:spacing w:val="-8"/>
                <w:sz w:val="18"/>
              </w:rPr>
              <w:t> </w:t>
            </w:r>
            <w:r>
              <w:rPr>
                <w:rFonts w:ascii="Times New Roman"/>
                <w:spacing w:val="-5"/>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Mobile Communications    North America</w:t>
            </w:r>
            <w:r>
              <w:rPr>
                <w:rFonts w:ascii="Times New Roman"/>
                <w:spacing w:val="-26"/>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 Mobile Communications    Israel</w:t>
            </w:r>
            <w:r>
              <w:rPr>
                <w:rFonts w:ascii="Times New Roman"/>
                <w:spacing w:val="-15"/>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公司股东、董事、总经理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官莹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控股股东关系密切家庭成员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王宁、韦传军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陈绮华、舒敏、赵明月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深圳市博格斯通信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5,589.74</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1,709.40</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Corporation</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523,080.00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5"/>
                <w:sz w:val="18"/>
              </w:rPr>
              <w:t> </w:t>
            </w:r>
            <w:r>
              <w:rPr>
                <w:rFonts w:ascii="Times New Roman"/>
                <w:sz w:val="18"/>
              </w:rPr>
              <w:t>Deutschland</w:t>
            </w:r>
            <w:r>
              <w:rPr>
                <w:rFonts w:ascii="Times New Roman"/>
                <w:sz w:val="18"/>
              </w:rPr>
              <w:t> GMBH</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3,465,900.00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8,128.08</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深圳市博格斯通信技术有限公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w:t>
            </w:r>
          </w:p>
        </w:tc>
        <w:tc>
          <w:tcPr>
            <w:tcW w:w="2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英特尔亚太研发有限公司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28,034.19</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109,358.99</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英特尔亚太研发有限公司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438,679.25</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英特尔（中国）有限公司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418.80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21,923.08</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 Deutschland</w:t>
            </w:r>
            <w:r>
              <w:rPr>
                <w:rFonts w:ascii="Times New Roman"/>
                <w:spacing w:val="-10"/>
                <w:sz w:val="18"/>
              </w:rPr>
              <w:t> </w:t>
            </w:r>
            <w:r>
              <w:rPr>
                <w:rFonts w:ascii="Times New Roman"/>
                <w:sz w:val="18"/>
              </w:rPr>
              <w:t>GMBH</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9,041.48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04"/>
              <w:jc w:val="left"/>
              <w:rPr>
                <w:rFonts w:ascii="Times New Roman" w:hAnsi="Times New Roman" w:cs="Times New Roman" w:eastAsia="Times New Roman" w:hint="default"/>
                <w:sz w:val="18"/>
                <w:szCs w:val="18"/>
              </w:rPr>
            </w:pPr>
            <w:r>
              <w:rPr>
                <w:rFonts w:ascii="Times New Roman"/>
                <w:sz w:val="18"/>
              </w:rPr>
              <w:t>Lantiq Beteiligungs-GmbH</w:t>
            </w:r>
            <w:r>
              <w:rPr>
                <w:rFonts w:ascii="Times New Roman"/>
                <w:spacing w:val="-10"/>
                <w:sz w:val="18"/>
              </w:rPr>
              <w:t> </w:t>
            </w:r>
            <w:r>
              <w:rPr>
                <w:rFonts w:ascii="Times New Roman"/>
                <w:sz w:val="18"/>
              </w:rPr>
              <w:t>&amp;</w:t>
            </w:r>
            <w:r>
              <w:rPr>
                <w:rFonts w:ascii="Times New Roman"/>
                <w:w w:val="99"/>
                <w:sz w:val="18"/>
              </w:rPr>
              <w:t> </w:t>
            </w:r>
            <w:r>
              <w:rPr>
                <w:rFonts w:ascii="Times New Roman"/>
                <w:sz w:val="18"/>
              </w:rPr>
              <w:t>Co.KG</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4,871.79</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英特尔移动通信技术（上海）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25,803.32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982.91</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02"/>
              <w:jc w:val="left"/>
              <w:rPr>
                <w:rFonts w:ascii="Times New Roman" w:hAnsi="Times New Roman" w:cs="Times New Roman" w:eastAsia="Times New Roman" w:hint="default"/>
                <w:sz w:val="18"/>
                <w:szCs w:val="18"/>
              </w:rPr>
            </w:pPr>
            <w:r>
              <w:rPr>
                <w:rFonts w:ascii="Times New Roman"/>
                <w:sz w:val="18"/>
              </w:rPr>
              <w:t>Intel Semiconductor</w:t>
            </w:r>
            <w:r>
              <w:rPr>
                <w:rFonts w:ascii="Times New Roman"/>
                <w:spacing w:val="-8"/>
                <w:sz w:val="18"/>
              </w:rPr>
              <w:t> </w:t>
            </w:r>
            <w:r>
              <w:rPr>
                <w:rFonts w:ascii="Times New Roman"/>
                <w:sz w:val="18"/>
              </w:rPr>
              <w:t>(US)</w:t>
            </w:r>
            <w:r>
              <w:rPr>
                <w:rFonts w:ascii="Times New Roman"/>
                <w:w w:val="99"/>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12,751,800.04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4,778,175.07</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175"/>
              <w:jc w:val="left"/>
              <w:rPr>
                <w:rFonts w:ascii="Times New Roman" w:hAnsi="Times New Roman" w:cs="Times New Roman" w:eastAsia="Times New Roman" w:hint="default"/>
                <w:sz w:val="18"/>
                <w:szCs w:val="18"/>
              </w:rPr>
            </w:pPr>
            <w:r>
              <w:rPr>
                <w:rFonts w:ascii="Times New Roman"/>
                <w:sz w:val="18"/>
              </w:rPr>
              <w:t>Intel Technology India</w:t>
            </w:r>
            <w:r>
              <w:rPr>
                <w:rFonts w:ascii="Times New Roman"/>
                <w:spacing w:val="-25"/>
                <w:sz w:val="18"/>
              </w:rPr>
              <w:t> </w:t>
            </w:r>
            <w:r>
              <w:rPr>
                <w:rFonts w:ascii="Times New Roman"/>
                <w:sz w:val="18"/>
              </w:rPr>
              <w:t>Private</w:t>
            </w:r>
            <w:r>
              <w:rPr>
                <w:rFonts w:ascii="Times New Roman"/>
                <w:w w:val="99"/>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470,750.72</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3"/>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10"/>
                <w:sz w:val="18"/>
              </w:rPr>
              <w:t> </w:t>
            </w:r>
            <w:r>
              <w:rPr>
                <w:rFonts w:ascii="Times New Roman"/>
                <w:sz w:val="18"/>
              </w:rPr>
              <w:t>communications</w:t>
            </w:r>
            <w:r>
              <w:rPr>
                <w:rFonts w:ascii="Times New Roman"/>
                <w:w w:val="99"/>
                <w:sz w:val="18"/>
              </w:rPr>
              <w:t> </w:t>
            </w:r>
            <w:r>
              <w:rPr>
                <w:rFonts w:ascii="Times New Roman"/>
                <w:sz w:val="18"/>
              </w:rPr>
              <w:t>Korea CO,</w:t>
            </w:r>
            <w:r>
              <w:rPr>
                <w:rFonts w:ascii="Times New Roman"/>
                <w:spacing w:val="-3"/>
                <w:sz w:val="18"/>
              </w:rPr>
              <w:t> </w:t>
            </w:r>
            <w:r>
              <w:rPr>
                <w:rFonts w:ascii="Times New Roman"/>
                <w:spacing w:val="-6"/>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265,251.79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Corporation</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67,998.35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Products (M)</w:t>
            </w:r>
            <w:r>
              <w:rPr>
                <w:rFonts w:ascii="Times New Roman"/>
                <w:spacing w:val="-10"/>
                <w:sz w:val="18"/>
              </w:rPr>
              <w:t> </w:t>
            </w:r>
            <w:r>
              <w:rPr>
                <w:rFonts w:ascii="Times New Roman"/>
                <w:sz w:val="18"/>
              </w:rPr>
              <w:t>Sdn.Bhd.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64,911.00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159"/>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5"/>
                <w:sz w:val="18"/>
              </w:rPr>
              <w:t> </w:t>
            </w:r>
            <w:r>
              <w:rPr>
                <w:rFonts w:ascii="Times New Roman"/>
                <w:sz w:val="18"/>
              </w:rPr>
              <w:t>MOBILE</w:t>
            </w:r>
            <w:r>
              <w:rPr>
                <w:rFonts w:ascii="Times New Roman"/>
                <w:w w:val="99"/>
                <w:sz w:val="18"/>
              </w:rPr>
              <w:t> </w:t>
            </w:r>
            <w:r>
              <w:rPr>
                <w:rFonts w:ascii="Times New Roman"/>
                <w:sz w:val="18"/>
              </w:rPr>
              <w:t>COMMUNICATIONS</w:t>
            </w:r>
            <w:r>
              <w:rPr>
                <w:rFonts w:ascii="Times New Roman"/>
                <w:spacing w:val="-21"/>
                <w:sz w:val="18"/>
              </w:rPr>
              <w:t> </w:t>
            </w:r>
            <w:r>
              <w:rPr>
                <w:rFonts w:ascii="Times New Roman"/>
                <w:sz w:val="18"/>
              </w:rPr>
              <w:t>INDIA</w:t>
            </w:r>
            <w:r>
              <w:rPr>
                <w:rFonts w:ascii="Times New Roman"/>
                <w:w w:val="99"/>
                <w:sz w:val="18"/>
              </w:rPr>
              <w:t> </w:t>
            </w:r>
            <w:r>
              <w:rPr>
                <w:rFonts w:ascii="Times New Roman"/>
                <w:spacing w:val="-7"/>
                <w:sz w:val="18"/>
              </w:rPr>
              <w:t>PRIVATE</w:t>
            </w:r>
            <w:r>
              <w:rPr>
                <w:rFonts w:ascii="Times New Roman"/>
                <w:spacing w:val="4"/>
                <w:sz w:val="18"/>
              </w:rPr>
              <w:t> </w:t>
            </w:r>
            <w:r>
              <w:rPr>
                <w:rFonts w:ascii="Times New Roman"/>
                <w:spacing w:val="-5"/>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41,457.05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92"/>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10"/>
                <w:sz w:val="18"/>
              </w:rPr>
              <w:t> </w:t>
            </w:r>
            <w:r>
              <w:rPr>
                <w:rFonts w:ascii="Times New Roman"/>
                <w:sz w:val="18"/>
              </w:rPr>
              <w:t>Communications</w:t>
            </w:r>
            <w:r>
              <w:rPr>
                <w:rFonts w:ascii="Times New Roman"/>
                <w:w w:val="99"/>
                <w:sz w:val="18"/>
              </w:rPr>
              <w:t> </w:t>
            </w:r>
            <w:r>
              <w:rPr>
                <w:rFonts w:ascii="Times New Roman"/>
                <w:sz w:val="18"/>
              </w:rPr>
              <w:t>North America</w:t>
            </w:r>
            <w:r>
              <w:rPr>
                <w:rFonts w:ascii="Times New Roman"/>
                <w:spacing w:val="-17"/>
                <w:sz w:val="18"/>
              </w:rPr>
              <w:t> </w:t>
            </w:r>
            <w:r>
              <w:rPr>
                <w:rFonts w:ascii="Times New Roman"/>
                <w:sz w:val="18"/>
              </w:rPr>
              <w:t>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37,504.14</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192"/>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10"/>
                <w:sz w:val="18"/>
              </w:rPr>
              <w:t> </w:t>
            </w:r>
            <w:r>
              <w:rPr>
                <w:rFonts w:ascii="Times New Roman"/>
                <w:sz w:val="18"/>
              </w:rPr>
              <w:t>Communications</w:t>
            </w:r>
            <w:r>
              <w:rPr>
                <w:rFonts w:ascii="Times New Roman"/>
                <w:w w:val="99"/>
                <w:sz w:val="18"/>
              </w:rPr>
              <w:t> </w:t>
            </w:r>
            <w:r>
              <w:rPr>
                <w:rFonts w:ascii="Times New Roman"/>
                <w:sz w:val="18"/>
              </w:rPr>
              <w:t>Israel</w:t>
            </w:r>
            <w:r>
              <w:rPr>
                <w:rFonts w:ascii="Times New Roman"/>
                <w:spacing w:val="-4"/>
                <w:sz w:val="18"/>
              </w:rPr>
              <w:t> </w:t>
            </w:r>
            <w:r>
              <w:rPr>
                <w:rFonts w:ascii="Times New Roman"/>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7,683.90</w:t>
            </w: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6314"/>
        <w:jc w:val="left"/>
      </w:pPr>
      <w:r>
        <w:rPr/>
        <w:t>购销商品、提供和接受劳务的关联交易说明 本公司关联方定价均以市场价格为基础。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87" w:footer="1016" w:top="1100" w:bottom="1200" w:left="1020" w:right="1020"/>
        </w:sectPr>
      </w:pPr>
    </w:p>
    <w:p>
      <w:pPr>
        <w:pStyle w:val="BodyText"/>
        <w:spacing w:line="340" w:lineRule="auto" w:before="51"/>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2504" w:space="6326"/>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深圳市广宇通信技术有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0"/>
        <w:ind w:right="0"/>
        <w:jc w:val="left"/>
      </w:pPr>
      <w:r>
        <w:rPr/>
        <w:t>本公司作为被担保方</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3,896,408.00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3,555,633.33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3" w:right="286"/>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Deutschland</w:t>
            </w:r>
            <w:r>
              <w:rPr>
                <w:rFonts w:ascii="Times New Roman"/>
                <w:sz w:val="18"/>
              </w:rPr>
              <w:t> GMBH</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416.22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0"/>
                <w:sz w:val="18"/>
                <w:szCs w:val="18"/>
              </w:rPr>
              <w:t>英特尔（中国）有限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3" w:right="95"/>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Semiconductor</w:t>
            </w:r>
            <w:r>
              <w:rPr>
                <w:rFonts w:ascii="Times New Roman"/>
                <w:sz w:val="18"/>
              </w:rPr>
              <w:t> (US)</w:t>
            </w:r>
            <w:r>
              <w:rPr>
                <w:rFonts w:ascii="Times New Roman"/>
                <w:spacing w:val="-8"/>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4,778,175.07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238,908.75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英特尔移动通信技 </w:t>
            </w:r>
            <w:r>
              <w:rPr>
                <w:rFonts w:ascii="宋体" w:hAnsi="宋体" w:cs="宋体" w:eastAsia="宋体" w:hint="default"/>
                <w:spacing w:val="-10"/>
                <w:sz w:val="18"/>
                <w:szCs w:val="18"/>
              </w:rPr>
              <w:t>术（上海）有限公司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18,436.38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深圳市博格斯通信技术有限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99"/>
              <w:jc w:val="left"/>
              <w:rPr>
                <w:rFonts w:ascii="Times New Roman" w:hAnsi="Times New Roman" w:cs="Times New Roman" w:eastAsia="Times New Roman" w:hint="default"/>
                <w:sz w:val="18"/>
                <w:szCs w:val="18"/>
              </w:rPr>
            </w:pPr>
            <w:r>
              <w:rPr>
                <w:rFonts w:ascii="Times New Roman"/>
                <w:sz w:val="18"/>
              </w:rPr>
              <w:t>Intel Semiconductor</w:t>
            </w:r>
            <w:r>
              <w:rPr>
                <w:rFonts w:ascii="Times New Roman"/>
                <w:spacing w:val="-8"/>
                <w:sz w:val="18"/>
              </w:rPr>
              <w:t> </w:t>
            </w:r>
            <w:r>
              <w:rPr>
                <w:rFonts w:ascii="Times New Roman"/>
                <w:sz w:val="18"/>
              </w:rPr>
              <w:t>(US)</w:t>
            </w:r>
            <w:r>
              <w:rPr>
                <w:rFonts w:ascii="Times New Roman"/>
                <w:w w:val="99"/>
                <w:sz w:val="18"/>
              </w:rPr>
              <w:t> </w:t>
            </w:r>
            <w:r>
              <w:rPr>
                <w:rFonts w:ascii="Times New Roman"/>
                <w:sz w:val="18"/>
              </w:rPr>
              <w:t>Limite</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2,829,081.34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3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7"/>
        <w:ind w:right="7394"/>
        <w:jc w:val="left"/>
      </w:pPr>
      <w:r>
        <w:rPr/>
        <w:t>资产负债表日存在的重要承诺 经营租赁承诺</w:t>
      </w:r>
    </w:p>
    <w:p>
      <w:pPr>
        <w:pStyle w:val="BodyText"/>
        <w:spacing w:line="240" w:lineRule="auto" w:before="29"/>
        <w:ind w:right="0"/>
        <w:jc w:val="left"/>
      </w:pPr>
      <w:r>
        <w:rPr/>
        <w:t>至资产负债表日止，本公司对外签订的不可撤销的经营租赁合约情况如下：</w:t>
      </w:r>
    </w:p>
    <w:p>
      <w:pPr>
        <w:spacing w:line="240" w:lineRule="auto" w:before="3"/>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572"/>
        <w:gridCol w:w="2387"/>
        <w:gridCol w:w="3213"/>
      </w:tblGrid>
      <w:tr>
        <w:trPr>
          <w:trHeight w:val="405" w:hRule="exact"/>
        </w:trPr>
        <w:tc>
          <w:tcPr>
            <w:tcW w:w="357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38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68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213"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27" w:hRule="exact"/>
        </w:trPr>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59"/>
              <w:ind w:left="10"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681" w:right="0"/>
              <w:jc w:val="left"/>
              <w:rPr>
                <w:rFonts w:ascii="Times New Roman" w:hAnsi="Times New Roman" w:cs="Times New Roman" w:eastAsia="Times New Roman" w:hint="default"/>
                <w:sz w:val="18"/>
                <w:szCs w:val="18"/>
              </w:rPr>
            </w:pPr>
            <w:r>
              <w:rPr>
                <w:rFonts w:ascii="Times New Roman"/>
                <w:sz w:val="18"/>
              </w:rPr>
              <w:t>5,059,721.40</w:t>
            </w:r>
          </w:p>
        </w:tc>
        <w:tc>
          <w:tcPr>
            <w:tcW w:w="3213"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759" w:right="0"/>
              <w:jc w:val="left"/>
              <w:rPr>
                <w:rFonts w:ascii="Times New Roman" w:hAnsi="Times New Roman" w:cs="Times New Roman" w:eastAsia="Times New Roman" w:hint="default"/>
                <w:sz w:val="18"/>
                <w:szCs w:val="18"/>
              </w:rPr>
            </w:pPr>
            <w:r>
              <w:rPr>
                <w:rFonts w:ascii="Times New Roman"/>
                <w:sz w:val="18"/>
              </w:rPr>
              <w:t>2,112,810.55</w:t>
            </w:r>
          </w:p>
        </w:tc>
      </w:tr>
      <w:tr>
        <w:trPr>
          <w:trHeight w:val="427" w:hRule="exact"/>
        </w:trPr>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59"/>
              <w:ind w:left="10"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681" w:right="0"/>
              <w:jc w:val="left"/>
              <w:rPr>
                <w:rFonts w:ascii="Times New Roman" w:hAnsi="Times New Roman" w:cs="Times New Roman" w:eastAsia="Times New Roman" w:hint="default"/>
                <w:sz w:val="18"/>
                <w:szCs w:val="18"/>
              </w:rPr>
            </w:pPr>
            <w:r>
              <w:rPr>
                <w:rFonts w:ascii="Times New Roman"/>
                <w:sz w:val="18"/>
              </w:rPr>
              <w:t>1,939,261.45</w:t>
            </w:r>
          </w:p>
        </w:tc>
        <w:tc>
          <w:tcPr>
            <w:tcW w:w="3213"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759" w:right="0"/>
              <w:jc w:val="left"/>
              <w:rPr>
                <w:rFonts w:ascii="Times New Roman" w:hAnsi="Times New Roman" w:cs="Times New Roman" w:eastAsia="Times New Roman" w:hint="default"/>
                <w:sz w:val="18"/>
                <w:szCs w:val="18"/>
              </w:rPr>
            </w:pPr>
            <w:r>
              <w:rPr>
                <w:rFonts w:ascii="Times New Roman"/>
                <w:sz w:val="18"/>
              </w:rPr>
              <w:t>1,960,440.00</w:t>
            </w:r>
          </w:p>
        </w:tc>
      </w:tr>
      <w:tr>
        <w:trPr>
          <w:trHeight w:val="427" w:hRule="exact"/>
        </w:trPr>
        <w:tc>
          <w:tcPr>
            <w:tcW w:w="3572" w:type="dxa"/>
            <w:tcBorders>
              <w:top w:val="single" w:sz="6" w:space="0" w:color="000000"/>
              <w:left w:val="nil" w:sz="6" w:space="0" w:color="auto"/>
              <w:bottom w:val="single" w:sz="6" w:space="0" w:color="000000"/>
              <w:right w:val="nil" w:sz="6" w:space="0" w:color="auto"/>
            </w:tcBorders>
          </w:tcPr>
          <w:p>
            <w:pPr>
              <w:pStyle w:val="TableParagraph"/>
              <w:spacing w:line="240" w:lineRule="auto" w:before="59"/>
              <w:ind w:left="10"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681" w:right="0"/>
              <w:jc w:val="left"/>
              <w:rPr>
                <w:rFonts w:ascii="Times New Roman" w:hAnsi="Times New Roman" w:cs="Times New Roman" w:eastAsia="Times New Roman" w:hint="default"/>
                <w:sz w:val="18"/>
                <w:szCs w:val="18"/>
              </w:rPr>
            </w:pPr>
            <w:r>
              <w:rPr>
                <w:rFonts w:ascii="Times New Roman"/>
                <w:sz w:val="18"/>
              </w:rPr>
              <w:t>1,158,936.00</w:t>
            </w:r>
          </w:p>
        </w:tc>
        <w:tc>
          <w:tcPr>
            <w:tcW w:w="321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759" w:right="0"/>
              <w:jc w:val="left"/>
              <w:rPr>
                <w:rFonts w:ascii="Times New Roman" w:hAnsi="Times New Roman" w:cs="Times New Roman" w:eastAsia="Times New Roman" w:hint="default"/>
                <w:sz w:val="18"/>
                <w:szCs w:val="18"/>
              </w:rPr>
            </w:pPr>
            <w:r>
              <w:rPr>
                <w:rFonts w:ascii="Times New Roman"/>
                <w:sz w:val="18"/>
              </w:rPr>
              <w:t>326,740.00</w:t>
            </w:r>
          </w:p>
        </w:tc>
      </w:tr>
      <w:tr>
        <w:trPr>
          <w:trHeight w:val="413" w:hRule="exact"/>
        </w:trPr>
        <w:tc>
          <w:tcPr>
            <w:tcW w:w="357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87"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681" w:right="0"/>
              <w:jc w:val="left"/>
              <w:rPr>
                <w:rFonts w:ascii="Times New Roman" w:hAnsi="Times New Roman" w:cs="Times New Roman" w:eastAsia="Times New Roman" w:hint="default"/>
                <w:sz w:val="18"/>
                <w:szCs w:val="18"/>
              </w:rPr>
            </w:pPr>
            <w:r>
              <w:rPr>
                <w:rFonts w:ascii="Times New Roman"/>
                <w:sz w:val="18"/>
              </w:rPr>
              <w:t>8,157,918.85</w:t>
            </w:r>
          </w:p>
        </w:tc>
        <w:tc>
          <w:tcPr>
            <w:tcW w:w="3213"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759" w:right="0"/>
              <w:jc w:val="left"/>
              <w:rPr>
                <w:rFonts w:ascii="Times New Roman" w:hAnsi="Times New Roman" w:cs="Times New Roman" w:eastAsia="Times New Roman" w:hint="default"/>
                <w:sz w:val="18"/>
                <w:szCs w:val="18"/>
              </w:rPr>
            </w:pPr>
            <w:r>
              <w:rPr>
                <w:rFonts w:ascii="Times New Roman"/>
                <w:sz w:val="18"/>
              </w:rPr>
              <w:t>4,399,990.55</w:t>
            </w: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9.4pt;height:.75pt;mso-position-horizontal-relative:char;mso-position-vertical-relative:line" coordorigin="0,0" coordsize="9188,15">
            <v:group style="position:absolute;left:7;top:7;width:9173;height:2" coordorigin="7,7" coordsize="9173,2">
              <v:shape style="position:absolute;left:7;top:7;width:9173;height:2" coordorigin="7,7" coordsize="9173,0" path="m7,7l91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2"/>
        <w:ind w:right="0"/>
        <w:jc w:val="left"/>
      </w:pPr>
      <w:r>
        <w:rPr/>
        <w:t>截止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日，本公司不存在其他应披露的承诺事项。</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未决诉讼仲裁形成的或有负债及其财务影响</w:t>
      </w:r>
    </w:p>
    <w:p>
      <w:pPr>
        <w:spacing w:line="240" w:lineRule="auto" w:before="2"/>
        <w:rPr>
          <w:rFonts w:ascii="宋体" w:hAnsi="宋体" w:cs="宋体" w:eastAsia="宋体" w:hint="default"/>
          <w:sz w:val="8"/>
          <w:szCs w:val="8"/>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宋体" w:hAnsi="宋体" w:cs="宋体" w:eastAsia="宋体" w:hint="default"/>
          <w:sz w:val="2"/>
          <w:szCs w:val="2"/>
        </w:rPr>
      </w:r>
    </w:p>
    <w:p>
      <w:pPr>
        <w:pStyle w:val="BodyText"/>
        <w:tabs>
          <w:tab w:pos="2337" w:val="left" w:leader="none"/>
          <w:tab w:pos="4108" w:val="left" w:leader="none"/>
          <w:tab w:pos="5455" w:val="left" w:leader="none"/>
          <w:tab w:pos="6799" w:val="left" w:leader="none"/>
          <w:tab w:pos="8164" w:val="left" w:leader="none"/>
        </w:tabs>
        <w:spacing w:line="240" w:lineRule="auto" w:before="50"/>
        <w:ind w:left="124" w:right="0"/>
        <w:jc w:val="left"/>
      </w:pPr>
      <w:r>
        <w:rPr/>
        <w:t>原告</w:t>
        <w:tab/>
        <w:t>被告</w:t>
        <w:tab/>
        <w:t>案由</w:t>
        <w:tab/>
        <w:t>受理法院</w:t>
        <w:tab/>
        <w:t>标的额</w:t>
        <w:tab/>
        <w:t>案件进展情况</w:t>
      </w:r>
    </w:p>
    <w:p>
      <w:pPr>
        <w:spacing w:line="240" w:lineRule="auto" w:before="10"/>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8pt;height:.75pt;mso-position-horizontal-relative:char;mso-position-vertical-relative:line" coordorigin="0,0" coordsize="9296,15">
            <v:group style="position:absolute;left:7;top:7;width:9281;height:2" coordorigin="7,7" coordsize="9281,2">
              <v:shape style="position:absolute;left:7;top:7;width:9281;height:2" coordorigin="7,7" coordsize="9281,0" path="m7,7l9288,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87" w:footer="1016" w:top="1100" w:bottom="1200" w:left="1020" w:right="1020"/>
        </w:sectPr>
      </w:pPr>
    </w:p>
    <w:p>
      <w:pPr>
        <w:spacing w:line="240" w:lineRule="auto" w:before="12"/>
        <w:rPr>
          <w:rFonts w:ascii="宋体" w:hAnsi="宋体" w:cs="宋体" w:eastAsia="宋体" w:hint="default"/>
          <w:sz w:val="27"/>
          <w:szCs w:val="27"/>
        </w:rPr>
      </w:pPr>
    </w:p>
    <w:p>
      <w:pPr>
        <w:pStyle w:val="BodyText"/>
        <w:tabs>
          <w:tab w:pos="4108" w:val="left" w:leader="none"/>
          <w:tab w:pos="5455" w:val="left" w:leader="none"/>
          <w:tab w:pos="8164" w:val="left" w:leader="none"/>
        </w:tabs>
        <w:spacing w:line="240" w:lineRule="auto" w:before="44"/>
        <w:ind w:left="124" w:right="0"/>
        <w:jc w:val="left"/>
      </w:pPr>
      <w:r>
        <w:rPr/>
        <w:t>深圳市深联电电子科技有限</w:t>
      </w:r>
      <w:r>
        <w:rPr>
          <w:spacing w:val="-38"/>
        </w:rPr>
        <w:t> </w:t>
      </w:r>
      <w:r>
        <w:rPr/>
        <w:t>本公司</w:t>
        <w:tab/>
        <w:t>货款支付纠纷</w:t>
        <w:tab/>
        <w:t>深圳市南山区人</w:t>
      </w:r>
      <w:r>
        <w:rPr>
          <w:spacing w:val="-10"/>
        </w:rPr>
        <w:t> </w:t>
      </w:r>
      <w:r>
        <w:rPr>
          <w:rFonts w:ascii="Times New Roman" w:hAnsi="Times New Roman" w:cs="Times New Roman" w:eastAsia="Times New Roman" w:hint="default"/>
        </w:rPr>
        <w:t>2,340,689.90</w:t>
        <w:tab/>
      </w:r>
      <w:r>
        <w:rPr/>
        <w:t>审理中</w:t>
      </w:r>
    </w:p>
    <w:p>
      <w:pPr>
        <w:pStyle w:val="BodyText"/>
        <w:tabs>
          <w:tab w:pos="5455" w:val="left" w:leader="none"/>
        </w:tabs>
        <w:spacing w:line="240" w:lineRule="auto" w:before="63"/>
        <w:ind w:left="124" w:right="0"/>
        <w:jc w:val="left"/>
      </w:pPr>
      <w:r>
        <w:rPr/>
        <w:t>公司</w:t>
        <w:tab/>
        <w:t>民法</w:t>
      </w:r>
    </w:p>
    <w:p>
      <w:pPr>
        <w:spacing w:line="240" w:lineRule="auto" w:before="10"/>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8pt;height:.75pt;mso-position-horizontal-relative:char;mso-position-vertical-relative:line" coordorigin="0,0" coordsize="9296,15">
            <v:group style="position:absolute;left:7;top:7;width:9281;height:2" coordorigin="7,7" coordsize="9281,2">
              <v:shape style="position:absolute;left:7;top:7;width:9281;height:2" coordorigin="7,7" coordsize="9281,0" path="m7,7l928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4"/>
        <w:ind w:right="0"/>
        <w:jc w:val="left"/>
      </w:pPr>
      <w:r>
        <w:rPr/>
        <w:t>本公司因有关债务纠纷事宜被他人起诉，诉讼金额为人民币</w:t>
      </w:r>
      <w:r>
        <w:rPr>
          <w:spacing w:val="-47"/>
        </w:rPr>
        <w:t> </w:t>
      </w:r>
      <w:r>
        <w:rPr>
          <w:rFonts w:ascii="Times New Roman" w:hAnsi="Times New Roman" w:cs="Times New Roman" w:eastAsia="Times New Roman" w:hint="default"/>
        </w:rPr>
        <w:t>2,340,689.90</w:t>
      </w:r>
      <w:r>
        <w:rPr>
          <w:rFonts w:ascii="Times New Roman" w:hAnsi="Times New Roman" w:cs="Times New Roman" w:eastAsia="Times New Roman" w:hint="default"/>
          <w:spacing w:val="-3"/>
        </w:rPr>
        <w:t> </w:t>
      </w:r>
      <w:r>
        <w:rPr/>
        <w:t>元，截止本报告公告日，此案正在审理过程中。</w:t>
      </w:r>
    </w:p>
    <w:p>
      <w:pPr>
        <w:pStyle w:val="BodyText"/>
        <w:spacing w:line="240" w:lineRule="auto" w:before="103"/>
        <w:ind w:right="0"/>
        <w:jc w:val="left"/>
      </w:pPr>
      <w:r>
        <w:rPr/>
        <w:t>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日，本集团不存在其他应披露的承诺及或有事项。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2" type="#_x0000_t202" filled="false" stroked="false">
                <v:textbox inset="0,0,0,0">
                  <w:txbxContent>
                    <w:p>
                      <w:pPr>
                        <w:spacing w:before="96"/>
                        <w:ind w:left="0" w:right="26" w:firstLine="0"/>
                        <w:jc w:val="right"/>
                        <w:rPr>
                          <w:rFonts w:ascii="Times New Roman" w:hAnsi="Times New Roman" w:cs="Times New Roman" w:eastAsia="Times New Roman" w:hint="default"/>
                          <w:sz w:val="18"/>
                          <w:szCs w:val="18"/>
                        </w:rPr>
                      </w:pPr>
                      <w:r>
                        <w:rPr>
                          <w:rFonts w:ascii="Times New Roman"/>
                          <w:spacing w:val="-1"/>
                          <w:sz w:val="18"/>
                        </w:rPr>
                        <w:t>10,000,000.00</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、海外全资子公司完成注册登记</w:t>
      </w:r>
    </w:p>
    <w:p>
      <w:pPr>
        <w:pStyle w:val="BodyText"/>
        <w:spacing w:line="300" w:lineRule="auto" w:before="101"/>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日，德国全资子公司</w:t>
      </w:r>
      <w:r>
        <w:rPr>
          <w:spacing w:val="-47"/>
        </w:rPr>
        <w:t> </w:t>
      </w:r>
      <w:r>
        <w:rPr>
          <w:rFonts w:ascii="Times New Roman" w:hAnsi="Times New Roman" w:cs="Times New Roman" w:eastAsia="Times New Roman" w:hint="default"/>
        </w:rPr>
        <w:t>FIBOCOM</w:t>
      </w:r>
      <w:r>
        <w:rPr>
          <w:rFonts w:ascii="Times New Roman" w:hAnsi="Times New Roman" w:cs="Times New Roman" w:eastAsia="Times New Roman" w:hint="default"/>
          <w:spacing w:val="-6"/>
        </w:rPr>
        <w:t> </w:t>
      </w:r>
      <w:r>
        <w:rPr>
          <w:rFonts w:ascii="Times New Roman" w:hAnsi="Times New Roman" w:cs="Times New Roman" w:eastAsia="Times New Roman" w:hint="default"/>
        </w:rPr>
        <w:t>Wireless</w:t>
      </w:r>
      <w:r>
        <w:rPr>
          <w:rFonts w:ascii="Times New Roman" w:hAnsi="Times New Roman" w:cs="Times New Roman" w:eastAsia="Times New Roman" w:hint="default"/>
          <w:spacing w:val="-2"/>
        </w:rPr>
        <w:t> </w:t>
      </w:r>
      <w:r>
        <w:rPr>
          <w:rFonts w:ascii="Times New Roman" w:hAnsi="Times New Roman" w:cs="Times New Roman" w:eastAsia="Times New Roman" w:hint="default"/>
        </w:rPr>
        <w:t>EU</w:t>
      </w:r>
      <w:r>
        <w:rPr>
          <w:rFonts w:ascii="Times New Roman" w:hAnsi="Times New Roman" w:cs="Times New Roman" w:eastAsia="Times New Roman" w:hint="default"/>
          <w:spacing w:val="-2"/>
        </w:rPr>
        <w:t> </w:t>
      </w:r>
      <w:r>
        <w:rPr>
          <w:rFonts w:ascii="Times New Roman" w:hAnsi="Times New Roman" w:cs="Times New Roman" w:eastAsia="Times New Roman" w:hint="default"/>
        </w:rPr>
        <w:t>GmbH </w:t>
      </w:r>
      <w:r>
        <w:rPr/>
        <w:t>已完成注册登记手续，注册资本</w:t>
      </w:r>
      <w:r>
        <w:rPr>
          <w:spacing w:val="-49"/>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万欧元，经营范围： 产品的生产、贸易及进出口贸易，重点领域是无线产品，以及在这个领域的技术研发、咨询、服务和投资业务。</w:t>
      </w:r>
    </w:p>
    <w:p>
      <w:pPr>
        <w:pStyle w:val="BodyText"/>
        <w:spacing w:line="240" w:lineRule="auto" w:before="72"/>
        <w:ind w:right="0"/>
        <w:jc w:val="left"/>
      </w:pPr>
      <w:r>
        <w:rPr>
          <w:rFonts w:ascii="Times New Roman" w:hAnsi="Times New Roman" w:cs="Times New Roman" w:eastAsia="Times New Roman" w:hint="default"/>
        </w:rPr>
        <w:t>2</w:t>
      </w:r>
      <w:r>
        <w:rPr/>
        <w:t>、拟设立全资子公司</w:t>
      </w:r>
    </w:p>
    <w:p>
      <w:pPr>
        <w:pStyle w:val="BodyText"/>
        <w:spacing w:line="240" w:lineRule="auto" w:before="103"/>
        <w:ind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日召开的第一届董事会第二十一次会议审议通过《关于投资设立全资子公司的议案</w:t>
      </w:r>
      <w:r>
        <w:rPr>
          <w:spacing w:val="-92"/>
        </w:rPr>
        <w:t>》</w:t>
      </w:r>
      <w:r>
        <w:rPr/>
        <w:t>，公司决定以自有资金</w:t>
      </w:r>
    </w:p>
    <w:p>
      <w:pPr>
        <w:pStyle w:val="BodyText"/>
        <w:spacing w:line="240" w:lineRule="auto" w:before="63"/>
        <w:ind w:right="0"/>
        <w:jc w:val="left"/>
      </w:pPr>
      <w:r>
        <w:rPr/>
        <w:t>在深圳投资设立全资子公司</w:t>
      </w:r>
      <w:r>
        <w:rPr>
          <w:rFonts w:ascii="Times New Roman" w:hAnsi="Times New Roman" w:cs="Times New Roman" w:eastAsia="Times New Roman" w:hint="default"/>
          <w:spacing w:val="-1"/>
          <w:w w:val="99"/>
        </w:rPr>
        <w:t>“</w:t>
      </w:r>
      <w:r>
        <w:rPr/>
        <w:t>深圳市广和通投资发展有限公司</w:t>
      </w:r>
      <w:r>
        <w:rPr>
          <w:rFonts w:ascii="Times New Roman" w:hAnsi="Times New Roman" w:cs="Times New Roman" w:eastAsia="Times New Roman" w:hint="default"/>
          <w:spacing w:val="1"/>
          <w:w w:val="99"/>
        </w:rPr>
        <w:t>”</w:t>
      </w:r>
      <w:r>
        <w:rPr/>
        <w:t>（暂定名</w:t>
      </w:r>
      <w:r>
        <w:rPr>
          <w:spacing w:val="-92"/>
        </w:rPr>
        <w:t>）</w:t>
      </w:r>
      <w:r>
        <w:rPr/>
        <w:t>，注册资本</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万元；在西安投资设立全资子公</w:t>
      </w:r>
    </w:p>
    <w:p>
      <w:pPr>
        <w:pStyle w:val="BodyText"/>
        <w:spacing w:line="240" w:lineRule="auto" w:before="63"/>
        <w:ind w:right="0"/>
        <w:jc w:val="left"/>
        <w:rPr>
          <w:rFonts w:ascii="Times New Roman" w:hAnsi="Times New Roman" w:cs="Times New Roman" w:eastAsia="Times New Roman" w:hint="default"/>
        </w:rPr>
      </w:pPr>
      <w:r>
        <w:rPr/>
        <w:t>司</w:t>
      </w:r>
      <w:r>
        <w:rPr>
          <w:rFonts w:ascii="Times New Roman" w:hAnsi="Times New Roman" w:cs="Times New Roman" w:eastAsia="Times New Roman" w:hint="default"/>
          <w:spacing w:val="-1"/>
          <w:w w:val="99"/>
        </w:rPr>
        <w:t>“</w:t>
      </w:r>
      <w:r>
        <w:rPr/>
        <w:t>西安广和通技术有限公司</w:t>
      </w:r>
      <w:r>
        <w:rPr>
          <w:rFonts w:ascii="Times New Roman" w:hAnsi="Times New Roman" w:cs="Times New Roman" w:eastAsia="Times New Roman" w:hint="default"/>
          <w:spacing w:val="-15"/>
          <w:w w:val="99"/>
        </w:rPr>
        <w:t>”</w:t>
      </w:r>
      <w:r>
        <w:rPr/>
        <w:t>（暂定名</w:t>
      </w:r>
      <w:r>
        <w:rPr>
          <w:spacing w:val="-89"/>
        </w:rPr>
        <w:t>）</w:t>
      </w:r>
      <w:r>
        <w:rPr>
          <w:spacing w:val="-17"/>
        </w:rPr>
        <w:t>，</w:t>
      </w:r>
      <w:r>
        <w:rPr/>
        <w:t>注册资本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17"/>
        </w:rPr>
        <w:t>。</w:t>
      </w:r>
      <w:r>
        <w:rPr/>
        <w:t>其中</w:t>
      </w:r>
      <w:r>
        <w:rPr>
          <w:spacing w:val="-15"/>
        </w:rPr>
        <w:t>，</w:t>
      </w:r>
      <w:r>
        <w:rPr/>
        <w:t>深圳市广和通投资发展有限公司已于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p>
    <w:p>
      <w:pPr>
        <w:pStyle w:val="BodyText"/>
        <w:spacing w:line="240" w:lineRule="auto" w:before="63"/>
        <w:ind w:right="0"/>
        <w:jc w:val="left"/>
      </w:pPr>
      <w:r>
        <w:rPr/>
        <w:t>日完成工商注册登记。</w:t>
      </w:r>
    </w:p>
    <w:p>
      <w:pPr>
        <w:spacing w:after="0" w:line="240" w:lineRule="auto"/>
        <w:jc w:val="left"/>
        <w:sectPr>
          <w:footerReference w:type="default" r:id="rId38"/>
          <w:pgSz w:w="11910" w:h="16840"/>
          <w:pgMar w:footer="1016" w:header="787" w:top="1100" w:bottom="1200" w:left="1020" w:right="1020"/>
          <w:pgNumType w:start="17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left="152" w:right="139"/>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139"/>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2" w:right="139"/>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2" w:right="139"/>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07" w:right="139"/>
        <w:jc w:val="left"/>
      </w:pPr>
      <w:r>
        <w:rPr/>
        <w:t>1、通过第三方采购的英特尔产品</w:t>
      </w:r>
    </w:p>
    <w:p>
      <w:pPr>
        <w:spacing w:line="240" w:lineRule="auto" w:before="5"/>
        <w:rPr>
          <w:rFonts w:ascii="宋体" w:hAnsi="宋体" w:cs="宋体" w:eastAsia="宋体" w:hint="default"/>
          <w:sz w:val="22"/>
          <w:szCs w:val="22"/>
        </w:rPr>
      </w:pPr>
    </w:p>
    <w:p>
      <w:pPr>
        <w:pStyle w:val="BodyText"/>
        <w:spacing w:line="316" w:lineRule="auto"/>
        <w:ind w:left="152" w:right="99"/>
        <w:jc w:val="left"/>
      </w:pPr>
      <w:r>
        <w:rPr>
          <w:spacing w:val="-2"/>
        </w:rPr>
        <w:t>本公司主营业务产品无线通信模块的核心零件所用的基带芯片大部分为英特尔生产，本公司未直接向英特尔采购，但报告期</w:t>
      </w:r>
      <w:r>
        <w:rPr>
          <w:spacing w:val="-64"/>
        </w:rPr>
        <w:t> </w:t>
      </w:r>
      <w:r>
        <w:rPr>
          <w:spacing w:val="-64"/>
        </w:rPr>
      </w:r>
      <w:r>
        <w:rPr/>
        <w:t>内，本公司通过第三方采购的英特尔产品情况如下：</w:t>
      </w:r>
    </w:p>
    <w:p>
      <w:pPr>
        <w:spacing w:line="240" w:lineRule="auto" w:before="8"/>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4597"/>
        <w:gridCol w:w="2333"/>
        <w:gridCol w:w="2204"/>
      </w:tblGrid>
      <w:tr>
        <w:trPr>
          <w:trHeight w:val="347" w:hRule="exact"/>
        </w:trPr>
        <w:tc>
          <w:tcPr>
            <w:tcW w:w="459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233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22"/>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20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7" w:hRule="exact"/>
        </w:trPr>
        <w:tc>
          <w:tcPr>
            <w:tcW w:w="459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采购基带芯片等</w:t>
            </w:r>
          </w:p>
        </w:tc>
        <w:tc>
          <w:tcPr>
            <w:tcW w:w="2333"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026"/>
              <w:jc w:val="right"/>
              <w:rPr>
                <w:rFonts w:ascii="宋体" w:hAnsi="宋体" w:cs="宋体" w:eastAsia="宋体" w:hint="default"/>
                <w:sz w:val="18"/>
                <w:szCs w:val="18"/>
              </w:rPr>
            </w:pPr>
            <w:r>
              <w:rPr>
                <w:rFonts w:ascii="宋体"/>
                <w:spacing w:val="-1"/>
                <w:sz w:val="18"/>
              </w:rPr>
              <w:t>72,034,694.28</w:t>
            </w:r>
          </w:p>
        </w:tc>
        <w:tc>
          <w:tcPr>
            <w:tcW w:w="220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54,404,167.61</w:t>
            </w:r>
          </w:p>
        </w:tc>
      </w:tr>
      <w:tr>
        <w:trPr>
          <w:trHeight w:val="474" w:hRule="exact"/>
        </w:trPr>
        <w:tc>
          <w:tcPr>
            <w:tcW w:w="4597" w:type="dxa"/>
            <w:tcBorders>
              <w:top w:val="single" w:sz="6" w:space="0" w:color="000000"/>
              <w:left w:val="nil" w:sz="6" w:space="0" w:color="auto"/>
              <w:bottom w:val="nil" w:sz="6" w:space="0" w:color="auto"/>
              <w:right w:val="nil" w:sz="6" w:space="0" w:color="auto"/>
            </w:tcBorders>
          </w:tcPr>
          <w:p>
            <w:pPr>
              <w:pStyle w:val="TableParagraph"/>
              <w:spacing w:line="240" w:lineRule="auto" w:before="131"/>
              <w:ind w:left="53" w:right="0"/>
              <w:jc w:val="left"/>
              <w:rPr>
                <w:rFonts w:ascii="宋体" w:hAnsi="宋体" w:cs="宋体" w:eastAsia="宋体" w:hint="default"/>
                <w:sz w:val="18"/>
                <w:szCs w:val="18"/>
              </w:rPr>
            </w:pPr>
            <w:r>
              <w:rPr>
                <w:rFonts w:ascii="宋体" w:hAnsi="宋体" w:cs="宋体" w:eastAsia="宋体" w:hint="default"/>
                <w:sz w:val="18"/>
                <w:szCs w:val="18"/>
              </w:rPr>
              <w:t>2、向英特尔半导体（大连）有限公司参股公司销售商品</w:t>
            </w:r>
          </w:p>
        </w:tc>
        <w:tc>
          <w:tcPr>
            <w:tcW w:w="2333" w:type="dxa"/>
            <w:tcBorders>
              <w:top w:val="single" w:sz="6" w:space="0" w:color="000000"/>
              <w:left w:val="nil" w:sz="6" w:space="0" w:color="auto"/>
              <w:bottom w:val="nil" w:sz="6" w:space="0" w:color="auto"/>
              <w:right w:val="nil" w:sz="6" w:space="0" w:color="auto"/>
            </w:tcBorders>
          </w:tcPr>
          <w:p>
            <w:pPr/>
          </w:p>
        </w:tc>
        <w:tc>
          <w:tcPr>
            <w:tcW w:w="2204" w:type="dxa"/>
            <w:tcBorders>
              <w:top w:val="single" w:sz="6"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pStyle w:val="BodyText"/>
        <w:spacing w:line="316" w:lineRule="auto" w:before="44"/>
        <w:ind w:left="152" w:right="99"/>
        <w:jc w:val="left"/>
      </w:pPr>
      <w:r>
        <w:rPr>
          <w:spacing w:val="-2"/>
        </w:rPr>
        <w:t>本公司股东英特尔半导体（大连）有限公司分别参股本公司客户深圳市汉普电子技术开发有限公司及重庆蓝岸通讯技术有限</w:t>
      </w:r>
      <w:r>
        <w:rPr>
          <w:spacing w:val="-64"/>
        </w:rPr>
        <w:t> </w:t>
      </w:r>
      <w:r>
        <w:rPr>
          <w:spacing w:val="-64"/>
        </w:rPr>
      </w:r>
      <w:r>
        <w:rPr/>
        <w:t>公司，报告期内，本公司向深圳市汉普电子技术开发有限公司及重庆蓝岸通讯技术有限公司销售产品情况如下：</w:t>
      </w:r>
    </w:p>
    <w:p>
      <w:pPr>
        <w:spacing w:line="240" w:lineRule="auto" w:before="9"/>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2885"/>
        <w:gridCol w:w="1550"/>
        <w:gridCol w:w="1781"/>
        <w:gridCol w:w="1688"/>
        <w:gridCol w:w="1426"/>
      </w:tblGrid>
      <w:tr>
        <w:trPr>
          <w:trHeight w:val="347"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b/>
                <w:bCs/>
                <w:sz w:val="18"/>
                <w:szCs w:val="18"/>
              </w:rPr>
              <w:t>交易方</w:t>
            </w:r>
            <w:r>
              <w:rPr>
                <w:rFonts w:ascii="宋体" w:hAnsi="宋体" w:cs="宋体" w:eastAsia="宋体" w:hint="default"/>
                <w:sz w:val="18"/>
                <w:szCs w:val="18"/>
              </w:rPr>
            </w:r>
          </w:p>
        </w:tc>
        <w:tc>
          <w:tcPr>
            <w:tcW w:w="155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37"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69"/>
              <w:jc w:val="center"/>
              <w:rPr>
                <w:rFonts w:ascii="宋体" w:hAnsi="宋体" w:cs="宋体" w:eastAsia="宋体" w:hint="default"/>
                <w:sz w:val="18"/>
                <w:szCs w:val="18"/>
              </w:rPr>
            </w:pPr>
            <w:r>
              <w:rPr>
                <w:rFonts w:ascii="宋体" w:hAnsi="宋体" w:cs="宋体" w:eastAsia="宋体" w:hint="default"/>
                <w:b/>
                <w:bCs/>
                <w:sz w:val="18"/>
                <w:szCs w:val="18"/>
              </w:rPr>
              <w:t>销售模式</w:t>
            </w:r>
            <w:r>
              <w:rPr>
                <w:rFonts w:ascii="宋体" w:hAnsi="宋体" w:cs="宋体" w:eastAsia="宋体" w:hint="default"/>
                <w:sz w:val="18"/>
                <w:szCs w:val="18"/>
              </w:rPr>
            </w: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304"/>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41"/>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7" w:hRule="exact"/>
        </w:trPr>
        <w:tc>
          <w:tcPr>
            <w:tcW w:w="2885"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深圳市汉普电子技术开发有限公司</w:t>
            </w:r>
          </w:p>
        </w:tc>
        <w:tc>
          <w:tcPr>
            <w:tcW w:w="155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2"/>
              <w:jc w:val="center"/>
              <w:rPr>
                <w:rFonts w:ascii="宋体" w:hAnsi="宋体" w:cs="宋体" w:eastAsia="宋体" w:hint="default"/>
                <w:sz w:val="18"/>
                <w:szCs w:val="18"/>
              </w:rPr>
            </w:pPr>
            <w:r>
              <w:rPr>
                <w:rFonts w:ascii="宋体" w:hAnsi="宋体" w:cs="宋体" w:eastAsia="宋体" w:hint="default"/>
                <w:sz w:val="18"/>
                <w:szCs w:val="18"/>
              </w:rPr>
              <w:t>直销</w:t>
            </w: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5"/>
              <w:jc w:val="right"/>
              <w:rPr>
                <w:rFonts w:ascii="宋体" w:hAnsi="宋体" w:cs="宋体" w:eastAsia="宋体" w:hint="default"/>
                <w:sz w:val="18"/>
                <w:szCs w:val="18"/>
              </w:rPr>
            </w:pPr>
            <w:r>
              <w:rPr>
                <w:rFonts w:ascii="宋体"/>
                <w:spacing w:val="-1"/>
                <w:sz w:val="18"/>
              </w:rPr>
              <w:t>6,444.45</w:t>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42"/>
              <w:jc w:val="right"/>
              <w:rPr>
                <w:rFonts w:ascii="宋体" w:hAnsi="宋体" w:cs="宋体" w:eastAsia="宋体" w:hint="default"/>
                <w:sz w:val="18"/>
                <w:szCs w:val="18"/>
              </w:rPr>
            </w:pPr>
            <w:r>
              <w:rPr>
                <w:rFonts w:ascii="宋体"/>
                <w:spacing w:val="-1"/>
                <w:sz w:val="18"/>
              </w:rPr>
              <w:t>660,164.96</w:t>
            </w:r>
          </w:p>
        </w:tc>
      </w:tr>
      <w:tr>
        <w:trPr>
          <w:trHeight w:val="347" w:hRule="exact"/>
        </w:trPr>
        <w:tc>
          <w:tcPr>
            <w:tcW w:w="288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74"/>
              <w:jc w:val="center"/>
              <w:rPr>
                <w:rFonts w:ascii="宋体" w:hAnsi="宋体" w:cs="宋体" w:eastAsia="宋体" w:hint="default"/>
                <w:sz w:val="18"/>
                <w:szCs w:val="18"/>
              </w:rPr>
            </w:pPr>
            <w:r>
              <w:rPr>
                <w:rFonts w:ascii="宋体" w:hAnsi="宋体" w:cs="宋体" w:eastAsia="宋体" w:hint="default"/>
                <w:sz w:val="18"/>
                <w:szCs w:val="18"/>
              </w:rPr>
              <w:t>通过经销商</w:t>
            </w: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305"/>
              <w:jc w:val="right"/>
              <w:rPr>
                <w:rFonts w:ascii="宋体" w:hAnsi="宋体" w:cs="宋体" w:eastAsia="宋体" w:hint="default"/>
                <w:sz w:val="18"/>
                <w:szCs w:val="18"/>
              </w:rPr>
            </w:pPr>
            <w:r>
              <w:rPr>
                <w:rFonts w:ascii="宋体"/>
                <w:spacing w:val="-1"/>
                <w:sz w:val="18"/>
              </w:rPr>
              <w:t>445,669.70</w:t>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42"/>
              <w:jc w:val="right"/>
              <w:rPr>
                <w:rFonts w:ascii="宋体" w:hAnsi="宋体" w:cs="宋体" w:eastAsia="宋体" w:hint="default"/>
                <w:sz w:val="18"/>
                <w:szCs w:val="18"/>
              </w:rPr>
            </w:pPr>
            <w:r>
              <w:rPr>
                <w:rFonts w:ascii="宋体"/>
                <w:spacing w:val="-1"/>
                <w:sz w:val="18"/>
              </w:rPr>
              <w:t>7,904,852.86</w:t>
            </w:r>
          </w:p>
        </w:tc>
      </w:tr>
      <w:tr>
        <w:trPr>
          <w:trHeight w:val="347" w:hRule="exact"/>
        </w:trPr>
        <w:tc>
          <w:tcPr>
            <w:tcW w:w="2885" w:type="dxa"/>
            <w:tcBorders>
              <w:top w:val="nil" w:sz="6" w:space="0" w:color="auto"/>
              <w:left w:val="nil" w:sz="6" w:space="0" w:color="auto"/>
              <w:bottom w:val="single" w:sz="6" w:space="0" w:color="000000"/>
              <w:right w:val="nil" w:sz="6" w:space="0" w:color="auto"/>
            </w:tcBorders>
          </w:tcPr>
          <w:p>
            <w:pPr/>
          </w:p>
        </w:tc>
        <w:tc>
          <w:tcPr>
            <w:tcW w:w="1550" w:type="dxa"/>
            <w:tcBorders>
              <w:top w:val="nil" w:sz="6" w:space="0" w:color="auto"/>
              <w:left w:val="nil" w:sz="6" w:space="0" w:color="auto"/>
              <w:bottom w:val="single" w:sz="6" w:space="0" w:color="000000"/>
              <w:right w:val="nil" w:sz="6" w:space="0" w:color="auto"/>
            </w:tcBorders>
          </w:tcPr>
          <w:p>
            <w:pP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7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98"/>
              <w:jc w:val="right"/>
              <w:rPr>
                <w:rFonts w:ascii="宋体" w:hAnsi="宋体" w:cs="宋体" w:eastAsia="宋体" w:hint="default"/>
                <w:sz w:val="18"/>
                <w:szCs w:val="18"/>
              </w:rPr>
            </w:pPr>
            <w:r>
              <w:rPr>
                <w:rFonts w:ascii="宋体"/>
                <w:b/>
                <w:w w:val="95"/>
                <w:sz w:val="18"/>
              </w:rPr>
              <w:t>452,114.15</w:t>
            </w:r>
            <w:r>
              <w:rPr>
                <w:rFonts w:ascii="宋体"/>
                <w:sz w:val="18"/>
              </w:rPr>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b/>
                <w:w w:val="95"/>
                <w:sz w:val="18"/>
              </w:rPr>
              <w:t>8,565,017.82</w:t>
            </w:r>
            <w:r>
              <w:rPr>
                <w:rFonts w:ascii="宋体"/>
                <w:sz w:val="18"/>
              </w:rPr>
            </w:r>
          </w:p>
        </w:tc>
      </w:tr>
      <w:tr>
        <w:trPr>
          <w:trHeight w:val="347"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重庆蓝岸通讯技术有限公司</w:t>
            </w:r>
          </w:p>
        </w:tc>
        <w:tc>
          <w:tcPr>
            <w:tcW w:w="155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8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72"/>
              <w:jc w:val="center"/>
              <w:rPr>
                <w:rFonts w:ascii="宋体" w:hAnsi="宋体" w:cs="宋体" w:eastAsia="宋体" w:hint="default"/>
                <w:sz w:val="18"/>
                <w:szCs w:val="18"/>
              </w:rPr>
            </w:pPr>
            <w:r>
              <w:rPr>
                <w:rFonts w:ascii="宋体" w:hAnsi="宋体" w:cs="宋体" w:eastAsia="宋体" w:hint="default"/>
                <w:sz w:val="18"/>
                <w:szCs w:val="18"/>
              </w:rPr>
              <w:t>直销</w:t>
            </w: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5"/>
              <w:jc w:val="right"/>
              <w:rPr>
                <w:rFonts w:ascii="宋体" w:hAnsi="宋体" w:cs="宋体" w:eastAsia="宋体" w:hint="default"/>
                <w:sz w:val="18"/>
                <w:szCs w:val="18"/>
              </w:rPr>
            </w:pPr>
            <w:r>
              <w:rPr>
                <w:rFonts w:ascii="宋体"/>
                <w:sz w:val="18"/>
              </w:rPr>
              <w:t>--</w:t>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42"/>
              <w:jc w:val="right"/>
              <w:rPr>
                <w:rFonts w:ascii="宋体" w:hAnsi="宋体" w:cs="宋体" w:eastAsia="宋体" w:hint="default"/>
                <w:sz w:val="18"/>
                <w:szCs w:val="18"/>
              </w:rPr>
            </w:pPr>
            <w:r>
              <w:rPr>
                <w:rFonts w:ascii="宋体"/>
                <w:spacing w:val="-1"/>
                <w:sz w:val="18"/>
              </w:rPr>
              <w:t>1,563.25</w:t>
            </w:r>
          </w:p>
        </w:tc>
      </w:tr>
      <w:tr>
        <w:trPr>
          <w:trHeight w:val="473" w:hRule="exact"/>
        </w:trPr>
        <w:tc>
          <w:tcPr>
            <w:tcW w:w="2885" w:type="dxa"/>
            <w:tcBorders>
              <w:top w:val="single" w:sz="6" w:space="0" w:color="000000"/>
              <w:left w:val="nil" w:sz="6" w:space="0" w:color="auto"/>
              <w:bottom w:val="nil" w:sz="6" w:space="0" w:color="auto"/>
              <w:right w:val="nil" w:sz="6" w:space="0" w:color="auto"/>
            </w:tcBorders>
          </w:tcPr>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sz w:val="18"/>
                <w:szCs w:val="18"/>
              </w:rPr>
              <w:t>3、政府补助</w:t>
            </w:r>
          </w:p>
        </w:tc>
        <w:tc>
          <w:tcPr>
            <w:tcW w:w="1550" w:type="dxa"/>
            <w:tcBorders>
              <w:top w:val="single" w:sz="6" w:space="0" w:color="000000"/>
              <w:left w:val="nil" w:sz="6" w:space="0" w:color="auto"/>
              <w:bottom w:val="nil" w:sz="6" w:space="0" w:color="auto"/>
              <w:right w:val="nil" w:sz="6" w:space="0" w:color="auto"/>
            </w:tcBorders>
          </w:tcPr>
          <w:p>
            <w:pPr/>
          </w:p>
        </w:tc>
        <w:tc>
          <w:tcPr>
            <w:tcW w:w="1781" w:type="dxa"/>
            <w:tcBorders>
              <w:top w:val="single" w:sz="6" w:space="0" w:color="000000"/>
              <w:left w:val="nil" w:sz="6" w:space="0" w:color="auto"/>
              <w:bottom w:val="nil" w:sz="6" w:space="0" w:color="auto"/>
              <w:right w:val="nil" w:sz="6" w:space="0" w:color="auto"/>
            </w:tcBorders>
          </w:tcPr>
          <w:p>
            <w:pPr/>
          </w:p>
        </w:tc>
        <w:tc>
          <w:tcPr>
            <w:tcW w:w="1688" w:type="dxa"/>
            <w:tcBorders>
              <w:top w:val="single" w:sz="6" w:space="0" w:color="000000"/>
              <w:left w:val="nil" w:sz="6" w:space="0" w:color="auto"/>
              <w:bottom w:val="nil" w:sz="6" w:space="0" w:color="auto"/>
              <w:right w:val="nil" w:sz="6" w:space="0" w:color="auto"/>
            </w:tcBorders>
          </w:tcPr>
          <w:p>
            <w:pPr/>
          </w:p>
        </w:tc>
        <w:tc>
          <w:tcPr>
            <w:tcW w:w="1426" w:type="dxa"/>
            <w:tcBorders>
              <w:top w:val="single" w:sz="6"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pStyle w:val="BodyText"/>
        <w:spacing w:line="240" w:lineRule="auto" w:before="44"/>
        <w:ind w:left="152" w:right="139"/>
        <w:jc w:val="left"/>
      </w:pPr>
      <w:r>
        <w:rPr/>
        <w:t>（1）计入递延收益的政府补助，后续采用总额法计量</w:t>
      </w:r>
    </w:p>
    <w:p>
      <w:pPr>
        <w:spacing w:line="240" w:lineRule="auto" w:before="8"/>
        <w:rPr>
          <w:rFonts w:ascii="宋体" w:hAnsi="宋体" w:cs="宋体" w:eastAsia="宋体" w:hint="default"/>
          <w:sz w:val="21"/>
          <w:szCs w:val="21"/>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7pt;height:.75pt;mso-position-horizontal-relative:char;mso-position-vertical-relative:line" coordorigin="0,0" coordsize="9140,15">
            <v:group style="position:absolute;left:7;top:7;width:9125;height:2" coordorigin="7,7" coordsize="9125,2">
              <v:shape style="position:absolute;left:7;top:7;width:9125;height:2" coordorigin="7,7" coordsize="9125,0" path="m7,7l9132,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87" w:footer="1016" w:top="1100" w:bottom="1200" w:left="980" w:right="1020"/>
        </w:sectPr>
      </w:pPr>
    </w:p>
    <w:p>
      <w:pPr>
        <w:pStyle w:val="Heading4"/>
        <w:tabs>
          <w:tab w:pos="1240" w:val="left" w:leader="none"/>
          <w:tab w:pos="2090" w:val="left" w:leader="none"/>
          <w:tab w:pos="3153" w:val="left" w:leader="none"/>
        </w:tabs>
        <w:spacing w:line="240" w:lineRule="auto"/>
        <w:ind w:right="0"/>
        <w:jc w:val="right"/>
        <w:rPr>
          <w:b w:val="0"/>
          <w:bCs w:val="0"/>
        </w:rPr>
      </w:pPr>
      <w:r>
        <w:rPr>
          <w:w w:val="95"/>
        </w:rPr>
        <w:t>补助项目</w:t>
        <w:tab/>
        <w:t>种类</w:t>
        <w:tab/>
        <w:t>期初余额</w:t>
        <w:tab/>
        <w:t>本期新增</w:t>
      </w:r>
      <w:r>
        <w:rPr>
          <w:b w:val="0"/>
          <w:bCs w:val="0"/>
        </w:rPr>
      </w:r>
    </w:p>
    <w:p>
      <w:pPr>
        <w:pStyle w:val="Heading4"/>
        <w:spacing w:line="240" w:lineRule="auto" w:before="76"/>
        <w:ind w:right="0"/>
        <w:jc w:val="right"/>
        <w:rPr>
          <w:b w:val="0"/>
          <w:bCs w:val="0"/>
        </w:rPr>
      </w:pPr>
      <w:r>
        <w:rPr>
          <w:w w:val="95"/>
        </w:rPr>
        <w:t>补助金额</w:t>
      </w:r>
      <w:r>
        <w:rPr>
          <w:b w:val="0"/>
          <w:bCs w:val="0"/>
        </w:rPr>
      </w:r>
    </w:p>
    <w:p>
      <w:pPr>
        <w:pStyle w:val="Heading4"/>
        <w:tabs>
          <w:tab w:pos="1159" w:val="left" w:leader="none"/>
        </w:tabs>
        <w:spacing w:line="240" w:lineRule="auto"/>
        <w:ind w:left="151" w:right="-3"/>
        <w:jc w:val="left"/>
        <w:rPr>
          <w:b w:val="0"/>
          <w:bCs w:val="0"/>
        </w:rPr>
      </w:pPr>
      <w:r>
        <w:rPr>
          <w:b w:val="0"/>
          <w:bCs w:val="0"/>
          <w:w w:val="95"/>
        </w:rPr>
        <w:br w:type="column"/>
      </w:r>
      <w:r>
        <w:rPr>
          <w:w w:val="95"/>
        </w:rPr>
        <w:t>本期结转</w:t>
        <w:tab/>
        <w:t>其他</w:t>
      </w:r>
      <w:r>
        <w:rPr>
          <w:b w:val="0"/>
          <w:bCs w:val="0"/>
        </w:rPr>
      </w:r>
    </w:p>
    <w:p>
      <w:pPr>
        <w:pStyle w:val="Heading4"/>
        <w:tabs>
          <w:tab w:pos="1159" w:val="left" w:leader="none"/>
        </w:tabs>
        <w:spacing w:line="316" w:lineRule="auto" w:before="76"/>
        <w:ind w:left="243" w:right="0" w:hanging="92"/>
        <w:jc w:val="left"/>
        <w:rPr>
          <w:b w:val="0"/>
          <w:bCs w:val="0"/>
        </w:rPr>
      </w:pPr>
      <w:r>
        <w:rPr/>
        <w:pict>
          <v:group style="position:absolute;margin-left:56.700001pt;margin-top:35.291706pt;width:456.25pt;height:.1pt;mso-position-horizontal-relative:page;mso-position-vertical-relative:paragraph;z-index:3160" coordorigin="1134,706" coordsize="9125,2">
            <v:shape style="position:absolute;left:1134;top:706;width:9125;height:2" coordorigin="1134,706" coordsize="9125,0" path="m1134,706l10259,706e" filled="false" stroked="true" strokeweight=".72pt" strokecolor="#000000">
              <v:path arrowok="t"/>
            </v:shape>
            <w10:wrap type="none"/>
          </v:group>
        </w:pict>
      </w:r>
      <w:r>
        <w:rPr>
          <w:w w:val="95"/>
        </w:rPr>
        <w:t>计入损益</w:t>
        <w:tab/>
        <w:t>变动</w:t>
      </w:r>
      <w:r>
        <w:rPr>
          <w:spacing w:val="-70"/>
          <w:w w:val="95"/>
        </w:rPr>
        <w:t> </w:t>
      </w:r>
      <w:r>
        <w:rPr>
          <w:spacing w:val="-70"/>
          <w:w w:val="95"/>
        </w:rPr>
      </w:r>
      <w:r>
        <w:rPr/>
        <w:t>的金额</w:t>
      </w:r>
      <w:r>
        <w:rPr>
          <w:b w:val="0"/>
          <w:bCs w:val="0"/>
        </w:rPr>
      </w:r>
    </w:p>
    <w:p>
      <w:pPr>
        <w:pStyle w:val="Heading4"/>
        <w:tabs>
          <w:tab w:pos="1230" w:val="left" w:leader="none"/>
        </w:tabs>
        <w:spacing w:line="240" w:lineRule="auto"/>
        <w:ind w:left="431" w:right="0"/>
        <w:jc w:val="left"/>
        <w:rPr>
          <w:b w:val="0"/>
          <w:bCs w:val="0"/>
        </w:rPr>
      </w:pPr>
      <w:r>
        <w:rPr>
          <w:b w:val="0"/>
          <w:bCs w:val="0"/>
          <w:w w:val="95"/>
        </w:rPr>
        <w:br w:type="column"/>
      </w:r>
      <w:r>
        <w:rPr>
          <w:w w:val="95"/>
        </w:rPr>
        <w:t>期末</w:t>
        <w:tab/>
        <w:t>本期结转计</w:t>
      </w:r>
      <w:r>
        <w:rPr>
          <w:b w:val="0"/>
          <w:bCs w:val="0"/>
        </w:rPr>
      </w:r>
    </w:p>
    <w:p>
      <w:pPr>
        <w:pStyle w:val="Heading4"/>
        <w:tabs>
          <w:tab w:pos="1230" w:val="left" w:leader="none"/>
        </w:tabs>
        <w:spacing w:line="316" w:lineRule="auto" w:before="76"/>
        <w:ind w:left="1410" w:right="0" w:hanging="980"/>
        <w:jc w:val="left"/>
        <w:rPr>
          <w:b w:val="0"/>
          <w:bCs w:val="0"/>
        </w:rPr>
      </w:pPr>
      <w:r>
        <w:rPr>
          <w:w w:val="95"/>
        </w:rPr>
        <w:t>余额</w:t>
        <w:tab/>
        <w:t>入损益的列</w:t>
      </w:r>
      <w:r>
        <w:rPr>
          <w:spacing w:val="-43"/>
          <w:w w:val="95"/>
        </w:rPr>
        <w:t> </w:t>
      </w:r>
      <w:r>
        <w:rPr>
          <w:spacing w:val="-43"/>
          <w:w w:val="95"/>
        </w:rPr>
      </w:r>
      <w:r>
        <w:rPr/>
        <w:t>报项目</w:t>
      </w:r>
      <w:r>
        <w:rPr>
          <w:b w:val="0"/>
          <w:bCs w:val="0"/>
        </w:rPr>
      </w:r>
    </w:p>
    <w:p>
      <w:pPr>
        <w:pStyle w:val="Heading4"/>
        <w:spacing w:line="316" w:lineRule="auto"/>
        <w:ind w:left="132" w:right="647" w:hanging="46"/>
        <w:jc w:val="left"/>
        <w:rPr>
          <w:b w:val="0"/>
          <w:bCs w:val="0"/>
        </w:rPr>
      </w:pPr>
      <w:r>
        <w:rPr>
          <w:b w:val="0"/>
          <w:bCs w:val="0"/>
        </w:rPr>
        <w:br w:type="column"/>
      </w:r>
      <w:r>
        <w:rPr/>
        <w:t>与资产相关/</w:t>
      </w:r>
      <w:r>
        <w:rPr>
          <w:w w:val="99"/>
        </w:rPr>
        <w:t> </w:t>
      </w:r>
      <w:r>
        <w:rPr/>
        <w:t>与收益相关</w:t>
      </w:r>
      <w:r>
        <w:rPr>
          <w:b w:val="0"/>
          <w:bCs w:val="0"/>
        </w:rPr>
      </w:r>
    </w:p>
    <w:p>
      <w:pPr>
        <w:spacing w:after="0" w:line="316" w:lineRule="auto"/>
        <w:jc w:val="left"/>
        <w:sectPr>
          <w:type w:val="continuous"/>
          <w:pgSz w:w="11910" w:h="16840"/>
          <w:pgMar w:top="1100" w:bottom="1200" w:left="980" w:right="1020"/>
          <w:cols w:num="4" w:equalWidth="0">
            <w:col w:w="4308" w:space="40"/>
            <w:col w:w="1520" w:space="118"/>
            <w:col w:w="2133" w:space="40"/>
            <w:col w:w="1751"/>
          </w:cols>
        </w:sectPr>
      </w:pPr>
    </w:p>
    <w:p>
      <w:pPr>
        <w:pStyle w:val="BodyText"/>
        <w:tabs>
          <w:tab w:pos="2231" w:val="left" w:leader="none"/>
          <w:tab w:pos="4051" w:val="left" w:leader="none"/>
          <w:tab w:pos="4958" w:val="left" w:leader="none"/>
          <w:tab w:pos="5707" w:val="left" w:leader="none"/>
        </w:tabs>
        <w:spacing w:line="240" w:lineRule="auto" w:before="52"/>
        <w:ind w:left="0" w:right="7"/>
        <w:jc w:val="right"/>
      </w:pPr>
      <w:r>
        <w:rPr/>
        <w:t>科技项目经费 </w:t>
      </w:r>
      <w:r>
        <w:rPr>
          <w:spacing w:val="14"/>
        </w:rPr>
        <w:t> </w:t>
      </w:r>
      <w:r>
        <w:rPr/>
        <w:t>财政拨款</w:t>
        <w:tab/>
      </w:r>
      <w:r>
        <w:rPr>
          <w:spacing w:val="-1"/>
        </w:rPr>
        <w:t>5,000,000.00</w:t>
        <w:tab/>
      </w:r>
      <w:r>
        <w:rPr/>
        <w:t>--</w:t>
        <w:tab/>
        <w:t>--</w:t>
        <w:tab/>
        <w:t>--</w:t>
      </w:r>
      <w:r>
        <w:rPr>
          <w:spacing w:val="-8"/>
        </w:rPr>
        <w:t> </w:t>
      </w:r>
      <w:r>
        <w:rPr>
          <w:spacing w:val="-1"/>
        </w:rPr>
        <w:t>5,000,000.0</w:t>
      </w:r>
    </w:p>
    <w:p>
      <w:pPr>
        <w:pStyle w:val="BodyText"/>
        <w:spacing w:line="240" w:lineRule="auto" w:before="76"/>
        <w:ind w:left="0" w:right="7"/>
        <w:jc w:val="right"/>
      </w:pPr>
      <w:r>
        <w:rPr/>
        <w:t>0</w:t>
      </w:r>
    </w:p>
    <w:p>
      <w:pPr>
        <w:pStyle w:val="Heading4"/>
        <w:tabs>
          <w:tab w:pos="2396" w:val="left" w:leader="none"/>
          <w:tab w:pos="4215" w:val="left" w:leader="none"/>
          <w:tab w:pos="5123" w:val="left" w:leader="none"/>
          <w:tab w:pos="5871" w:val="left" w:leader="none"/>
        </w:tabs>
        <w:spacing w:line="316" w:lineRule="auto" w:before="112"/>
        <w:ind w:left="7028" w:right="0" w:hanging="6864"/>
        <w:jc w:val="right"/>
        <w:rPr>
          <w:b w:val="0"/>
          <w:bCs w:val="0"/>
        </w:rPr>
      </w:pPr>
      <w:r>
        <w:rPr/>
        <w:pict>
          <v:group style="position:absolute;margin-left:56.700001pt;margin-top:4.162725pt;width:456.25pt;height:.1pt;mso-position-horizontal-relative:page;mso-position-vertical-relative:paragraph;z-index:3184" coordorigin="1134,83" coordsize="9125,2">
            <v:shape style="position:absolute;left:1134;top:83;width:9125;height:2" coordorigin="1134,83" coordsize="9125,0" path="m1134,83l10259,83e" filled="false" stroked="true" strokeweight=".72pt" strokecolor="#000000">
              <v:path arrowok="t"/>
            </v:shape>
            <w10:wrap type="none"/>
          </v:group>
        </w:pict>
      </w:r>
      <w:r>
        <w:rPr/>
        <w:t>合</w:t>
      </w:r>
      <w:r>
        <w:rPr>
          <w:spacing w:val="-2"/>
        </w:rPr>
        <w:t> </w:t>
      </w:r>
      <w:r>
        <w:rPr/>
        <w:t>计</w:t>
        <w:tab/>
      </w:r>
      <w:r>
        <w:rPr>
          <w:w w:val="95"/>
        </w:rPr>
        <w:t>5,000,000.00</w:t>
        <w:tab/>
        <w:t>--</w:t>
        <w:tab/>
        <w:t>--</w:t>
        <w:tab/>
      </w:r>
      <w:r>
        <w:rPr/>
        <w:t>--</w:t>
      </w:r>
      <w:r>
        <w:rPr>
          <w:spacing w:val="-18"/>
        </w:rPr>
        <w:t> </w:t>
      </w:r>
      <w:r>
        <w:rPr/>
        <w:t>5,000,000.0</w:t>
      </w:r>
      <w:r>
        <w:rPr>
          <w:w w:val="99"/>
        </w:rPr>
        <w:t> </w:t>
      </w:r>
      <w:r>
        <w:rPr>
          <w:w w:val="95"/>
        </w:rPr>
        <w:t>0</w:t>
      </w:r>
      <w:r>
        <w:rPr>
          <w:b w:val="0"/>
          <w:bCs w:val="0"/>
        </w:rPr>
      </w:r>
    </w:p>
    <w:p>
      <w:pPr>
        <w:pStyle w:val="BodyText"/>
        <w:spacing w:line="240" w:lineRule="auto" w:before="52"/>
        <w:ind w:left="164" w:right="0"/>
        <w:jc w:val="left"/>
      </w:pPr>
      <w:r>
        <w:rPr/>
        <w:br w:type="column"/>
      </w:r>
      <w:r>
        <w:rPr/>
        <w:t>其他收益</w:t>
      </w:r>
      <w:r>
        <w:rPr>
          <w:spacing w:val="85"/>
        </w:rPr>
        <w:t> </w:t>
      </w:r>
      <w:r>
        <w:rPr/>
        <w:t>综合型政府</w:t>
      </w:r>
    </w:p>
    <w:p>
      <w:pPr>
        <w:pStyle w:val="BodyText"/>
        <w:spacing w:line="240" w:lineRule="auto" w:before="76"/>
        <w:ind w:left="1600" w:right="0"/>
        <w:jc w:val="left"/>
      </w:pPr>
      <w:r>
        <w:rPr/>
        <w:t>补助</w:t>
      </w:r>
    </w:p>
    <w:p>
      <w:pPr>
        <w:spacing w:after="0" w:line="240" w:lineRule="auto"/>
        <w:jc w:val="left"/>
        <w:sectPr>
          <w:type w:val="continuous"/>
          <w:pgSz w:w="11910" w:h="16840"/>
          <w:pgMar w:top="1100" w:bottom="1200" w:left="980" w:right="1020"/>
          <w:cols w:num="2" w:equalWidth="0">
            <w:col w:w="7129" w:space="179"/>
            <w:col w:w="2602"/>
          </w:cols>
        </w:sect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7pt;height:.75pt;mso-position-horizontal-relative:char;mso-position-vertical-relative:line" coordorigin="0,0" coordsize="9140,15">
            <v:group style="position:absolute;left:7;top:7;width:9125;height:2" coordorigin="7,7" coordsize="9125,2">
              <v:shape style="position:absolute;left:7;top:7;width:9125;height:2" coordorigin="7,7" coordsize="9125,0" path="m7,7l9132,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7"/>
          <w:szCs w:val="7"/>
        </w:rPr>
      </w:pPr>
    </w:p>
    <w:p>
      <w:pPr>
        <w:pStyle w:val="BodyText"/>
        <w:spacing w:line="240" w:lineRule="auto" w:before="44"/>
        <w:ind w:left="152" w:right="139"/>
        <w:jc w:val="left"/>
      </w:pPr>
      <w:r>
        <w:rPr/>
        <w:t>说明：具体详见附注第十一节七、51。</w:t>
      </w:r>
    </w:p>
    <w:p>
      <w:pPr>
        <w:spacing w:line="240" w:lineRule="auto" w:before="5"/>
        <w:rPr>
          <w:rFonts w:ascii="宋体" w:hAnsi="宋体" w:cs="宋体" w:eastAsia="宋体" w:hint="default"/>
          <w:sz w:val="22"/>
          <w:szCs w:val="22"/>
        </w:rPr>
      </w:pPr>
    </w:p>
    <w:p>
      <w:pPr>
        <w:pStyle w:val="BodyText"/>
        <w:spacing w:line="240" w:lineRule="auto"/>
        <w:ind w:left="152" w:right="139"/>
        <w:jc w:val="left"/>
      </w:pPr>
      <w:r>
        <w:rPr/>
        <w:t>（2）采用总额法计入当期损益的政府补助情况</w:t>
      </w:r>
    </w:p>
    <w:p>
      <w:pPr>
        <w:spacing w:line="240" w:lineRule="auto" w:before="2"/>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1614"/>
        <w:gridCol w:w="1614"/>
        <w:gridCol w:w="2188"/>
        <w:gridCol w:w="1947"/>
        <w:gridCol w:w="1536"/>
      </w:tblGrid>
      <w:tr>
        <w:trPr>
          <w:trHeight w:val="659" w:hRule="exact"/>
        </w:trPr>
        <w:tc>
          <w:tcPr>
            <w:tcW w:w="161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614"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18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190"/>
              <w:jc w:val="right"/>
              <w:rPr>
                <w:rFonts w:ascii="宋体" w:hAnsi="宋体" w:cs="宋体" w:eastAsia="宋体" w:hint="default"/>
                <w:sz w:val="18"/>
                <w:szCs w:val="18"/>
              </w:rPr>
            </w:pPr>
            <w:r>
              <w:rPr>
                <w:rFonts w:ascii="宋体" w:hAnsi="宋体" w:cs="宋体" w:eastAsia="宋体" w:hint="default"/>
                <w:b/>
                <w:bCs/>
                <w:w w:val="95"/>
                <w:sz w:val="18"/>
                <w:szCs w:val="18"/>
              </w:rPr>
              <w:t>本期计入损益的金额</w:t>
            </w:r>
            <w:r>
              <w:rPr>
                <w:rFonts w:ascii="宋体" w:hAnsi="宋体" w:cs="宋体" w:eastAsia="宋体" w:hint="default"/>
                <w:sz w:val="18"/>
                <w:szCs w:val="18"/>
              </w:rPr>
            </w:r>
          </w:p>
        </w:tc>
        <w:tc>
          <w:tcPr>
            <w:tcW w:w="194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计入损益的列报项目</w:t>
            </w:r>
            <w:r>
              <w:rPr>
                <w:rFonts w:ascii="宋体" w:hAnsi="宋体" w:cs="宋体" w:eastAsia="宋体" w:hint="default"/>
                <w:sz w:val="18"/>
                <w:szCs w:val="18"/>
              </w:rPr>
            </w:r>
          </w:p>
        </w:tc>
        <w:tc>
          <w:tcPr>
            <w:tcW w:w="1536" w:type="dxa"/>
            <w:tcBorders>
              <w:top w:val="single" w:sz="6" w:space="0" w:color="000000"/>
              <w:left w:val="nil" w:sz="6" w:space="0" w:color="auto"/>
              <w:bottom w:val="single" w:sz="6" w:space="0" w:color="000000"/>
              <w:right w:val="nil" w:sz="6" w:space="0" w:color="auto"/>
            </w:tcBorders>
          </w:tcPr>
          <w:p>
            <w:pPr>
              <w:pStyle w:val="TableParagraph"/>
              <w:spacing w:line="316" w:lineRule="auto" w:before="22"/>
              <w:ind w:left="159" w:right="20"/>
              <w:jc w:val="left"/>
              <w:rPr>
                <w:rFonts w:ascii="宋体" w:hAnsi="宋体" w:cs="宋体" w:eastAsia="宋体" w:hint="default"/>
                <w:sz w:val="18"/>
                <w:szCs w:val="18"/>
              </w:rPr>
            </w:pPr>
            <w:r>
              <w:rPr>
                <w:rFonts w:ascii="宋体" w:hAnsi="宋体" w:cs="宋体" w:eastAsia="宋体" w:hint="default"/>
                <w:b/>
                <w:bCs/>
                <w:w w:val="95"/>
                <w:sz w:val="18"/>
                <w:szCs w:val="18"/>
              </w:rPr>
              <w:t>与资产相关/与收</w:t>
            </w:r>
            <w:r>
              <w:rPr>
                <w:rFonts w:ascii="宋体" w:hAnsi="宋体" w:cs="宋体" w:eastAsia="宋体" w:hint="default"/>
                <w:b/>
                <w:bCs/>
                <w:spacing w:val="-22"/>
                <w:w w:val="95"/>
                <w:sz w:val="18"/>
                <w:szCs w:val="18"/>
              </w:rPr>
              <w:t> </w:t>
            </w:r>
            <w:r>
              <w:rPr>
                <w:rFonts w:ascii="宋体" w:hAnsi="宋体" w:cs="宋体" w:eastAsia="宋体" w:hint="default"/>
                <w:b/>
                <w:bCs/>
                <w:spacing w:val="-22"/>
                <w:w w:val="95"/>
                <w:sz w:val="18"/>
                <w:szCs w:val="18"/>
              </w:rPr>
            </w:r>
            <w:r>
              <w:rPr>
                <w:rFonts w:ascii="宋体" w:hAnsi="宋体" w:cs="宋体" w:eastAsia="宋体" w:hint="default"/>
                <w:b/>
                <w:bCs/>
                <w:sz w:val="18"/>
                <w:szCs w:val="18"/>
              </w:rPr>
              <w:t>益相关</w:t>
            </w:r>
            <w:r>
              <w:rPr>
                <w:rFonts w:ascii="宋体" w:hAnsi="宋体" w:cs="宋体" w:eastAsia="宋体" w:hint="default"/>
                <w:sz w:val="18"/>
                <w:szCs w:val="18"/>
              </w:rPr>
            </w:r>
          </w:p>
        </w:tc>
      </w:tr>
      <w:tr>
        <w:trPr>
          <w:trHeight w:val="347" w:hRule="exact"/>
        </w:trPr>
        <w:tc>
          <w:tcPr>
            <w:tcW w:w="161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161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18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60"/>
              <w:jc w:val="right"/>
              <w:rPr>
                <w:rFonts w:ascii="宋体" w:hAnsi="宋体" w:cs="宋体" w:eastAsia="宋体" w:hint="default"/>
                <w:sz w:val="18"/>
                <w:szCs w:val="18"/>
              </w:rPr>
            </w:pPr>
            <w:r>
              <w:rPr>
                <w:rFonts w:ascii="宋体"/>
                <w:spacing w:val="-1"/>
                <w:sz w:val="18"/>
              </w:rPr>
              <w:t>3,400,434.97</w:t>
            </w:r>
          </w:p>
        </w:tc>
        <w:tc>
          <w:tcPr>
            <w:tcW w:w="19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53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5" w:hRule="exact"/>
        </w:trPr>
        <w:tc>
          <w:tcPr>
            <w:tcW w:w="161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61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18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60"/>
              <w:jc w:val="right"/>
              <w:rPr>
                <w:rFonts w:ascii="宋体" w:hAnsi="宋体" w:cs="宋体" w:eastAsia="宋体" w:hint="default"/>
                <w:sz w:val="18"/>
                <w:szCs w:val="18"/>
              </w:rPr>
            </w:pPr>
            <w:r>
              <w:rPr>
                <w:rFonts w:ascii="宋体"/>
                <w:spacing w:val="-1"/>
                <w:sz w:val="18"/>
              </w:rPr>
              <w:t>1,360,000.00</w:t>
            </w:r>
          </w:p>
        </w:tc>
        <w:tc>
          <w:tcPr>
            <w:tcW w:w="194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53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收益相关</w:t>
            </w:r>
          </w:p>
        </w:tc>
      </w:tr>
    </w:tbl>
    <w:p>
      <w:pPr>
        <w:spacing w:after="0" w:line="240" w:lineRule="auto"/>
        <w:jc w:val="right"/>
        <w:rPr>
          <w:rFonts w:ascii="宋体" w:hAnsi="宋体" w:cs="宋体" w:eastAsia="宋体" w:hint="default"/>
          <w:sz w:val="18"/>
          <w:szCs w:val="18"/>
        </w:rPr>
        <w:sectPr>
          <w:type w:val="continuous"/>
          <w:pgSz w:w="11910" w:h="16840"/>
          <w:pgMar w:top="1100" w:bottom="1200" w:left="980" w:right="1020"/>
        </w:sectPr>
      </w:pPr>
    </w:p>
    <w:p>
      <w:pPr>
        <w:spacing w:line="240" w:lineRule="auto" w:before="0"/>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649"/>
        <w:gridCol w:w="1639"/>
        <w:gridCol w:w="2035"/>
        <w:gridCol w:w="1817"/>
        <w:gridCol w:w="1795"/>
      </w:tblGrid>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92"/>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right"/>
              <w:rPr>
                <w:rFonts w:ascii="宋体" w:hAnsi="宋体" w:cs="宋体" w:eastAsia="宋体" w:hint="default"/>
                <w:sz w:val="18"/>
                <w:szCs w:val="18"/>
              </w:rPr>
            </w:pPr>
            <w:r>
              <w:rPr>
                <w:rFonts w:ascii="宋体"/>
                <w:spacing w:val="-1"/>
                <w:sz w:val="18"/>
              </w:rPr>
              <w:t>310,449.23</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74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9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064"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320"/>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39" w:type="dxa"/>
            <w:tcBorders>
              <w:top w:val="single" w:sz="6" w:space="0" w:color="000000"/>
              <w:left w:val="nil" w:sz="6" w:space="0" w:color="auto"/>
              <w:bottom w:val="single" w:sz="6" w:space="0" w:color="000000"/>
              <w:right w:val="nil" w:sz="6" w:space="0" w:color="auto"/>
            </w:tcBorders>
          </w:tcPr>
          <w:p>
            <w:pP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1"/>
              <w:jc w:val="right"/>
              <w:rPr>
                <w:rFonts w:ascii="宋体" w:hAnsi="宋体" w:cs="宋体" w:eastAsia="宋体" w:hint="default"/>
                <w:sz w:val="18"/>
                <w:szCs w:val="18"/>
              </w:rPr>
            </w:pPr>
            <w:r>
              <w:rPr>
                <w:rFonts w:ascii="宋体"/>
                <w:b/>
                <w:w w:val="95"/>
                <w:sz w:val="18"/>
              </w:rPr>
              <w:t>5,070,884.20</w:t>
            </w:r>
            <w:r>
              <w:rPr>
                <w:rFonts w:ascii="宋体"/>
                <w:sz w:val="18"/>
              </w:rPr>
            </w:r>
          </w:p>
        </w:tc>
        <w:tc>
          <w:tcPr>
            <w:tcW w:w="1817" w:type="dxa"/>
            <w:tcBorders>
              <w:top w:val="single" w:sz="6" w:space="0" w:color="000000"/>
              <w:left w:val="nil" w:sz="6" w:space="0" w:color="auto"/>
              <w:bottom w:val="single" w:sz="6" w:space="0" w:color="000000"/>
              <w:right w:val="nil" w:sz="6" w:space="0" w:color="auto"/>
            </w:tcBorders>
          </w:tcPr>
          <w:p>
            <w:pPr/>
          </w:p>
        </w:tc>
        <w:tc>
          <w:tcPr>
            <w:tcW w:w="1795" w:type="dxa"/>
            <w:tcBorders>
              <w:top w:val="single" w:sz="6" w:space="0" w:color="000000"/>
              <w:left w:val="nil" w:sz="6" w:space="0" w:color="auto"/>
              <w:bottom w:val="single" w:sz="6" w:space="0" w:color="000000"/>
              <w:right w:val="nil" w:sz="6" w:space="0" w:color="auto"/>
            </w:tcBorders>
          </w:tcPr>
          <w:p>
            <w:pPr/>
          </w:p>
        </w:tc>
      </w:tr>
      <w:tr>
        <w:trPr>
          <w:trHeight w:val="663"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31"/>
              <w:ind w:left="35" w:right="0"/>
              <w:jc w:val="left"/>
              <w:rPr>
                <w:rFonts w:ascii="宋体" w:hAnsi="宋体" w:cs="宋体" w:eastAsia="宋体" w:hint="default"/>
                <w:sz w:val="18"/>
                <w:szCs w:val="18"/>
              </w:rPr>
            </w:pPr>
            <w:r>
              <w:rPr>
                <w:rFonts w:ascii="宋体" w:hAnsi="宋体" w:cs="宋体" w:eastAsia="宋体" w:hint="default"/>
                <w:sz w:val="18"/>
                <w:szCs w:val="18"/>
              </w:rPr>
              <w:t>续：</w:t>
            </w:r>
          </w:p>
        </w:tc>
        <w:tc>
          <w:tcPr>
            <w:tcW w:w="1639" w:type="dxa"/>
            <w:tcBorders>
              <w:top w:val="single" w:sz="6" w:space="0" w:color="000000"/>
              <w:left w:val="nil" w:sz="6" w:space="0" w:color="auto"/>
              <w:bottom w:val="single" w:sz="6" w:space="0" w:color="000000"/>
              <w:right w:val="nil" w:sz="6" w:space="0" w:color="auto"/>
            </w:tcBorders>
          </w:tcPr>
          <w:p>
            <w:pPr/>
          </w:p>
        </w:tc>
        <w:tc>
          <w:tcPr>
            <w:tcW w:w="2035" w:type="dxa"/>
            <w:tcBorders>
              <w:top w:val="single" w:sz="6" w:space="0" w:color="000000"/>
              <w:left w:val="nil" w:sz="6" w:space="0" w:color="auto"/>
              <w:bottom w:val="single" w:sz="6" w:space="0" w:color="000000"/>
              <w:right w:val="nil" w:sz="6" w:space="0" w:color="auto"/>
            </w:tcBorders>
          </w:tcPr>
          <w:p>
            <w:pPr/>
          </w:p>
        </w:tc>
        <w:tc>
          <w:tcPr>
            <w:tcW w:w="1817" w:type="dxa"/>
            <w:tcBorders>
              <w:top w:val="single" w:sz="6" w:space="0" w:color="000000"/>
              <w:left w:val="nil" w:sz="6" w:space="0" w:color="auto"/>
              <w:bottom w:val="single" w:sz="6" w:space="0" w:color="000000"/>
              <w:right w:val="nil" w:sz="6" w:space="0" w:color="auto"/>
            </w:tcBorders>
          </w:tcPr>
          <w:p>
            <w:pPr/>
          </w:p>
        </w:tc>
        <w:tc>
          <w:tcPr>
            <w:tcW w:w="1795" w:type="dxa"/>
            <w:tcBorders>
              <w:top w:val="single" w:sz="6" w:space="0" w:color="000000"/>
              <w:left w:val="nil" w:sz="6" w:space="0" w:color="auto"/>
              <w:bottom w:val="single" w:sz="6" w:space="0" w:color="000000"/>
              <w:right w:val="nil" w:sz="6" w:space="0" w:color="auto"/>
            </w:tcBorders>
          </w:tcPr>
          <w:p>
            <w:pPr/>
          </w:p>
        </w:tc>
      </w:tr>
      <w:tr>
        <w:trPr>
          <w:trHeight w:val="659"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96"/>
              <w:jc w:val="right"/>
              <w:rPr>
                <w:rFonts w:ascii="宋体" w:hAnsi="宋体" w:cs="宋体" w:eastAsia="宋体" w:hint="default"/>
                <w:sz w:val="18"/>
                <w:szCs w:val="18"/>
              </w:rPr>
            </w:pPr>
            <w:r>
              <w:rPr>
                <w:rFonts w:ascii="宋体" w:hAnsi="宋体" w:cs="宋体" w:eastAsia="宋体" w:hint="default"/>
                <w:b/>
                <w:bCs/>
                <w:w w:val="95"/>
                <w:sz w:val="18"/>
                <w:szCs w:val="18"/>
              </w:rPr>
              <w:t>补助项目</w:t>
            </w:r>
            <w:r>
              <w:rPr>
                <w:rFonts w:ascii="宋体" w:hAnsi="宋体" w:cs="宋体" w:eastAsia="宋体" w:hint="default"/>
                <w:sz w:val="18"/>
                <w:szCs w:val="18"/>
              </w:rPr>
            </w:r>
          </w:p>
        </w:tc>
        <w:tc>
          <w:tcPr>
            <w:tcW w:w="16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61"/>
              <w:jc w:val="right"/>
              <w:rPr>
                <w:rFonts w:ascii="宋体" w:hAnsi="宋体" w:cs="宋体" w:eastAsia="宋体" w:hint="default"/>
                <w:sz w:val="18"/>
                <w:szCs w:val="18"/>
              </w:rPr>
            </w:pPr>
            <w:r>
              <w:rPr>
                <w:rFonts w:ascii="宋体" w:hAnsi="宋体" w:cs="宋体" w:eastAsia="宋体" w:hint="default"/>
                <w:b/>
                <w:bCs/>
                <w:w w:val="95"/>
                <w:sz w:val="18"/>
                <w:szCs w:val="18"/>
              </w:rPr>
              <w:t>种类</w:t>
            </w:r>
            <w:r>
              <w:rPr>
                <w:rFonts w:ascii="宋体" w:hAnsi="宋体" w:cs="宋体" w:eastAsia="宋体" w:hint="default"/>
                <w:sz w:val="18"/>
                <w:szCs w:val="18"/>
              </w:rPr>
            </w: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992" w:right="224" w:hanging="629"/>
              <w:jc w:val="left"/>
              <w:rPr>
                <w:rFonts w:ascii="宋体" w:hAnsi="宋体" w:cs="宋体" w:eastAsia="宋体" w:hint="default"/>
                <w:sz w:val="18"/>
                <w:szCs w:val="18"/>
              </w:rPr>
            </w:pPr>
            <w:r>
              <w:rPr>
                <w:rFonts w:ascii="宋体" w:hAnsi="宋体" w:cs="宋体" w:eastAsia="宋体" w:hint="default"/>
                <w:b/>
                <w:bCs/>
                <w:sz w:val="18"/>
                <w:szCs w:val="18"/>
              </w:rPr>
              <w:t>上期计入损益的金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b/>
                <w:bCs/>
                <w:sz w:val="18"/>
                <w:szCs w:val="18"/>
              </w:rPr>
              <w:t>计入损益的列报项目</w:t>
            </w:r>
            <w:r>
              <w:rPr>
                <w:rFonts w:ascii="宋体" w:hAnsi="宋体" w:cs="宋体" w:eastAsia="宋体" w:hint="default"/>
                <w:sz w:val="18"/>
                <w:szCs w:val="18"/>
              </w:rPr>
            </w:r>
          </w:p>
        </w:tc>
        <w:tc>
          <w:tcPr>
            <w:tcW w:w="179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610" w:right="231" w:hanging="586"/>
              <w:jc w:val="left"/>
              <w:rPr>
                <w:rFonts w:ascii="宋体" w:hAnsi="宋体" w:cs="宋体" w:eastAsia="宋体" w:hint="default"/>
                <w:sz w:val="18"/>
                <w:szCs w:val="18"/>
              </w:rPr>
            </w:pPr>
            <w:r>
              <w:rPr>
                <w:rFonts w:ascii="宋体" w:hAnsi="宋体" w:cs="宋体" w:eastAsia="宋体" w:hint="default"/>
                <w:b/>
                <w:bCs/>
                <w:sz w:val="18"/>
                <w:szCs w:val="18"/>
              </w:rPr>
              <w:t>与资产相关/与收益</w:t>
            </w:r>
            <w:r>
              <w:rPr>
                <w:rFonts w:ascii="宋体" w:hAnsi="宋体" w:cs="宋体" w:eastAsia="宋体" w:hint="default"/>
                <w:b/>
                <w:bCs/>
                <w:w w:val="99"/>
                <w:sz w:val="18"/>
                <w:szCs w:val="18"/>
              </w:rPr>
              <w:t> </w:t>
            </w:r>
            <w:r>
              <w:rPr>
                <w:rFonts w:ascii="宋体" w:hAnsi="宋体" w:cs="宋体" w:eastAsia="宋体" w:hint="default"/>
                <w:b/>
                <w:bCs/>
                <w:sz w:val="18"/>
                <w:szCs w:val="18"/>
              </w:rPr>
              <w:t>相关</w:t>
            </w:r>
            <w:r>
              <w:rPr>
                <w:rFonts w:ascii="宋体" w:hAnsi="宋体" w:cs="宋体" w:eastAsia="宋体" w:hint="default"/>
                <w:sz w:val="18"/>
                <w:szCs w:val="18"/>
              </w:rPr>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163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812" w:right="0"/>
              <w:jc w:val="left"/>
              <w:rPr>
                <w:rFonts w:ascii="宋体" w:hAnsi="宋体" w:cs="宋体" w:eastAsia="宋体" w:hint="default"/>
                <w:sz w:val="18"/>
                <w:szCs w:val="18"/>
              </w:rPr>
            </w:pPr>
            <w:r>
              <w:rPr>
                <w:rFonts w:ascii="宋体"/>
                <w:sz w:val="18"/>
              </w:rPr>
              <w:t>5,650,291.90</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79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870"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上市补贴</w:t>
            </w:r>
          </w:p>
        </w:tc>
        <w:tc>
          <w:tcPr>
            <w:tcW w:w="163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812" w:right="0"/>
              <w:jc w:val="left"/>
              <w:rPr>
                <w:rFonts w:ascii="宋体" w:hAnsi="宋体" w:cs="宋体" w:eastAsia="宋体" w:hint="default"/>
                <w:sz w:val="18"/>
                <w:szCs w:val="18"/>
              </w:rPr>
            </w:pPr>
            <w:r>
              <w:rPr>
                <w:rFonts w:ascii="宋体"/>
                <w:sz w:val="18"/>
              </w:rPr>
              <w:t>1,000,000.00</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795"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870"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6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98"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92" w:right="0"/>
              <w:jc w:val="left"/>
              <w:rPr>
                <w:rFonts w:ascii="宋体" w:hAnsi="宋体" w:cs="宋体" w:eastAsia="宋体" w:hint="default"/>
                <w:sz w:val="18"/>
                <w:szCs w:val="18"/>
              </w:rPr>
            </w:pPr>
            <w:r>
              <w:rPr>
                <w:rFonts w:ascii="宋体"/>
                <w:sz w:val="18"/>
              </w:rPr>
              <w:t>600,000.00</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79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70"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92" w:right="0"/>
              <w:jc w:val="left"/>
              <w:rPr>
                <w:rFonts w:ascii="宋体" w:hAnsi="宋体" w:cs="宋体" w:eastAsia="宋体" w:hint="default"/>
                <w:sz w:val="18"/>
                <w:szCs w:val="18"/>
              </w:rPr>
            </w:pPr>
            <w:r>
              <w:rPr>
                <w:rFonts w:ascii="宋体"/>
                <w:sz w:val="18"/>
              </w:rPr>
              <w:t>531,269.77</w:t>
            </w:r>
          </w:p>
        </w:tc>
        <w:tc>
          <w:tcPr>
            <w:tcW w:w="181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79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870"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433"/>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39" w:type="dxa"/>
            <w:tcBorders>
              <w:top w:val="single" w:sz="6" w:space="0" w:color="000000"/>
              <w:left w:val="nil" w:sz="6" w:space="0" w:color="auto"/>
              <w:bottom w:val="single" w:sz="6" w:space="0" w:color="000000"/>
              <w:right w:val="nil" w:sz="6" w:space="0" w:color="auto"/>
            </w:tcBorders>
          </w:tcPr>
          <w:p>
            <w:pPr/>
          </w:p>
        </w:tc>
        <w:tc>
          <w:tcPr>
            <w:tcW w:w="203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12" w:right="0"/>
              <w:jc w:val="left"/>
              <w:rPr>
                <w:rFonts w:ascii="宋体" w:hAnsi="宋体" w:cs="宋体" w:eastAsia="宋体" w:hint="default"/>
                <w:sz w:val="18"/>
                <w:szCs w:val="18"/>
              </w:rPr>
            </w:pPr>
            <w:r>
              <w:rPr>
                <w:rFonts w:ascii="宋体"/>
                <w:b/>
                <w:sz w:val="18"/>
              </w:rPr>
              <w:t>7,781,561.67</w:t>
            </w:r>
            <w:r>
              <w:rPr>
                <w:rFonts w:ascii="宋体"/>
                <w:sz w:val="18"/>
              </w:rPr>
            </w:r>
          </w:p>
        </w:tc>
        <w:tc>
          <w:tcPr>
            <w:tcW w:w="1817" w:type="dxa"/>
            <w:tcBorders>
              <w:top w:val="single" w:sz="6" w:space="0" w:color="000000"/>
              <w:left w:val="nil" w:sz="6" w:space="0" w:color="auto"/>
              <w:bottom w:val="single" w:sz="6" w:space="0" w:color="000000"/>
              <w:right w:val="nil" w:sz="6" w:space="0" w:color="auto"/>
            </w:tcBorders>
          </w:tcPr>
          <w:p>
            <w:pPr/>
          </w:p>
        </w:tc>
        <w:tc>
          <w:tcPr>
            <w:tcW w:w="1795" w:type="dxa"/>
            <w:tcBorders>
              <w:top w:val="single" w:sz="6" w:space="0" w:color="000000"/>
              <w:left w:val="nil" w:sz="6" w:space="0" w:color="auto"/>
              <w:bottom w:val="single" w:sz="6" w:space="0" w:color="000000"/>
              <w:right w:val="nil" w:sz="6" w:space="0" w:color="auto"/>
            </w:tcBorders>
          </w:tcPr>
          <w:p>
            <w:pPr/>
          </w:p>
        </w:tc>
      </w:tr>
    </w:tbl>
    <w:p>
      <w:pPr>
        <w:pStyle w:val="BodyText"/>
        <w:spacing w:line="316" w:lineRule="auto" w:before="4"/>
        <w:ind w:left="152" w:right="94"/>
        <w:jc w:val="left"/>
      </w:pPr>
      <w:r>
        <w:rPr/>
        <w:t>说明：根据《国务院关于印发进一步鼓励软件产业和集成电路产业发展若干政策的通知》（国发[2011]4号）及《财政部、 国家税务总局关于软件产品增值税政策的通知》（财税[2011]100号）的有关规定，本公司之子公司广和通软件销售自行开</w:t>
      </w:r>
      <w:r>
        <w:rPr>
          <w:spacing w:val="-85"/>
        </w:rPr>
        <w:t> </w:t>
      </w:r>
      <w:r>
        <w:rPr>
          <w:spacing w:val="-85"/>
        </w:rPr>
      </w:r>
      <w:r>
        <w:rPr/>
        <w:t>发生产的软件商品，增值税实际税负超过3%的部分可享受即征即退的税收优惠，收到政府补助款3,210,334.97元（2016年：</w:t>
      </w:r>
      <w:r>
        <w:rPr/>
        <w:t> 3,285,491.90元）</w:t>
      </w:r>
    </w:p>
    <w:p>
      <w:pPr>
        <w:pStyle w:val="BodyText"/>
        <w:spacing w:line="240" w:lineRule="auto" w:before="19"/>
        <w:ind w:left="152" w:right="94"/>
        <w:jc w:val="left"/>
      </w:pPr>
      <w:r>
        <w:rPr/>
        <w:t>截止2017年12月31日，本公司不存在其他应披露的其他重要事项。</w:t>
      </w:r>
    </w:p>
    <w:p>
      <w:pPr>
        <w:spacing w:line="240" w:lineRule="auto" w:before="1"/>
        <w:rPr>
          <w:rFonts w:ascii="宋体" w:hAnsi="宋体" w:cs="宋体" w:eastAsia="宋体" w:hint="default"/>
          <w:sz w:val="25"/>
          <w:szCs w:val="25"/>
        </w:rPr>
      </w:pPr>
    </w:p>
    <w:p>
      <w:pPr>
        <w:pStyle w:val="Heading2"/>
        <w:spacing w:line="240" w:lineRule="auto"/>
        <w:ind w:left="152" w:right="94"/>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2" w:right="9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2" w:right="9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185,961,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727.27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6,800,37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179,161,3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60,410,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2,596,151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57,813,923.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185,961,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727.27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6,800,37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179,161,3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60,410,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57,813,923.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980" w:right="940"/>
        </w:sectPr>
      </w:pPr>
    </w:p>
    <w:p>
      <w:pPr>
        <w:pStyle w:val="BodyText"/>
        <w:spacing w:line="240" w:lineRule="auto" w:before="50"/>
        <w:ind w:left="152" w:right="-20"/>
        <w:jc w:val="left"/>
      </w:pPr>
      <w:r>
        <w:rPr/>
        <w:t>期末单项金额重大并单项计提坏账准备的应收账款：</w:t>
      </w:r>
    </w:p>
    <w:p>
      <w:pPr>
        <w:pStyle w:val="BodyText"/>
        <w:spacing w:line="338" w:lineRule="auto" w:before="117"/>
        <w:ind w:left="15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3"/>
        <w:ind w:left="1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2" w:right="0"/>
        <w:jc w:val="left"/>
      </w:pPr>
      <w:r>
        <w:rPr/>
        <w:t>单位：</w:t>
      </w:r>
      <w:r>
        <w:rPr>
          <w:spacing w:val="-2"/>
        </w:rPr>
        <w:t> </w:t>
      </w:r>
      <w:r>
        <w:rPr/>
        <w:t>元</w:t>
      </w:r>
    </w:p>
    <w:p>
      <w:pPr>
        <w:spacing w:after="0" w:line="240" w:lineRule="auto"/>
        <w:jc w:val="left"/>
        <w:sectPr>
          <w:type w:val="continuous"/>
          <w:pgSz w:w="11910" w:h="16840"/>
          <w:pgMar w:top="1100" w:bottom="1200" w:left="980" w:right="940"/>
          <w:cols w:num="2" w:equalWidth="0">
            <w:col w:w="4293" w:space="4536"/>
            <w:col w:w="116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133,852,645.11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6,692,632.26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334,938.08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50,240.71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134,258,583.19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6,800,372.97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5.07%</w:t>
            </w:r>
          </w:p>
        </w:tc>
      </w:tr>
    </w:tbl>
    <w:p>
      <w:pPr>
        <w:pStyle w:val="BodyText"/>
        <w:spacing w:line="350" w:lineRule="auto" w:before="50"/>
        <w:ind w:right="914"/>
        <w:jc w:val="left"/>
      </w:pPr>
      <w:r>
        <w:rPr/>
        <w:t>确定该组合依据的说明： 信用组合中期末应收账款</w:t>
      </w:r>
      <w:r>
        <w:rPr>
          <w:rFonts w:ascii="Times New Roman" w:hAnsi="Times New Roman" w:cs="Times New Roman" w:eastAsia="Times New Roman" w:hint="default"/>
        </w:rPr>
        <w:t>185,961,727.27</w:t>
      </w:r>
      <w:r>
        <w:rPr/>
        <w:t>元，含合并范围内应收关联方</w:t>
      </w:r>
      <w:r>
        <w:rPr>
          <w:rFonts w:ascii="Times New Roman" w:hAnsi="Times New Roman" w:cs="Times New Roman" w:eastAsia="Times New Roman" w:hint="default"/>
        </w:rPr>
        <w:t>51,703,144.08</w:t>
      </w:r>
      <w:r>
        <w:rPr/>
        <w:t>元，此部分不计得坏账准备。 组合中，采用余额百分比法计提坏账准备的应收账款：</w:t>
      </w:r>
    </w:p>
    <w:p>
      <w:pPr>
        <w:pStyle w:val="BodyText"/>
        <w:spacing w:line="340" w:lineRule="auto" w:before="32"/>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6" w:top="1100" w:bottom="1200" w:left="1020" w:right="102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4,204,221.68</w:t>
      </w:r>
      <w:r>
        <w:rPr>
          <w:rFonts w:ascii="Times New Roman" w:hAnsi="Times New Roman" w:cs="Times New Roman" w:eastAsia="Times New Roman" w:hint="default"/>
          <w:spacing w:val="-3"/>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6010" w:space="2819"/>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其中重要的应收账款核销情况：</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0"/>
        <w:jc w:val="left"/>
      </w:pPr>
      <w:r>
        <w:rPr/>
        <w:t>本期按欠款方归集的期末余额前五名应收账款汇总金额</w:t>
      </w:r>
      <w:r>
        <w:rPr>
          <w:spacing w:val="-46"/>
        </w:rPr>
        <w:t> </w:t>
      </w:r>
      <w:r>
        <w:rPr>
          <w:rFonts w:ascii="Times New Roman" w:hAnsi="Times New Roman" w:cs="Times New Roman" w:eastAsia="Times New Roman" w:hint="default"/>
        </w:rPr>
        <w:t>152,937,448.11</w:t>
      </w:r>
      <w:r>
        <w:rPr>
          <w:rFonts w:ascii="Times New Roman" w:hAnsi="Times New Roman" w:cs="Times New Roman" w:eastAsia="Times New Roman" w:hint="default"/>
          <w:spacing w:val="-4"/>
        </w:rPr>
        <w:t> </w:t>
      </w:r>
      <w:r>
        <w:rPr>
          <w:spacing w:val="-3"/>
        </w:rPr>
        <w:t>元，占应收账款期末余额合计数的比例</w:t>
      </w:r>
      <w:r>
        <w:rPr>
          <w:spacing w:val="-46"/>
        </w:rPr>
        <w:t> </w:t>
      </w:r>
      <w:r>
        <w:rPr>
          <w:rFonts w:ascii="Times New Roman" w:hAnsi="Times New Roman" w:cs="Times New Roman" w:eastAsia="Times New Roman" w:hint="default"/>
          <w:spacing w:val="-6"/>
        </w:rPr>
        <w:t>82.24%</w:t>
      </w:r>
      <w:r>
        <w:rPr>
          <w:spacing w:val="-6"/>
        </w:rPr>
        <w:t>，相应</w:t>
      </w:r>
      <w:r>
        <w:rPr/>
        <w:t> 计提的坏账准备期末余额汇总金额</w:t>
      </w:r>
      <w:r>
        <w:rPr>
          <w:spacing w:val="-47"/>
        </w:rPr>
        <w:t> </w:t>
      </w:r>
      <w:r>
        <w:rPr>
          <w:rFonts w:ascii="Times New Roman" w:hAnsi="Times New Roman" w:cs="Times New Roman" w:eastAsia="Times New Roman" w:hint="default"/>
        </w:rPr>
        <w:t>5,167,134.81</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type w:val="continuous"/>
          <w:pgSz w:w="11910" w:h="16840"/>
          <w:pgMar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21,831,8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21,140,71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1,190,1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149,687.8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1,040,422.8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21,831,8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21,140,71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1,190,1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149,687.8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1,040,422.8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pStyle w:val="BodyText"/>
        <w:spacing w:line="240" w:lineRule="auto" w:before="49"/>
        <w:ind w:right="-20"/>
        <w:jc w:val="left"/>
      </w:pPr>
      <w:r>
        <w:rPr/>
        <w:t>期末单项金额重大并单项计提坏账准备的其他应收款：</w:t>
      </w:r>
    </w:p>
    <w:p>
      <w:pPr>
        <w:pStyle w:val="BodyText"/>
        <w:spacing w:line="340"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433" w:space="439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11,583,778.81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579,188.94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160,150.00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24,022.50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87,959.24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87,959.24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11,831,888.05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691,170.68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5.84%</w:t>
            </w:r>
          </w:p>
        </w:tc>
      </w:tr>
    </w:tbl>
    <w:p>
      <w:pPr>
        <w:pStyle w:val="BodyText"/>
        <w:spacing w:line="348" w:lineRule="auto" w:before="49"/>
        <w:ind w:right="824"/>
        <w:jc w:val="left"/>
      </w:pPr>
      <w:r>
        <w:rPr/>
        <w:t>确定该组合依据的说明： 信用组合中期末其他应收款</w:t>
      </w:r>
      <w:r>
        <w:rPr>
          <w:rFonts w:ascii="Times New Roman" w:hAnsi="Times New Roman" w:cs="Times New Roman" w:eastAsia="Times New Roman" w:hint="default"/>
        </w:rPr>
        <w:t>21,831,888.05</w:t>
      </w:r>
      <w:r>
        <w:rPr/>
        <w:t>元，含合并范围内应收关联方</w:t>
      </w:r>
      <w:r>
        <w:rPr>
          <w:rFonts w:ascii="Times New Roman" w:hAnsi="Times New Roman" w:cs="Times New Roman" w:eastAsia="Times New Roman" w:hint="default"/>
        </w:rPr>
        <w:t>10,000,000.00</w:t>
      </w:r>
      <w:r>
        <w:rPr/>
        <w:t>元，此部分不计得坏账准备。 组合中，采用余额百分比法计提坏账准备的其他应收款：</w:t>
      </w:r>
    </w:p>
    <w:p>
      <w:pPr>
        <w:pStyle w:val="BodyText"/>
        <w:spacing w:line="340" w:lineRule="auto" w:before="36"/>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pStyle w:val="BodyText"/>
        <w:spacing w:line="340" w:lineRule="auto" w:before="44"/>
        <w:ind w:right="-13"/>
        <w:jc w:val="left"/>
      </w:pPr>
      <w:r>
        <w:rPr/>
        <w:t>本期计提坏账准备金额</w:t>
      </w:r>
      <w:r>
        <w:rPr>
          <w:spacing w:val="-48"/>
        </w:rPr>
        <w:t> </w:t>
      </w:r>
      <w:r>
        <w:rPr>
          <w:rFonts w:ascii="Times New Roman" w:hAnsi="Times New Roman" w:cs="Times New Roman" w:eastAsia="Times New Roman" w:hint="default"/>
        </w:rPr>
        <w:t>541,482.79</w:t>
      </w:r>
      <w:r>
        <w:rPr>
          <w:rFonts w:ascii="Times New Roman" w:hAnsi="Times New Roman" w:cs="Times New Roman" w:eastAsia="Times New Roman" w:hint="default"/>
          <w:spacing w:val="-4"/>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5873" w:space="2956"/>
            <w:col w:w="1041"/>
          </w:cols>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0"/>
        <w:jc w:val="left"/>
      </w:pPr>
      <w:r>
        <w:rPr/>
        <w:t>其中重要的其他应收款核销情况：</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281,258.13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89,606.03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839,443.57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841,445.00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10,333,290.55</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120,732.55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91,762.83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10,257,163.25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167,296.87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21,831,888.05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1,190,110.73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10,333,290.55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516,664.53</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浙江诺控通信技术有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深圳市科大二期置业 管理有限公司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325,832.00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16,291.60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杭州海兴电力科技股 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年和</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华南国际经济贸易仲 裁委员会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117,982.00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13,914.10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20,947,104.55</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579,370.23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41,040,660.00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41,040,660.00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7,592,860.00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7,592,860.00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445,001.26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445,001.26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378,835.93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378,835.93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41,485,661.26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41,485,661.26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7,971,695.93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7,971,695.93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6"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8" w:right="0"/>
              <w:jc w:val="left"/>
              <w:rPr>
                <w:rFonts w:ascii="Times New Roman" w:hAnsi="Times New Roman" w:cs="Times New Roman" w:eastAsia="Times New Roman" w:hint="default"/>
                <w:sz w:val="18"/>
                <w:szCs w:val="18"/>
              </w:rPr>
            </w:pPr>
            <w:r>
              <w:rPr>
                <w:rFonts w:ascii="Times New Roman"/>
                <w:sz w:val="18"/>
              </w:rPr>
              <w:t>5,592,860.00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3,447,800.00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6" w:right="0"/>
              <w:jc w:val="left"/>
              <w:rPr>
                <w:rFonts w:ascii="Times New Roman" w:hAnsi="Times New Roman" w:cs="Times New Roman" w:eastAsia="Times New Roman" w:hint="default"/>
                <w:sz w:val="18"/>
                <w:szCs w:val="18"/>
              </w:rPr>
            </w:pPr>
            <w:r>
              <w:rPr>
                <w:rFonts w:ascii="Times New Roman"/>
                <w:sz w:val="18"/>
              </w:rPr>
              <w:t>9,040,660.00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8" w:right="0"/>
              <w:jc w:val="left"/>
              <w:rPr>
                <w:rFonts w:ascii="Times New Roman" w:hAnsi="Times New Roman" w:cs="Times New Roman" w:eastAsia="Times New Roman" w:hint="default"/>
                <w:sz w:val="18"/>
                <w:szCs w:val="18"/>
              </w:rPr>
            </w:pPr>
            <w:r>
              <w:rPr>
                <w:rFonts w:ascii="Times New Roman"/>
                <w:sz w:val="18"/>
              </w:rPr>
              <w:t>7,592,860.00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33,447,800.00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7" w:right="0"/>
              <w:jc w:val="left"/>
              <w:rPr>
                <w:rFonts w:ascii="Times New Roman" w:hAnsi="Times New Roman" w:cs="Times New Roman" w:eastAsia="Times New Roman" w:hint="default"/>
                <w:sz w:val="18"/>
                <w:szCs w:val="18"/>
              </w:rPr>
            </w:pPr>
            <w:r>
              <w:rPr>
                <w:rFonts w:ascii="Times New Roman"/>
                <w:sz w:val="18"/>
              </w:rPr>
              <w:t>41,040,660.00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深圳市博</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格斯通信 技术有限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378,835.9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445,001.2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378,835.9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378,835.9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528,237,263.52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437,999,017.28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338,487,936.96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268,120,971.57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2,326,887.28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2,323,033.38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983,495.04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355,231.90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530,564,150.80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440,322,050.66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339,471,432.00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268,476,203.47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11,128,204.00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66,165.33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-3,300.94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2,473,176.25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12,539,341.58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11,124,903.06</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w:t>
      </w:r>
      <w:r>
        <w:rPr>
          <w:spacing w:val="-2"/>
        </w:rPr>
        <w:t> </w:t>
      </w:r>
      <w:r>
        <w:rPr/>
        <w:t>元</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-40,905.01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1,860,549.23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2,472,313.10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6"/>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2,473,176.25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元为理财产品产生的 投资收益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其中：股份支付</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643,793.60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3,648,163.72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0.54</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87" w:footer="1016" w:top="1100" w:bottom="1200" w:left="102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、载有公司法定代表人、主管会计工作的公司负责人、公司会计机构负责人签名并盖章的财务报表。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、其他有关资料。</w:t>
      </w:r>
    </w:p>
    <w:sectPr>
      <w:footerReference w:type="default" r:id="rId39"/>
      <w:pgSz w:w="11910" w:h="16840"/>
      <w:pgMar w:footer="1016" w:header="787" w:top="1100" w:bottom="1200" w:left="1020" w:right="1020"/>
      <w:pgNumType w:star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93.647949pt;width:6.5pt;height:11pt;mso-position-horizontal-relative:page;mso-position-vertical-relative:page;z-index:-1161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3pt;height:11pt;mso-position-horizontal-relative:page;mso-position-vertical-relative:page;z-index:-1161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3pt;height:11pt;mso-position-horizontal-relative:page;mso-position-vertical-relative:page;z-index:-1161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3pt;height:11pt;mso-position-horizontal-relative:page;mso-position-vertical-relative:page;z-index:-1161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8.5pt;height:11pt;mso-position-horizontal-relative:page;mso-position-vertical-relative:page;z-index:-1161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61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61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90.880005pt;margin-top:38.355648pt;width:213.6pt;height:11.5pt;mso-position-horizontal-relative:page;mso-position-vertical-relative:page;z-index:-1161784"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12"/>
    </w:pPr>
    <w:rPr>
      <w:rFonts w:ascii="宋体" w:hAnsi="宋体" w:eastAsia="宋体"/>
      <w:b/>
      <w:bCs/>
      <w:sz w:val="28"/>
      <w:szCs w:val="28"/>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382"/>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spacing w:before="16"/>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fibocom.com/" TargetMode="External"/><Relationship Id="rId10" Type="http://schemas.openxmlformats.org/officeDocument/2006/relationships/hyperlink" Target="mailto:zqb@fibocom.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8.hp.com/us/en/campaigns/probook-400/overview.html" TargetMode="External"/><Relationship Id="rId15" Type="http://schemas.openxmlformats.org/officeDocument/2006/relationships/hyperlink" Target="http://www.mingtaihotel.com/keji/2018/0405/16.html" TargetMode="Externa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image" Target="media/image2.png"/><Relationship Id="rId24" Type="http://schemas.openxmlformats.org/officeDocument/2006/relationships/footer" Target="footer12.xml"/><Relationship Id="rId25" Type="http://schemas.openxmlformats.org/officeDocument/2006/relationships/hyperlink" Target="http://www.cninfo.co/" TargetMode="Externa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2020-05-03T01:13:18Z</dcterms:created>
  <dcterms:modified xsi:type="dcterms:W3CDTF">2020-05-03T01:13:18Z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WPS Office</vt:lpwstr>
  </property>
  <property fmtid="{D5CDD505-2E9C-101B-9397-08002B2CF9AE}" pid="4" name="LastSaved">
    <vt:filetime>2020-05-02T00:00:00Z</vt:filetime>
  </property>
</Properties>
</file>