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16" w:lineRule="exact"/>
        <w:ind w:left="50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127759" cy="3276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59" cy="327659"/>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浙江正元智慧科技股份有限公司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3403" w:right="3402" w:firstLine="0"/>
        <w:jc w:val="center"/>
        <w:rPr>
          <w:rFonts w:ascii="Times New Roman" w:hAnsi="Times New Roman" w:cs="Times New Roman" w:eastAsia="Times New Roman" w:hint="default"/>
          <w:sz w:val="22"/>
          <w:szCs w:val="22"/>
        </w:rPr>
      </w:pPr>
      <w:r>
        <w:rPr>
          <w:rFonts w:ascii="Times New Roman"/>
          <w:b/>
          <w:sz w:val="22"/>
        </w:rPr>
        <w:t>2018-022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1"/>
        <w:spacing w:line="240" w:lineRule="auto"/>
        <w:ind w:left="3865" w:right="0"/>
        <w:jc w:val="left"/>
        <w:rPr>
          <w:b w:val="0"/>
          <w:bCs w:val="0"/>
        </w:rPr>
      </w:pPr>
      <w:bookmarkStart w:name="_TOC_250011" w:id="1"/>
      <w:bookmarkStart w:name="第一节重要提示、目录和释义" w:id="2"/>
      <w:r>
        <w:rPr>
          <w:b w:val="0"/>
          <w:bCs w:val="0"/>
        </w:rPr>
      </w:r>
      <w:r>
        <w:rPr/>
        <w:t>第一节重要提示、目录和释义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139" w:firstLine="482"/>
        <w:jc w:val="both"/>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8" w:lineRule="auto" w:before="36"/>
        <w:ind w:right="1130" w:firstLine="482"/>
        <w:jc w:val="both"/>
        <w:rPr>
          <w:b w:val="0"/>
          <w:bCs w:val="0"/>
        </w:rPr>
      </w:pPr>
      <w:r>
        <w:rPr>
          <w:spacing w:val="2"/>
        </w:rPr>
        <w:t>公司负责人陈坚、主管会计工作负责人陈根清及会计机构负责人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包建军</w:t>
      </w:r>
      <w:r>
        <w:rPr>
          <w:w w:val="99"/>
        </w:rPr>
        <w:t> </w:t>
      </w:r>
      <w:r>
        <w:rPr/>
        <w:t>声明：保证年度报告中财务报告的真实、准确、完整。</w:t>
      </w:r>
      <w:r>
        <w:rPr>
          <w:b w:val="0"/>
          <w:bCs w:val="0"/>
        </w:rPr>
      </w:r>
    </w:p>
    <w:p>
      <w:pPr>
        <w:pStyle w:val="Heading2"/>
        <w:spacing w:line="357" w:lineRule="auto" w:before="55"/>
        <w:ind w:left="1616" w:right="0"/>
        <w:jc w:val="left"/>
        <w:rPr>
          <w:b w:val="0"/>
          <w:bCs w:val="0"/>
        </w:rPr>
      </w:pPr>
      <w:r>
        <w:rPr/>
        <w:t>所有董事均已出席了审议本报告的董事会会议。</w:t>
      </w:r>
      <w:r>
        <w:rPr>
          <w:w w:val="99"/>
        </w:rPr>
        <w:t> </w:t>
      </w:r>
      <w:r>
        <w:rPr>
          <w:w w:val="95"/>
        </w:rPr>
        <w:t>本报告所涉及的发展战略及未来计划等前瞻性陈述，不构成公司对投资者的实质承诺。</w:t>
      </w:r>
      <w:r>
        <w:rPr>
          <w:b w:val="0"/>
          <w:bCs w:val="0"/>
        </w:rPr>
      </w:r>
    </w:p>
    <w:p>
      <w:pPr>
        <w:pStyle w:val="Heading2"/>
        <w:spacing w:line="357" w:lineRule="auto" w:before="36"/>
        <w:ind w:right="1139"/>
        <w:jc w:val="both"/>
        <w:rPr>
          <w:b w:val="0"/>
          <w:bCs w:val="0"/>
        </w:rPr>
      </w:pPr>
      <w:r>
        <w:rPr>
          <w:w w:val="95"/>
        </w:rPr>
        <w:t>投资者及相关人士均应当对此保持足够的风险认识，并且应当理解计划、预测与承诺之间的</w:t>
      </w:r>
      <w:r>
        <w:rPr>
          <w:spacing w:val="99"/>
          <w:w w:val="95"/>
        </w:rPr>
        <w:t> </w:t>
      </w:r>
      <w:r>
        <w:rPr/>
        <w:t>差异。</w:t>
      </w:r>
      <w:r>
        <w:rPr>
          <w:b w:val="0"/>
          <w:bCs w:val="0"/>
        </w:rPr>
      </w:r>
    </w:p>
    <w:p>
      <w:pPr>
        <w:pStyle w:val="Heading2"/>
        <w:spacing w:line="338" w:lineRule="auto" w:before="36"/>
        <w:ind w:right="1131" w:firstLine="482"/>
        <w:jc w:val="both"/>
        <w:rPr>
          <w:b w:val="0"/>
          <w:bCs w:val="0"/>
        </w:rPr>
      </w:pPr>
      <w:r>
        <w:rPr>
          <w:spacing w:val="3"/>
        </w:rPr>
        <w:t>公司在经营管理中可能面临的风险与对策举措已在本报告中第四节</w:t>
      </w:r>
      <w:r>
        <w:rPr>
          <w:rFonts w:ascii="Times New Roman" w:hAnsi="Times New Roman" w:cs="Times New Roman" w:eastAsia="Times New Roman" w:hint="default"/>
          <w:spacing w:val="3"/>
        </w:rPr>
        <w:t>“</w:t>
      </w:r>
      <w:r>
        <w:rPr>
          <w:spacing w:val="3"/>
        </w:rPr>
        <w:t>经营情况讨论与分</w:t>
      </w:r>
      <w:r>
        <w:rPr>
          <w:w w:val="99"/>
        </w:rPr>
        <w:t> </w:t>
      </w:r>
      <w:r>
        <w:rPr/>
        <w:t>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部分予以描述。敬请广大投资者关注，并注意投资风险。</w:t>
      </w:r>
      <w:r>
        <w:rPr>
          <w:b w:val="0"/>
          <w:bCs w:val="0"/>
        </w:rPr>
      </w:r>
    </w:p>
    <w:p>
      <w:pPr>
        <w:pStyle w:val="Heading2"/>
        <w:spacing w:line="338" w:lineRule="auto" w:before="27"/>
        <w:ind w:right="1131" w:firstLine="482"/>
        <w:jc w:val="both"/>
        <w:rPr>
          <w:b w:val="0"/>
          <w:bCs w:val="0"/>
        </w:rPr>
      </w:pPr>
      <w:r>
        <w:rPr>
          <w:spacing w:val="3"/>
        </w:rPr>
        <w:t>公司在经营管理中可能面临的风险与对策举措已在本报告中第四节</w:t>
      </w:r>
      <w:r>
        <w:rPr>
          <w:rFonts w:ascii="Times New Roman" w:hAnsi="Times New Roman" w:cs="Times New Roman" w:eastAsia="Times New Roman" w:hint="default"/>
          <w:spacing w:val="3"/>
        </w:rPr>
        <w:t>“</w:t>
      </w:r>
      <w:r>
        <w:rPr>
          <w:spacing w:val="3"/>
        </w:rPr>
        <w:t>经营情况讨论与分</w:t>
      </w:r>
      <w:r>
        <w:rPr>
          <w:w w:val="99"/>
        </w:rPr>
        <w:t> </w:t>
      </w:r>
      <w:r>
        <w:rPr/>
        <w:t>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部分予以描述。敬请广大投资者关注，并注意投资风险。</w:t>
      </w:r>
      <w:r>
        <w:rPr>
          <w:b w:val="0"/>
          <w:bCs w:val="0"/>
        </w:rPr>
      </w:r>
    </w:p>
    <w:p>
      <w:pPr>
        <w:pStyle w:val="Heading2"/>
        <w:spacing w:line="338" w:lineRule="auto" w:before="27"/>
        <w:ind w:left="1616" w:right="0"/>
        <w:jc w:val="left"/>
        <w:rPr>
          <w:b w:val="0"/>
          <w:bCs w:val="0"/>
        </w:rPr>
      </w:pPr>
      <w:r>
        <w:rPr>
          <w:rFonts w:ascii="Times New Roman" w:hAnsi="Times New Roman" w:cs="Times New Roman" w:eastAsia="Times New Roman" w:hint="default"/>
        </w:rPr>
        <w:t>1</w:t>
      </w:r>
      <w:r>
        <w:rPr/>
        <w:t>、技术与产品开发风险</w:t>
      </w:r>
      <w:r>
        <w:rPr>
          <w:spacing w:val="-117"/>
        </w:rPr>
        <w:t> </w:t>
      </w:r>
      <w:r>
        <w:rPr>
          <w:spacing w:val="-117"/>
        </w:rPr>
      </w:r>
      <w:r>
        <w:rPr>
          <w:spacing w:val="-4"/>
        </w:rPr>
        <w:t>随着云计算、大数据、人工智能、区块链等技术的不断演进，软件产品和技术加快更新，</w:t>
      </w:r>
      <w:r>
        <w:rPr>
          <w:b w:val="0"/>
          <w:bCs w:val="0"/>
          <w:spacing w:val="-4"/>
        </w:rPr>
      </w:r>
    </w:p>
    <w:p>
      <w:pPr>
        <w:pStyle w:val="Heading2"/>
        <w:spacing w:line="357" w:lineRule="auto" w:before="55"/>
        <w:ind w:right="1139"/>
        <w:jc w:val="both"/>
        <w:rPr>
          <w:b w:val="0"/>
          <w:bCs w:val="0"/>
        </w:rPr>
      </w:pPr>
      <w:r>
        <w:rPr>
          <w:w w:val="95"/>
        </w:rPr>
        <w:t>公司如不能准确把握技术发展趋势和市场需求变化情况，将会导致技术和产品开发推广决策</w:t>
      </w:r>
      <w:r>
        <w:rPr>
          <w:spacing w:val="100"/>
          <w:w w:val="95"/>
        </w:rPr>
        <w:t> </w:t>
      </w:r>
      <w:r>
        <w:rPr>
          <w:spacing w:val="100"/>
          <w:w w:val="95"/>
        </w:rPr>
      </w:r>
      <w:r>
        <w:rPr/>
        <w:t>出现失误，使公司丧失技术和市场优势，面临技术与产品开发的风险。</w:t>
      </w:r>
      <w:r>
        <w:rPr>
          <w:b w:val="0"/>
          <w:bCs w:val="0"/>
        </w:rPr>
      </w:r>
    </w:p>
    <w:p>
      <w:pPr>
        <w:pStyle w:val="Heading2"/>
        <w:spacing w:line="357" w:lineRule="auto" w:before="36"/>
        <w:ind w:right="1139" w:firstLine="482"/>
        <w:jc w:val="both"/>
        <w:rPr>
          <w:b w:val="0"/>
          <w:bCs w:val="0"/>
        </w:rPr>
      </w:pPr>
      <w:r>
        <w:rPr>
          <w:w w:val="95"/>
        </w:rPr>
        <w:t>应对措施：引入高端人才，加大研发投入，深入需求调研，同时加强与高校和科研机构</w:t>
      </w:r>
      <w:r>
        <w:rPr>
          <w:w w:val="99"/>
        </w:rPr>
        <w:t> </w:t>
      </w:r>
      <w:r>
        <w:rPr>
          <w:w w:val="95"/>
        </w:rPr>
        <w:t>的合作，共同研制开发新产品。对于已形成产业化的产品进行深度开发，加快其升级换代，</w:t>
      </w:r>
      <w:r>
        <w:rPr>
          <w:spacing w:val="99"/>
          <w:w w:val="95"/>
        </w:rPr>
        <w:t> </w:t>
      </w:r>
      <w:r>
        <w:rPr/>
        <w:t>保持技术与产品优势。</w:t>
      </w:r>
      <w:r>
        <w:rPr>
          <w:b w:val="0"/>
          <w:bCs w:val="0"/>
        </w:rPr>
      </w:r>
    </w:p>
    <w:p>
      <w:pPr>
        <w:pStyle w:val="Heading2"/>
        <w:spacing w:line="338" w:lineRule="auto" w:before="36"/>
        <w:ind w:left="1616" w:right="0"/>
        <w:jc w:val="left"/>
        <w:rPr>
          <w:b w:val="0"/>
          <w:bCs w:val="0"/>
        </w:rPr>
      </w:pPr>
      <w:r>
        <w:rPr>
          <w:rFonts w:ascii="Times New Roman" w:hAnsi="Times New Roman" w:cs="Times New Roman" w:eastAsia="Times New Roman" w:hint="default"/>
        </w:rPr>
        <w:t>2</w:t>
      </w:r>
      <w:r>
        <w:rPr/>
        <w:t>、行业竞争加剧风险</w:t>
      </w:r>
      <w:r>
        <w:rPr>
          <w:spacing w:val="-116"/>
        </w:rPr>
        <w:t> </w:t>
      </w:r>
      <w:r>
        <w:rPr>
          <w:spacing w:val="-116"/>
        </w:rPr>
      </w:r>
      <w:r>
        <w:rPr>
          <w:w w:val="95"/>
        </w:rPr>
        <w:t>随着智能一卡通行业技术的不断成熟和竞争格局的日益清晰，对行业内企业规模和资金</w:t>
      </w:r>
      <w:r>
        <w:rPr>
          <w:b w:val="0"/>
          <w:bCs w:val="0"/>
        </w:rPr>
      </w:r>
    </w:p>
    <w:p>
      <w:pPr>
        <w:pStyle w:val="Heading2"/>
        <w:spacing w:line="350" w:lineRule="auto" w:before="55"/>
        <w:ind w:right="1133"/>
        <w:jc w:val="both"/>
        <w:rPr>
          <w:b w:val="0"/>
          <w:bCs w:val="0"/>
        </w:rPr>
      </w:pPr>
      <w:r>
        <w:rPr>
          <w:w w:val="95"/>
        </w:rPr>
        <w:t>实力的要求越来越高，缺乏业绩和技术支撑的企业将被市场淘汰。同时，</w:t>
      </w:r>
      <w:r>
        <w:rPr>
          <w:rFonts w:ascii="Times New Roman" w:hAnsi="Times New Roman" w:cs="Times New Roman" w:eastAsia="Times New Roman" w:hint="default"/>
          <w:w w:val="95"/>
        </w:rPr>
        <w:t>IT</w:t>
      </w:r>
      <w:r>
        <w:rPr>
          <w:w w:val="95"/>
        </w:rPr>
        <w:t>、互联网等相关</w:t>
      </w:r>
      <w:r>
        <w:rPr>
          <w:spacing w:val="94"/>
          <w:w w:val="95"/>
        </w:rPr>
        <w:t> </w:t>
      </w:r>
      <w:r>
        <w:rPr>
          <w:spacing w:val="94"/>
          <w:w w:val="95"/>
        </w:rPr>
      </w:r>
      <w:r>
        <w:rPr>
          <w:w w:val="95"/>
        </w:rPr>
        <w:t>行业也有可能对智能一卡通行业企业的经营模式及产品产生颠覆性影响。如果本公司不能积</w:t>
      </w:r>
      <w:r>
        <w:rPr>
          <w:spacing w:val="102"/>
          <w:w w:val="95"/>
        </w:rPr>
        <w:t> </w:t>
      </w:r>
      <w:r>
        <w:rPr>
          <w:spacing w:val="102"/>
          <w:w w:val="95"/>
        </w:rPr>
      </w:r>
      <w:r>
        <w:rPr>
          <w:w w:val="95"/>
        </w:rPr>
        <w:t>极加强创新，保持企业竞争优势，则有可能导致市场份额减少、营业收入下降，从而对公司</w:t>
      </w:r>
      <w:r>
        <w:rPr>
          <w:spacing w:val="99"/>
          <w:w w:val="95"/>
        </w:rPr>
        <w:t> </w:t>
      </w:r>
      <w:r>
        <w:rPr/>
        <w:t>盈利能力产生较大不利影响。</w:t>
      </w:r>
      <w:r>
        <w:rPr>
          <w:b w:val="0"/>
          <w:bCs w:val="0"/>
        </w:rPr>
      </w:r>
    </w:p>
    <w:p>
      <w:pPr>
        <w:pStyle w:val="Heading2"/>
        <w:spacing w:line="357" w:lineRule="auto" w:before="43"/>
        <w:ind w:right="1139" w:firstLine="482"/>
        <w:jc w:val="both"/>
        <w:rPr>
          <w:b w:val="0"/>
          <w:bCs w:val="0"/>
        </w:rPr>
      </w:pPr>
      <w:r>
        <w:rPr>
          <w:w w:val="95"/>
        </w:rPr>
        <w:t>应对措施：密切关注行业发展趋势和前沿创新技术，积极寻求行业竞争所带来的整合机</w:t>
      </w:r>
      <w:r>
        <w:rPr>
          <w:w w:val="99"/>
        </w:rPr>
        <w:t> </w:t>
      </w:r>
      <w:r>
        <w:rPr>
          <w:w w:val="95"/>
        </w:rPr>
        <w:t>遇，进一步维持并加强公司在用户数量、用户粘性及产品技术的核心竞争优势，促进公司持</w:t>
      </w:r>
      <w:r>
        <w:rPr>
          <w:b w:val="0"/>
          <w:bCs w:val="0"/>
        </w:rPr>
      </w:r>
    </w:p>
    <w:p>
      <w:pPr>
        <w:spacing w:after="0" w:line="357"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34"/>
        <w:ind w:right="0"/>
        <w:jc w:val="both"/>
        <w:rPr>
          <w:b w:val="0"/>
          <w:bCs w:val="0"/>
        </w:rPr>
      </w:pPr>
      <w:r>
        <w:rPr/>
        <w:t>续健康发展。</w:t>
      </w:r>
      <w:r>
        <w:rPr>
          <w:b w:val="0"/>
          <w:bCs w:val="0"/>
        </w:rPr>
      </w:r>
    </w:p>
    <w:p>
      <w:pPr>
        <w:pStyle w:val="Heading2"/>
        <w:spacing w:line="338" w:lineRule="auto" w:before="154"/>
        <w:ind w:left="1616" w:right="0"/>
        <w:jc w:val="left"/>
        <w:rPr>
          <w:b w:val="0"/>
          <w:bCs w:val="0"/>
        </w:rPr>
      </w:pPr>
      <w:r>
        <w:rPr>
          <w:rFonts w:ascii="Times New Roman" w:hAnsi="Times New Roman" w:cs="Times New Roman" w:eastAsia="Times New Roman" w:hint="default"/>
        </w:rPr>
        <w:t>3</w:t>
      </w:r>
      <w:r>
        <w:rPr/>
        <w:t>、生产经营季节性波动风险</w:t>
      </w:r>
      <w:r>
        <w:rPr>
          <w:spacing w:val="-119"/>
        </w:rPr>
        <w:t> </w:t>
      </w:r>
      <w:r>
        <w:rPr>
          <w:spacing w:val="-119"/>
        </w:rPr>
      </w:r>
      <w:r>
        <w:rPr>
          <w:w w:val="95"/>
        </w:rPr>
        <w:t>目前公司业务中教育行业占比较高，为避开校园密集教学时间，公司项目实施主要集中</w:t>
      </w:r>
      <w:r>
        <w:rPr>
          <w:b w:val="0"/>
          <w:bCs w:val="0"/>
        </w:rPr>
      </w:r>
    </w:p>
    <w:p>
      <w:pPr>
        <w:pStyle w:val="Heading2"/>
        <w:spacing w:line="357" w:lineRule="auto" w:before="56"/>
        <w:ind w:right="1129"/>
        <w:jc w:val="both"/>
        <w:rPr>
          <w:b w:val="0"/>
          <w:bCs w:val="0"/>
        </w:rPr>
      </w:pPr>
      <w:r>
        <w:rPr>
          <w:w w:val="95"/>
        </w:rPr>
        <w:t>在寒暑假期。生产经营呈现出明显的季节性特征。一季度、二季度为项目准备与计划期，人</w:t>
      </w:r>
      <w:r>
        <w:rPr>
          <w:spacing w:val="111"/>
          <w:w w:val="95"/>
        </w:rPr>
        <w:t> </w:t>
      </w:r>
      <w:r>
        <w:rPr>
          <w:spacing w:val="111"/>
          <w:w w:val="95"/>
        </w:rPr>
      </w:r>
      <w:r>
        <w:rPr>
          <w:w w:val="95"/>
        </w:rPr>
        <w:t>力、财力及物资投入较大；暑期在内的三季度为项目实施高峰；四季度项目进入验收结算。</w:t>
      </w:r>
      <w:r>
        <w:rPr>
          <w:spacing w:val="99"/>
          <w:w w:val="95"/>
        </w:rPr>
        <w:t> </w:t>
      </w:r>
      <w:r>
        <w:rPr>
          <w:spacing w:val="99"/>
          <w:w w:val="95"/>
        </w:rPr>
      </w:r>
      <w:r>
        <w:rPr>
          <w:w w:val="95"/>
        </w:rPr>
        <w:t>纵观全年，四季度收入及净利润占比最高，其他季度净利润较低，甚至有可能为负。因此，</w:t>
      </w:r>
      <w:r>
        <w:rPr>
          <w:spacing w:val="99"/>
          <w:w w:val="95"/>
        </w:rPr>
        <w:t> </w:t>
      </w:r>
      <w:r>
        <w:rPr/>
        <w:t>投资者不能仅根据个别季度情况判断公司全年业绩。</w:t>
      </w:r>
      <w:r>
        <w:rPr>
          <w:b w:val="0"/>
          <w:bCs w:val="0"/>
        </w:rPr>
      </w:r>
    </w:p>
    <w:p>
      <w:pPr>
        <w:pStyle w:val="Heading2"/>
        <w:spacing w:line="357" w:lineRule="auto" w:before="36"/>
        <w:ind w:right="0" w:firstLine="482"/>
        <w:jc w:val="left"/>
        <w:rPr>
          <w:b w:val="0"/>
          <w:bCs w:val="0"/>
        </w:rPr>
      </w:pPr>
      <w:r>
        <w:rPr/>
        <w:t>应对措施：除教育行业外，进一步拓展企业、电力、军警、政府等行业的智慧化应用，</w:t>
      </w:r>
      <w:r>
        <w:rPr>
          <w:w w:val="99"/>
        </w:rPr>
        <w:t> </w:t>
      </w:r>
      <w:r>
        <w:rPr>
          <w:spacing w:val="-3"/>
          <w:w w:val="95"/>
        </w:rPr>
        <w:t>提升其他行业业务占比，淡化暑期高峰期特征。同时加强各项计划管理，提高项目整体效率，</w:t>
      </w:r>
      <w:r>
        <w:rPr>
          <w:spacing w:val="10"/>
          <w:w w:val="95"/>
        </w:rPr>
        <w:t> </w:t>
      </w:r>
      <w:r>
        <w:rPr>
          <w:spacing w:val="10"/>
          <w:w w:val="95"/>
        </w:rPr>
      </w:r>
      <w:r>
        <w:rPr/>
        <w:t>缩短验收结算周期。</w:t>
      </w:r>
      <w:r>
        <w:rPr>
          <w:b w:val="0"/>
          <w:bCs w:val="0"/>
        </w:rPr>
      </w:r>
    </w:p>
    <w:p>
      <w:pPr>
        <w:pStyle w:val="Heading2"/>
        <w:spacing w:line="338" w:lineRule="auto" w:before="36"/>
        <w:ind w:left="1616" w:right="0"/>
        <w:jc w:val="left"/>
        <w:rPr>
          <w:b w:val="0"/>
          <w:bCs w:val="0"/>
        </w:rPr>
      </w:pPr>
      <w:r>
        <w:rPr>
          <w:rFonts w:ascii="Times New Roman" w:hAnsi="Times New Roman" w:cs="Times New Roman" w:eastAsia="Times New Roman" w:hint="default"/>
        </w:rPr>
        <w:t>4</w:t>
      </w:r>
      <w:r>
        <w:rPr/>
        <w:t>、应收账款回收风险</w:t>
      </w:r>
      <w:r>
        <w:rPr>
          <w:spacing w:val="-116"/>
        </w:rPr>
        <w:t> </w:t>
      </w:r>
      <w:r>
        <w:rPr>
          <w:spacing w:val="-116"/>
        </w:rPr>
      </w:r>
      <w:r>
        <w:rPr>
          <w:w w:val="95"/>
        </w:rPr>
        <w:t>公司主要客户是学校、银行及电信运营商等，该类客户信誉较好，公司应收账款的收回</w:t>
      </w:r>
      <w:r>
        <w:rPr>
          <w:b w:val="0"/>
          <w:bCs w:val="0"/>
        </w:rPr>
      </w:r>
    </w:p>
    <w:p>
      <w:pPr>
        <w:pStyle w:val="Heading2"/>
        <w:spacing w:line="357" w:lineRule="auto" w:before="55"/>
        <w:ind w:right="0"/>
        <w:jc w:val="left"/>
        <w:rPr>
          <w:b w:val="0"/>
          <w:bCs w:val="0"/>
        </w:rPr>
      </w:pPr>
      <w:r>
        <w:rPr>
          <w:spacing w:val="-3"/>
          <w:w w:val="95"/>
        </w:rPr>
        <w:t>有较高保障，但回款速度相对较慢。随着公司业务规模的扩大，应收账款可能会进一步增加，</w:t>
      </w:r>
      <w:r>
        <w:rPr>
          <w:spacing w:val="13"/>
          <w:w w:val="95"/>
        </w:rPr>
        <w:t> </w:t>
      </w:r>
      <w:r>
        <w:rPr>
          <w:spacing w:val="13"/>
          <w:w w:val="95"/>
        </w:rPr>
      </w:r>
      <w:r>
        <w:rPr/>
        <w:t>对公司现金流状况产生一定影响。如果出现应收账款不能按期回收或无法回收发生坏账的情</w:t>
      </w:r>
      <w:r>
        <w:rPr>
          <w:w w:val="99"/>
        </w:rPr>
        <w:t> </w:t>
      </w:r>
      <w:r>
        <w:rPr/>
        <w:t>况，公司将面临流动资金短缺的风险，从而公司盈利能力将受到不利影响。</w:t>
      </w:r>
      <w:r>
        <w:rPr>
          <w:b w:val="0"/>
          <w:bCs w:val="0"/>
        </w:rPr>
      </w:r>
    </w:p>
    <w:p>
      <w:pPr>
        <w:pStyle w:val="Heading2"/>
        <w:spacing w:line="357" w:lineRule="auto" w:before="36"/>
        <w:ind w:right="0" w:firstLine="482"/>
        <w:jc w:val="left"/>
        <w:rPr>
          <w:b w:val="0"/>
          <w:bCs w:val="0"/>
        </w:rPr>
      </w:pPr>
      <w:r>
        <w:rPr>
          <w:w w:val="95"/>
        </w:rPr>
        <w:t>应对措施：加强项目的回款条款谈判，进一步完善回款机制；做好资金筹划，加快资金</w:t>
      </w:r>
      <w:r>
        <w:rPr>
          <w:w w:val="99"/>
        </w:rPr>
        <w:t> </w:t>
      </w:r>
      <w:r>
        <w:rPr/>
        <w:t>周转，提高资金使用效率；保持良好信用，加强银行授信。</w:t>
      </w:r>
      <w:r>
        <w:rPr>
          <w:b w:val="0"/>
          <w:bCs w:val="0"/>
        </w:rPr>
      </w:r>
    </w:p>
    <w:p>
      <w:pPr>
        <w:pStyle w:val="Heading2"/>
        <w:spacing w:line="338" w:lineRule="auto" w:before="36"/>
        <w:ind w:left="1616" w:right="0"/>
        <w:jc w:val="left"/>
        <w:rPr>
          <w:b w:val="0"/>
          <w:bCs w:val="0"/>
        </w:rPr>
      </w:pPr>
      <w:r>
        <w:rPr>
          <w:rFonts w:ascii="Times New Roman" w:hAnsi="Times New Roman" w:cs="Times New Roman" w:eastAsia="Times New Roman" w:hint="default"/>
        </w:rPr>
        <w:t>5</w:t>
      </w:r>
      <w:r>
        <w:rPr/>
        <w:t>、募集资金投资项目实施风险</w:t>
      </w:r>
      <w:r>
        <w:rPr>
          <w:w w:val="99"/>
        </w:rPr>
        <w:t> </w:t>
      </w:r>
      <w:r>
        <w:rPr>
          <w:w w:val="95"/>
        </w:rPr>
        <w:t>公司募集资金投资项目完成后，将对公司发展战略的实现、经营业绩的增长产生积极的</w:t>
      </w:r>
      <w:r>
        <w:rPr>
          <w:b w:val="0"/>
          <w:bCs w:val="0"/>
        </w:rPr>
      </w:r>
    </w:p>
    <w:p>
      <w:pPr>
        <w:pStyle w:val="Heading2"/>
        <w:spacing w:line="357" w:lineRule="auto" w:before="55"/>
        <w:ind w:right="1129"/>
        <w:jc w:val="both"/>
        <w:rPr>
          <w:b w:val="0"/>
          <w:bCs w:val="0"/>
        </w:rPr>
      </w:pPr>
      <w:r>
        <w:rPr>
          <w:w w:val="95"/>
        </w:rPr>
        <w:t>促进作用。在确定募集资金投资项目时，公司已综合审慎地考虑了自身的技术能力、目前的</w:t>
      </w:r>
      <w:r>
        <w:rPr>
          <w:spacing w:val="112"/>
          <w:w w:val="95"/>
        </w:rPr>
        <w:t> </w:t>
      </w:r>
      <w:r>
        <w:rPr>
          <w:spacing w:val="112"/>
          <w:w w:val="95"/>
        </w:rPr>
      </w:r>
      <w:r>
        <w:rPr>
          <w:w w:val="95"/>
        </w:rPr>
        <w:t>业务结构、客户实际需求，并对产业政策、市场需求、项目进度和投资环境等因素进行了充</w:t>
      </w:r>
      <w:r>
        <w:rPr>
          <w:spacing w:val="99"/>
          <w:w w:val="95"/>
        </w:rPr>
        <w:t> </w:t>
      </w:r>
      <w:r>
        <w:rPr>
          <w:spacing w:val="99"/>
          <w:w w:val="95"/>
        </w:rPr>
      </w:r>
      <w:r>
        <w:rPr>
          <w:w w:val="95"/>
        </w:rPr>
        <w:t>分的调研和分析。但是，募集资金投资项目的建设计划、实施过程和实施效果仍可能因技术</w:t>
      </w:r>
      <w:r>
        <w:rPr>
          <w:spacing w:val="99"/>
          <w:w w:val="95"/>
        </w:rPr>
        <w:t> </w:t>
      </w:r>
      <w:r>
        <w:rPr>
          <w:w w:val="95"/>
        </w:rPr>
        <w:t>障碍、投资成本变化及客户需求变化等因素而增加不确定性。同时募集资金投资项目建设和</w:t>
      </w:r>
      <w:r>
        <w:rPr>
          <w:spacing w:val="99"/>
          <w:w w:val="95"/>
        </w:rPr>
        <w:t> </w:t>
      </w:r>
      <w:r>
        <w:rPr>
          <w:w w:val="95"/>
        </w:rPr>
        <w:t>运营初期，业绩短期之内不能体现，折旧、人工等费用上升，将会给公司经营业绩带来不利</w:t>
      </w:r>
      <w:r>
        <w:rPr>
          <w:spacing w:val="99"/>
          <w:w w:val="95"/>
        </w:rPr>
        <w:t> </w:t>
      </w:r>
      <w:r>
        <w:rPr>
          <w:w w:val="95"/>
        </w:rPr>
        <w:t>影响。此外，公司发行完成募集资金到位后净资产将有一定幅度的增长，而在建设期间内，</w:t>
      </w:r>
      <w:r>
        <w:rPr>
          <w:spacing w:val="99"/>
          <w:w w:val="95"/>
        </w:rPr>
        <w:t> </w:t>
      </w:r>
      <w:r>
        <w:rPr>
          <w:w w:val="95"/>
        </w:rPr>
        <w:t>募投项目对公司盈利无法产生较大贡献，公司净资产收益率短期内将因财务业绩摊薄而有所 </w:t>
      </w:r>
      <w:r>
        <w:rPr>
          <w:spacing w:val="99"/>
          <w:w w:val="95"/>
        </w:rPr>
        <w:t> </w:t>
      </w:r>
      <w:r>
        <w:rPr/>
        <w:t>降低。</w:t>
      </w:r>
      <w:r>
        <w:rPr>
          <w:b w:val="0"/>
          <w:bCs w:val="0"/>
        </w:rPr>
      </w:r>
    </w:p>
    <w:p>
      <w:pPr>
        <w:pStyle w:val="Heading2"/>
        <w:spacing w:line="357" w:lineRule="auto" w:before="36"/>
        <w:ind w:left="1616" w:right="0"/>
        <w:jc w:val="left"/>
        <w:rPr>
          <w:rFonts w:ascii="Times New Roman" w:hAnsi="Times New Roman" w:cs="Times New Roman" w:eastAsia="Times New Roman" w:hint="default"/>
          <w:b w:val="0"/>
          <w:bCs w:val="0"/>
        </w:rPr>
      </w:pPr>
      <w:r>
        <w:rPr/>
        <w:t>应对措施：加强募集资金的管理，加快募投项目建设，尽快体现募投项目业绩。</w:t>
      </w:r>
      <w:r>
        <w:rPr>
          <w:w w:val="99"/>
        </w:rPr>
        <w:t> </w:t>
      </w:r>
      <w:r>
        <w:rPr/>
        <w:t>公司经本次董事会审议通过的利润分配预案为：以</w:t>
      </w:r>
      <w:r>
        <w:rPr>
          <w:spacing w:val="-75"/>
        </w:rPr>
        <w:t> </w:t>
      </w:r>
      <w:r>
        <w:rPr>
          <w:rFonts w:ascii="Times New Roman" w:hAnsi="Times New Roman" w:cs="Times New Roman" w:eastAsia="Times New Roman" w:hint="default"/>
        </w:rPr>
        <w:t>66,666,667</w:t>
      </w:r>
      <w:r>
        <w:rPr>
          <w:rFonts w:ascii="Times New Roman" w:hAnsi="Times New Roman" w:cs="Times New Roman" w:eastAsia="Times New Roman" w:hint="default"/>
          <w:spacing w:val="-18"/>
        </w:rPr>
        <w:t> </w:t>
      </w:r>
      <w:r>
        <w:rPr>
          <w:spacing w:val="-3"/>
        </w:rPr>
        <w:t>为基数，向全体股东每</w:t>
      </w:r>
      <w:r>
        <w:rPr>
          <w:spacing w:val="-77"/>
        </w:rPr>
        <w:t> </w:t>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p>
    <w:p>
      <w:pPr>
        <w:pStyle w:val="Heading2"/>
        <w:spacing w:line="240" w:lineRule="auto" w:before="5"/>
        <w:ind w:right="0"/>
        <w:jc w:val="both"/>
        <w:rPr>
          <w:b w:val="0"/>
          <w:bCs w:val="0"/>
        </w:rPr>
      </w:pPr>
      <w:r>
        <w:rPr>
          <w:w w:val="99"/>
        </w:rPr>
        <w:t>股派发现金红利</w:t>
      </w:r>
      <w:r>
        <w:rPr>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10"/>
        </w:rPr>
        <w:t> </w:t>
      </w:r>
      <w:r>
        <w:rPr>
          <w:w w:val="99"/>
        </w:rPr>
        <w:t>元（含税</w:t>
      </w:r>
      <w:r>
        <w:rPr>
          <w:spacing w:val="-120"/>
          <w:w w:val="99"/>
        </w:rPr>
        <w:t>）</w:t>
      </w:r>
      <w:r>
        <w:rPr>
          <w:w w:val="99"/>
        </w:rPr>
        <w:t>，送红股</w:t>
      </w:r>
      <w:r>
        <w:rPr>
          <w:spacing w:val="-48"/>
        </w:rPr>
        <w:t> </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w w:val="99"/>
        </w:rPr>
        <w:t>股（含税</w:t>
      </w:r>
      <w:r>
        <w:rPr>
          <w:spacing w:val="-120"/>
          <w:w w:val="99"/>
        </w:rPr>
        <w:t>）</w:t>
      </w:r>
      <w:r>
        <w:rPr>
          <w:w w:val="99"/>
        </w:rPr>
        <w:t>，以资本公积金向全体股东每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1"/>
          <w:w w:val="99"/>
        </w:rPr>
        <w:t>股转</w:t>
      </w:r>
      <w:r>
        <w:rPr>
          <w:b w:val="0"/>
          <w:bCs w:val="0"/>
        </w:rPr>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34"/>
        <w:ind w:right="0"/>
        <w:jc w:val="left"/>
        <w:rPr>
          <w:b w:val="0"/>
          <w:bCs w:val="0"/>
        </w:rPr>
      </w:pPr>
      <w:r>
        <w:rPr/>
        <w:t>增</w:t>
      </w:r>
      <w:r>
        <w:rPr>
          <w:spacing w:val="-61"/>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b w:val="0"/>
          <w:bCs w:val="0"/>
        </w:rPr>
      </w:r>
    </w:p>
    <w:p>
      <w:pPr>
        <w:spacing w:after="0" w:line="240" w:lineRule="auto"/>
        <w:jc w:val="left"/>
        <w:sectPr>
          <w:headerReference w:type="default" r:id="rId9"/>
          <w:pgSz w:w="11910" w:h="16840"/>
          <w:pgMar w:header="86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tabs>
          <w:tab w:pos="965" w:val="left" w:leader="none"/>
        </w:tabs>
        <w:spacing w:before="1"/>
        <w:ind w:left="1"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0762" w:val="right" w:leader="dot"/>
            </w:tabs>
            <w:spacing w:line="240" w:lineRule="auto" w:before="89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
              </w:rPr>
              <w:t> </w:t>
            </w:r>
            <w:r>
              <w:rPr/>
              <w:t>重要事项</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0762" w:val="right" w:leader="dot"/>
            </w:tabs>
            <w:spacing w:line="240" w:lineRule="auto" w:before="316"/>
            <w:ind w:right="0"/>
            <w:jc w:val="left"/>
            <w:rPr>
              <w:rFonts w:ascii="Times New Roman" w:hAnsi="Times New Roman" w:cs="Times New Roman" w:eastAsia="Times New Roman" w:hint="default"/>
              <w:b w:val="0"/>
              <w:bCs w:val="0"/>
            </w:rPr>
          </w:pPr>
          <w:hyperlink w:history="true" w:anchor="_TOC_250003">
            <w:r>
              <w:rPr/>
              <w:t>第九节</w:t>
            </w:r>
            <w:r>
              <w:rPr>
                <w:spacing w:val="-1"/>
              </w:rPr>
              <w:t> </w:t>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
              </w:rPr>
              <w:t> </w:t>
            </w:r>
            <w:r>
              <w:rPr/>
              <w:t>公司债券相关情况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
              </w:rPr>
              <w:t> </w:t>
            </w:r>
            <w:r>
              <w:rPr/>
              <w:t>财务报告</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67" w:footer="979" w:top="1060" w:bottom="1160" w:left="0" w:right="0"/>
        </w:sectPr>
      </w:pPr>
    </w:p>
    <w:p>
      <w:pPr>
        <w:tabs>
          <w:tab w:pos="965" w:val="left" w:leader="none"/>
        </w:tabs>
        <w:spacing w:before="946"/>
        <w:ind w:left="1"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564"/>
        <w:gridCol w:w="698"/>
        <w:gridCol w:w="6308"/>
      </w:tblGrid>
      <w:tr>
        <w:trPr>
          <w:trHeight w:val="402" w:hRule="exact"/>
        </w:trPr>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正元智慧、本公司、公司</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金信软件</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浙江金信软件有限公司，系公司前身，后更名为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浙江正元智慧科技有限公司</w:t>
            </w:r>
            <w:r>
              <w:rPr>
                <w:rFonts w:ascii="Times New Roman" w:hAnsi="Times New Roman" w:cs="Times New Roman" w:eastAsia="Times New Roman" w:hint="default"/>
                <w:sz w:val="18"/>
                <w:szCs w:val="18"/>
              </w:rPr>
              <w:t>"</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正元有限</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浙江正元智慧科技有限公司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杭州正元企业管理咨询有限公司，现为公司控股股东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杭州易康投资管理有限公司，现为公司股东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杭州正浩投资管理有限公司，现为公司股东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博信优选</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博信优选（天津）股权投资基金合伙企业（有限合伙</w:t>
            </w:r>
            <w:r>
              <w:rPr>
                <w:rFonts w:ascii="宋体" w:hAnsi="宋体" w:cs="宋体" w:eastAsia="宋体" w:hint="default"/>
                <w:spacing w:val="-90"/>
                <w:sz w:val="18"/>
                <w:szCs w:val="18"/>
              </w:rPr>
              <w:t>）</w:t>
            </w:r>
            <w:r>
              <w:rPr>
                <w:rFonts w:ascii="宋体" w:hAnsi="宋体" w:cs="宋体" w:eastAsia="宋体" w:hint="default"/>
                <w:sz w:val="18"/>
                <w:szCs w:val="18"/>
              </w:rPr>
              <w:t>，现为公司股东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合力创投</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浙江合力创业投资有限公司，现为公司股东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盈瓯创投</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浙江盈瓯创业投资有限公司，现为公司股东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连连投资</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浙江连连投资有限公司，现为公司股东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青岛金石</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青岛金石灏汭投资有限公司，现为公司股东</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海宁嘉慧</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，现为公司股东</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广西筑波</w:t>
            </w:r>
          </w:p>
        </w:tc>
        <w:tc>
          <w:tcPr>
            <w:tcW w:w="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8"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6"/>
              <w:jc w:val="left"/>
              <w:rPr>
                <w:rFonts w:ascii="宋体" w:hAnsi="宋体" w:cs="宋体" w:eastAsia="宋体" w:hint="default"/>
                <w:sz w:val="18"/>
                <w:szCs w:val="18"/>
              </w:rPr>
            </w:pPr>
            <w:r>
              <w:rPr>
                <w:rFonts w:ascii="宋体" w:hAnsi="宋体" w:cs="宋体" w:eastAsia="宋体" w:hint="default"/>
                <w:spacing w:val="-3"/>
                <w:w w:val="99"/>
                <w:sz w:val="18"/>
                <w:szCs w:val="18"/>
              </w:rPr>
              <w:t>广西筑波智慧科技有限公司（曾用名</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南宁筑波智慧科技有限公司</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），本公司控</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股子公司</w:t>
            </w:r>
          </w:p>
        </w:tc>
      </w:tr>
      <w:tr>
        <w:trPr>
          <w:trHeight w:val="392" w:hRule="exact"/>
        </w:trPr>
        <w:tc>
          <w:tcPr>
            <w:tcW w:w="2564" w:type="dxa"/>
            <w:vMerge/>
            <w:tcBorders>
              <w:left w:val="single" w:sz="4" w:space="0" w:color="000000"/>
              <w:right w:val="single" w:sz="9" w:space="0" w:color="D2D2D2"/>
            </w:tcBorders>
          </w:tcPr>
          <w:p>
            <w:pPr/>
          </w:p>
        </w:tc>
        <w:tc>
          <w:tcPr>
            <w:tcW w:w="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8" w:type="dxa"/>
            <w:vMerge/>
            <w:tcBorders>
              <w:left w:val="single" w:sz="9" w:space="0" w:color="D2D2D2"/>
              <w:bottom w:val="single" w:sz="4" w:space="0" w:color="000000"/>
              <w:right w:val="single" w:sz="4" w:space="0" w:color="000000"/>
            </w:tcBorders>
          </w:tcPr>
          <w:p>
            <w:pP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青岛天高智慧科技有限公司，本公司控股子公司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南昌正元</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南昌正元智慧科技有限公司，本公司控股子公司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正元数据</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浙江正元数据系统工程有限公司，本公司控股子公司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杭州容博</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杭州容博教育科技有限公司，本公司控股子公司</w:t>
            </w:r>
          </w:p>
        </w:tc>
      </w:tr>
      <w:tr>
        <w:trPr>
          <w:trHeight w:val="161" w:hRule="exact"/>
        </w:trPr>
        <w:tc>
          <w:tcPr>
            <w:tcW w:w="2564"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浙江云马</w:t>
            </w:r>
          </w:p>
        </w:tc>
        <w:tc>
          <w:tcPr>
            <w:tcW w:w="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8"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6"/>
              <w:jc w:val="left"/>
              <w:rPr>
                <w:rFonts w:ascii="宋体" w:hAnsi="宋体" w:cs="宋体" w:eastAsia="宋体" w:hint="default"/>
                <w:sz w:val="18"/>
                <w:szCs w:val="18"/>
              </w:rPr>
            </w:pPr>
            <w:r>
              <w:rPr>
                <w:rFonts w:ascii="宋体" w:hAnsi="宋体" w:cs="宋体" w:eastAsia="宋体" w:hint="default"/>
                <w:spacing w:val="-3"/>
                <w:w w:val="99"/>
                <w:sz w:val="18"/>
                <w:szCs w:val="18"/>
              </w:rPr>
              <w:t>浙江云马智慧科技有限公司（曾用名</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杭州捷卡智慧科技有限公司</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），本公司控</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股子公司</w:t>
            </w:r>
          </w:p>
        </w:tc>
      </w:tr>
      <w:tr>
        <w:trPr>
          <w:trHeight w:val="392" w:hRule="exact"/>
        </w:trPr>
        <w:tc>
          <w:tcPr>
            <w:tcW w:w="2564" w:type="dxa"/>
            <w:vMerge/>
            <w:tcBorders>
              <w:left w:val="single" w:sz="4" w:space="0" w:color="000000"/>
              <w:right w:val="single" w:sz="9" w:space="0" w:color="D2D2D2"/>
            </w:tcBorders>
          </w:tcPr>
          <w:p>
            <w:pPr/>
          </w:p>
        </w:tc>
        <w:tc>
          <w:tcPr>
            <w:tcW w:w="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vMerge/>
            <w:tcBorders>
              <w:left w:val="single" w:sz="9" w:space="0" w:color="D2D2D2"/>
              <w:right w:val="single" w:sz="4" w:space="0" w:color="000000"/>
            </w:tcBorders>
          </w:tcPr>
          <w:p>
            <w:pPr/>
          </w:p>
        </w:tc>
      </w:tr>
      <w:tr>
        <w:trPr>
          <w:trHeight w:val="161" w:hRule="exact"/>
        </w:trPr>
        <w:tc>
          <w:tcPr>
            <w:tcW w:w="2564" w:type="dxa"/>
            <w:vMerge/>
            <w:tcBorders>
              <w:left w:val="single" w:sz="4" w:space="0" w:color="000000"/>
              <w:bottom w:val="single" w:sz="4" w:space="0" w:color="000000"/>
              <w:right w:val="single" w:sz="9" w:space="0" w:color="D2D2D2"/>
            </w:tcBorders>
          </w:tcPr>
          <w:p>
            <w:pPr/>
          </w:p>
        </w:tc>
        <w:tc>
          <w:tcPr>
            <w:tcW w:w="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8" w:type="dxa"/>
            <w:vMerge/>
            <w:tcBorders>
              <w:left w:val="single" w:sz="9" w:space="0" w:color="D2D2D2"/>
              <w:bottom w:val="single" w:sz="4" w:space="0" w:color="000000"/>
              <w:right w:val="single" w:sz="4" w:space="0" w:color="000000"/>
            </w:tcBorders>
          </w:tcPr>
          <w:p>
            <w:pP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福建正元</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福建正元智慧信息科技有限公司，本公司控股子公司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四川正元</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四川正元智慧科技有限公司，本公司控股子公司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正元曦客</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浙江正元曦客科技有限公司，本公司控股子公司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浙江校云</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浙江校云智慧科技有限公司，本公司控股子公司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无锡汇众智慧科技有限公司，本公司参股公司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重庆汇贤优策科技股份有限公司，本公司参股公司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卓然实业</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杭州卓然实业有限公司，本公司参股公司</w:t>
            </w:r>
          </w:p>
        </w:tc>
      </w:tr>
      <w:tr>
        <w:trPr>
          <w:trHeight w:val="402" w:hRule="exact"/>
        </w:trPr>
        <w:tc>
          <w:tcPr>
            <w:tcW w:w="25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正元医疗</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63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杭州正元医疗器械有限公司，陈坚控股公司</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2.2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709"/>
                    <w:gridCol w:w="6309"/>
                  </w:tblGrid>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社区</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某一固定的地理区域范围内的社会团体，其成员有着共同的兴趣，彼此认识且互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相来往，行使社会功能，创造社会规范，形成特有的价值体系和事业。包括四个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要素：（</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）人民（</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）地方或地理疆界（</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）社会互动（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）社区认同</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一卡通系统在校园内的应用形态，实现学生、教师及职工的</w:t>
                        </w:r>
                        <w:r>
                          <w:rPr>
                            <w:rFonts w:ascii="Times New Roman" w:hAnsi="Times New Roman" w:cs="Times New Roman" w:eastAsia="Times New Roman" w:hint="default"/>
                            <w:sz w:val="18"/>
                            <w:szCs w:val="18"/>
                          </w:rPr>
                          <w:t>"</w:t>
                        </w:r>
                        <w:r>
                          <w:rPr>
                            <w:rFonts w:ascii="宋体" w:hAnsi="宋体" w:cs="宋体" w:eastAsia="宋体" w:hint="default"/>
                            <w:sz w:val="18"/>
                            <w:szCs w:val="18"/>
                          </w:rPr>
                          <w:t>一卡在手，走遍校 园，一卡通用，一卡多用</w:t>
                        </w:r>
                        <w:r>
                          <w:rPr>
                            <w:rFonts w:ascii="Times New Roman" w:hAnsi="Times New Roman" w:cs="Times New Roman" w:eastAsia="Times New Roman" w:hint="default"/>
                            <w:sz w:val="18"/>
                            <w:szCs w:val="18"/>
                          </w:rPr>
                          <w:t>"</w:t>
                        </w:r>
                      </w:p>
                    </w:tc>
                  </w:tr>
                  <w:tr>
                    <w:trPr>
                      <w:trHeight w:val="227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5"/>
                          <w:jc w:val="both"/>
                          <w:rPr>
                            <w:rFonts w:ascii="宋体" w:hAnsi="宋体" w:cs="宋体" w:eastAsia="宋体" w:hint="default"/>
                            <w:sz w:val="18"/>
                            <w:szCs w:val="18"/>
                          </w:rPr>
                        </w:pPr>
                        <w:r>
                          <w:rPr>
                            <w:rFonts w:ascii="宋体" w:hAnsi="宋体" w:cs="宋体" w:eastAsia="宋体" w:hint="default"/>
                            <w:spacing w:val="-2"/>
                            <w:sz w:val="18"/>
                            <w:szCs w:val="18"/>
                          </w:rPr>
                          <w:t>是校园信息化建设的高级阶段，以数字化信息和网络为基础，在计算机和网络技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术上建立起来的对教学、科研、管理、技术服务、生活服务等校园信息的收集、 </w:t>
                        </w:r>
                        <w:r>
                          <w:rPr>
                            <w:rFonts w:ascii="宋体" w:hAnsi="宋体" w:cs="宋体" w:eastAsia="宋体" w:hint="default"/>
                            <w:spacing w:val="-2"/>
                            <w:sz w:val="18"/>
                            <w:szCs w:val="18"/>
                          </w:rPr>
                          <w:t>处理、整合、存储、传输和应用，使数字资源得到充分优化。利用一种虚拟教育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环境，通过实现从环境、资源到应用的全部数字化，在传统校园基础上构建一个</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数字空间，以拓展现实校园的时间和空间维度，提升传统校园的运行效率，扩展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传统校园的业务功能，最终实现教育过程的全面信息化，从而达到提高管理水平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和效率的目的</w:t>
                        </w:r>
                      </w:p>
                    </w:tc>
                  </w:tr>
                  <w:tr>
                    <w:trPr>
                      <w:trHeight w:val="133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TheInternetofthings</w:t>
                        </w:r>
                        <w:r>
                          <w:rPr>
                            <w:rFonts w:ascii="宋体" w:hAnsi="宋体" w:cs="宋体" w:eastAsia="宋体" w:hint="default"/>
                            <w:spacing w:val="-4"/>
                            <w:w w:val="99"/>
                            <w:sz w:val="18"/>
                            <w:szCs w:val="18"/>
                          </w:rPr>
                          <w:t>，即物物相连的互联网，通过射频识别（</w:t>
                        </w:r>
                        <w:r>
                          <w:rPr>
                            <w:rFonts w:ascii="Times New Roman" w:hAnsi="Times New Roman" w:cs="Times New Roman" w:eastAsia="Times New Roman" w:hint="default"/>
                            <w:spacing w:val="-4"/>
                            <w:w w:val="99"/>
                            <w:sz w:val="18"/>
                            <w:szCs w:val="18"/>
                          </w:rPr>
                          <w:t>RFID</w:t>
                        </w:r>
                        <w:r>
                          <w:rPr>
                            <w:rFonts w:ascii="宋体" w:hAnsi="宋体" w:cs="宋体" w:eastAsia="宋体" w:hint="default"/>
                            <w:spacing w:val="-4"/>
                            <w:w w:val="99"/>
                            <w:sz w:val="18"/>
                            <w:szCs w:val="18"/>
                          </w:rPr>
                          <w:t>）、红外感应器</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pacing w:val="-2"/>
                            <w:sz w:val="18"/>
                            <w:szCs w:val="18"/>
                          </w:rPr>
                          <w:t>全球定位系统、激光扫描器等信息传感设备，按约定的协议，把任何物体与互联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网相连接，进行信息交换和通信，以实现对物体的智能化识别、定位、跟踪、监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控和管理的一种网络</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数字化校园结合物联网技术所形成的高端校园信息化形态</w:t>
                        </w:r>
                      </w:p>
                    </w:tc>
                  </w:tr>
                  <w:tr>
                    <w:trPr>
                      <w:trHeight w:val="165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指充分借助物联网、传感网，运用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、信息技术等，使城市的关键基础设施 </w:t>
                        </w:r>
                        <w:r>
                          <w:rPr>
                            <w:rFonts w:ascii="宋体" w:hAnsi="宋体" w:cs="宋体" w:eastAsia="宋体" w:hint="default"/>
                            <w:spacing w:val="-4"/>
                            <w:sz w:val="18"/>
                            <w:szCs w:val="18"/>
                          </w:rPr>
                          <w:t>通过组成服务，使城市的服务更有效，为市民提供人与社会、人与人的和谐共处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涉及到智能楼宇、智能家居、路网监控、智能医院等数字生活等诸多领域，构建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城市发展的智慧环境，形成基于海量信息和智能过滤处理的新的生活、产业发展</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社会管理等模式，面向未来构建全新的城市形态</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带有微处理器芯片的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卡，也称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CMMI</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CapabilityMaturityModelIntegration</w:t>
                        </w:r>
                        <w:r>
                          <w:rPr>
                            <w:rFonts w:ascii="宋体" w:hAnsi="宋体" w:cs="宋体" w:eastAsia="宋体" w:hint="default"/>
                            <w:sz w:val="18"/>
                            <w:szCs w:val="18"/>
                          </w:rPr>
                          <w:t>（软件能力成熟度模型集成）的简称，其目的</w:t>
                        </w:r>
                        <w:r>
                          <w:rPr>
                            <w:rFonts w:ascii="宋体" w:hAnsi="宋体" w:cs="宋体" w:eastAsia="宋体" w:hint="default"/>
                            <w:w w:val="99"/>
                            <w:sz w:val="18"/>
                            <w:szCs w:val="18"/>
                          </w:rPr>
                          <w:t> </w:t>
                        </w:r>
                        <w:r>
                          <w:rPr>
                            <w:rFonts w:ascii="宋体" w:hAnsi="宋体" w:cs="宋体" w:eastAsia="宋体" w:hint="default"/>
                            <w:spacing w:val="-2"/>
                            <w:sz w:val="18"/>
                            <w:szCs w:val="18"/>
                          </w:rPr>
                          <w:t>是帮助软件企业对软件工程过程进行管理和改进，增强开发与改进能力，从而能</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按时地、不超预算地开发出高质量的软件</w:t>
                        </w:r>
                      </w:p>
                    </w:tc>
                  </w:tr>
                  <w:tr>
                    <w:trPr>
                      <w:trHeight w:val="133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Cloudcomputing</w:t>
                        </w:r>
                        <w:r>
                          <w:rPr>
                            <w:rFonts w:ascii="宋体" w:hAnsi="宋体" w:cs="宋体" w:eastAsia="宋体" w:hint="default"/>
                            <w:sz w:val="18"/>
                            <w:szCs w:val="18"/>
                          </w:rPr>
                          <w:t>，是基于互联网的相关服务的增加、使用和交付模式，通常涉及 </w:t>
                        </w:r>
                        <w:r>
                          <w:rPr>
                            <w:rFonts w:ascii="宋体" w:hAnsi="宋体" w:cs="宋体" w:eastAsia="宋体" w:hint="default"/>
                            <w:spacing w:val="-5"/>
                            <w:sz w:val="18"/>
                            <w:szCs w:val="18"/>
                          </w:rPr>
                          <w:t>通过互联网来提供动态易扩展且经常是虚拟化的资源，是分布式计算、并行计算</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效用计算、网络存储、虚拟化、负载均衡、热备份冗余等传统计算机和网络技术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发展融合的产物</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BigData</w:t>
                        </w:r>
                        <w:r>
                          <w:rPr>
                            <w:rFonts w:ascii="宋体" w:hAnsi="宋体" w:cs="宋体" w:eastAsia="宋体" w:hint="default"/>
                            <w:sz w:val="18"/>
                            <w:szCs w:val="18"/>
                          </w:rPr>
                          <w:t>，或称巨量资料，指的是所涉及的资料量规模巨大到无法通过目前主流</w:t>
                        </w:r>
                        <w:r>
                          <w:rPr>
                            <w:rFonts w:ascii="宋体" w:hAnsi="宋体" w:cs="宋体" w:eastAsia="宋体" w:hint="default"/>
                            <w:w w:val="99"/>
                            <w:sz w:val="18"/>
                            <w:szCs w:val="18"/>
                          </w:rPr>
                          <w:t> </w:t>
                        </w:r>
                        <w:r>
                          <w:rPr>
                            <w:rFonts w:ascii="宋体" w:hAnsi="宋体" w:cs="宋体" w:eastAsia="宋体" w:hint="default"/>
                            <w:spacing w:val="-2"/>
                            <w:sz w:val="18"/>
                            <w:szCs w:val="18"/>
                          </w:rPr>
                          <w:t>软件工具，在合理时间内达到撷取、管理、处理、并整理成为帮助企业经营决策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更积极目的的资讯</w:t>
                        </w:r>
                      </w:p>
                    </w:tc>
                  </w:tr>
                  <w:tr>
                    <w:trPr>
                      <w:trHeight w:val="133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二次开发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二次开发就是在现有软件产品的基础上，针对客户的个性化需求进行的开发，一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般是由软件产品的开发厂商进行，或由厂商提供二次开发接口和源码，由第三方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来进行。不同于完全的定制开发，二次开发不是从头开放，是在已有软件的基础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上进行的</w:t>
                        </w:r>
                      </w:p>
                    </w:tc>
                  </w:tr>
                  <w:tr>
                    <w:trPr>
                      <w:trHeight w:val="1299"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建筑智能化</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是现代建筑技术与通讯技术相结合的产物，它的技术基础是现代化建筑技术</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Architectur</w:t>
                        </w:r>
                        <w:r>
                          <w:rPr>
                            <w:rFonts w:ascii="Times New Roman" w:hAnsi="Times New Roman" w:cs="Times New Roman" w:eastAsia="Times New Roman" w:hint="default"/>
                            <w:spacing w:val="1"/>
                            <w:sz w:val="18"/>
                            <w:szCs w:val="18"/>
                          </w:rPr>
                          <w:t>e</w:t>
                        </w:r>
                        <w:r>
                          <w:rPr>
                            <w:rFonts w:ascii="宋体" w:hAnsi="宋体" w:cs="宋体" w:eastAsia="宋体" w:hint="default"/>
                            <w:spacing w:val="-92"/>
                            <w:sz w:val="18"/>
                            <w:szCs w:val="18"/>
                          </w:rPr>
                          <w:t>）</w:t>
                        </w:r>
                        <w:r>
                          <w:rPr>
                            <w:rFonts w:ascii="宋体" w:hAnsi="宋体" w:cs="宋体" w:eastAsia="宋体" w:hint="default"/>
                            <w:sz w:val="18"/>
                            <w:szCs w:val="18"/>
                          </w:rPr>
                          <w:t>、现代控制技术（</w:t>
                        </w:r>
                        <w:r>
                          <w:rPr>
                            <w:rFonts w:ascii="Times New Roman" w:hAnsi="Times New Roman" w:cs="Times New Roman" w:eastAsia="Times New Roman" w:hint="default"/>
                            <w:sz w:val="18"/>
                            <w:szCs w:val="18"/>
                          </w:rPr>
                          <w:t>Control</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计算机技术（</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puter</w:t>
                        </w:r>
                        <w:r>
                          <w:rPr>
                            <w:rFonts w:ascii="宋体" w:hAnsi="宋体" w:cs="宋体" w:eastAsia="宋体" w:hint="default"/>
                            <w:spacing w:val="-90"/>
                            <w:sz w:val="18"/>
                            <w:szCs w:val="18"/>
                          </w:rPr>
                          <w:t>）</w:t>
                        </w:r>
                        <w:r>
                          <w:rPr>
                            <w:rFonts w:ascii="宋体" w:hAnsi="宋体" w:cs="宋体" w:eastAsia="宋体" w:hint="default"/>
                            <w:sz w:val="18"/>
                            <w:szCs w:val="18"/>
                          </w:rPr>
                          <w:t>、通讯技术</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Communication</w:t>
                        </w:r>
                        <w:r>
                          <w:rPr>
                            <w:rFonts w:ascii="宋体" w:hAnsi="宋体" w:cs="宋体" w:eastAsia="宋体" w:hint="default"/>
                            <w:spacing w:val="-5"/>
                            <w:w w:val="99"/>
                            <w:sz w:val="18"/>
                            <w:szCs w:val="18"/>
                          </w:rPr>
                          <w:t>）、图像显示技术（</w:t>
                        </w:r>
                        <w:r>
                          <w:rPr>
                            <w:rFonts w:ascii="Times New Roman" w:hAnsi="Times New Roman" w:cs="Times New Roman" w:eastAsia="Times New Roman" w:hint="default"/>
                            <w:spacing w:val="-5"/>
                            <w:w w:val="99"/>
                            <w:sz w:val="18"/>
                            <w:szCs w:val="18"/>
                          </w:rPr>
                          <w:t>CRT</w:t>
                        </w:r>
                        <w:r>
                          <w:rPr>
                            <w:rFonts w:ascii="宋体" w:hAnsi="宋体" w:cs="宋体" w:eastAsia="宋体" w:hint="default"/>
                            <w:spacing w:val="-5"/>
                            <w:w w:val="99"/>
                            <w:sz w:val="18"/>
                            <w:szCs w:val="18"/>
                          </w:rPr>
                          <w:t>），即所谓的</w:t>
                        </w:r>
                        <w:r>
                          <w:rPr>
                            <w:rFonts w:ascii="Times New Roman" w:hAnsi="Times New Roman" w:cs="Times New Roman" w:eastAsia="Times New Roman" w:hint="default"/>
                            <w:spacing w:val="-5"/>
                            <w:w w:val="99"/>
                            <w:sz w:val="18"/>
                            <w:szCs w:val="18"/>
                          </w:rPr>
                          <w:t>"A+4C"</w:t>
                        </w:r>
                        <w:r>
                          <w:rPr>
                            <w:rFonts w:ascii="宋体" w:hAnsi="宋体" w:cs="宋体" w:eastAsia="宋体" w:hint="default"/>
                            <w:spacing w:val="-5"/>
                            <w:w w:val="99"/>
                            <w:sz w:val="18"/>
                            <w:szCs w:val="18"/>
                          </w:rPr>
                          <w:t>技术。</w:t>
                        </w:r>
                        <w:r>
                          <w:rPr>
                            <w:rFonts w:ascii="Times New Roman" w:hAnsi="Times New Roman" w:cs="Times New Roman" w:eastAsia="Times New Roman" w:hint="default"/>
                            <w:spacing w:val="-5"/>
                            <w:w w:val="99"/>
                            <w:sz w:val="18"/>
                            <w:szCs w:val="18"/>
                          </w:rPr>
                          <w:t>"A+4C"</w:t>
                        </w:r>
                        <w:r>
                          <w:rPr>
                            <w:rFonts w:ascii="宋体" w:hAnsi="宋体" w:cs="宋体" w:eastAsia="宋体" w:hint="default"/>
                            <w:spacing w:val="-5"/>
                            <w:w w:val="99"/>
                            <w:sz w:val="18"/>
                            <w:szCs w:val="18"/>
                          </w:rPr>
                          <w:t>的发</w:t>
                        </w:r>
                        <w:r>
                          <w:rPr>
                            <w:rFonts w:ascii="宋体" w:hAnsi="宋体" w:cs="宋体" w:eastAsia="宋体" w:hint="default"/>
                            <w:spacing w:val="-64"/>
                            <w:w w:val="99"/>
                            <w:sz w:val="18"/>
                            <w:szCs w:val="18"/>
                          </w:rPr>
                          <w:t> </w:t>
                        </w:r>
                        <w:r>
                          <w:rPr>
                            <w:rFonts w:ascii="宋体" w:hAnsi="宋体" w:cs="宋体" w:eastAsia="宋体" w:hint="default"/>
                            <w:spacing w:val="-2"/>
                            <w:sz w:val="18"/>
                            <w:szCs w:val="18"/>
                          </w:rPr>
                          <w:t>展，推动着智能建筑不断向集成化发展的进程，并在一些现代化建筑中形成一种</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44"/>
        <w:ind w:left="0" w:right="1137" w:firstLine="0"/>
        <w:jc w:val="right"/>
        <w:rPr>
          <w:rFonts w:ascii="宋体" w:hAnsi="宋体" w:cs="宋体" w:eastAsia="宋体" w:hint="default"/>
          <w:sz w:val="18"/>
          <w:szCs w:val="18"/>
        </w:rPr>
      </w:pPr>
      <w:r>
        <w:rPr/>
        <w:pict>
          <v:shape style="position:absolute;margin-left:56.459999pt;margin-top:-65.728302pt;width:479.25pt;height:282.0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709"/>
                    <w:gridCol w:w="6309"/>
                  </w:tblGrid>
                  <w:tr>
                    <w:trPr>
                      <w:trHeight w:val="986" w:hRule="exact"/>
                    </w:trPr>
                    <w:tc>
                      <w:tcPr>
                        <w:tcW w:w="255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2"/>
                          <w:jc w:val="both"/>
                          <w:rPr>
                            <w:rFonts w:ascii="宋体" w:hAnsi="宋体" w:cs="宋体" w:eastAsia="宋体" w:hint="default"/>
                            <w:sz w:val="18"/>
                            <w:szCs w:val="18"/>
                          </w:rPr>
                        </w:pPr>
                        <w:r>
                          <w:rPr>
                            <w:rFonts w:ascii="宋体" w:hAnsi="宋体" w:cs="宋体" w:eastAsia="宋体" w:hint="default"/>
                            <w:spacing w:val="-3"/>
                            <w:sz w:val="18"/>
                            <w:szCs w:val="18"/>
                          </w:rPr>
                          <w:t>崭新形式的建筑弱电系统（建筑智能化系统），从而实现信息资源的共享和任务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的综合管理，充分体现智能建筑投资合理、安全、高效、舒适、便利、灵活的特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点</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宋体" w:hAnsi="宋体" w:cs="宋体" w:eastAsia="宋体" w:hint="default"/>
                            <w:sz w:val="18"/>
                            <w:szCs w:val="18"/>
                          </w:rPr>
                          <w:t>（</w:t>
                        </w:r>
                        <w:r>
                          <w:rPr>
                            <w:rFonts w:ascii="Times New Roman" w:hAnsi="Times New Roman" w:cs="Times New Roman" w:eastAsia="Times New Roman" w:hint="default"/>
                            <w:sz w:val="18"/>
                            <w:szCs w:val="18"/>
                          </w:rPr>
                          <w:t>Pointofsales</w:t>
                        </w:r>
                        <w:r>
                          <w:rPr>
                            <w:rFonts w:ascii="宋体" w:hAnsi="宋体" w:cs="宋体" w:eastAsia="宋体" w:hint="default"/>
                            <w:sz w:val="18"/>
                            <w:szCs w:val="18"/>
                          </w:rPr>
                          <w:t>）的中文意思是</w:t>
                        </w:r>
                        <w:r>
                          <w:rPr>
                            <w:rFonts w:ascii="Times New Roman" w:hAnsi="Times New Roman" w:cs="Times New Roman" w:eastAsia="Times New Roman" w:hint="default"/>
                            <w:sz w:val="18"/>
                            <w:szCs w:val="18"/>
                          </w:rPr>
                          <w:t>"</w:t>
                        </w:r>
                        <w:r>
                          <w:rPr>
                            <w:rFonts w:ascii="宋体" w:hAnsi="宋体" w:cs="宋体" w:eastAsia="宋体" w:hint="default"/>
                            <w:sz w:val="18"/>
                            <w:szCs w:val="18"/>
                          </w:rPr>
                          <w:t>销售终端</w:t>
                        </w:r>
                        <w:r>
                          <w:rPr>
                            <w:rFonts w:ascii="Times New Roman" w:hAnsi="Times New Roman" w:cs="Times New Roman" w:eastAsia="Times New Roman" w:hint="default"/>
                            <w:sz w:val="18"/>
                            <w:szCs w:val="18"/>
                          </w:rPr>
                          <w:t>"</w:t>
                        </w:r>
                        <w:r>
                          <w:rPr>
                            <w:rFonts w:ascii="宋体" w:hAnsi="宋体" w:cs="宋体" w:eastAsia="宋体" w:hint="default"/>
                            <w:sz w:val="18"/>
                            <w:szCs w:val="18"/>
                          </w:rPr>
                          <w:t>，把它安装在信用卡的特约商户和 </w:t>
                        </w:r>
                        <w:r>
                          <w:rPr>
                            <w:rFonts w:ascii="宋体" w:hAnsi="宋体" w:cs="宋体" w:eastAsia="宋体" w:hint="default"/>
                            <w:spacing w:val="-4"/>
                            <w:sz w:val="18"/>
                            <w:szCs w:val="18"/>
                          </w:rPr>
                          <w:t>受理网点中，与计算机连成网络，就能实现电子资金自动转账，它具有支持消费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预授权、余额查询和转账等功能，使用起来安全、快捷、可靠</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圈存</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圈存是指持卡人将其银行账户上的资金转入其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卡电子钱包账户中的过程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浙江正元智慧科技股份有限公司章程</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浙江正元智慧科技股份有限公司股东大会</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浙江正元智慧科技股份有限公司董事会</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浙江正元智慧科技股份有限公司监事会</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上年同期、上期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04" w:right="0"/>
        <w:jc w:val="left"/>
        <w:rPr>
          <w:b w:val="0"/>
          <w:bCs w:val="0"/>
        </w:rPr>
      </w:pPr>
      <w:bookmarkStart w:name="_TOC_250010" w:id="3"/>
      <w:bookmarkStart w:name="第二节公司简介和主要财务指标" w:id="4"/>
      <w:r>
        <w:rPr>
          <w:b w:val="0"/>
          <w:bCs w:val="0"/>
        </w:rPr>
      </w:r>
      <w:r>
        <w:rPr/>
        <w:t>第二节公司简介和主要财务指标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05.735657pt;width:361.5pt;height:19.650pt;mso-position-horizontal-relative:page;mso-position-vertical-relative:paragraph;z-index:-949936" coordorigin="3447,2115" coordsize="7230,393">
            <v:shape style="position:absolute;left:3447;top:2115;width:7230;height:393" coordorigin="3447,2115" coordsize="7230,393" path="m3447,2507l10676,2507,10676,2115,3447,2115,3447,2507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12"/>
          <w:szCs w:val="12"/>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正元智慧</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300645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正元智慧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ZHEJIANGZHENGYUANZHIHUITECHNOLOGYCO.,LTD.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ZHENGYUANZHIHUI</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陈坚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杭州市余杭区文一西路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311121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杭州市文一西路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号海创园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3"/>
                <w:sz w:val="18"/>
              </w:rPr>
              <w:t>311121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http://www.hzsun.com/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ir@hzsun.com</w:t>
              </w:r>
            </w:hyperlink>
          </w:p>
        </w:tc>
      </w:tr>
    </w:tbl>
    <w:p>
      <w:pPr>
        <w:spacing w:line="240" w:lineRule="auto" w:before="13"/>
        <w:rPr>
          <w:rFonts w:ascii="宋体" w:hAnsi="宋体" w:cs="宋体" w:eastAsia="宋体" w:hint="default"/>
          <w:b/>
          <w:bCs/>
          <w:sz w:val="6"/>
          <w:szCs w:val="6"/>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12"/>
          <w:szCs w:val="12"/>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周军辉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姚春梅</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号海创园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杭州市文一西路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号海创园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0571-88994988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0571-88994988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0571-88994793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0571-88994793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hyperlink r:id="rId11">
              <w:r>
                <w:rPr>
                  <w:rFonts w:ascii="Times New Roman"/>
                  <w:sz w:val="18"/>
                </w:rPr>
                <w:t>ir@hzsun.com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ir@hzsun.com</w:t>
              </w:r>
            </w:hyperlink>
          </w:p>
        </w:tc>
      </w:tr>
    </w:tbl>
    <w:p>
      <w:pPr>
        <w:spacing w:line="240" w:lineRule="auto" w:before="12"/>
        <w:rPr>
          <w:rFonts w:ascii="宋体" w:hAnsi="宋体" w:cs="宋体" w:eastAsia="宋体" w:hint="default"/>
          <w:b/>
          <w:bCs/>
          <w:sz w:val="6"/>
          <w:szCs w:val="6"/>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12"/>
          <w:szCs w:val="12"/>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2"/>
        <w:rPr>
          <w:rFonts w:ascii="宋体" w:hAnsi="宋体" w:cs="宋体" w:eastAsia="宋体" w:hint="default"/>
          <w:b/>
          <w:bCs/>
          <w:sz w:val="6"/>
          <w:szCs w:val="6"/>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before="169"/>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胡燕华、罗衡</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黄新炎、金田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1"/>
        <w:rPr>
          <w:rFonts w:ascii="宋体" w:hAnsi="宋体" w:cs="宋体" w:eastAsia="宋体" w:hint="default"/>
          <w:sz w:val="12"/>
          <w:szCs w:val="12"/>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before="169"/>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448,922,268.58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363,371,772.32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319,825,449.20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41,968,856.74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45,750,858.31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33,449,692.34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38,668,528.08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35,822,179.76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24,478,682.75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-40,020,741.39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15,398,971.27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-359.89%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3,341,618.00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818,488,938.16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571,279,224.90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510,172,727.43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544,406,054.04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343,136,610.09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295,787,110.70</w:t>
            </w:r>
          </w:p>
        </w:tc>
      </w:tr>
    </w:tbl>
    <w:p>
      <w:pPr>
        <w:spacing w:line="240" w:lineRule="auto" w:before="12"/>
        <w:rPr>
          <w:rFonts w:ascii="宋体" w:hAnsi="宋体" w:cs="宋体" w:eastAsia="宋体" w:hint="default"/>
          <w:sz w:val="6"/>
          <w:szCs w:val="6"/>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7"/>
        <w:rPr>
          <w:rFonts w:ascii="宋体" w:hAnsi="宋体" w:cs="宋体" w:eastAsia="宋体" w:hint="default"/>
          <w:b/>
          <w:bCs/>
          <w:sz w:val="9"/>
          <w:szCs w:val="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52,190,131.86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81,979,547.91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94,777,817.47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219,974,771.34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-4,692,412.74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2,837,963.86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3,759,397.47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40,063,908.15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-4,732,303.49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2,518,009.03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2,822,918.14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38,059,904.40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-80,458,882.80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-38,965,866.91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-27,698,965.99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107,102,974.31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16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公司报告期不存在按照境外会计准则与按照中国会计准则披露的财务报告中净利润和净资产差异情况。</w:t>
      </w:r>
    </w:p>
    <w:p>
      <w:pPr>
        <w:pStyle w:val="Heading2"/>
        <w:spacing w:line="240" w:lineRule="auto" w:before="106"/>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7"/>
        <w:rPr>
          <w:rFonts w:ascii="宋体" w:hAnsi="宋体" w:cs="宋体" w:eastAsia="宋体" w:hint="default"/>
          <w:b/>
          <w:bCs/>
          <w:sz w:val="9"/>
          <w:szCs w:val="9"/>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50,570.43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189,464.19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247,535.04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160,157.65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2,156,009.70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10,082,150.87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10,381,400.00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54"/>
              <w:jc w:val="both"/>
              <w:rPr>
                <w:rFonts w:ascii="宋体" w:hAnsi="宋体" w:cs="宋体" w:eastAsia="宋体" w:hint="default"/>
                <w:sz w:val="18"/>
                <w:szCs w:val="18"/>
              </w:rPr>
            </w:pPr>
            <w:r>
              <w:rPr>
                <w:rFonts w:ascii="宋体" w:hAnsi="宋体" w:cs="宋体" w:eastAsia="宋体" w:hint="default"/>
                <w:sz w:val="18"/>
                <w:szCs w:val="18"/>
              </w:rPr>
              <w:t>除增值税软件退税外 的政府补助、财政贴 息</w:t>
            </w:r>
          </w:p>
        </w:tc>
      </w:tr>
      <w:tr>
        <w:trPr>
          <w:trHeight w:val="162"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1,737,868.90</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购买理财产品利息收 入</w:t>
            </w:r>
          </w:p>
        </w:tc>
      </w:tr>
      <w:tr>
        <w:trPr>
          <w:trHeight w:val="391"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1,378,021.26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5,465.28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-587,699.25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-17,872.99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414,419.24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1,017,297.80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1,609,707.80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185,681.47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224,602.00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132,431.46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3,300,328.66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9,928,678.55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8,971,009.59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302" w:lineRule="auto" w:before="103"/>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9" w:id="15"/>
      <w:bookmarkStart w:name="第三节公司业务概要" w:id="16"/>
      <w:r>
        <w:rPr>
          <w:b w:val="0"/>
          <w:bCs w:val="0"/>
        </w:rPr>
      </w:r>
      <w:r>
        <w:rPr/>
        <w:t>第三节公司业务概要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7"/>
        <w:ind w:left="1134" w:right="1109" w:firstLine="420"/>
        <w:jc w:val="both"/>
      </w:pPr>
      <w:r>
        <w:rPr>
          <w:spacing w:val="-1"/>
        </w:rPr>
        <w:t>公司业务主要以智慧一卡通为基础，积极拓展智慧校园、智慧园区及行业信息化建设及服务，不断推</w:t>
      </w:r>
      <w:r>
        <w:rPr/>
        <w:t> </w:t>
      </w:r>
      <w:r>
        <w:rPr>
          <w:spacing w:val="-1"/>
        </w:rPr>
        <w:t>进校园卡互联网运营服务。报告期内，公司依托于新兴的移动互联网、物联网架构，基于开放共享、智能</w:t>
      </w:r>
      <w:r>
        <w:rPr>
          <w:spacing w:val="-83"/>
        </w:rPr>
        <w:t> </w:t>
      </w:r>
      <w:r>
        <w:rPr>
          <w:spacing w:val="-83"/>
        </w:rPr>
      </w:r>
      <w:r>
        <w:rPr>
          <w:spacing w:val="-1"/>
        </w:rPr>
        <w:t>协同的理念，提供园区的物联网及信息综合服务解决方案，构建园内园外、线上线下的开放平台和应用生</w:t>
      </w:r>
      <w:r>
        <w:rPr>
          <w:spacing w:val="-83"/>
        </w:rPr>
        <w:t> </w:t>
      </w:r>
      <w:r>
        <w:rPr>
          <w:spacing w:val="-83"/>
        </w:rPr>
      </w:r>
      <w:r>
        <w:rPr/>
        <w:t>态，为用户的学习、工作、生活、成长及管理决策提供智慧园区的全场景服务。同时，公司积极向电力、</w:t>
      </w:r>
      <w:r>
        <w:rPr/>
        <w:t> 军警、卫生等其他行业的信息化领域覆盖，形成了综合的信息化管理、服务和运维的行业整体解决方案。</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1、智慧一卡通系统建设" w:id="18"/>
      <w:bookmarkEnd w:id="18"/>
      <w:r>
        <w:rPr>
          <w:b w:val="0"/>
          <w:bCs w:val="0"/>
        </w:rPr>
      </w:r>
      <w:r>
        <w:rPr>
          <w:rFonts w:ascii="宋体" w:hAnsi="宋体" w:cs="宋体" w:eastAsia="宋体" w:hint="default"/>
        </w:rPr>
        <w:t>1</w:t>
      </w:r>
      <w:r>
        <w:rPr/>
        <w:t>、智慧一卡通系统建设</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0" w:firstLine="422"/>
        <w:jc w:val="both"/>
      </w:pPr>
      <w:r>
        <w:rPr>
          <w:spacing w:val="-1"/>
        </w:rPr>
        <w:t>智慧一卡通是基于移动互联网、物联网、生物识别等新技术，研发出的新一代一卡通系统。智慧一卡</w:t>
      </w:r>
      <w:r>
        <w:rPr/>
        <w:t> 通极大地提升了一卡通在各种应用场景下的智能化程度，如：人脸识别支付终端；利用</w:t>
      </w:r>
      <w:r>
        <w:rPr>
          <w:spacing w:val="-59"/>
        </w:rPr>
        <w:t> </w:t>
      </w:r>
      <w:r>
        <w:rPr>
          <w:rFonts w:ascii="宋体" w:hAnsi="宋体" w:cs="宋体" w:eastAsia="宋体" w:hint="default"/>
        </w:rPr>
        <w:t>LORA</w:t>
      </w:r>
      <w:r>
        <w:rPr>
          <w:rFonts w:ascii="宋体" w:hAnsi="宋体" w:cs="宋体" w:eastAsia="宋体" w:hint="default"/>
          <w:spacing w:val="-61"/>
        </w:rPr>
        <w:t> </w:t>
      </w:r>
      <w:r>
        <w:rPr/>
        <w:t>和</w:t>
      </w:r>
      <w:r>
        <w:rPr>
          <w:spacing w:val="-60"/>
        </w:rPr>
        <w:t> </w:t>
      </w:r>
      <w:r>
        <w:rPr>
          <w:rFonts w:ascii="宋体" w:hAnsi="宋体" w:cs="宋体" w:eastAsia="宋体" w:hint="default"/>
        </w:rPr>
        <w:t>NB-IoT</w:t>
      </w:r>
      <w:r>
        <w:rPr>
          <w:rFonts w:ascii="宋体" w:hAnsi="宋体" w:cs="宋体" w:eastAsia="宋体" w:hint="default"/>
          <w:spacing w:val="-59"/>
        </w:rPr>
        <w:t> </w:t>
      </w:r>
      <w:r>
        <w:rPr/>
        <w:t>等 </w:t>
      </w:r>
      <w:r>
        <w:rPr>
          <w:spacing w:val="-1"/>
        </w:rPr>
        <w:t>无线物联技术开发的水控、电控、门锁、门禁考勤等物联网；紧密关联了电子支付、身份识别、自助服务</w:t>
      </w:r>
      <w:r>
        <w:rPr>
          <w:spacing w:val="-83"/>
        </w:rPr>
        <w:t> </w:t>
      </w:r>
      <w:r>
        <w:rPr>
          <w:spacing w:val="-83"/>
        </w:rPr>
      </w:r>
      <w:r>
        <w:rPr/>
        <w:t>等，为持卡人带来更加便捷、高效、安全、协同的现代化生活。</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智慧校园建设" w:id="19"/>
      <w:bookmarkEnd w:id="19"/>
      <w:r>
        <w:rPr>
          <w:b w:val="0"/>
          <w:bCs w:val="0"/>
        </w:rPr>
      </w:r>
      <w:r>
        <w:rPr>
          <w:rFonts w:ascii="Times New Roman" w:hAnsi="Times New Roman" w:cs="Times New Roman" w:eastAsia="Times New Roman" w:hint="default"/>
        </w:rPr>
        <w:t>2</w:t>
      </w:r>
      <w:r>
        <w:rPr/>
        <w:t>、智慧校园建设</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2"/>
        <w:jc w:val="both"/>
      </w:pPr>
      <w:r>
        <w:rPr>
          <w:spacing w:val="-1"/>
        </w:rPr>
        <w:t>公司依托于多年来积累的校园信息化服务及管理系统的经验，以校园智慧化服务为业务基础，主动适</w:t>
      </w:r>
      <w:r>
        <w:rPr/>
        <w:t> </w:t>
      </w:r>
      <w:r>
        <w:rPr>
          <w:spacing w:val="-1"/>
        </w:rPr>
        <w:t>应智慧校园建设的业务新需求、新形态，研发了智慧易通平台，综合运用云计算、物联网、移动互联、大</w:t>
      </w:r>
      <w:r>
        <w:rPr>
          <w:spacing w:val="-83"/>
        </w:rPr>
        <w:t> </w:t>
      </w:r>
      <w:r>
        <w:rPr>
          <w:spacing w:val="-83"/>
        </w:rPr>
      </w:r>
      <w:r>
        <w:rPr>
          <w:spacing w:val="-1"/>
        </w:rPr>
        <w:t>数据、智能感知、商业智能、知识管理、社交网络等新兴信息技术，全面感知校园物理环境，智能识别师</w:t>
      </w:r>
      <w:r>
        <w:rPr>
          <w:spacing w:val="-83"/>
        </w:rPr>
        <w:t> </w:t>
      </w:r>
      <w:r>
        <w:rPr>
          <w:spacing w:val="-83"/>
        </w:rPr>
      </w:r>
      <w:r>
        <w:rPr>
          <w:spacing w:val="-1"/>
        </w:rPr>
        <w:t>生群体的学习、工作情景和个体的特征，将学校物理空间和数字空间有机衔接起来，为师生建立智能开放</w:t>
      </w:r>
      <w:r>
        <w:rPr>
          <w:spacing w:val="-83"/>
        </w:rPr>
        <w:t> </w:t>
      </w:r>
      <w:r>
        <w:rPr>
          <w:spacing w:val="-83"/>
        </w:rPr>
      </w:r>
      <w:r>
        <w:rPr>
          <w:spacing w:val="-1"/>
        </w:rPr>
        <w:t>的教育教学环境和便利舒适的生活环境，改变师生与学校资源、环境的交互方式，实现以人为本的个性化</w:t>
      </w:r>
      <w:r>
        <w:rPr>
          <w:spacing w:val="-83"/>
        </w:rPr>
        <w:t> </w:t>
      </w:r>
      <w:r>
        <w:rPr>
          <w:spacing w:val="-83"/>
        </w:rPr>
      </w:r>
      <w:r>
        <w:rPr/>
        <w:t>创新服务。</w:t>
      </w:r>
    </w:p>
    <w:p>
      <w:pPr>
        <w:pStyle w:val="BodyText"/>
        <w:spacing w:line="408" w:lineRule="auto"/>
        <w:ind w:right="0" w:firstLine="422"/>
        <w:jc w:val="left"/>
      </w:pPr>
      <w:r>
        <w:rPr>
          <w:spacing w:val="-4"/>
        </w:rPr>
        <w:t>除了提供智慧校园的电子支付类、身份识别类、访问控制类、水电节能类、自助服务类、金融服务类、</w:t>
      </w:r>
      <w:r>
        <w:rPr/>
        <w:t> 校园事务类、学生事务类的服务外，还提供了校园数据治理及智慧综合服务管理类的服务，从应用走向服 务，面向管理精细化、人机交互国际化、数据价值最大化，通过信息技术与教育教学实践的深度融合，优 化教学、教研、管理和服务等过程，提高教育教学质量和管理水平，促进师生全面发展。</w:t>
      </w:r>
    </w:p>
    <w:p>
      <w:pPr>
        <w:spacing w:after="0" w:line="408" w:lineRule="auto"/>
        <w:jc w:val="left"/>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智慧园区和行业智慧化建设" w:id="20"/>
      <w:bookmarkEnd w:id="20"/>
      <w:r>
        <w:rPr>
          <w:b w:val="0"/>
          <w:bCs w:val="0"/>
        </w:rPr>
      </w:r>
      <w:r>
        <w:rPr>
          <w:rFonts w:ascii="宋体" w:hAnsi="宋体" w:cs="宋体" w:eastAsia="宋体" w:hint="default"/>
        </w:rPr>
        <w:t>3</w:t>
      </w:r>
      <w:r>
        <w:rPr/>
        <w:t>、智慧园区和行业智慧化建设</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09" w:firstLine="422"/>
        <w:jc w:val="both"/>
      </w:pPr>
      <w:r>
        <w:rPr/>
        <w:t>公司通过综合利用物联网、移动互联网、大数据、云服务及人工智能等技术，积极拓展智慧化应用。 </w:t>
      </w:r>
      <w:r>
        <w:rPr>
          <w:spacing w:val="-1"/>
        </w:rPr>
        <w:t>构建楼宇、园区、行业的智能、智慧综合一体化管控与应用，提供信息智能化、系统集成一体化整体解决</w:t>
      </w:r>
      <w:r>
        <w:rPr>
          <w:spacing w:val="-83"/>
        </w:rPr>
        <w:t> </w:t>
      </w:r>
      <w:r>
        <w:rPr>
          <w:spacing w:val="-83"/>
        </w:rPr>
      </w:r>
      <w:r>
        <w:rPr/>
        <w:t>方案。</w:t>
      </w:r>
    </w:p>
    <w:p>
      <w:pPr>
        <w:pStyle w:val="BodyText"/>
        <w:spacing w:line="408" w:lineRule="auto"/>
        <w:ind w:right="1131" w:firstLine="422"/>
        <w:jc w:val="both"/>
      </w:pPr>
      <w:r>
        <w:rPr>
          <w:spacing w:val="-1"/>
        </w:rPr>
        <w:t>公司构建并实施了国家电网智慧后勤一体化服务平台，在行业内逐步推广和应用。智慧后勤一体化服</w:t>
      </w:r>
      <w:r>
        <w:rPr/>
        <w:t> </w:t>
      </w:r>
      <w:r>
        <w:rPr>
          <w:spacing w:val="-1"/>
        </w:rPr>
        <w:t>务平台是一种服务体系与综合管控的一体化平台，在互联网、物联网技术环境下，充分利用云平台、大数</w:t>
      </w:r>
      <w:r>
        <w:rPr>
          <w:spacing w:val="-86"/>
        </w:rPr>
        <w:t> </w:t>
      </w:r>
      <w:r>
        <w:rPr>
          <w:spacing w:val="-86"/>
        </w:rPr>
      </w:r>
      <w:r>
        <w:rPr/>
        <w:t>据、移动互联等手段，通过一体化的服务门户，实现消费、</w:t>
      </w:r>
      <w:r>
        <w:rPr>
          <w:rFonts w:ascii="宋体" w:hAnsi="宋体" w:cs="宋体" w:eastAsia="宋体" w:hint="default"/>
        </w:rPr>
        <w:t>ERP</w:t>
      </w:r>
      <w:r>
        <w:rPr/>
        <w:t>、健康管理等应用的交互、协同、融合，</w:t>
      </w:r>
      <w:r>
        <w:rPr>
          <w:spacing w:val="-29"/>
        </w:rPr>
        <w:t> </w:t>
      </w:r>
      <w:r>
        <w:rPr>
          <w:spacing w:val="-29"/>
        </w:rPr>
      </w:r>
      <w:r>
        <w:rPr/>
        <w:t>使得用户享受到更为简便、精准的后勤信息化服务体验。</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互联网运营服务" w:id="21"/>
      <w:bookmarkEnd w:id="21"/>
      <w:r>
        <w:rPr>
          <w:b w:val="0"/>
          <w:bCs w:val="0"/>
        </w:rPr>
      </w:r>
      <w:r>
        <w:rPr>
          <w:rFonts w:ascii="宋体" w:hAnsi="宋体" w:cs="宋体" w:eastAsia="宋体" w:hint="default"/>
        </w:rPr>
        <w:t>4</w:t>
      </w:r>
      <w:r>
        <w:rPr/>
        <w:t>、互联网运营服务</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1" w:firstLine="422"/>
        <w:jc w:val="both"/>
      </w:pPr>
      <w:r>
        <w:rPr>
          <w:spacing w:val="-1"/>
        </w:rPr>
        <w:t>公司基于不断拓展的智慧一卡通系统业务，拥有稳定的用户群体和庞大基数的持卡人，公司不断创新</w:t>
      </w:r>
      <w:r>
        <w:rPr/>
        <w:t> </w:t>
      </w:r>
      <w:r>
        <w:rPr>
          <w:spacing w:val="-1"/>
        </w:rPr>
        <w:t>服务形式与内容，积极推进互联网运营服务，采用多种方式将线下应用向线上拓展，不断丰富校付宝线上</w:t>
      </w:r>
      <w:r>
        <w:rPr>
          <w:spacing w:val="-83"/>
        </w:rPr>
        <w:t> </w:t>
      </w:r>
      <w:r>
        <w:rPr>
          <w:spacing w:val="-83"/>
        </w:rPr>
      </w:r>
      <w:r>
        <w:rPr/>
        <w:t>应用，推进学堂里在线教育平台，推出了正元小智</w:t>
      </w:r>
      <w:r>
        <w:rPr>
          <w:spacing w:val="-52"/>
        </w:rPr>
        <w:t> </w:t>
      </w:r>
      <w:r>
        <w:rPr>
          <w:rFonts w:ascii="宋体" w:hAnsi="宋体" w:cs="宋体" w:eastAsia="宋体" w:hint="default"/>
        </w:rPr>
        <w:t>APP</w:t>
      </w:r>
      <w:r>
        <w:rPr/>
        <w:t>。</w:t>
      </w:r>
    </w:p>
    <w:p>
      <w:pPr>
        <w:pStyle w:val="BodyText"/>
        <w:spacing w:line="408" w:lineRule="auto"/>
        <w:ind w:left="1134" w:right="1110" w:firstLine="422"/>
        <w:jc w:val="both"/>
      </w:pPr>
      <w:r>
        <w:rPr/>
        <w:t>校付宝平台是行业领先的增值服务平台。平台接入 </w:t>
      </w:r>
      <w:r>
        <w:rPr>
          <w:rFonts w:ascii="宋体" w:hAnsi="宋体" w:cs="宋体" w:eastAsia="宋体" w:hint="default"/>
        </w:rPr>
        <w:t>30</w:t>
      </w:r>
      <w:r>
        <w:rPr>
          <w:rFonts w:ascii="宋体" w:hAnsi="宋体" w:cs="宋体" w:eastAsia="宋体" w:hint="default"/>
          <w:spacing w:val="-24"/>
        </w:rPr>
        <w:t> </w:t>
      </w:r>
      <w:r>
        <w:rPr/>
        <w:t>家主要银行及支付宝、微信的支付业务，同时 集成移动、联通、电信、支付宝、网易、腾讯及众多厂商的产品与服务，在实现校园卡在线服务的同时， 还能为师生提供专门定制化的话费充值、宽带充值、虚拟产品销售、</w:t>
      </w:r>
      <w:r>
        <w:rPr>
          <w:rFonts w:ascii="宋体" w:hAnsi="宋体" w:cs="宋体" w:eastAsia="宋体" w:hint="default"/>
        </w:rPr>
        <w:t>B2C</w:t>
      </w:r>
      <w:r>
        <w:rPr>
          <w:rFonts w:ascii="宋体" w:hAnsi="宋体" w:cs="宋体" w:eastAsia="宋体" w:hint="default"/>
          <w:spacing w:val="-24"/>
        </w:rPr>
        <w:t> </w:t>
      </w:r>
      <w:r>
        <w:rPr/>
        <w:t>支付、网购代收、电影票代售、 自助消费、本地化生活与消费等校外社会化应用服务。</w:t>
      </w:r>
    </w:p>
    <w:p>
      <w:pPr>
        <w:pStyle w:val="BodyText"/>
        <w:spacing w:line="408" w:lineRule="auto"/>
        <w:ind w:left="1134" w:right="1129" w:firstLine="422"/>
        <w:jc w:val="both"/>
      </w:pPr>
      <w:r>
        <w:rPr>
          <w:spacing w:val="-1"/>
        </w:rPr>
        <w:t>学堂里在线教育平台依托互联网云平台与多媒体传输技术，为教师和学生量身打造功能完善，使用便</w:t>
      </w:r>
      <w:r>
        <w:rPr/>
        <w:t> </w:t>
      </w:r>
      <w:r>
        <w:rPr>
          <w:spacing w:val="-1"/>
        </w:rPr>
        <w:t>捷的在线教育平台。教师和学生可以通过“学堂里”完成开课、选课、购买、上课、评课等操作，将传统</w:t>
      </w:r>
      <w:r>
        <w:rPr>
          <w:spacing w:val="-85"/>
        </w:rPr>
        <w:t> </w:t>
      </w:r>
      <w:r>
        <w:rPr>
          <w:spacing w:val="-85"/>
        </w:rPr>
      </w:r>
      <w:r>
        <w:rPr>
          <w:spacing w:val="-1"/>
        </w:rPr>
        <w:t>的面对面课堂教学移植到“云端”来完成。平台主要功能为在线直播教学、题库练习、错题本、班级社区</w:t>
      </w:r>
      <w:r>
        <w:rPr>
          <w:spacing w:val="-83"/>
        </w:rPr>
        <w:t> </w:t>
      </w:r>
      <w:r>
        <w:rPr>
          <w:spacing w:val="-83"/>
        </w:rPr>
      </w:r>
      <w:r>
        <w:rPr/>
        <w:t>管理、作业管理、资源中心、问答中心、大数据分析等多种服务功能。</w:t>
      </w:r>
    </w:p>
    <w:p>
      <w:pPr>
        <w:pStyle w:val="BodyText"/>
        <w:spacing w:line="408" w:lineRule="auto"/>
        <w:ind w:left="1134" w:right="1131" w:firstLine="422"/>
        <w:jc w:val="both"/>
      </w:pPr>
      <w:r>
        <w:rPr/>
        <w:t>正元小智通过手机</w:t>
      </w:r>
      <w:r>
        <w:rPr>
          <w:spacing w:val="-26"/>
        </w:rPr>
        <w:t> </w:t>
      </w:r>
      <w:r>
        <w:rPr>
          <w:rFonts w:ascii="宋体" w:hAnsi="宋体" w:cs="宋体" w:eastAsia="宋体" w:hint="default"/>
        </w:rPr>
        <w:t>APP</w:t>
      </w:r>
      <w:r>
        <w:rPr/>
        <w:t>、虹膜识别、指纹识别等方式，自动开门，用户完全自主掌握密钥，能实时查 看房门状态及进出记录，极大地便捷了用户生活。</w:t>
      </w:r>
    </w:p>
    <w:p>
      <w:pPr>
        <w:spacing w:line="240" w:lineRule="auto" w:before="11"/>
        <w:rPr>
          <w:rFonts w:ascii="宋体" w:hAnsi="宋体" w:cs="宋体" w:eastAsia="宋体" w:hint="default"/>
          <w:sz w:val="18"/>
          <w:szCs w:val="18"/>
        </w:rPr>
      </w:pPr>
    </w:p>
    <w:p>
      <w:pPr>
        <w:pStyle w:val="Heading2"/>
        <w:spacing w:line="240" w:lineRule="auto"/>
        <w:ind w:left="1134" w:right="0"/>
        <w:jc w:val="left"/>
        <w:rPr>
          <w:b w:val="0"/>
          <w:bCs w:val="0"/>
        </w:rPr>
      </w:pPr>
      <w:bookmarkStart w:name="二、主要资产重大变化情况" w:id="22"/>
      <w:bookmarkEnd w:id="22"/>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主要资产重大变化情况" w:id="23"/>
      <w:bookmarkEnd w:id="23"/>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主要系本期对卓然实业出资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万元，截至本报告期末，对卓然实业认缴出资</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6,400.00 </w:t>
            </w:r>
            <w:r>
              <w:rPr>
                <w:rFonts w:ascii="宋体" w:hAnsi="宋体" w:cs="宋体" w:eastAsia="宋体" w:hint="default"/>
                <w:sz w:val="18"/>
                <w:szCs w:val="18"/>
              </w:rPr>
              <w:t>万元已全部出资完成。</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主要系本期投入大楼装修工程所致。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主要系本期随着业务规模增加而增长所致。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主要系本期预付货款增加所致。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主要系本期押金保证金的增加所致。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主要系本期业务增加，项目增加，备货增加所致。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主要系本期保本理财增加。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主要系本期计提资产减值准备增加所致。</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主要境外资产情况" w:id="24"/>
      <w:bookmarkEnd w:id="24"/>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5"/>
      <w:bookmarkEnd w:id="25"/>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439" w:lineRule="auto" w:before="0"/>
        <w:ind w:left="1493" w:right="7693" w:hanging="36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1、稳固的客户资源和完善的营销网络" w:id="26"/>
      <w:bookmarkEnd w:id="26"/>
      <w:r>
        <w:rPr>
          <w:b w:val="0"/>
          <w:bCs w:val="0"/>
        </w:rPr>
      </w:r>
      <w:r>
        <w:rPr>
          <w:rFonts w:ascii="宋体" w:hAnsi="宋体" w:cs="宋体" w:eastAsia="宋体" w:hint="default"/>
        </w:rPr>
        <w:t>1</w:t>
      </w:r>
      <w:r>
        <w:rPr/>
        <w:t>、稳固的客户资源和完善的营销网络</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5"/>
        <w:ind w:right="1110" w:firstLine="422"/>
        <w:jc w:val="both"/>
      </w:pPr>
      <w:r>
        <w:rPr>
          <w:color w:val="181F24"/>
          <w:spacing w:val="-1"/>
        </w:rPr>
        <w:t>公司经过多年智能卡行业的市场经营与深耕服务，在国内许多省市占据优势地位，积累并沉淀了一大</w:t>
      </w:r>
      <w:r>
        <w:rPr>
          <w:color w:val="181F24"/>
        </w:rPr>
        <w:t> </w:t>
      </w:r>
      <w:r>
        <w:rPr>
          <w:color w:val="181F24"/>
          <w:spacing w:val="-1"/>
        </w:rPr>
        <w:t>批优质客户。除在教育行业拥有广泛的市场基础外，在电力、银行、政府、军警、旅游、卫生等其他领域</w:t>
      </w:r>
      <w:r>
        <w:rPr>
          <w:color w:val="181F24"/>
          <w:spacing w:val="-85"/>
        </w:rPr>
        <w:t> </w:t>
      </w:r>
      <w:r>
        <w:rPr>
          <w:color w:val="181F24"/>
          <w:spacing w:val="-85"/>
        </w:rPr>
      </w:r>
      <w:r>
        <w:rPr>
          <w:color w:val="181F24"/>
        </w:rPr>
        <w:t>也有成功的行业案例。公司通过对已有客户的优质服务，不断实现产品迭代，拓展延伸产品与服务链条， 不断增强客户黏性，使公司的主营业务保持了持续稳定增长。</w:t>
      </w:r>
      <w:r>
        <w:rPr/>
      </w:r>
    </w:p>
    <w:p>
      <w:pPr>
        <w:pStyle w:val="BodyText"/>
        <w:spacing w:line="408" w:lineRule="auto"/>
        <w:ind w:right="1110" w:firstLine="422"/>
        <w:jc w:val="both"/>
      </w:pPr>
      <w:r>
        <w:rPr>
          <w:color w:val="181F24"/>
          <w:spacing w:val="-1"/>
        </w:rPr>
        <w:t>公司在营销方面多管齐下，现已建成了除西藏、海南等少数省份外的全国性营销网络体系，并与区域</w:t>
      </w:r>
      <w:r>
        <w:rPr>
          <w:color w:val="181F24"/>
        </w:rPr>
        <w:t> </w:t>
      </w:r>
      <w:r>
        <w:rPr>
          <w:color w:val="181F24"/>
          <w:spacing w:val="-1"/>
        </w:rPr>
        <w:t>型优势企业进行合作实现市场的快速切入与扩张。在优势市场上，公司坚持根据地式的市场建设策略，逐</w:t>
      </w:r>
      <w:r>
        <w:rPr>
          <w:color w:val="181F24"/>
          <w:spacing w:val="-82"/>
        </w:rPr>
        <w:t> </w:t>
      </w:r>
      <w:r>
        <w:rPr>
          <w:color w:val="181F24"/>
          <w:spacing w:val="-82"/>
        </w:rPr>
      </w:r>
      <w:r>
        <w:rPr>
          <w:color w:val="181F24"/>
        </w:rPr>
        <w:t>步形成了若干密集、稳固、平稳增长的用户群，为公司占据更高的市场主动权、大幅降低营销服务成本、 整合资源进行业务新拓展。同时，为将国内业务拓展至海外市场奠定了基础。</w:t>
      </w:r>
      <w:r>
        <w:rPr/>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深厚的技术积累和优质的解决方案" w:id="27"/>
      <w:bookmarkEnd w:id="27"/>
      <w:r>
        <w:rPr>
          <w:b w:val="0"/>
          <w:bCs w:val="0"/>
        </w:rPr>
      </w:r>
      <w:r>
        <w:rPr>
          <w:rFonts w:ascii="宋体" w:hAnsi="宋体" w:cs="宋体" w:eastAsia="宋体" w:hint="default"/>
        </w:rPr>
        <w:t>2</w:t>
      </w:r>
      <w:r>
        <w:rPr/>
        <w:t>、深厚的技术积累和优质的解决方案</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10" w:firstLine="422"/>
        <w:jc w:val="both"/>
      </w:pPr>
      <w:r>
        <w:rPr>
          <w:color w:val="181F24"/>
          <w:spacing w:val="-1"/>
        </w:rPr>
        <w:t>公司的解决方案已广泛地应用于智慧校园、智慧园区、机关、企事业单位、电力、医疗卫生、智慧后</w:t>
      </w:r>
      <w:r>
        <w:rPr>
          <w:color w:val="181F24"/>
        </w:rPr>
        <w:t> </w:t>
      </w:r>
      <w:r>
        <w:rPr>
          <w:color w:val="181F24"/>
          <w:spacing w:val="-1"/>
        </w:rPr>
        <w:t>勤等领域，通过对各行业场景和业务需求的深刻理解，不断提出有针对性的技术领先、系统复杂的中高端</w:t>
      </w:r>
      <w:r>
        <w:rPr>
          <w:color w:val="181F24"/>
          <w:spacing w:val="-83"/>
        </w:rPr>
        <w:t> </w:t>
      </w:r>
      <w:r>
        <w:rPr>
          <w:color w:val="181F24"/>
          <w:spacing w:val="-83"/>
        </w:rPr>
      </w:r>
      <w:r>
        <w:rPr>
          <w:color w:val="181F24"/>
        </w:rPr>
        <w:t>解决方案，并通过对高端市场的了解促进前沿技术的研发，打破同质化竞争，不断构建新的竞争控制点， 巩固和扩大公司竞争优势。</w:t>
      </w:r>
      <w:r>
        <w:rPr/>
      </w:r>
    </w:p>
    <w:p>
      <w:pPr>
        <w:pStyle w:val="BodyText"/>
        <w:spacing w:line="240" w:lineRule="auto"/>
        <w:ind w:left="1556" w:right="0"/>
        <w:jc w:val="left"/>
      </w:pPr>
      <w:r>
        <w:rPr>
          <w:color w:val="181F24"/>
        </w:rPr>
        <w:t>公司重视研发投入和引进高素质人才以提高技术创新能力，近年来引进包括国家“千人计划”特聘专</w:t>
      </w:r>
      <w:r>
        <w:rPr/>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color w:val="181F24"/>
        </w:rPr>
        <w:t>家在内的一流研发和研发管理人才，且核心技术带头人员的行业专业经验丰富，在智能卡、校园信息化、 </w:t>
      </w:r>
      <w:r>
        <w:rPr>
          <w:color w:val="181F24"/>
          <w:spacing w:val="-1"/>
        </w:rPr>
        <w:t>互联网等业务领域具有非常突出的技术创新能力。通过对技术创新的持续投入，公司在技术创新和产品创</w:t>
      </w:r>
      <w:r>
        <w:rPr>
          <w:color w:val="181F24"/>
          <w:spacing w:val="-81"/>
        </w:rPr>
        <w:t> </w:t>
      </w:r>
      <w:r>
        <w:rPr>
          <w:color w:val="181F24"/>
          <w:spacing w:val="-81"/>
        </w:rPr>
      </w:r>
      <w:r>
        <w:rPr>
          <w:color w:val="181F24"/>
          <w:spacing w:val="-1"/>
        </w:rPr>
        <w:t>新方面保持领先，通过技术、产品和解决方案一体化的运营体系，将技术和产品快速推向市场，并在重点</w:t>
      </w:r>
      <w:r>
        <w:rPr>
          <w:color w:val="181F24"/>
          <w:spacing w:val="-86"/>
        </w:rPr>
        <w:t> </w:t>
      </w:r>
      <w:r>
        <w:rPr>
          <w:color w:val="181F24"/>
          <w:spacing w:val="-86"/>
        </w:rPr>
      </w:r>
      <w:r>
        <w:rPr>
          <w:color w:val="181F24"/>
          <w:spacing w:val="-1"/>
        </w:rPr>
        <w:t>行业打造标杆样板，持续推动业务发展，为公司业绩稳定增长奠定基础。同时，通过对各类市场客户的广</w:t>
      </w:r>
      <w:r>
        <w:rPr>
          <w:color w:val="181F24"/>
          <w:spacing w:val="-85"/>
        </w:rPr>
        <w:t> </w:t>
      </w:r>
      <w:r>
        <w:rPr>
          <w:color w:val="181F24"/>
          <w:spacing w:val="-85"/>
        </w:rPr>
      </w:r>
      <w:r>
        <w:rPr>
          <w:color w:val="181F24"/>
        </w:rPr>
        <w:t>泛覆盖，公司拥有了深入了解并掌握客户大数据的基础，有助于探索与大数据相关的业务模式。</w:t>
      </w:r>
      <w:r>
        <w:rPr/>
      </w:r>
    </w:p>
    <w:p>
      <w:pPr>
        <w:pStyle w:val="BodyText"/>
        <w:spacing w:line="240" w:lineRule="auto"/>
        <w:ind w:left="1556" w:right="0"/>
        <w:jc w:val="left"/>
      </w:pPr>
      <w:r>
        <w:rPr>
          <w:color w:val="181F24"/>
        </w:rPr>
        <w:t>截至</w:t>
      </w:r>
      <w:r>
        <w:rPr>
          <w:color w:val="181F24"/>
          <w:spacing w:val="-47"/>
        </w:rPr>
        <w:t> </w:t>
      </w:r>
      <w:r>
        <w:rPr>
          <w:rFonts w:ascii="宋体" w:hAnsi="宋体" w:cs="宋体" w:eastAsia="宋体" w:hint="default"/>
          <w:color w:val="181F24"/>
        </w:rPr>
        <w:t>2017</w:t>
      </w:r>
      <w:r>
        <w:rPr>
          <w:rFonts w:ascii="宋体" w:hAnsi="宋体" w:cs="宋体" w:eastAsia="宋体" w:hint="default"/>
          <w:color w:val="181F24"/>
          <w:spacing w:val="-47"/>
        </w:rPr>
        <w:t> </w:t>
      </w:r>
      <w:r>
        <w:rPr>
          <w:color w:val="181F24"/>
        </w:rPr>
        <w:t>年</w:t>
      </w:r>
      <w:r>
        <w:rPr>
          <w:color w:val="181F24"/>
          <w:spacing w:val="-49"/>
        </w:rPr>
        <w:t> </w:t>
      </w:r>
      <w:r>
        <w:rPr>
          <w:rFonts w:ascii="宋体" w:hAnsi="宋体" w:cs="宋体" w:eastAsia="宋体" w:hint="default"/>
          <w:color w:val="181F24"/>
        </w:rPr>
        <w:t>12</w:t>
      </w:r>
      <w:r>
        <w:rPr>
          <w:rFonts w:ascii="宋体" w:hAnsi="宋体" w:cs="宋体" w:eastAsia="宋体" w:hint="default"/>
          <w:color w:val="181F24"/>
          <w:spacing w:val="-47"/>
        </w:rPr>
        <w:t> </w:t>
      </w:r>
      <w:r>
        <w:rPr>
          <w:color w:val="181F24"/>
        </w:rPr>
        <w:t>月</w:t>
      </w:r>
      <w:r>
        <w:rPr>
          <w:color w:val="181F24"/>
          <w:spacing w:val="-48"/>
        </w:rPr>
        <w:t> </w:t>
      </w:r>
      <w:r>
        <w:rPr>
          <w:rFonts w:ascii="宋体" w:hAnsi="宋体" w:cs="宋体" w:eastAsia="宋体" w:hint="default"/>
          <w:color w:val="181F24"/>
        </w:rPr>
        <w:t>31</w:t>
      </w:r>
      <w:r>
        <w:rPr>
          <w:rFonts w:ascii="宋体" w:hAnsi="宋体" w:cs="宋体" w:eastAsia="宋体" w:hint="default"/>
          <w:color w:val="181F24"/>
          <w:spacing w:val="-47"/>
        </w:rPr>
        <w:t> </w:t>
      </w:r>
      <w:r>
        <w:rPr>
          <w:color w:val="181F24"/>
        </w:rPr>
        <w:t>日，公司拥有软件著作权</w:t>
      </w:r>
      <w:r>
        <w:rPr>
          <w:color w:val="181F24"/>
          <w:spacing w:val="-47"/>
        </w:rPr>
        <w:t> </w:t>
      </w:r>
      <w:r>
        <w:rPr>
          <w:rFonts w:ascii="宋体" w:hAnsi="宋体" w:cs="宋体" w:eastAsia="宋体" w:hint="default"/>
          <w:color w:val="181F24"/>
        </w:rPr>
        <w:t>195</w:t>
      </w:r>
      <w:r>
        <w:rPr>
          <w:rFonts w:ascii="宋体" w:hAnsi="宋体" w:cs="宋体" w:eastAsia="宋体" w:hint="default"/>
          <w:color w:val="181F24"/>
          <w:spacing w:val="-47"/>
        </w:rPr>
        <w:t> </w:t>
      </w:r>
      <w:r>
        <w:rPr>
          <w:color w:val="181F24"/>
        </w:rPr>
        <w:t>项、商标权</w:t>
      </w:r>
      <w:r>
        <w:rPr>
          <w:color w:val="181F24"/>
          <w:spacing w:val="-48"/>
        </w:rPr>
        <w:t> </w:t>
      </w:r>
      <w:r>
        <w:rPr>
          <w:rFonts w:ascii="宋体" w:hAnsi="宋体" w:cs="宋体" w:eastAsia="宋体" w:hint="default"/>
          <w:color w:val="181F24"/>
        </w:rPr>
        <w:t>49</w:t>
      </w:r>
      <w:r>
        <w:rPr>
          <w:rFonts w:ascii="宋体" w:hAnsi="宋体" w:cs="宋体" w:eastAsia="宋体" w:hint="default"/>
          <w:color w:val="181F24"/>
          <w:spacing w:val="-47"/>
        </w:rPr>
        <w:t> </w:t>
      </w:r>
      <w:r>
        <w:rPr>
          <w:color w:val="181F24"/>
        </w:rPr>
        <w:t>项、专利权</w:t>
      </w:r>
      <w:r>
        <w:rPr>
          <w:color w:val="181F24"/>
          <w:spacing w:val="-47"/>
        </w:rPr>
        <w:t> </w:t>
      </w:r>
      <w:r>
        <w:rPr>
          <w:rFonts w:ascii="宋体" w:hAnsi="宋体" w:cs="宋体" w:eastAsia="宋体" w:hint="default"/>
          <w:color w:val="181F24"/>
        </w:rPr>
        <w:t>26</w:t>
      </w:r>
      <w:r>
        <w:rPr>
          <w:rFonts w:ascii="宋体" w:hAnsi="宋体" w:cs="宋体" w:eastAsia="宋体" w:hint="default"/>
          <w:color w:val="181F24"/>
          <w:spacing w:val="-47"/>
        </w:rPr>
        <w:t> </w:t>
      </w:r>
      <w:r>
        <w:rPr>
          <w:color w:val="181F24"/>
        </w:rPr>
        <w:t>项、软件登记产品</w:t>
      </w:r>
      <w:r>
        <w:rPr/>
      </w:r>
    </w:p>
    <w:p>
      <w:pPr>
        <w:spacing w:line="240" w:lineRule="auto" w:before="10"/>
        <w:rPr>
          <w:rFonts w:ascii="宋体" w:hAnsi="宋体" w:cs="宋体" w:eastAsia="宋体" w:hint="default"/>
          <w:sz w:val="14"/>
          <w:szCs w:val="14"/>
        </w:rPr>
      </w:pPr>
    </w:p>
    <w:p>
      <w:pPr>
        <w:pStyle w:val="BodyText"/>
        <w:spacing w:line="408" w:lineRule="auto" w:before="0"/>
        <w:ind w:right="1129"/>
        <w:jc w:val="both"/>
      </w:pPr>
      <w:r>
        <w:rPr>
          <w:rFonts w:ascii="宋体" w:hAnsi="宋体" w:cs="宋体" w:eastAsia="宋体" w:hint="default"/>
          <w:color w:val="181F24"/>
        </w:rPr>
        <w:t>40</w:t>
      </w:r>
      <w:r>
        <w:rPr>
          <w:rFonts w:ascii="宋体" w:hAnsi="宋体" w:cs="宋体" w:eastAsia="宋体" w:hint="default"/>
          <w:color w:val="181F24"/>
          <w:spacing w:val="-56"/>
        </w:rPr>
        <w:t> </w:t>
      </w:r>
      <w:r>
        <w:rPr>
          <w:color w:val="181F24"/>
        </w:rPr>
        <w:t>项。其中，</w:t>
      </w:r>
      <w:r>
        <w:rPr>
          <w:rFonts w:ascii="宋体" w:hAnsi="宋体" w:cs="宋体" w:eastAsia="宋体" w:hint="default"/>
          <w:color w:val="181F24"/>
        </w:rPr>
        <w:t>2017</w:t>
      </w:r>
      <w:r>
        <w:rPr>
          <w:rFonts w:ascii="宋体" w:hAnsi="宋体" w:cs="宋体" w:eastAsia="宋体" w:hint="default"/>
          <w:color w:val="181F24"/>
          <w:spacing w:val="-56"/>
        </w:rPr>
        <w:t> </w:t>
      </w:r>
      <w:r>
        <w:rPr>
          <w:color w:val="181F24"/>
        </w:rPr>
        <w:t>年新取得著作权</w:t>
      </w:r>
      <w:r>
        <w:rPr>
          <w:color w:val="181F24"/>
          <w:spacing w:val="-57"/>
        </w:rPr>
        <w:t> </w:t>
      </w:r>
      <w:r>
        <w:rPr>
          <w:rFonts w:ascii="宋体" w:hAnsi="宋体" w:cs="宋体" w:eastAsia="宋体" w:hint="default"/>
          <w:color w:val="181F24"/>
        </w:rPr>
        <w:t>47</w:t>
      </w:r>
      <w:r>
        <w:rPr>
          <w:rFonts w:ascii="宋体" w:hAnsi="宋体" w:cs="宋体" w:eastAsia="宋体" w:hint="default"/>
          <w:color w:val="181F24"/>
          <w:spacing w:val="-56"/>
        </w:rPr>
        <w:t> </w:t>
      </w:r>
      <w:r>
        <w:rPr>
          <w:color w:val="181F24"/>
        </w:rPr>
        <w:t>项，商标权</w:t>
      </w:r>
      <w:r>
        <w:rPr>
          <w:color w:val="181F24"/>
          <w:spacing w:val="-56"/>
        </w:rPr>
        <w:t> </w:t>
      </w:r>
      <w:r>
        <w:rPr>
          <w:rFonts w:ascii="宋体" w:hAnsi="宋体" w:cs="宋体" w:eastAsia="宋体" w:hint="default"/>
          <w:color w:val="181F24"/>
        </w:rPr>
        <w:t>5</w:t>
      </w:r>
      <w:r>
        <w:rPr>
          <w:rFonts w:ascii="宋体" w:hAnsi="宋体" w:cs="宋体" w:eastAsia="宋体" w:hint="default"/>
          <w:color w:val="181F24"/>
          <w:spacing w:val="-56"/>
        </w:rPr>
        <w:t> </w:t>
      </w:r>
      <w:r>
        <w:rPr>
          <w:color w:val="181F24"/>
        </w:rPr>
        <w:t>项。在专利权申请方面，公司取得专利权</w:t>
      </w:r>
      <w:r>
        <w:rPr>
          <w:color w:val="181F24"/>
          <w:spacing w:val="-56"/>
        </w:rPr>
        <w:t> </w:t>
      </w:r>
      <w:r>
        <w:rPr>
          <w:rFonts w:ascii="宋体" w:hAnsi="宋体" w:cs="宋体" w:eastAsia="宋体" w:hint="default"/>
          <w:color w:val="181F24"/>
        </w:rPr>
        <w:t>2</w:t>
      </w:r>
      <w:r>
        <w:rPr>
          <w:rFonts w:ascii="宋体" w:hAnsi="宋体" w:cs="宋体" w:eastAsia="宋体" w:hint="default"/>
          <w:color w:val="181F24"/>
          <w:spacing w:val="-56"/>
        </w:rPr>
        <w:t> </w:t>
      </w:r>
      <w:r>
        <w:rPr>
          <w:color w:val="181F24"/>
        </w:rPr>
        <w:t>项，并有 多项发明专利权正在审批之中：</w:t>
      </w:r>
      <w:r>
        <w:rPr/>
      </w:r>
    </w:p>
    <w:p>
      <w:pPr>
        <w:pStyle w:val="Heading4"/>
        <w:spacing w:line="240" w:lineRule="auto" w:before="87"/>
        <w:ind w:left="1556" w:right="0"/>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年新申请或受让获得的软件著作权</w:t>
      </w:r>
      <w:r>
        <w:rPr>
          <w:b w:val="0"/>
          <w:bCs w:val="0"/>
        </w:rPr>
      </w:r>
    </w:p>
    <w:p>
      <w:pPr>
        <w:spacing w:line="240" w:lineRule="auto" w:before="10"/>
        <w:rPr>
          <w:rFonts w:ascii="宋体" w:hAnsi="宋体" w:cs="宋体" w:eastAsia="宋体" w:hint="default"/>
          <w:b/>
          <w:bCs/>
          <w:sz w:val="11"/>
          <w:szCs w:val="11"/>
        </w:rPr>
      </w:pPr>
    </w:p>
    <w:tbl>
      <w:tblPr>
        <w:tblW w:w="0" w:type="auto"/>
        <w:jc w:val="left"/>
        <w:tblInd w:w="1140" w:type="dxa"/>
        <w:tblLayout w:type="fixed"/>
        <w:tblCellMar>
          <w:top w:w="0" w:type="dxa"/>
          <w:left w:w="0" w:type="dxa"/>
          <w:bottom w:w="0" w:type="dxa"/>
          <w:right w:w="0" w:type="dxa"/>
        </w:tblCellMar>
        <w:tblLook w:val="01E0"/>
      </w:tblPr>
      <w:tblGrid>
        <w:gridCol w:w="699"/>
        <w:gridCol w:w="1109"/>
        <w:gridCol w:w="5550"/>
        <w:gridCol w:w="1399"/>
        <w:gridCol w:w="1559"/>
      </w:tblGrid>
      <w:tr>
        <w:trPr>
          <w:trHeight w:val="587" w:hRule="exact"/>
        </w:trPr>
        <w:tc>
          <w:tcPr>
            <w:tcW w:w="69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0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555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软件全称及版本号</w:t>
            </w:r>
            <w:r>
              <w:rPr>
                <w:rFonts w:ascii="宋体" w:hAnsi="宋体" w:cs="宋体" w:eastAsia="宋体" w:hint="default"/>
                <w:sz w:val="18"/>
                <w:szCs w:val="18"/>
              </w:rPr>
            </w:r>
          </w:p>
        </w:tc>
        <w:tc>
          <w:tcPr>
            <w:tcW w:w="139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55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登记批准日期</w:t>
            </w:r>
            <w:r>
              <w:rPr>
                <w:rFonts w:ascii="宋体" w:hAnsi="宋体" w:cs="宋体" w:eastAsia="宋体" w:hint="default"/>
                <w:sz w:val="18"/>
                <w:szCs w:val="18"/>
              </w:rPr>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正元智慧一卡通电控系统软件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V3.5</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2017SR002786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2017/1/4</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正元智慧基于高拍仪的网络互动教学云平台</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2017SR053846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2017/2/23</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正元智慧健康餐厅一体化平台软件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2017SR470032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2017/8/25</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正元智慧健康服务平台软件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2017SR469216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2017/8/25</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智慧健康食堂一体化平台软件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2017SR453125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2017/8/16</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智慧易通一卡通密钥管理系统软件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2017SR479566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2017/8/30</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智慧易通一卡通设备通信网关系统软件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2017SR518388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智慧易通一卡通门禁管理系统软件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2017SR515926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智慧易通一卡通水控管理系统软件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2017SR517497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智慧易通一卡通商务收费系统软件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2017SR515858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智慧易通一卡通管理中心系统软件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2017SR514134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智慧易通一卡通统一调度服务系统软件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2017SR515063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13</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智慧易通一卡通考勤管理系统软件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2017SR515078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智慧易通一卡通银行通信网关系统软件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2017SR518460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2017/9/14</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智慧易通一卡通银行转账系统软件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2017SR529545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智慧易通一卡通班车收费系统软件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2017SR529542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2017/9/19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智慧易通一卡通运维中心系统软件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2017SR552328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2017/9/28</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18</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智慧易通一卡通自助终端系统软件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2017SR552313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2017/9/28</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19</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智慧易通一卡通移动服务助手系统软件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2017SR553014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2017/9/28</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智慧易通一卡通会议考勤管理系统软件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2017SR552380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2017/9/28</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智慧易通一卡通报表中心系统软件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2017SR555483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智慧易通一卡通门户服务系统软件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V5.0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2017SR555228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23</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正元智慧多媒体消费终端控制软件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2017SR555479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2017/9/29</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县域农业污染控制管理系统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2016SR369442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2016/12/13</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广西筑波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筑波智慧一卡通综合平台系统软件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2017SR346103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2017/7/5</w:t>
            </w:r>
          </w:p>
        </w:tc>
      </w:tr>
    </w:tbl>
    <w:p>
      <w:pPr>
        <w:spacing w:after="0" w:line="240" w:lineRule="auto"/>
        <w:jc w:val="center"/>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699"/>
        <w:gridCol w:w="1109"/>
        <w:gridCol w:w="5550"/>
        <w:gridCol w:w="1399"/>
        <w:gridCol w:w="1559"/>
      </w:tblGrid>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26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广西筑波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筑波智慧一卡通第三方接入系统软件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2017SR353275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2017/7/7</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27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广西筑波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筑波智慧一卡通应用系统软件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2017SR345567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2017/7/5</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28</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广西筑波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筑波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机控制软件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2017SR346108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2017/7/5</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29</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杭州容博</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容博智慧班牌管理软件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2017SR547797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2017/9/26</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杭州容博</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容博中小学学区房信息管理软件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2017SR547806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2017/9/26</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南昌正元</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正元智慧卡片设备管理系统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2017SR095917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2017/3/29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南昌正元</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正元智慧卡片多应用管理平台系统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2017SR095920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2017/3/29</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33</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南昌正元</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正元智慧网络门禁一卡通系统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2017SR096426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2017/3/29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南昌正元</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正元智慧校园一卡通结算管理系统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2017SR096499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2017/3/29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南昌正元</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正元智慧卡片终端检测系统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2017SR096564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2017/3/29</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南昌正元</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正元智慧一卡通数据分析系统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2017SR096766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2017/3/29</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云健康会所服务平台软件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2017SR567787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2017/10/16</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38</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曦客健康管理服务平台软件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2017SR624982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2017/11/14</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39</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曦客健康管理服务平台软件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2017SR567777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2017/10/16</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曦客健康管理服务平台软件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2017SR567783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2017/10/16</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曦客健康银行软件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2017SR567795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2017/10/16</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曦客医疗耗材供应链服务平台软件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2017SR567791</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2017/10/16</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43</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医点患者在线管理及服务平台移动端软件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2017SR567798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2017/10/16</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曦客健康管理服务平台软件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2017SR633837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2017/11/17</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曦客健康管理移动端服务软件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2017SR470047</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2017/8/25</w:t>
            </w:r>
          </w:p>
        </w:tc>
      </w:tr>
      <w:tr>
        <w:trPr>
          <w:trHeight w:val="352"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曦客职工健康关爱服务软件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2017SR469799</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2017/8/25</w:t>
            </w:r>
          </w:p>
        </w:tc>
      </w:tr>
      <w:tr>
        <w:trPr>
          <w:trHeight w:val="353" w:hRule="exact"/>
        </w:trPr>
        <w:tc>
          <w:tcPr>
            <w:tcW w:w="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249"/>
              <w:jc w:val="right"/>
              <w:rPr>
                <w:rFonts w:ascii="宋体" w:hAnsi="宋体" w:cs="宋体" w:eastAsia="宋体" w:hint="default"/>
                <w:sz w:val="18"/>
                <w:szCs w:val="18"/>
              </w:rPr>
            </w:pPr>
            <w:r>
              <w:rPr>
                <w:rFonts w:ascii="宋体"/>
                <w:sz w:val="18"/>
              </w:rPr>
              <w:t>47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85"/>
              <w:jc w:val="right"/>
              <w:rPr>
                <w:rFonts w:ascii="宋体" w:hAnsi="宋体" w:cs="宋体" w:eastAsia="宋体" w:hint="default"/>
                <w:sz w:val="18"/>
                <w:szCs w:val="18"/>
              </w:rPr>
            </w:pPr>
            <w:r>
              <w:rPr>
                <w:rFonts w:ascii="宋体" w:hAnsi="宋体" w:cs="宋体" w:eastAsia="宋体" w:hint="default"/>
                <w:sz w:val="18"/>
                <w:szCs w:val="18"/>
              </w:rPr>
              <w:t>正元曦客</w:t>
            </w:r>
          </w:p>
        </w:tc>
        <w:tc>
          <w:tcPr>
            <w:tcW w:w="5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曦客智慧医疗移动端服务软件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2017SR469243</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2017/8/25</w:t>
            </w:r>
          </w:p>
        </w:tc>
      </w:tr>
    </w:tbl>
    <w:p>
      <w:pPr>
        <w:spacing w:line="240" w:lineRule="auto" w:before="3"/>
        <w:rPr>
          <w:rFonts w:ascii="宋体" w:hAnsi="宋体" w:cs="宋体" w:eastAsia="宋体" w:hint="default"/>
          <w:b/>
          <w:bCs/>
          <w:sz w:val="5"/>
          <w:szCs w:val="5"/>
        </w:rPr>
      </w:pPr>
    </w:p>
    <w:p>
      <w:pPr>
        <w:pStyle w:val="Heading4"/>
        <w:spacing w:line="240" w:lineRule="auto" w:before="35"/>
        <w:ind w:left="1557" w:right="0"/>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年新获得授权的专利</w:t>
      </w:r>
      <w:r>
        <w:rPr>
          <w:b w:val="0"/>
          <w:bCs w:val="0"/>
        </w:rPr>
      </w:r>
    </w:p>
    <w:p>
      <w:pPr>
        <w:spacing w:line="240" w:lineRule="auto" w:before="10"/>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688"/>
        <w:gridCol w:w="898"/>
        <w:gridCol w:w="1276"/>
        <w:gridCol w:w="1844"/>
        <w:gridCol w:w="1764"/>
        <w:gridCol w:w="1214"/>
        <w:gridCol w:w="1134"/>
        <w:gridCol w:w="1417"/>
      </w:tblGrid>
      <w:tr>
        <w:trPr>
          <w:trHeight w:val="634" w:hRule="exact"/>
        </w:trPr>
        <w:tc>
          <w:tcPr>
            <w:tcW w:w="6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0"/>
              <w:ind w:left="352" w:right="169" w:hanging="18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人</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证书类别</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b/>
                <w:bCs/>
                <w:sz w:val="18"/>
                <w:szCs w:val="18"/>
              </w:rPr>
              <w:t>专利权期限</w:t>
            </w:r>
            <w:r>
              <w:rPr>
                <w:rFonts w:ascii="宋体" w:hAnsi="宋体" w:cs="宋体" w:eastAsia="宋体" w:hint="default"/>
                <w:sz w:val="18"/>
                <w:szCs w:val="18"/>
              </w:rPr>
            </w:r>
          </w:p>
        </w:tc>
      </w:tr>
      <w:tr>
        <w:trPr>
          <w:trHeight w:val="634"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42" w:right="181" w:hanging="360"/>
              <w:jc w:val="left"/>
              <w:rPr>
                <w:rFonts w:ascii="宋体" w:hAnsi="宋体" w:cs="宋体" w:eastAsia="宋体" w:hint="default"/>
                <w:sz w:val="18"/>
                <w:szCs w:val="18"/>
              </w:rPr>
            </w:pPr>
            <w:r>
              <w:rPr>
                <w:rFonts w:ascii="宋体" w:hAnsi="宋体" w:cs="宋体" w:eastAsia="宋体" w:hint="default"/>
                <w:sz w:val="18"/>
                <w:szCs w:val="18"/>
              </w:rPr>
              <w:t>实用新型专 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8"/>
              <w:jc w:val="left"/>
              <w:rPr>
                <w:rFonts w:ascii="宋体" w:hAnsi="宋体" w:cs="宋体" w:eastAsia="宋体" w:hint="default"/>
                <w:sz w:val="18"/>
                <w:szCs w:val="18"/>
              </w:rPr>
            </w:pPr>
            <w:r>
              <w:rPr>
                <w:rFonts w:ascii="宋体" w:hAnsi="宋体" w:cs="宋体" w:eastAsia="宋体" w:hint="default"/>
                <w:sz w:val="18"/>
                <w:szCs w:val="18"/>
              </w:rPr>
              <w:t>基于机器视觉的智慧 餐台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ZL201621464515.8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2016/12/29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2017/6/30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9"/>
                <w:sz w:val="18"/>
                <w:szCs w:val="18"/>
              </w:rPr>
              <w:t>十年（自申请日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起算）</w:t>
            </w:r>
          </w:p>
        </w:tc>
      </w:tr>
      <w:tr>
        <w:trPr>
          <w:trHeight w:val="947" w:hRule="exact"/>
        </w:trPr>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542" w:right="181" w:hanging="360"/>
              <w:jc w:val="left"/>
              <w:rPr>
                <w:rFonts w:ascii="宋体" w:hAnsi="宋体" w:cs="宋体" w:eastAsia="宋体" w:hint="default"/>
                <w:sz w:val="18"/>
                <w:szCs w:val="18"/>
              </w:rPr>
            </w:pPr>
            <w:r>
              <w:rPr>
                <w:rFonts w:ascii="宋体" w:hAnsi="宋体" w:cs="宋体" w:eastAsia="宋体" w:hint="default"/>
                <w:sz w:val="18"/>
                <w:szCs w:val="18"/>
              </w:rPr>
              <w:t>实用新型专 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8"/>
              <w:jc w:val="left"/>
              <w:rPr>
                <w:rFonts w:ascii="宋体" w:hAnsi="宋体" w:cs="宋体" w:eastAsia="宋体" w:hint="default"/>
                <w:sz w:val="18"/>
                <w:szCs w:val="18"/>
              </w:rPr>
            </w:pPr>
            <w:r>
              <w:rPr>
                <w:rFonts w:ascii="宋体" w:hAnsi="宋体" w:cs="宋体" w:eastAsia="宋体" w:hint="default"/>
                <w:sz w:val="18"/>
                <w:szCs w:val="18"/>
              </w:rPr>
              <w:t>一种结合</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4"/>
                <w:sz w:val="18"/>
                <w:szCs w:val="18"/>
              </w:rPr>
              <w:t> </w:t>
            </w:r>
            <w:r>
              <w:rPr>
                <w:rFonts w:ascii="宋体" w:hAnsi="宋体" w:cs="宋体" w:eastAsia="宋体" w:hint="default"/>
                <w:sz w:val="18"/>
                <w:szCs w:val="18"/>
              </w:rPr>
              <w:t>人员 管理和视频监控的便 携信息管理设备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ZL201720039799.4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2017/1/13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2017/8/8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9"/>
                <w:sz w:val="18"/>
                <w:szCs w:val="18"/>
              </w:rPr>
              <w:t>十年（自申请日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起算）</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3、持续增长、立体式盈利的商业模式" w:id="28"/>
      <w:bookmarkEnd w:id="28"/>
      <w:r>
        <w:rPr>
          <w:b w:val="0"/>
          <w:bCs w:val="0"/>
        </w:rPr>
      </w:r>
      <w:r>
        <w:rPr>
          <w:rFonts w:ascii="宋体" w:hAnsi="宋体" w:cs="宋体" w:eastAsia="宋体" w:hint="default"/>
        </w:rPr>
        <w:t>3</w:t>
      </w:r>
      <w:r>
        <w:rPr/>
        <w:t>、持续增长、立体式盈利的商业模式</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31" w:firstLine="422"/>
        <w:jc w:val="both"/>
      </w:pPr>
      <w:r>
        <w:rPr>
          <w:color w:val="181F24"/>
          <w:spacing w:val="3"/>
        </w:rPr>
        <w:t>公司拥有自主研发的全系列智能化硬件终端产品线、多功能应用子系统以及强大集成能力的系统平</w:t>
      </w:r>
      <w:r>
        <w:rPr>
          <w:color w:val="181F24"/>
        </w:rPr>
        <w:t> </w:t>
      </w:r>
      <w:r>
        <w:rPr>
          <w:color w:val="181F24"/>
          <w:spacing w:val="-1"/>
        </w:rPr>
        <w:t>台，能够为客户提供符合个性化需求、多功能实现的一体化解决方案和一站式客户服务。同时，由于智能</w:t>
      </w:r>
      <w:r>
        <w:rPr>
          <w:color w:val="181F24"/>
          <w:spacing w:val="-85"/>
        </w:rPr>
        <w:t> </w:t>
      </w:r>
      <w:r>
        <w:rPr>
          <w:color w:val="181F24"/>
          <w:spacing w:val="-85"/>
        </w:rPr>
      </w:r>
      <w:r>
        <w:rPr>
          <w:color w:val="181F24"/>
          <w:spacing w:val="-1"/>
        </w:rPr>
        <w:t>一卡通系统的使用一般具有延续性，客户的后续需求黏性比较大，后期通过向客户提供产品升级与运维服</w:t>
      </w:r>
      <w:r>
        <w:rPr>
          <w:color w:val="181F24"/>
          <w:spacing w:val="-81"/>
        </w:rPr>
        <w:t> </w:t>
      </w:r>
      <w:r>
        <w:rPr>
          <w:color w:val="181F24"/>
          <w:spacing w:val="-81"/>
        </w:rPr>
      </w:r>
      <w:r>
        <w:rPr>
          <w:color w:val="181F24"/>
        </w:rPr>
        <w:t>务产生收益，不断增加公司产品和服务的经济附加值。</w:t>
      </w:r>
      <w:r>
        <w:rPr/>
      </w:r>
    </w:p>
    <w:p>
      <w:pPr>
        <w:pStyle w:val="BodyText"/>
        <w:spacing w:line="240" w:lineRule="auto"/>
        <w:ind w:left="1556" w:right="0"/>
        <w:jc w:val="left"/>
      </w:pPr>
      <w:r>
        <w:rPr>
          <w:color w:val="181F24"/>
        </w:rPr>
        <w:t>此外，公司依托校园一卡通构建了公共云服务平台，利用云架构，从</w:t>
      </w:r>
      <w:r>
        <w:rPr>
          <w:color w:val="181F24"/>
          <w:spacing w:val="-52"/>
        </w:rPr>
        <w:t> </w:t>
      </w:r>
      <w:r>
        <w:rPr>
          <w:rFonts w:ascii="宋体" w:hAnsi="宋体" w:cs="宋体" w:eastAsia="宋体" w:hint="default"/>
          <w:color w:val="181F24"/>
        </w:rPr>
        <w:t>To</w:t>
      </w:r>
      <w:r>
        <w:rPr>
          <w:rFonts w:ascii="宋体" w:hAnsi="宋体" w:cs="宋体" w:eastAsia="宋体" w:hint="default"/>
          <w:color w:val="181F24"/>
          <w:spacing w:val="-13"/>
        </w:rPr>
        <w:t> </w:t>
      </w:r>
      <w:r>
        <w:rPr>
          <w:rFonts w:ascii="宋体" w:hAnsi="宋体" w:cs="宋体" w:eastAsia="宋体" w:hint="default"/>
          <w:color w:val="181F24"/>
        </w:rPr>
        <w:t>B</w:t>
      </w:r>
      <w:r>
        <w:rPr>
          <w:rFonts w:ascii="宋体" w:hAnsi="宋体" w:cs="宋体" w:eastAsia="宋体" w:hint="default"/>
          <w:color w:val="181F24"/>
          <w:spacing w:val="-52"/>
        </w:rPr>
        <w:t> </w:t>
      </w:r>
      <w:r>
        <w:rPr>
          <w:color w:val="181F24"/>
        </w:rPr>
        <w:t>向</w:t>
      </w:r>
      <w:r>
        <w:rPr>
          <w:color w:val="181F24"/>
          <w:spacing w:val="-54"/>
        </w:rPr>
        <w:t> </w:t>
      </w:r>
      <w:r>
        <w:rPr>
          <w:rFonts w:ascii="宋体" w:hAnsi="宋体" w:cs="宋体" w:eastAsia="宋体" w:hint="default"/>
          <w:color w:val="181F24"/>
        </w:rPr>
        <w:t>To</w:t>
      </w:r>
      <w:r>
        <w:rPr>
          <w:rFonts w:ascii="宋体" w:hAnsi="宋体" w:cs="宋体" w:eastAsia="宋体" w:hint="default"/>
          <w:color w:val="181F24"/>
          <w:spacing w:val="-12"/>
        </w:rPr>
        <w:t> </w:t>
      </w:r>
      <w:r>
        <w:rPr>
          <w:rFonts w:ascii="宋体" w:hAnsi="宋体" w:cs="宋体" w:eastAsia="宋体" w:hint="default"/>
          <w:color w:val="181F24"/>
        </w:rPr>
        <w:t>C</w:t>
      </w:r>
      <w:r>
        <w:rPr>
          <w:rFonts w:ascii="宋体" w:hAnsi="宋体" w:cs="宋体" w:eastAsia="宋体" w:hint="default"/>
          <w:color w:val="181F24"/>
          <w:spacing w:val="-53"/>
        </w:rPr>
        <w:t> </w:t>
      </w:r>
      <w:r>
        <w:rPr>
          <w:color w:val="181F24"/>
        </w:rPr>
        <w:t>延伸，充分挖掘师</w:t>
      </w:r>
      <w:r>
        <w:rPr/>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604" w:lineRule="auto" w:before="174"/>
        <w:ind w:left="1133" w:right="3193" w:firstLine="0"/>
        <w:jc w:val="left"/>
        <w:rPr>
          <w:rFonts w:ascii="宋体" w:hAnsi="宋体" w:cs="宋体" w:eastAsia="宋体" w:hint="default"/>
          <w:sz w:val="21"/>
          <w:szCs w:val="21"/>
        </w:rPr>
      </w:pPr>
      <w:r>
        <w:rPr>
          <w:rFonts w:ascii="宋体" w:hAnsi="宋体" w:cs="宋体" w:eastAsia="宋体" w:hint="default"/>
          <w:color w:val="181F24"/>
          <w:sz w:val="21"/>
          <w:szCs w:val="21"/>
        </w:rPr>
        <w:t>生潜在消费应用需求，为其提供切合需求的线上线下服务，并形成新的商业模式。 </w:t>
      </w:r>
      <w:bookmarkStart w:name="4、健全的客户服务体系和专业资质优势" w:id="29"/>
      <w:bookmarkEnd w:id="29"/>
      <w:r>
        <w:rPr>
          <w:rFonts w:ascii="宋体" w:hAnsi="宋体" w:cs="宋体" w:eastAsia="宋体" w:hint="default"/>
          <w:color w:val="181F24"/>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、健全的客户服务体系和专业资质优势</w:t>
      </w:r>
      <w:r>
        <w:rPr>
          <w:rFonts w:ascii="宋体" w:hAnsi="宋体" w:cs="宋体" w:eastAsia="宋体" w:hint="default"/>
          <w:sz w:val="21"/>
          <w:szCs w:val="21"/>
        </w:rPr>
      </w:r>
    </w:p>
    <w:p>
      <w:pPr>
        <w:pStyle w:val="BodyText"/>
        <w:spacing w:line="408" w:lineRule="auto" w:before="96"/>
        <w:ind w:right="1131" w:firstLine="422"/>
        <w:jc w:val="both"/>
      </w:pPr>
      <w:r>
        <w:rPr>
          <w:color w:val="181F24"/>
          <w:spacing w:val="-1"/>
        </w:rPr>
        <w:t>公司经过十余年的发展，建立了成熟客户服务体系，注重与客户建立紧密的合作关系，在合作中共同</w:t>
      </w:r>
      <w:r>
        <w:rPr>
          <w:color w:val="181F24"/>
        </w:rPr>
        <w:t> </w:t>
      </w:r>
      <w:r>
        <w:rPr>
          <w:color w:val="181F24"/>
          <w:spacing w:val="-1"/>
        </w:rPr>
        <w:t>发展，逐步形成了良好的公司美誉和较强的品牌影响力。快速实现产品定制，提供符合用户实际环境和需</w:t>
      </w:r>
      <w:r>
        <w:rPr>
          <w:color w:val="181F24"/>
          <w:spacing w:val="-83"/>
        </w:rPr>
        <w:t> </w:t>
      </w:r>
      <w:r>
        <w:rPr>
          <w:color w:val="181F24"/>
          <w:spacing w:val="-83"/>
        </w:rPr>
      </w:r>
      <w:r>
        <w:rPr>
          <w:color w:val="181F24"/>
          <w:spacing w:val="-1"/>
        </w:rPr>
        <w:t>求的产品组合和应用解决方案，为客户提供个性化的服务；公司实现了扁平化响应机制，运用全国呼叫中</w:t>
      </w:r>
      <w:r>
        <w:rPr>
          <w:color w:val="181F24"/>
          <w:spacing w:val="-83"/>
        </w:rPr>
        <w:t> </w:t>
      </w:r>
      <w:r>
        <w:rPr>
          <w:color w:val="181F24"/>
          <w:spacing w:val="-83"/>
        </w:rPr>
      </w:r>
      <w:r>
        <w:rPr>
          <w:color w:val="181F24"/>
          <w:spacing w:val="-1"/>
        </w:rPr>
        <w:t>心、现场驻人服务、远程服务、一卡通在线服务云平台等多种方式，提升服务效率和客户满意度，确保为</w:t>
      </w:r>
      <w:r>
        <w:rPr>
          <w:color w:val="181F24"/>
          <w:spacing w:val="-83"/>
        </w:rPr>
        <w:t> </w:t>
      </w:r>
      <w:r>
        <w:rPr>
          <w:color w:val="181F24"/>
          <w:spacing w:val="-83"/>
        </w:rPr>
      </w:r>
      <w:r>
        <w:rPr>
          <w:color w:val="181F24"/>
          <w:spacing w:val="-2"/>
        </w:rPr>
        <w:t>客户提供优质高效的服务。此外，公司通过了“</w:t>
      </w:r>
      <w:r>
        <w:rPr>
          <w:rFonts w:ascii="宋体" w:hAnsi="宋体" w:cs="宋体" w:eastAsia="宋体" w:hint="default"/>
          <w:color w:val="181F24"/>
          <w:spacing w:val="-2"/>
        </w:rPr>
        <w:t>ITSS</w:t>
      </w:r>
      <w:r>
        <w:rPr>
          <w:rFonts w:ascii="宋体" w:hAnsi="宋体" w:cs="宋体" w:eastAsia="宋体" w:hint="default"/>
          <w:color w:val="181F24"/>
          <w:spacing w:val="-39"/>
        </w:rPr>
        <w:t> </w:t>
      </w:r>
      <w:r>
        <w:rPr>
          <w:color w:val="181F24"/>
          <w:spacing w:val="-2"/>
        </w:rPr>
        <w:t>信息技术服务运行维护标准贰级”、“软件能力成熟</w:t>
      </w:r>
      <w:r>
        <w:rPr>
          <w:color w:val="181F24"/>
          <w:spacing w:val="-102"/>
        </w:rPr>
        <w:t> </w:t>
      </w:r>
      <w:r>
        <w:rPr>
          <w:color w:val="181F24"/>
          <w:spacing w:val="-102"/>
        </w:rPr>
      </w:r>
      <w:r>
        <w:rPr>
          <w:color w:val="181F24"/>
        </w:rPr>
        <w:t>度模型集成五级（</w:t>
      </w:r>
      <w:r>
        <w:rPr>
          <w:rFonts w:ascii="宋体" w:hAnsi="宋体" w:cs="宋体" w:eastAsia="宋体" w:hint="default"/>
          <w:color w:val="181F24"/>
        </w:rPr>
        <w:t>CMMI5</w:t>
      </w:r>
      <w:r>
        <w:rPr>
          <w:color w:val="181F24"/>
        </w:rPr>
        <w:t>）”等资质和标准认证。</w:t>
      </w:r>
      <w:r>
        <w:rPr/>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5、独特的企业文化与团队建设优势" w:id="30"/>
      <w:bookmarkEnd w:id="30"/>
      <w:r>
        <w:rPr>
          <w:b w:val="0"/>
          <w:bCs w:val="0"/>
        </w:rPr>
      </w:r>
      <w:r>
        <w:rPr>
          <w:rFonts w:ascii="宋体" w:hAnsi="宋体" w:cs="宋体" w:eastAsia="宋体" w:hint="default"/>
        </w:rPr>
        <w:t>5</w:t>
      </w:r>
      <w:r>
        <w:rPr/>
        <w:t>、独特的企业文化与团队建设优势</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0" w:firstLine="422"/>
        <w:jc w:val="left"/>
      </w:pPr>
      <w:r>
        <w:rPr>
          <w:color w:val="181F24"/>
        </w:rPr>
        <w:t>公司注重将军事化管理与企业化管理相结合、部队作风与科学态度相融合，形成了以“军人特质”为 核心的独特企业文化。在经营上强调“正合奇胜，积贤培元”。要以正心、正道、正事立企业，以创新、 </w:t>
      </w:r>
      <w:r>
        <w:rPr>
          <w:color w:val="181F24"/>
          <w:spacing w:val="-3"/>
        </w:rPr>
        <w:t>创造、创智求发展；在管理上强调以人为本，广纳贤才，注重引才、育才、用才，努力构建“天高任鸟飞，</w:t>
      </w:r>
      <w:r>
        <w:rPr>
          <w:color w:val="181F24"/>
          <w:spacing w:val="-92"/>
        </w:rPr>
        <w:t> </w:t>
      </w:r>
      <w:r>
        <w:rPr>
          <w:color w:val="181F24"/>
          <w:spacing w:val="-92"/>
        </w:rPr>
      </w:r>
      <w:r>
        <w:rPr>
          <w:color w:val="181F24"/>
        </w:rPr>
        <w:t>海阔凭鱼跃”的发展环境；在作风建设上强调“知识分子革命化，革命分子知识化”；在服务保障上强调</w:t>
      </w:r>
      <w:r>
        <w:rPr>
          <w:color w:val="181F24"/>
        </w:rPr>
        <w:t> “一切为了前线，一切保障前线”；在营销组织上强调“精心运筹，周密组织”；在产品研发上强调“研 发人员多流汗，一线人员少流血”，并建立和实行了一整套与之相适应的规章制度。在企业快速发展的过 </w:t>
      </w:r>
      <w:r>
        <w:rPr>
          <w:color w:val="181F24"/>
          <w:spacing w:val="-5"/>
        </w:rPr>
        <w:t>程中，公司始终坚持“以人为本、共同成长”的用人理念，打造学习型组织，关注员工成长，通过开设“正</w:t>
      </w:r>
      <w:r>
        <w:rPr>
          <w:color w:val="181F24"/>
          <w:spacing w:val="-102"/>
        </w:rPr>
        <w:t> </w:t>
      </w:r>
      <w:r>
        <w:rPr>
          <w:color w:val="181F24"/>
          <w:spacing w:val="-102"/>
        </w:rPr>
      </w:r>
      <w:r>
        <w:rPr>
          <w:color w:val="181F24"/>
        </w:rPr>
        <w:t>元学堂”，实施有针对性的多级培训制度，建立专业的任职资格评价体系和人才评鉴体系，形成了完整的</w:t>
      </w:r>
      <w:r>
        <w:rPr>
          <w:color w:val="181F24"/>
        </w:rPr>
        <w:t> 后备力量培养和储备机制，持续满足公司快速发展对人才的需求。</w:t>
      </w:r>
      <w:r>
        <w:rPr/>
      </w:r>
    </w:p>
    <w:p>
      <w:pPr>
        <w:spacing w:line="240" w:lineRule="auto" w:before="0"/>
        <w:rPr>
          <w:rFonts w:ascii="宋体" w:hAnsi="宋体" w:cs="宋体" w:eastAsia="宋体" w:hint="default"/>
          <w:sz w:val="20"/>
          <w:szCs w:val="20"/>
        </w:rPr>
      </w:pPr>
    </w:p>
    <w:p>
      <w:pPr>
        <w:pStyle w:val="Heading1"/>
        <w:spacing w:line="240" w:lineRule="auto" w:before="178"/>
        <w:ind w:right="3403"/>
        <w:jc w:val="center"/>
        <w:rPr>
          <w:b w:val="0"/>
          <w:bCs w:val="0"/>
        </w:rPr>
      </w:pPr>
      <w:bookmarkStart w:name="_TOC_250008" w:id="31"/>
      <w:bookmarkStart w:name="第四节经营情况讨论与分析" w:id="32"/>
      <w:r>
        <w:rPr>
          <w:b w:val="0"/>
          <w:bCs w:val="0"/>
        </w:rPr>
      </w:r>
      <w:r>
        <w:rPr/>
        <w:t>第四节经营情况讨论与分析</w:t>
      </w:r>
      <w:bookmarkEnd w:id="31"/>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bookmarkStart w:name="一、 概述" w:id="33"/>
      <w:bookmarkEnd w:id="33"/>
      <w:r>
        <w:rPr>
          <w:b w:val="0"/>
          <w:bCs w:val="0"/>
        </w:rPr>
      </w:r>
      <w:r>
        <w:rPr/>
        <w:t>一、</w:t>
      </w:r>
      <w:r>
        <w:rPr>
          <w:spacing w:val="-93"/>
        </w:rPr>
        <w:t> </w:t>
      </w:r>
      <w:r>
        <w:rPr/>
        <w:t>概述</w:t>
      </w:r>
      <w:r>
        <w:rPr>
          <w:b w:val="0"/>
          <w:bCs w:val="0"/>
        </w:rPr>
      </w:r>
    </w:p>
    <w:p>
      <w:pPr>
        <w:spacing w:line="240" w:lineRule="auto" w:before="11"/>
        <w:rPr>
          <w:rFonts w:ascii="宋体" w:hAnsi="宋体" w:cs="宋体" w:eastAsia="宋体" w:hint="default"/>
          <w:b/>
          <w:bCs/>
          <w:sz w:val="16"/>
          <w:szCs w:val="16"/>
        </w:rPr>
      </w:pPr>
    </w:p>
    <w:p>
      <w:pPr>
        <w:pStyle w:val="BodyText"/>
        <w:spacing w:line="408" w:lineRule="auto" w:before="0"/>
        <w:ind w:right="1130" w:firstLine="420"/>
        <w:jc w:val="both"/>
      </w:pPr>
      <w:r>
        <w:rPr>
          <w:rFonts w:ascii="宋体" w:hAnsi="宋体" w:cs="宋体" w:eastAsia="宋体" w:hint="default"/>
          <w:color w:val="181F24"/>
        </w:rPr>
        <w:t>2017</w:t>
      </w:r>
      <w:r>
        <w:rPr>
          <w:rFonts w:ascii="宋体" w:hAnsi="宋体" w:cs="宋体" w:eastAsia="宋体" w:hint="default"/>
          <w:color w:val="181F24"/>
          <w:spacing w:val="-48"/>
        </w:rPr>
        <w:t> </w:t>
      </w:r>
      <w:r>
        <w:rPr>
          <w:color w:val="181F24"/>
          <w:spacing w:val="-2"/>
        </w:rPr>
        <w:t>年度，公司依据年度经营计划，基于智慧一卡通，积极拓展智慧校园、智慧园区及行业信息化建</w:t>
      </w:r>
      <w:r>
        <w:rPr>
          <w:color w:val="181F24"/>
        </w:rPr>
        <w:t> </w:t>
      </w:r>
      <w:r>
        <w:rPr>
          <w:color w:val="181F24"/>
          <w:spacing w:val="-1"/>
        </w:rPr>
        <w:t>设及服务，不断推进校园卡互联网运营服务，市场区域进一步扩大，持续向客户和持卡人提供更多更便捷</w:t>
      </w:r>
      <w:r>
        <w:rPr>
          <w:color w:val="181F24"/>
          <w:spacing w:val="-83"/>
        </w:rPr>
        <w:t> </w:t>
      </w:r>
      <w:r>
        <w:rPr>
          <w:color w:val="181F24"/>
          <w:spacing w:val="-83"/>
        </w:rPr>
      </w:r>
      <w:r>
        <w:rPr>
          <w:color w:val="181F24"/>
          <w:spacing w:val="-1"/>
        </w:rPr>
        <w:t>的应用服务，同时强化云服务的探索，打造线上线下综合服务平台，取得了初步成效。公司密切跟踪物联</w:t>
      </w:r>
      <w:r>
        <w:rPr>
          <w:color w:val="181F24"/>
          <w:spacing w:val="-85"/>
        </w:rPr>
        <w:t> </w:t>
      </w:r>
      <w:r>
        <w:rPr>
          <w:color w:val="181F24"/>
          <w:spacing w:val="-85"/>
        </w:rPr>
      </w:r>
      <w:r>
        <w:rPr>
          <w:color w:val="181F24"/>
          <w:spacing w:val="-1"/>
        </w:rPr>
        <w:t>网、大数据、云计算、生物识别等技术的发展，加大研发投入，积极创新，进一步完善智慧易通平台，并</w:t>
      </w:r>
      <w:r>
        <w:rPr>
          <w:color w:val="181F24"/>
          <w:spacing w:val="-85"/>
        </w:rPr>
        <w:t> </w:t>
      </w:r>
      <w:r>
        <w:rPr>
          <w:color w:val="181F24"/>
          <w:spacing w:val="-85"/>
        </w:rPr>
      </w:r>
      <w:r>
        <w:rPr>
          <w:color w:val="181F24"/>
          <w:spacing w:val="-1"/>
        </w:rPr>
        <w:t>积极响应国家“一带一路”倡议，积极拓展海外市场，开发并推出了智慧易通的国际化版本，并顺利在厦</w:t>
      </w:r>
      <w:r>
        <w:rPr>
          <w:color w:val="181F24"/>
          <w:spacing w:val="-83"/>
        </w:rPr>
        <w:t> </w:t>
      </w:r>
      <w:r>
        <w:rPr>
          <w:color w:val="181F24"/>
          <w:spacing w:val="-83"/>
        </w:rPr>
      </w:r>
      <w:r>
        <w:rPr>
          <w:color w:val="181F24"/>
        </w:rPr>
        <w:t>大马来西亚分校智慧校园项目上进行了实施和部署，公司与马来西亚最大的在线支付平台 </w:t>
      </w:r>
      <w:r>
        <w:rPr>
          <w:rFonts w:ascii="宋体" w:hAnsi="宋体" w:cs="宋体" w:eastAsia="宋体" w:hint="default"/>
          <w:color w:val="181F24"/>
        </w:rPr>
        <w:t>iPay88</w:t>
      </w:r>
      <w:r>
        <w:rPr>
          <w:rFonts w:ascii="宋体" w:hAnsi="宋体" w:cs="宋体" w:eastAsia="宋体" w:hint="default"/>
          <w:color w:val="181F24"/>
          <w:spacing w:val="-22"/>
        </w:rPr>
        <w:t> </w:t>
      </w:r>
      <w:r>
        <w:rPr>
          <w:color w:val="181F24"/>
        </w:rPr>
        <w:t>合作，</w:t>
      </w:r>
      <w:r>
        <w:rPr/>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color w:val="181F24"/>
          <w:spacing w:val="-1"/>
        </w:rPr>
        <w:t>为厦大马来分校提供在线支付及充值服务，厦大马校也成为首家正式使用虚拟校园卡进行电子支付及身份</w:t>
      </w:r>
      <w:r>
        <w:rPr>
          <w:color w:val="181F24"/>
          <w:spacing w:val="-81"/>
        </w:rPr>
        <w:t> </w:t>
      </w:r>
      <w:r>
        <w:rPr>
          <w:color w:val="181F24"/>
          <w:spacing w:val="-81"/>
        </w:rPr>
      </w:r>
      <w:r>
        <w:rPr>
          <w:color w:val="181F24"/>
          <w:spacing w:val="-1"/>
        </w:rPr>
        <w:t>验证海外高校。公司顺应市场发展需求，在国内率先推出了基于虚拟卡的全系列应用，有效提升企业竞争</w:t>
      </w:r>
      <w:r>
        <w:rPr>
          <w:color w:val="181F24"/>
          <w:spacing w:val="-83"/>
        </w:rPr>
        <w:t> </w:t>
      </w:r>
      <w:r>
        <w:rPr>
          <w:color w:val="181F24"/>
          <w:spacing w:val="-83"/>
        </w:rPr>
      </w:r>
      <w:r>
        <w:rPr>
          <w:color w:val="181F24"/>
        </w:rPr>
        <w:t>力。强化内部管理，开设“正元学堂”，完善岗职薪酬和绩效体系，进一步提升管理效能。</w:t>
      </w:r>
      <w:r>
        <w:rPr/>
      </w:r>
    </w:p>
    <w:p>
      <w:pPr>
        <w:pStyle w:val="BodyText"/>
        <w:spacing w:line="408" w:lineRule="auto"/>
        <w:ind w:right="1131" w:firstLine="420"/>
        <w:jc w:val="both"/>
      </w:pPr>
      <w:r>
        <w:rPr>
          <w:color w:val="181F24"/>
        </w:rPr>
        <w:t>报告期内，公司实现营业收入</w:t>
      </w:r>
      <w:r>
        <w:rPr>
          <w:color w:val="181F24"/>
          <w:spacing w:val="-68"/>
        </w:rPr>
        <w:t> </w:t>
      </w:r>
      <w:r>
        <w:rPr>
          <w:rFonts w:ascii="宋体" w:hAnsi="宋体" w:cs="宋体" w:eastAsia="宋体" w:hint="default"/>
          <w:color w:val="181F24"/>
        </w:rPr>
        <w:t>44,892.23</w:t>
      </w:r>
      <w:r>
        <w:rPr>
          <w:rFonts w:ascii="宋体" w:hAnsi="宋体" w:cs="宋体" w:eastAsia="宋体" w:hint="default"/>
          <w:color w:val="181F24"/>
          <w:spacing w:val="-68"/>
        </w:rPr>
        <w:t> </w:t>
      </w:r>
      <w:r>
        <w:rPr>
          <w:color w:val="181F24"/>
          <w:spacing w:val="-3"/>
        </w:rPr>
        <w:t>万元，比上年同期增长</w:t>
      </w:r>
      <w:r>
        <w:rPr>
          <w:color w:val="181F24"/>
          <w:spacing w:val="-68"/>
        </w:rPr>
        <w:t> </w:t>
      </w:r>
      <w:r>
        <w:rPr>
          <w:rFonts w:ascii="宋体" w:hAnsi="宋体" w:cs="宋体" w:eastAsia="宋体" w:hint="default"/>
          <w:color w:val="181F24"/>
        </w:rPr>
        <w:t>23.54%</w:t>
      </w:r>
      <w:r>
        <w:rPr>
          <w:color w:val="181F24"/>
        </w:rPr>
        <w:t>；实现归属于上市公司股东的 净利润</w:t>
      </w:r>
      <w:r>
        <w:rPr>
          <w:color w:val="181F24"/>
          <w:spacing w:val="-34"/>
        </w:rPr>
        <w:t> </w:t>
      </w:r>
      <w:r>
        <w:rPr>
          <w:rFonts w:ascii="宋体" w:hAnsi="宋体" w:cs="宋体" w:eastAsia="宋体" w:hint="default"/>
          <w:color w:val="181F24"/>
        </w:rPr>
        <w:t>4,196.89</w:t>
      </w:r>
      <w:r>
        <w:rPr>
          <w:rFonts w:ascii="宋体" w:hAnsi="宋体" w:cs="宋体" w:eastAsia="宋体" w:hint="default"/>
          <w:color w:val="181F24"/>
          <w:spacing w:val="-33"/>
        </w:rPr>
        <w:t> </w:t>
      </w:r>
      <w:r>
        <w:rPr>
          <w:color w:val="181F24"/>
        </w:rPr>
        <w:t>万元，比上年同期增长</w:t>
      </w:r>
      <w:r>
        <w:rPr>
          <w:rFonts w:ascii="宋体" w:hAnsi="宋体" w:cs="宋体" w:eastAsia="宋体" w:hint="default"/>
          <w:color w:val="181F24"/>
        </w:rPr>
        <w:t>-8.27%</w:t>
      </w:r>
      <w:r>
        <w:rPr>
          <w:color w:val="181F24"/>
        </w:rPr>
        <w:t>；扣非后归属于上市公司股东的净利润</w:t>
      </w:r>
      <w:r>
        <w:rPr>
          <w:color w:val="181F24"/>
          <w:spacing w:val="-34"/>
        </w:rPr>
        <w:t> </w:t>
      </w:r>
      <w:r>
        <w:rPr>
          <w:rFonts w:ascii="宋体" w:hAnsi="宋体" w:cs="宋体" w:eastAsia="宋体" w:hint="default"/>
          <w:color w:val="181F24"/>
        </w:rPr>
        <w:t>3866.85</w:t>
      </w:r>
      <w:r>
        <w:rPr>
          <w:rFonts w:ascii="宋体" w:hAnsi="宋体" w:cs="宋体" w:eastAsia="宋体" w:hint="default"/>
          <w:color w:val="181F24"/>
          <w:spacing w:val="-35"/>
        </w:rPr>
        <w:t> </w:t>
      </w:r>
      <w:r>
        <w:rPr>
          <w:color w:val="181F24"/>
        </w:rPr>
        <w:t>万元，增 长</w:t>
      </w:r>
      <w:r>
        <w:rPr>
          <w:color w:val="181F24"/>
          <w:spacing w:val="-23"/>
        </w:rPr>
        <w:t> </w:t>
      </w:r>
      <w:r>
        <w:rPr>
          <w:rFonts w:ascii="宋体" w:hAnsi="宋体" w:cs="宋体" w:eastAsia="宋体" w:hint="default"/>
          <w:color w:val="181F24"/>
        </w:rPr>
        <w:t>7.95%</w:t>
      </w:r>
      <w:r>
        <w:rPr>
          <w:color w:val="181F24"/>
        </w:rPr>
        <w:t>。报告期内公司营业总收入较上年同期上升，主要原因有新区域的扩张及现有部分区域的业绩快 </w:t>
      </w:r>
      <w:r>
        <w:rPr>
          <w:color w:val="181F24"/>
          <w:spacing w:val="-1"/>
        </w:rPr>
        <w:t>速增长；新的软件平台和硬件产品的推出，促进了业绩增长；拓展智慧园区在企业、电力、军警、政府等</w:t>
      </w:r>
      <w:r>
        <w:rPr>
          <w:color w:val="181F24"/>
          <w:spacing w:val="-83"/>
        </w:rPr>
        <w:t> </w:t>
      </w:r>
      <w:r>
        <w:rPr>
          <w:color w:val="181F24"/>
          <w:spacing w:val="-83"/>
        </w:rPr>
      </w:r>
      <w:r>
        <w:rPr>
          <w:color w:val="181F24"/>
        </w:rPr>
        <w:t>行业的智慧化应用，实现了部分业绩增长等。</w:t>
      </w:r>
      <w:r>
        <w:rPr/>
      </w:r>
    </w:p>
    <w:p>
      <w:pPr>
        <w:spacing w:line="240" w:lineRule="auto" w:before="8"/>
        <w:rPr>
          <w:rFonts w:ascii="宋体" w:hAnsi="宋体" w:cs="宋体" w:eastAsia="宋体" w:hint="default"/>
          <w:sz w:val="20"/>
          <w:szCs w:val="20"/>
        </w:rPr>
      </w:pPr>
    </w:p>
    <w:p>
      <w:pPr>
        <w:pStyle w:val="Heading4"/>
        <w:spacing w:line="240" w:lineRule="auto"/>
        <w:ind w:left="1134" w:right="0"/>
        <w:jc w:val="both"/>
        <w:rPr>
          <w:b w:val="0"/>
          <w:bCs w:val="0"/>
        </w:rPr>
      </w:pPr>
      <w:bookmarkStart w:name="1、市场区域进一步扩展" w:id="34"/>
      <w:bookmarkEnd w:id="34"/>
      <w:r>
        <w:rPr>
          <w:b w:val="0"/>
          <w:bCs w:val="0"/>
        </w:rPr>
      </w:r>
      <w:r>
        <w:rPr>
          <w:rFonts w:ascii="宋体" w:hAnsi="宋体" w:cs="宋体" w:eastAsia="宋体" w:hint="default"/>
        </w:rPr>
        <w:t>1</w:t>
      </w:r>
      <w:r>
        <w:rPr/>
        <w:t>、市场区域进一步扩展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3" w:firstLine="420"/>
        <w:jc w:val="both"/>
      </w:pPr>
      <w:r>
        <w:rPr>
          <w:color w:val="181F24"/>
          <w:spacing w:val="-1"/>
        </w:rPr>
        <w:t>报告期内，公司加快市场拓展力度，不断推广公司新产品，为用户定制优化的解决方案，市场占有率</w:t>
      </w:r>
      <w:r>
        <w:rPr>
          <w:color w:val="181F24"/>
        </w:rPr>
        <w:t> </w:t>
      </w:r>
      <w:r>
        <w:rPr>
          <w:color w:val="181F24"/>
          <w:spacing w:val="-1"/>
        </w:rPr>
        <w:t>明显提高，公司在山东、江苏、河南、湖南、湖北、重庆等原有市场都保持了较大幅度增长，同时积极开</w:t>
      </w:r>
      <w:r>
        <w:rPr>
          <w:color w:val="181F24"/>
          <w:spacing w:val="-85"/>
        </w:rPr>
        <w:t> </w:t>
      </w:r>
      <w:r>
        <w:rPr>
          <w:color w:val="181F24"/>
          <w:spacing w:val="-85"/>
        </w:rPr>
      </w:r>
      <w:r>
        <w:rPr>
          <w:color w:val="181F24"/>
        </w:rPr>
        <w:t>辟新市场区域，并在山西、陕西、四川等地取得了重点项目突破，树立了品牌效应。</w:t>
      </w:r>
      <w:r>
        <w:rPr/>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智慧校园业务不断深入" w:id="35"/>
      <w:bookmarkEnd w:id="35"/>
      <w:r>
        <w:rPr>
          <w:b w:val="0"/>
          <w:bCs w:val="0"/>
        </w:rPr>
      </w:r>
      <w:r>
        <w:rPr>
          <w:rFonts w:ascii="宋体" w:hAnsi="宋体" w:cs="宋体" w:eastAsia="宋体" w:hint="default"/>
        </w:rPr>
        <w:t>2</w:t>
      </w:r>
      <w:r>
        <w:rPr/>
        <w:t>、智慧校园业务不断深入</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131" w:firstLine="420"/>
        <w:jc w:val="both"/>
      </w:pPr>
      <w:r>
        <w:rPr>
          <w:color w:val="181F24"/>
          <w:spacing w:val="-1"/>
        </w:rPr>
        <w:t>公司在智慧一卡通基础上，积极深化智慧校园业务服务，密切掌握师生需求，利用新技术，提供不断</w:t>
      </w:r>
      <w:r>
        <w:rPr>
          <w:color w:val="181F24"/>
        </w:rPr>
        <w:t> </w:t>
      </w:r>
      <w:r>
        <w:rPr>
          <w:color w:val="181F24"/>
          <w:spacing w:val="-2"/>
        </w:rPr>
        <w:t>完善的校园综合解决方案。</w:t>
      </w:r>
      <w:r>
        <w:rPr>
          <w:rFonts w:ascii="宋体" w:hAnsi="宋体" w:cs="宋体" w:eastAsia="宋体" w:hint="default"/>
          <w:color w:val="181F24"/>
          <w:spacing w:val="-2"/>
        </w:rPr>
        <w:t>2017</w:t>
      </w:r>
      <w:r>
        <w:rPr>
          <w:rFonts w:ascii="宋体" w:hAnsi="宋体" w:cs="宋体" w:eastAsia="宋体" w:hint="default"/>
          <w:color w:val="181F24"/>
          <w:spacing w:val="-39"/>
        </w:rPr>
        <w:t> </w:t>
      </w:r>
      <w:r>
        <w:rPr>
          <w:color w:val="181F24"/>
          <w:spacing w:val="-2"/>
        </w:rPr>
        <w:t>年度完成了兰州大学数据治理一期项目初验，积累了大数据治理经验，为</w:t>
      </w:r>
      <w:r>
        <w:rPr>
          <w:color w:val="181F24"/>
          <w:spacing w:val="-102"/>
        </w:rPr>
        <w:t> </w:t>
      </w:r>
      <w:r>
        <w:rPr>
          <w:color w:val="181F24"/>
          <w:spacing w:val="-102"/>
        </w:rPr>
      </w:r>
      <w:r>
        <w:rPr>
          <w:color w:val="181F24"/>
          <w:spacing w:val="-1"/>
        </w:rPr>
        <w:t>公司后续业务转型升级提供有力保障；完成了以西北师范大学智慧校园项目为代表的相关开发工作，为智</w:t>
      </w:r>
      <w:r>
        <w:rPr>
          <w:color w:val="181F24"/>
          <w:spacing w:val="-81"/>
        </w:rPr>
        <w:t> </w:t>
      </w:r>
      <w:r>
        <w:rPr>
          <w:color w:val="181F24"/>
          <w:spacing w:val="-81"/>
        </w:rPr>
      </w:r>
      <w:r>
        <w:rPr>
          <w:color w:val="181F24"/>
        </w:rPr>
        <w:t>慧校园解决方案的推广打下了基础。</w:t>
      </w:r>
      <w:r>
        <w:rPr/>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3、新行业新领域取得突破" w:id="36"/>
      <w:bookmarkEnd w:id="36"/>
      <w:r>
        <w:rPr>
          <w:b w:val="0"/>
          <w:bCs w:val="0"/>
        </w:rPr>
      </w:r>
      <w:r>
        <w:rPr>
          <w:rFonts w:ascii="宋体" w:hAnsi="宋体" w:cs="宋体" w:eastAsia="宋体" w:hint="default"/>
        </w:rPr>
        <w:t>3</w:t>
      </w:r>
      <w:r>
        <w:rPr/>
        <w:t>、新行业新领域取得突破</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024" w:firstLine="420"/>
        <w:jc w:val="left"/>
      </w:pPr>
      <w:r>
        <w:rPr>
          <w:color w:val="181F24"/>
        </w:rPr>
        <w:t>公司以企业信息化融合和中国制造 </w:t>
      </w:r>
      <w:r>
        <w:rPr>
          <w:rFonts w:ascii="宋体" w:hAnsi="宋体" w:cs="宋体" w:eastAsia="宋体" w:hint="default"/>
          <w:color w:val="181F24"/>
        </w:rPr>
        <w:t>2025</w:t>
      </w:r>
      <w:r>
        <w:rPr>
          <w:rFonts w:ascii="宋体" w:hAnsi="宋体" w:cs="宋体" w:eastAsia="宋体" w:hint="default"/>
          <w:color w:val="181F24"/>
          <w:spacing w:val="-23"/>
        </w:rPr>
        <w:t> </w:t>
      </w:r>
      <w:r>
        <w:rPr>
          <w:color w:val="181F24"/>
        </w:rPr>
        <w:t>的信息化建设为导向，利用自身在智慧一卡通领域积累的丰 富技术、经验和能力，积极向机关、企事业、园区、电力、军警、医院等其他行业积极拓展智慧化应用， </w:t>
      </w:r>
      <w:r>
        <w:rPr>
          <w:color w:val="181F24"/>
          <w:spacing w:val="-3"/>
        </w:rPr>
        <w:t>在电力行业及市民卡等领域的推进初见成效，陆续实施了国家电网智慧后勤一体化服务平台、杭州（国际）</w:t>
      </w:r>
      <w:r>
        <w:rPr>
          <w:color w:val="181F24"/>
          <w:spacing w:val="-90"/>
        </w:rPr>
        <w:t> </w:t>
      </w:r>
      <w:r>
        <w:rPr>
          <w:color w:val="181F24"/>
          <w:spacing w:val="-90"/>
        </w:rPr>
      </w:r>
      <w:r>
        <w:rPr>
          <w:color w:val="181F24"/>
        </w:rPr>
        <w:t>青少年洞桥营地智慧卡、威海市民卡的行业性应用等项目。完成了温州智慧教育卡项目，为一卡通城域网</w:t>
      </w:r>
      <w:r>
        <w:rPr>
          <w:color w:val="181F24"/>
        </w:rPr>
        <w:t> 数据中心平台建设奠定了很好的基础。</w:t>
      </w:r>
      <w:r>
        <w:rPr/>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4、积极推进互联网运营服务" w:id="37"/>
      <w:bookmarkEnd w:id="37"/>
      <w:r>
        <w:rPr>
          <w:b w:val="0"/>
          <w:bCs w:val="0"/>
        </w:rPr>
      </w:r>
      <w:r>
        <w:rPr>
          <w:rFonts w:ascii="宋体" w:hAnsi="宋体" w:cs="宋体" w:eastAsia="宋体" w:hint="default"/>
        </w:rPr>
        <w:t>4</w:t>
      </w:r>
      <w:r>
        <w:rPr/>
        <w:t>、积极推进互联网运营服务</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2" w:firstLine="420"/>
        <w:jc w:val="both"/>
      </w:pPr>
      <w:r>
        <w:rPr>
          <w:color w:val="181F24"/>
          <w:spacing w:val="-1"/>
        </w:rPr>
        <w:t>公司在智慧一卡通系统的基础上，构建了“校付宝”公共云服务平台，为持卡人提供充值接口技术服</w:t>
      </w:r>
      <w:r>
        <w:rPr>
          <w:color w:val="181F24"/>
        </w:rPr>
        <w:t> 务等，打造线上线下综合服务平台，校付宝平台上线人数</w:t>
      </w:r>
      <w:r>
        <w:rPr>
          <w:color w:val="181F24"/>
          <w:spacing w:val="-32"/>
        </w:rPr>
        <w:t> </w:t>
      </w:r>
      <w:r>
        <w:rPr>
          <w:rFonts w:ascii="宋体" w:hAnsi="宋体" w:cs="宋体" w:eastAsia="宋体" w:hint="default"/>
          <w:color w:val="181F24"/>
        </w:rPr>
        <w:t>240</w:t>
      </w:r>
      <w:r>
        <w:rPr>
          <w:rFonts w:ascii="宋体" w:hAnsi="宋体" w:cs="宋体" w:eastAsia="宋体" w:hint="default"/>
          <w:color w:val="181F24"/>
          <w:spacing w:val="-33"/>
        </w:rPr>
        <w:t> </w:t>
      </w:r>
      <w:r>
        <w:rPr>
          <w:color w:val="181F24"/>
        </w:rPr>
        <w:t>多万人，实现流水</w:t>
      </w:r>
      <w:r>
        <w:rPr>
          <w:color w:val="181F24"/>
          <w:spacing w:val="-33"/>
        </w:rPr>
        <w:t> </w:t>
      </w:r>
      <w:r>
        <w:rPr>
          <w:rFonts w:ascii="宋体" w:hAnsi="宋体" w:cs="宋体" w:eastAsia="宋体" w:hint="default"/>
          <w:color w:val="181F24"/>
        </w:rPr>
        <w:t>20</w:t>
      </w:r>
      <w:r>
        <w:rPr>
          <w:rFonts w:ascii="宋体" w:hAnsi="宋体" w:cs="宋体" w:eastAsia="宋体" w:hint="default"/>
          <w:color w:val="181F24"/>
          <w:spacing w:val="-34"/>
        </w:rPr>
        <w:t> </w:t>
      </w:r>
      <w:r>
        <w:rPr>
          <w:color w:val="181F24"/>
        </w:rPr>
        <w:t>多亿。同时公司加强</w:t>
      </w:r>
      <w:r>
        <w:rPr/>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color w:val="181F24"/>
          <w:spacing w:val="-3"/>
        </w:rPr>
        <w:t>与支付宝、腾讯等互联网企业的深度合作，联合支付宝推出了虚拟校园卡产品，通过加强双方产品、资源、</w:t>
      </w:r>
      <w:r>
        <w:rPr>
          <w:color w:val="181F24"/>
          <w:spacing w:val="-96"/>
        </w:rPr>
        <w:t> </w:t>
      </w:r>
      <w:r>
        <w:rPr>
          <w:color w:val="181F24"/>
          <w:spacing w:val="-96"/>
        </w:rPr>
      </w:r>
      <w:r>
        <w:rPr>
          <w:color w:val="181F24"/>
          <w:spacing w:val="-3"/>
        </w:rPr>
        <w:t>市场等方面的融合，提供入口、支付、硬件、场景服务等深度行业解决方案，共同探索和构建商业新生态。</w:t>
      </w:r>
      <w:r>
        <w:rPr>
          <w:color w:val="181F24"/>
          <w:spacing w:val="-94"/>
        </w:rPr>
        <w:t> </w:t>
      </w:r>
      <w:r>
        <w:rPr>
          <w:color w:val="181F24"/>
          <w:spacing w:val="-94"/>
        </w:rPr>
      </w:r>
      <w:r>
        <w:rPr>
          <w:color w:val="181F24"/>
        </w:rPr>
        <w:t>公司继续推进基础教育的互联网智慧化建设，在线教育平台在浙江多个地市稳步推进，结合网络课程推出</w:t>
      </w:r>
      <w:r>
        <w:rPr>
          <w:color w:val="181F24"/>
        </w:rPr>
        <w:t> 了中学生培优课程，推出了教育发展性评价系统、义务教育综合素质评价系统，推动中小学多样化、特色 化发展。</w:t>
      </w:r>
      <w:r>
        <w:rPr/>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5、不断完善产品体系" w:id="38"/>
      <w:bookmarkEnd w:id="38"/>
      <w:r>
        <w:rPr>
          <w:b w:val="0"/>
          <w:bCs w:val="0"/>
        </w:rPr>
      </w:r>
      <w:r>
        <w:rPr>
          <w:rFonts w:ascii="宋体" w:hAnsi="宋体" w:cs="宋体" w:eastAsia="宋体" w:hint="default"/>
        </w:rPr>
        <w:t>5</w:t>
      </w:r>
      <w:r>
        <w:rPr/>
        <w:t>、不断完善产品体系</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11" w:firstLine="420"/>
        <w:jc w:val="both"/>
      </w:pPr>
      <w:r>
        <w:rPr>
          <w:color w:val="181F24"/>
          <w:spacing w:val="-1"/>
        </w:rPr>
        <w:t>公司成立了产品委员会，完善了产品体系和研发管理体系。对产品的研发流程进行优化，提高了研发</w:t>
      </w:r>
      <w:r>
        <w:rPr>
          <w:color w:val="181F24"/>
        </w:rPr>
        <w:t> 进度、产品质量和生产效率。报告期内，自主研发的智慧易通平台成功上线并在多个高校完成安装部署， 公司紧跟移动互联网发展趋势，进一步提升用户体验，推出了新型多媒体扫码</w:t>
      </w:r>
      <w:r>
        <w:rPr>
          <w:color w:val="181F24"/>
          <w:spacing w:val="-63"/>
        </w:rPr>
        <w:t> </w:t>
      </w:r>
      <w:r>
        <w:rPr>
          <w:rFonts w:ascii="宋体" w:hAnsi="宋体" w:cs="宋体" w:eastAsia="宋体" w:hint="default"/>
          <w:color w:val="181F24"/>
        </w:rPr>
        <w:t>POS</w:t>
      </w:r>
      <w:r>
        <w:rPr>
          <w:rFonts w:ascii="宋体" w:hAnsi="宋体" w:cs="宋体" w:eastAsia="宋体" w:hint="default"/>
          <w:color w:val="181F24"/>
          <w:spacing w:val="-63"/>
        </w:rPr>
        <w:t> </w:t>
      </w:r>
      <w:r>
        <w:rPr>
          <w:color w:val="181F24"/>
        </w:rPr>
        <w:t>机、扫码智慧门禁读卡 器、扫码无线水控等虚拟校园卡应用产品；人脸识别支付终端、蓝牙门锁、</w:t>
      </w:r>
      <w:r>
        <w:rPr>
          <w:rFonts w:ascii="宋体" w:hAnsi="宋体" w:cs="宋体" w:eastAsia="宋体" w:hint="default"/>
          <w:color w:val="181F24"/>
        </w:rPr>
        <w:t>LORA/NB-IoT</w:t>
      </w:r>
      <w:r>
        <w:rPr>
          <w:rFonts w:ascii="宋体" w:hAnsi="宋体" w:cs="宋体" w:eastAsia="宋体" w:hint="default"/>
          <w:color w:val="181F24"/>
          <w:spacing w:val="-25"/>
        </w:rPr>
        <w:t> </w:t>
      </w:r>
      <w:r>
        <w:rPr>
          <w:color w:val="181F24"/>
        </w:rPr>
        <w:t>水控终端等生物 识别物联网应用产品进一步丰富了公司产品体系。</w:t>
      </w:r>
      <w:r>
        <w:rPr/>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6、不断提升管理效能" w:id="39"/>
      <w:bookmarkEnd w:id="39"/>
      <w:r>
        <w:rPr>
          <w:b w:val="0"/>
          <w:bCs w:val="0"/>
        </w:rPr>
      </w:r>
      <w:r>
        <w:rPr>
          <w:rFonts w:ascii="宋体" w:hAnsi="宋体" w:cs="宋体" w:eastAsia="宋体" w:hint="default"/>
        </w:rPr>
        <w:t>6</w:t>
      </w:r>
      <w:r>
        <w:rPr/>
        <w:t>、不断提升管理效能</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30" w:firstLine="420"/>
        <w:jc w:val="both"/>
      </w:pPr>
      <w:r>
        <w:rPr>
          <w:color w:val="181F24"/>
          <w:spacing w:val="-1"/>
        </w:rPr>
        <w:t>加强合同管理与审核工作，加强资金成本的控制管理，对进销物资货款严格把关；公司组织开办“正</w:t>
      </w:r>
      <w:r>
        <w:rPr>
          <w:color w:val="181F24"/>
        </w:rPr>
        <w:t> 元学堂”，通过学堂里等线上培训与线下培训课堂相结合，开展系列培训，全年共计组织培训 </w:t>
      </w:r>
      <w:r>
        <w:rPr>
          <w:rFonts w:ascii="宋体" w:hAnsi="宋体" w:cs="宋体" w:eastAsia="宋体" w:hint="default"/>
          <w:color w:val="181F24"/>
        </w:rPr>
        <w:t>43</w:t>
      </w:r>
      <w:r>
        <w:rPr>
          <w:rFonts w:ascii="宋体" w:hAnsi="宋体" w:cs="宋体" w:eastAsia="宋体" w:hint="default"/>
          <w:color w:val="181F24"/>
          <w:spacing w:val="-22"/>
        </w:rPr>
        <w:t> </w:t>
      </w:r>
      <w:r>
        <w:rPr>
          <w:color w:val="181F24"/>
        </w:rPr>
        <w:t>场，参</w:t>
      </w:r>
      <w:r>
        <w:rPr/>
      </w:r>
    </w:p>
    <w:p>
      <w:pPr>
        <w:pStyle w:val="BodyText"/>
        <w:spacing w:line="408" w:lineRule="auto"/>
        <w:ind w:left="1134" w:right="1115"/>
        <w:jc w:val="left"/>
      </w:pPr>
      <w:r>
        <w:rPr>
          <w:color w:val="181F24"/>
        </w:rPr>
        <w:t>训人员 </w:t>
      </w:r>
      <w:r>
        <w:rPr>
          <w:rFonts w:ascii="宋体" w:hAnsi="宋体" w:cs="宋体" w:eastAsia="宋体" w:hint="default"/>
          <w:color w:val="181F24"/>
        </w:rPr>
        <w:t>2655</w:t>
      </w:r>
      <w:r>
        <w:rPr>
          <w:rFonts w:ascii="宋体" w:hAnsi="宋体" w:cs="宋体" w:eastAsia="宋体" w:hint="default"/>
          <w:color w:val="181F24"/>
          <w:spacing w:val="-23"/>
        </w:rPr>
        <w:t> </w:t>
      </w:r>
      <w:r>
        <w:rPr>
          <w:color w:val="181F24"/>
        </w:rPr>
        <w:t>人次；完善了研发与生产考核制度，充分调动员工积极性；引入专业人力资源咨询机构，对 公司岗职体系进行全面梳理，研讨推出符合公司经营实际的薪酬和绩效体系。</w:t>
      </w:r>
      <w:r>
        <w:rPr/>
      </w:r>
    </w:p>
    <w:p>
      <w:pPr>
        <w:spacing w:line="240" w:lineRule="auto" w:before="11"/>
        <w:rPr>
          <w:rFonts w:ascii="宋体" w:hAnsi="宋体" w:cs="宋体" w:eastAsia="宋体" w:hint="default"/>
          <w:sz w:val="18"/>
          <w:szCs w:val="18"/>
        </w:rPr>
      </w:pPr>
    </w:p>
    <w:p>
      <w:pPr>
        <w:pStyle w:val="Heading2"/>
        <w:spacing w:line="240" w:lineRule="auto"/>
        <w:ind w:left="1134" w:right="0"/>
        <w:jc w:val="left"/>
        <w:rPr>
          <w:b w:val="0"/>
          <w:bCs w:val="0"/>
        </w:rPr>
      </w:pPr>
      <w:bookmarkStart w:name="二、主营业务分析" w:id="40"/>
      <w:bookmarkEnd w:id="40"/>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133" w:right="6473" w:firstLine="0"/>
        <w:jc w:val="left"/>
        <w:rPr>
          <w:rFonts w:ascii="宋体" w:hAnsi="宋体" w:cs="宋体" w:eastAsia="宋体" w:hint="default"/>
          <w:sz w:val="21"/>
          <w:szCs w:val="21"/>
        </w:rPr>
      </w:pPr>
      <w:bookmarkStart w:name="1、概述"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42"/>
      <w:bookmarkEnd w:id="42"/>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5"/>
        <w:ind w:right="0"/>
        <w:jc w:val="left"/>
        <w:rPr>
          <w:b w:val="0"/>
          <w:bCs w:val="0"/>
        </w:rPr>
      </w:pPr>
      <w:bookmarkStart w:name="（1）营业收入构成" w:id="43"/>
      <w:bookmarkEnd w:id="43"/>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6973"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133" w:right="139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after="0" w:line="338"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line="338" w:lineRule="auto" w:before="44"/>
        <w:ind w:left="1133" w:right="113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3"/>
        <w:ind w:left="1133"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2"/>
        <w:ind w:left="113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448,922,268.58</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363,371,772.32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23.54%</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265,657,520.23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210,829,487.24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183,264,748.35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152,542,285.08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322,846,234.87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284,643,869.24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39,725,228.32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33,098,645.28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86,350,805.39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45,629,257.80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2,911,960.69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7,946,916.17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6,125,461.69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5,924,904.88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291,307,379.81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270,266,832.15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29,436,190.14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37,409,099.08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62,872,154.23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11,281,132.70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45,215,923.14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23,052,121.94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11,053,198.88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7,490,765.40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44"/>
      <w:bookmarkEnd w:id="44"/>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0" w:right="0"/>
        </w:sectPr>
      </w:pPr>
    </w:p>
    <w:p>
      <w:pPr>
        <w:spacing w:line="34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265,657,520.23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162,214,557.04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183,264,748.35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109,329,691.26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322,846,234.87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197,693,043.75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39,725,228.32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86,350,805.39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69,867,895.62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2,911,960.69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2,432,582.91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6,125,461.69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2,913,090.19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291,307,379.81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173,263,381.73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29,436,190.14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12,868,911.76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62,872,154.23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46,961,533.00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45,215,923.14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26,457,208.17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11,053,198.88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6,647,540.54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45"/>
      <w:bookmarkEnd w:id="45"/>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46"/>
      <w:bookmarkEnd w:id="46"/>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47"/>
      <w:bookmarkEnd w:id="47"/>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0" w:right="0"/>
        </w:sectPr>
      </w:pPr>
    </w:p>
    <w:p>
      <w:pPr>
        <w:spacing w:line="360" w:lineRule="auto"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1855" w:space="70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207,584,574.95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159,849,742.80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17,628,581.63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13,382,632.46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5,717,620.12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5,046,325.93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36,662,878.14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36,070,415.13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w:t>
            </w: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施工费用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3,950,593.46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2,408,891.06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64.00%</w:t>
            </w:r>
          </w:p>
        </w:tc>
      </w:tr>
    </w:tbl>
    <w:p>
      <w:pPr>
        <w:spacing w:line="338" w:lineRule="auto" w:before="51"/>
        <w:ind w:left="1134" w:right="1118"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2"/>
          <w:sz w:val="18"/>
          <w:szCs w:val="18"/>
        </w:rPr>
        <w:t>报告期内公司主要成本为直接材料（含制造费用）和施工费用，其中施工费用主要内容为项目实施时外包费用，主要执行的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是安装、组装等简单工作，占成本比重较小。运维服务无施工费用主要原因是该类业务由研发技术人员直接提供，每个人负</w:t>
      </w:r>
    </w:p>
    <w:p>
      <w:pPr>
        <w:spacing w:after="0" w:line="338"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责的项目数量较多且金额较小，因此相关费用计入当期费用。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48"/>
      <w:bookmarkEnd w:id="48"/>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pStyle w:val="BodyText"/>
        <w:spacing w:line="240" w:lineRule="auto" w:before="75"/>
        <w:ind w:left="1553" w:right="0"/>
        <w:jc w:val="left"/>
      </w:pPr>
      <w:r>
        <w:rPr/>
        <w:t>较</w:t>
      </w:r>
      <w:r>
        <w:rPr>
          <w:rFonts w:ascii="Times New Roman" w:hAnsi="Times New Roman" w:cs="Times New Roman" w:eastAsia="Times New Roman" w:hint="default"/>
        </w:rPr>
        <w:t>2016</w:t>
      </w:r>
      <w:r>
        <w:rPr/>
        <w:t>年度财务报表相比，公司</w:t>
      </w:r>
      <w:r>
        <w:rPr>
          <w:rFonts w:ascii="Times New Roman" w:hAnsi="Times New Roman" w:cs="Times New Roman" w:eastAsia="Times New Roman" w:hint="default"/>
        </w:rPr>
        <w:t>2017</w:t>
      </w:r>
      <w:r>
        <w:rPr/>
        <w:t>年财务报表合并范围新增</w:t>
      </w:r>
      <w:r>
        <w:rPr>
          <w:rFonts w:ascii="Times New Roman" w:hAnsi="Times New Roman" w:cs="Times New Roman" w:eastAsia="Times New Roman" w:hint="default"/>
        </w:rPr>
        <w:t>1</w:t>
      </w:r>
      <w:r>
        <w:rPr/>
        <w:t>家，为浙江校云智慧科技有限公司。</w:t>
      </w:r>
    </w:p>
    <w:p>
      <w:pPr>
        <w:spacing w:line="240" w:lineRule="auto" w:before="8"/>
        <w:rPr>
          <w:rFonts w:ascii="宋体" w:hAnsi="宋体" w:cs="宋体" w:eastAsia="宋体" w:hint="default"/>
          <w:sz w:val="24"/>
          <w:szCs w:val="24"/>
        </w:rPr>
      </w:pPr>
    </w:p>
    <w:p>
      <w:pPr>
        <w:pStyle w:val="Heading4"/>
        <w:spacing w:line="240" w:lineRule="auto"/>
        <w:ind w:left="1134" w:right="0"/>
        <w:jc w:val="left"/>
        <w:rPr>
          <w:b w:val="0"/>
          <w:bCs w:val="0"/>
        </w:rPr>
      </w:pPr>
      <w:bookmarkStart w:name="（7）公司报告期内业务、产品或服务发生重大变化或调整有关情况" w:id="49"/>
      <w:bookmarkEnd w:id="49"/>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50"/>
      <w:bookmarkEnd w:id="50"/>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141,012,172.84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48,103,959.51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38,803,104.71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20,816,973.65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18,922,974.52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14,365,160.45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141,012,172.84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48,366,922.92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14,272,321.45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11,282,350.43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11,257,624.80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6,622,489.50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4,932,136.74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48,366,922.92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51"/>
      <w:bookmarkEnd w:id="51"/>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38,108,991.73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30,465,592.94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25.09%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主要是随着收入增长的差旅交通费， 业务招待费及职工薪酬的增加。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97,797,494.87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80,480,936.05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21.52%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主要是研发费用，职工薪酬及办公费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47" w:right="0"/>
              <w:jc w:val="left"/>
              <w:rPr>
                <w:rFonts w:ascii="Times New Roman" w:hAnsi="Times New Roman" w:cs="Times New Roman" w:eastAsia="Times New Roman" w:hint="default"/>
                <w:sz w:val="18"/>
                <w:szCs w:val="18"/>
              </w:rPr>
            </w:pPr>
            <w:r>
              <w:rPr>
                <w:rFonts w:ascii="Times New Roman"/>
                <w:sz w:val="18"/>
              </w:rPr>
              <w:t>2,387,054.94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0" w:right="0"/>
              <w:jc w:val="left"/>
              <w:rPr>
                <w:rFonts w:ascii="Times New Roman" w:hAnsi="Times New Roman" w:cs="Times New Roman" w:eastAsia="Times New Roman" w:hint="default"/>
                <w:sz w:val="18"/>
                <w:szCs w:val="18"/>
              </w:rPr>
            </w:pPr>
            <w:r>
              <w:rPr>
                <w:rFonts w:ascii="Times New Roman"/>
                <w:sz w:val="18"/>
              </w:rPr>
              <w:t>2,537,825.52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3" w:right="0"/>
              <w:jc w:val="left"/>
              <w:rPr>
                <w:rFonts w:ascii="Times New Roman" w:hAnsi="Times New Roman" w:cs="Times New Roman" w:eastAsia="Times New Roman" w:hint="default"/>
                <w:sz w:val="18"/>
                <w:szCs w:val="18"/>
              </w:rPr>
            </w:pPr>
            <w:r>
              <w:rPr>
                <w:rFonts w:ascii="Times New Roman"/>
                <w:sz w:val="18"/>
              </w:rPr>
              <w:t>-5.94%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研发投入" w:id="52"/>
      <w:bookmarkEnd w:id="52"/>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408" w:lineRule="auto" w:before="154"/>
        <w:ind w:right="1133" w:firstLine="482"/>
        <w:jc w:val="both"/>
      </w:pPr>
      <w:r>
        <w:rPr>
          <w:spacing w:val="-2"/>
        </w:rPr>
        <w:t>公司是国家火炬计划重点高新技术企业、国家规划布局内重点软件企业，并被认定为浙江省省级企业</w:t>
      </w:r>
      <w:r>
        <w:rPr/>
        <w:t> </w:t>
      </w:r>
      <w:r>
        <w:rPr>
          <w:spacing w:val="-1"/>
        </w:rPr>
        <w:t>技术中心、浙江省省级企业研究院。公司近年来不断引进优秀的技术人才，行业专业经验丰富，在智能卡</w:t>
      </w:r>
      <w:r>
        <w:rPr>
          <w:spacing w:val="-85"/>
        </w:rPr>
        <w:t> </w:t>
      </w:r>
      <w:r>
        <w:rPr>
          <w:spacing w:val="-85"/>
        </w:rPr>
      </w:r>
      <w:r>
        <w:rPr/>
        <w:t>应用、校园信息化、互联网等业务领域具有较强的技术创新能力。</w:t>
      </w:r>
    </w:p>
    <w:p>
      <w:pPr>
        <w:pStyle w:val="BodyText"/>
        <w:spacing w:line="408" w:lineRule="auto"/>
        <w:ind w:right="1130" w:firstLine="482"/>
        <w:jc w:val="both"/>
      </w:pPr>
      <w:r>
        <w:rPr>
          <w:spacing w:val="-2"/>
        </w:rPr>
        <w:t>报告期内，公司持续加大研发投入力度，在人脸识别、大数据及云计算方面组建专业团队研究和研发</w:t>
      </w:r>
      <w:r>
        <w:rPr/>
        <w:t> </w:t>
      </w:r>
      <w:r>
        <w:rPr>
          <w:spacing w:val="-1"/>
        </w:rPr>
        <w:t>适应市场需求的产品，通过利用大数据、云计算、移动互联网等新兴信息技术，为客户提供更完善的整体</w:t>
      </w:r>
      <w:r>
        <w:rPr>
          <w:spacing w:val="-86"/>
        </w:rPr>
        <w:t> </w:t>
      </w:r>
      <w:r>
        <w:rPr>
          <w:spacing w:val="-86"/>
        </w:rPr>
      </w:r>
      <w:r>
        <w:rPr/>
        <w:t>解决方案，研发投入金额占营业收入比例为</w:t>
      </w:r>
      <w:r>
        <w:rPr>
          <w:rFonts w:ascii="宋体" w:hAnsi="宋体" w:cs="宋体" w:eastAsia="宋体" w:hint="default"/>
        </w:rPr>
        <w:t>12.34%</w:t>
      </w:r>
      <w:r>
        <w:rPr/>
        <w:t>。</w:t>
      </w:r>
    </w:p>
    <w:p>
      <w:pPr>
        <w:spacing w:before="34"/>
        <w:ind w:left="113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533"/>
        <w:gridCol w:w="2280"/>
        <w:gridCol w:w="2127"/>
        <w:gridCol w:w="1630"/>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55,405,696.81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45,731,005.86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39,510,933.75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53"/>
      <w:bookmarkEnd w:id="53"/>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533"/>
        <w:gridCol w:w="2280"/>
        <w:gridCol w:w="2127"/>
        <w:gridCol w:w="1630"/>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549,100,431.88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453,660,536.33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589,121,173.27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438,261,565.06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-40,020,741.39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15,398,971.27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-359.89%</w:t>
            </w:r>
            <w:r>
              <w:rPr>
                <w:rFonts w:ascii="Times New Roman"/>
                <w:sz w:val="18"/>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146,773,247.89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306,215.06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47,831.43%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229,319,469.99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28,643,183.10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700.61%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-82,546,222.10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-28,336,968.04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191.30%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290,743,337.45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263.43%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118,154,159.06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66,950,542.57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172,589,178.39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13,049,457.43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1,222.58%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50,022,214.90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111,460.66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44,778.81%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386" w:lineRule="auto" w:before="153"/>
        <w:ind w:left="1134" w:right="1126" w:firstLine="423"/>
        <w:jc w:val="left"/>
      </w:pPr>
      <w:r>
        <w:rPr>
          <w:rFonts w:ascii="Times New Roman" w:hAnsi="Times New Roman" w:cs="Times New Roman" w:eastAsia="Times New Roman" w:hint="default"/>
        </w:rPr>
        <w:t>1</w:t>
      </w:r>
      <w:r>
        <w:rPr/>
        <w:t>、经营活动现金流入同比增长</w:t>
      </w:r>
      <w:r>
        <w:rPr>
          <w:spacing w:val="-55"/>
        </w:rPr>
        <w:t> </w:t>
      </w:r>
      <w:r>
        <w:rPr>
          <w:rFonts w:ascii="Times New Roman" w:hAnsi="Times New Roman" w:cs="Times New Roman" w:eastAsia="Times New Roman" w:hint="default"/>
        </w:rPr>
        <w:t>21.04%</w:t>
      </w:r>
      <w:r>
        <w:rPr/>
        <w:t>，主要是销售商品、提供劳务收到的现金、票据保证金的收回 和收到押金保证金增加所致。</w:t>
      </w:r>
    </w:p>
    <w:p>
      <w:pPr>
        <w:pStyle w:val="BodyText"/>
        <w:spacing w:line="386" w:lineRule="auto" w:before="65"/>
        <w:ind w:left="1134" w:right="1126" w:firstLine="42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、经营活动现金流出同比增长</w:t>
      </w:r>
      <w:r>
        <w:rPr>
          <w:spacing w:val="-55"/>
        </w:rPr>
        <w:t> </w:t>
      </w:r>
      <w:r>
        <w:rPr>
          <w:rFonts w:ascii="Times New Roman" w:hAnsi="Times New Roman" w:cs="Times New Roman" w:eastAsia="Times New Roman" w:hint="default"/>
        </w:rPr>
        <w:t>34.42%</w:t>
      </w:r>
      <w:r>
        <w:rPr/>
        <w:t>，主要是支付给职工以及为职工支付的现金和购买商品、接受 劳务支付的现金增加所致</w:t>
      </w:r>
      <w:r>
        <w:rPr>
          <w:rFonts w:ascii="Times New Roman" w:hAnsi="Times New Roman" w:cs="Times New Roman" w:eastAsia="Times New Roman" w:hint="default"/>
        </w:rPr>
        <w:t>.</w:t>
      </w:r>
    </w:p>
    <w:p>
      <w:pPr>
        <w:pStyle w:val="BodyText"/>
        <w:spacing w:line="240" w:lineRule="auto" w:before="35"/>
        <w:ind w:left="1557" w:right="0"/>
        <w:jc w:val="left"/>
      </w:pPr>
      <w:r>
        <w:rPr>
          <w:rFonts w:ascii="Times New Roman" w:hAnsi="Times New Roman" w:cs="Times New Roman" w:eastAsia="Times New Roman" w:hint="default"/>
        </w:rPr>
        <w:t>3</w:t>
      </w:r>
      <w:r>
        <w:rPr/>
        <w:t>、投资活动现金流入同比增长</w:t>
      </w:r>
      <w:r>
        <w:rPr>
          <w:spacing w:val="-57"/>
        </w:rPr>
        <w:t> </w:t>
      </w:r>
      <w:r>
        <w:rPr>
          <w:rFonts w:ascii="Times New Roman" w:hAnsi="Times New Roman" w:cs="Times New Roman" w:eastAsia="Times New Roman" w:hint="default"/>
        </w:rPr>
        <w:t>47,831.43%</w:t>
      </w:r>
      <w:r>
        <w:rPr/>
        <w:t>，主要是本期赎回保本理财本金和收到理财投资收益。</w:t>
      </w:r>
    </w:p>
    <w:p>
      <w:pPr>
        <w:pStyle w:val="BodyText"/>
        <w:spacing w:line="240" w:lineRule="auto" w:before="177"/>
        <w:ind w:left="1557" w:right="0"/>
        <w:jc w:val="left"/>
      </w:pPr>
      <w:r>
        <w:rPr>
          <w:rFonts w:ascii="Times New Roman" w:hAnsi="Times New Roman" w:cs="Times New Roman" w:eastAsia="Times New Roman" w:hint="default"/>
        </w:rPr>
        <w:t>4</w:t>
      </w:r>
      <w:r>
        <w:rPr/>
        <w:t>、投资活动现金流出同比增长</w:t>
      </w:r>
      <w:r>
        <w:rPr>
          <w:spacing w:val="-55"/>
        </w:rPr>
        <w:t> </w:t>
      </w:r>
      <w:r>
        <w:rPr>
          <w:rFonts w:ascii="Times New Roman" w:hAnsi="Times New Roman" w:cs="Times New Roman" w:eastAsia="Times New Roman" w:hint="default"/>
        </w:rPr>
        <w:t>700.61%</w:t>
      </w:r>
      <w:r>
        <w:rPr/>
        <w:t>，主要是本期购买保本理财现金流出和对杭州卓然出资所致。</w:t>
      </w:r>
    </w:p>
    <w:p>
      <w:pPr>
        <w:pStyle w:val="BodyText"/>
        <w:spacing w:line="240" w:lineRule="auto" w:before="177"/>
        <w:ind w:left="1557" w:right="0"/>
        <w:jc w:val="left"/>
      </w:pPr>
      <w:r>
        <w:rPr>
          <w:rFonts w:ascii="Times New Roman" w:hAnsi="Times New Roman" w:cs="Times New Roman" w:eastAsia="Times New Roman" w:hint="default"/>
        </w:rPr>
        <w:t>5</w:t>
      </w:r>
      <w:r>
        <w:rPr/>
        <w:t>、筹资活动现金流入同比增长</w:t>
      </w:r>
      <w:r>
        <w:rPr>
          <w:spacing w:val="-56"/>
        </w:rPr>
        <w:t> </w:t>
      </w:r>
      <w:r>
        <w:rPr>
          <w:rFonts w:ascii="Times New Roman" w:hAnsi="Times New Roman" w:cs="Times New Roman" w:eastAsia="Times New Roman" w:hint="default"/>
        </w:rPr>
        <w:t>263.43%</w:t>
      </w:r>
      <w:r>
        <w:rPr/>
        <w:t>，主要是本期首次公开发行股票收到募集资金所致。</w:t>
      </w:r>
    </w:p>
    <w:p>
      <w:pPr>
        <w:pStyle w:val="BodyText"/>
        <w:spacing w:line="386" w:lineRule="auto" w:before="177"/>
        <w:ind w:right="1127" w:firstLine="423"/>
        <w:jc w:val="left"/>
      </w:pPr>
      <w:r>
        <w:rPr>
          <w:rFonts w:ascii="Times New Roman" w:hAnsi="Times New Roman" w:cs="Times New Roman" w:eastAsia="Times New Roman" w:hint="default"/>
        </w:rPr>
        <w:t>6</w:t>
      </w:r>
      <w:r>
        <w:rPr/>
        <w:t>、筹资活动现金流出同比增长</w:t>
      </w:r>
      <w:r>
        <w:rPr>
          <w:spacing w:val="-55"/>
        </w:rPr>
        <w:t> </w:t>
      </w:r>
      <w:r>
        <w:rPr>
          <w:rFonts w:ascii="Times New Roman" w:hAnsi="Times New Roman" w:cs="Times New Roman" w:eastAsia="Times New Roman" w:hint="default"/>
        </w:rPr>
        <w:t>76.48%</w:t>
      </w:r>
      <w:r>
        <w:rPr/>
        <w:t>，主要是本报告期偿还银行借款及支付首次公开发行股票的发 行费用所致。</w:t>
      </w:r>
    </w:p>
    <w:p>
      <w:pPr>
        <w:spacing w:before="53"/>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54"/>
      <w:bookmarkEnd w:id="54"/>
      <w:r>
        <w:rPr>
          <w:b w:val="0"/>
          <w:bCs w:val="0"/>
        </w:rPr>
      </w:r>
      <w:r>
        <w:rPr/>
        <w:t>三、非主营业务情况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2,136,696.27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主要是银行理财收益及权 益法下长期股权投资收益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14,388.74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6" w:right="0"/>
              <w:jc w:val="left"/>
              <w:rPr>
                <w:rFonts w:ascii="Times New Roman" w:hAnsi="Times New Roman" w:cs="Times New Roman" w:eastAsia="Times New Roman" w:hint="default"/>
                <w:sz w:val="18"/>
                <w:szCs w:val="18"/>
              </w:rPr>
            </w:pPr>
            <w:r>
              <w:rPr>
                <w:rFonts w:ascii="Times New Roman"/>
                <w:sz w:val="18"/>
              </w:rPr>
              <w:t>65,916.40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主要是支付地方水利建设 基金</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71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16,748,920.67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主要系增值税退税和政府 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55"/>
      <w:bookmarkEnd w:id="55"/>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56"/>
      <w:bookmarkEnd w:id="56"/>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7"/>
        <w:gridCol w:w="1192"/>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55"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92"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207,192,191.79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162,894,922.12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273,934,565.11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210,314,609.98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36.81%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-3.34%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主要是本期随着营业收入增长而增 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92"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112,985,384.23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13.80%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76,130,996.09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主要系本期业务增加，项目增加，备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货增加所致。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92"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77,048,765.82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52,649,938.45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6,514,702.13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7,514,386.63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6,605,727.36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主要是本期投入大楼装修工程</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主要是流动资金借款</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14,561,237.38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6,454,772.33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31,796,123.27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18,800,358.89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51,896,257.27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3,242,924.19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主要是本期保本理财增加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11,230,818.21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10,952,104.64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公允价值计量的资产和负债" w:id="57"/>
      <w:bookmarkEnd w:id="57"/>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截至报告期末的资产权利受限情况" w:id="58"/>
      <w:bookmarkEnd w:id="58"/>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557" w:right="0"/>
        <w:jc w:val="left"/>
      </w:pPr>
      <w:bookmarkStart w:name="1）公司在杭州银行西湖支行存在5年期合计金额1500万元用作质押的定期存单，其中" w:id="59"/>
      <w:bookmarkEnd w:id="59"/>
      <w:r>
        <w:rPr/>
      </w:r>
      <w:r>
        <w:rPr>
          <w:rFonts w:ascii="Times New Roman" w:hAnsi="Times New Roman" w:cs="Times New Roman" w:eastAsia="Times New Roman" w:hint="default"/>
        </w:rPr>
        <w:t>1</w:t>
      </w:r>
      <w:r>
        <w:rPr/>
        <w:t>）公司在杭州银行西湖支行存在</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年期合计金额</w:t>
      </w:r>
      <w:r>
        <w:rPr>
          <w:spacing w:val="-39"/>
        </w:rPr>
        <w:t> </w:t>
      </w:r>
      <w:r>
        <w:rPr>
          <w:rFonts w:ascii="Times New Roman" w:hAnsi="Times New Roman" w:cs="Times New Roman" w:eastAsia="Times New Roman" w:hint="default"/>
        </w:rPr>
        <w:t>1500</w:t>
      </w:r>
      <w:r>
        <w:rPr>
          <w:rFonts w:ascii="Times New Roman" w:hAnsi="Times New Roman" w:cs="Times New Roman" w:eastAsia="Times New Roman" w:hint="default"/>
          <w:spacing w:val="-7"/>
        </w:rPr>
        <w:t> </w:t>
      </w:r>
      <w:r>
        <w:rPr/>
        <w:t>万元用作质押的定期存单，其中</w:t>
      </w:r>
      <w:r>
        <w:rPr>
          <w:spacing w:val="-3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t>万元于</w:t>
      </w:r>
    </w:p>
    <w:p>
      <w:pPr>
        <w:pStyle w:val="BodyText"/>
        <w:spacing w:line="240" w:lineRule="auto" w:before="177"/>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日到期，另外</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1"/>
        </w:rPr>
        <w:t> </w:t>
      </w:r>
      <w:r>
        <w:rPr/>
        <w:t>万元于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日到期。</w:t>
      </w:r>
    </w:p>
    <w:p>
      <w:pPr>
        <w:pStyle w:val="BodyText"/>
        <w:spacing w:line="240" w:lineRule="auto" w:before="177"/>
        <w:ind w:left="1557" w:right="0"/>
        <w:jc w:val="left"/>
      </w:pPr>
      <w:bookmarkStart w:name="2）截至报告期末，公司存在10,843,428.91元银行承兑保证金。" w:id="60"/>
      <w:bookmarkEnd w:id="60"/>
      <w:r>
        <w:rPr/>
      </w:r>
      <w:r>
        <w:rPr>
          <w:rFonts w:ascii="Times New Roman" w:hAnsi="Times New Roman" w:cs="Times New Roman" w:eastAsia="Times New Roman" w:hint="default"/>
        </w:rPr>
        <w:t>2</w:t>
      </w:r>
      <w:r>
        <w:rPr/>
        <w:t>）截至报告期末，公司存在</w:t>
      </w:r>
      <w:r>
        <w:rPr>
          <w:spacing w:val="-56"/>
        </w:rPr>
        <w:t> </w:t>
      </w:r>
      <w:r>
        <w:rPr>
          <w:rFonts w:ascii="Times New Roman" w:hAnsi="Times New Roman" w:cs="Times New Roman" w:eastAsia="Times New Roman" w:hint="default"/>
        </w:rPr>
        <w:t>10,843,428.91</w:t>
      </w:r>
      <w:r>
        <w:rPr>
          <w:rFonts w:ascii="Times New Roman" w:hAnsi="Times New Roman" w:cs="Times New Roman" w:eastAsia="Times New Roman" w:hint="default"/>
          <w:spacing w:val="-11"/>
        </w:rPr>
        <w:t> </w:t>
      </w:r>
      <w:r>
        <w:rPr/>
        <w:t>元银行承兑保证金。</w:t>
      </w:r>
    </w:p>
    <w:p>
      <w:pPr>
        <w:pStyle w:val="BodyText"/>
        <w:spacing w:line="386" w:lineRule="auto" w:before="177"/>
        <w:ind w:right="1119" w:firstLine="423"/>
        <w:jc w:val="left"/>
      </w:pPr>
      <w:bookmarkStart w:name="3）预收货款冻结5,761,896.01元，系公司开立的三方共管账户,在项目完成" w:id="61"/>
      <w:bookmarkEnd w:id="61"/>
      <w:r>
        <w:rPr/>
      </w:r>
      <w:r>
        <w:rPr>
          <w:rFonts w:ascii="Times New Roman" w:hAnsi="Times New Roman" w:cs="Times New Roman" w:eastAsia="Times New Roman" w:hint="default"/>
        </w:rPr>
        <w:t>3</w:t>
      </w:r>
      <w:r>
        <w:rPr/>
        <w:t>）预收货款冻结 </w:t>
      </w:r>
      <w:r>
        <w:rPr>
          <w:rFonts w:ascii="Times New Roman" w:hAnsi="Times New Roman" w:cs="Times New Roman" w:eastAsia="Times New Roman" w:hint="default"/>
        </w:rPr>
        <w:t>5,761,896.01</w:t>
      </w:r>
      <w:r>
        <w:rPr>
          <w:rFonts w:ascii="Times New Roman" w:hAnsi="Times New Roman" w:cs="Times New Roman" w:eastAsia="Times New Roman" w:hint="default"/>
          <w:spacing w:val="23"/>
        </w:rPr>
        <w:t> </w:t>
      </w:r>
      <w:r>
        <w:rPr/>
        <w:t>元，系公司开立的三方共管账户</w:t>
      </w:r>
      <w:r>
        <w:rPr>
          <w:rFonts w:ascii="Times New Roman" w:hAnsi="Times New Roman" w:cs="Times New Roman" w:eastAsia="Times New Roman" w:hint="default"/>
        </w:rPr>
        <w:t>,</w:t>
      </w:r>
      <w:r>
        <w:rPr/>
        <w:t>在项目完成前，账户内资金被银行冻 结，无法随时支取。</w:t>
      </w:r>
    </w:p>
    <w:p>
      <w:pPr>
        <w:pStyle w:val="BodyText"/>
        <w:spacing w:line="240" w:lineRule="auto" w:before="65"/>
        <w:ind w:left="1557" w:right="0"/>
        <w:jc w:val="left"/>
      </w:pPr>
      <w:bookmarkStart w:name="4）子公司青岛天高公司与上海浦东发展银行股份有限公司青岛分行签订最高额人民币1," w:id="62"/>
      <w:bookmarkEnd w:id="62"/>
      <w:r>
        <w:rPr/>
      </w:r>
      <w:r>
        <w:rPr>
          <w:rFonts w:ascii="Times New Roman" w:hAnsi="Times New Roman" w:cs="Times New Roman" w:eastAsia="Times New Roman" w:hint="default"/>
        </w:rPr>
        <w:t>4</w:t>
      </w:r>
      <w:r>
        <w:rPr/>
        <w:t>）子公司青岛天高公司与上海浦东发展银行股份有限公司青岛分行签订最高额人民币 </w:t>
      </w:r>
      <w:r>
        <w:rPr>
          <w:rFonts w:ascii="Times New Roman" w:hAnsi="Times New Roman" w:cs="Times New Roman" w:eastAsia="Times New Roman" w:hint="default"/>
        </w:rPr>
        <w:t>1,100.00</w:t>
      </w:r>
      <w:r>
        <w:rPr>
          <w:rFonts w:ascii="Times New Roman" w:hAnsi="Times New Roman" w:cs="Times New Roman" w:eastAsia="Times New Roman" w:hint="default"/>
          <w:spacing w:val="26"/>
        </w:rPr>
        <w:t> </w:t>
      </w:r>
      <w:r>
        <w:rPr/>
        <w:t>万元</w:t>
      </w:r>
    </w:p>
    <w:p>
      <w:pPr>
        <w:pStyle w:val="BodyText"/>
        <w:spacing w:line="240" w:lineRule="auto" w:before="177"/>
        <w:ind w:right="0"/>
        <w:jc w:val="left"/>
      </w:pPr>
      <w:r>
        <w:rPr/>
        <w:t>的应收账款质押合同，青岛天高公司将</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日形成的所有应收账款质押</w:t>
      </w:r>
    </w:p>
    <w:p>
      <w:pPr>
        <w:pStyle w:val="BodyText"/>
        <w:spacing w:line="240" w:lineRule="auto" w:before="177"/>
        <w:ind w:right="0"/>
        <w:jc w:val="left"/>
      </w:pPr>
      <w:r>
        <w:rPr>
          <w:spacing w:val="-3"/>
        </w:rPr>
        <w:t>予上海浦东发展银行股份有限公司青岛分行。截至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日，该质押合同下青岛天高公司短期借</w:t>
      </w:r>
    </w:p>
    <w:p>
      <w:pPr>
        <w:pStyle w:val="BodyText"/>
        <w:spacing w:line="240" w:lineRule="auto" w:before="177"/>
        <w:ind w:left="1134" w:right="0"/>
        <w:jc w:val="left"/>
      </w:pPr>
      <w:r>
        <w:rPr/>
        <w:t>款余额</w:t>
      </w:r>
      <w:r>
        <w:rPr>
          <w:spacing w:val="-53"/>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1"/>
        </w:rPr>
        <w:t> </w:t>
      </w:r>
      <w:r>
        <w:rPr/>
        <w:t>万元，应收账款质押余额</w:t>
      </w:r>
      <w:r>
        <w:rPr>
          <w:spacing w:val="-53"/>
        </w:rPr>
        <w:t> </w:t>
      </w:r>
      <w:r>
        <w:rPr>
          <w:rFonts w:ascii="Times New Roman" w:hAnsi="Times New Roman" w:cs="Times New Roman" w:eastAsia="Times New Roman" w:hint="default"/>
        </w:rPr>
        <w:t>23,897,436.66</w:t>
      </w:r>
      <w:r>
        <w:rPr>
          <w:rFonts w:ascii="Times New Roman" w:hAnsi="Times New Roman" w:cs="Times New Roman" w:eastAsia="Times New Roman" w:hint="default"/>
          <w:spacing w:val="-11"/>
        </w:rPr>
        <w:t> </w:t>
      </w:r>
      <w:r>
        <w:rPr/>
        <w:t>元。</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五、投资状况分析" w:id="63"/>
      <w:bookmarkEnd w:id="6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64"/>
      <w:bookmarkEnd w:id="6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报告期内获取的重大的股权投资情况" w:id="65"/>
      <w:bookmarkEnd w:id="6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66"/>
      <w:bookmarkEnd w:id="6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67"/>
      <w:bookmarkEnd w:id="6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68"/>
      <w:bookmarkEnd w:id="6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69"/>
      <w:bookmarkEnd w:id="6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首发上市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10,846.09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10,846.09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5,137.13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存放于专 </w:t>
            </w:r>
            <w:r>
              <w:rPr>
                <w:rFonts w:ascii="宋体" w:hAnsi="宋体" w:cs="宋体" w:eastAsia="宋体" w:hint="default"/>
                <w:spacing w:val="-18"/>
                <w:sz w:val="18"/>
                <w:szCs w:val="18"/>
              </w:rPr>
              <w:t>户、购买理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财产品、暂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10,846.09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10,846.09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5,137.13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2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firstLine="360"/>
              <w:jc w:val="both"/>
              <w:rPr>
                <w:rFonts w:ascii="宋体" w:hAnsi="宋体" w:cs="宋体" w:eastAsia="宋体" w:hint="default"/>
                <w:sz w:val="18"/>
                <w:szCs w:val="18"/>
              </w:rPr>
            </w:pPr>
            <w:r>
              <w:rPr>
                <w:rFonts w:ascii="宋体" w:hAnsi="宋体" w:cs="宋体" w:eastAsia="宋体" w:hint="default"/>
                <w:spacing w:val="-5"/>
                <w:sz w:val="18"/>
                <w:szCs w:val="18"/>
              </w:rPr>
              <w:t>经中国证券监督管理委员会《关于核准浙江正元智慧科技股份有限公司首次公开发行股票的批复》（证监许可</w:t>
            </w:r>
            <w:r>
              <w:rPr>
                <w:rFonts w:ascii="Times New Roman" w:hAnsi="Times New Roman" w:cs="Times New Roman" w:eastAsia="Times New Roman" w:hint="default"/>
                <w:spacing w:val="-5"/>
                <w:sz w:val="18"/>
                <w:szCs w:val="18"/>
              </w:rPr>
              <w:t>[2017]478</w:t>
            </w:r>
            <w:r>
              <w:rPr>
                <w:rFonts w:ascii="Times New Roman" w:hAnsi="Times New Roman" w:cs="Times New Roman" w:eastAsia="Times New Roman" w:hint="default"/>
                <w:sz w:val="18"/>
                <w:szCs w:val="18"/>
              </w:rPr>
              <w:t> </w:t>
            </w:r>
            <w:r>
              <w:rPr>
                <w:rFonts w:ascii="宋体" w:hAnsi="宋体" w:cs="宋体" w:eastAsia="宋体" w:hint="default"/>
                <w:sz w:val="18"/>
                <w:szCs w:val="18"/>
              </w:rPr>
              <w:t>号文）核准，并经深圳证券交易所同意，公司首次向社会公开发行人民币普通股（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16,666,667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发行价格为每股人民币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205,833,337.45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元，扣除发行费用后，实际募集资金净额为人民币</w:t>
            </w:r>
          </w:p>
          <w:p>
            <w:pPr>
              <w:pStyle w:val="TableParagraph"/>
              <w:spacing w:line="300" w:lineRule="auto" w:before="1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158,220,000.00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元。天健会计师事务所（特殊普通合伙）已于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日对公司首次公开发行股票的资金到位情况 </w:t>
            </w:r>
            <w:r>
              <w:rPr>
                <w:rFonts w:ascii="宋体" w:hAnsi="宋体" w:cs="宋体" w:eastAsia="宋体" w:hint="default"/>
                <w:spacing w:val="-1"/>
                <w:sz w:val="18"/>
                <w:szCs w:val="18"/>
              </w:rPr>
              <w:t>进行了审验，并出具了天健验</w:t>
            </w:r>
            <w:r>
              <w:rPr>
                <w:rFonts w:ascii="Times New Roman" w:hAnsi="Times New Roman" w:cs="Times New Roman" w:eastAsia="Times New Roman" w:hint="default"/>
                <w:spacing w:val="-1"/>
                <w:sz w:val="18"/>
                <w:szCs w:val="18"/>
              </w:rPr>
              <w:t>[2017]97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号《验资报告》。本公司本年度募集资金净额为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15,822.00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 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6,472.18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4,373.91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 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年度收到的银行理财产品投资收益为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元，累计使用募集资金补充流动资金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4,373.91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4.79</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万元，累计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收到的银行理财产品投资收益为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5,137.13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收到的银行存款利息扣除银行手续费等的净额以及银行理财产品投资收益</w:t>
            </w:r>
            <w:r>
              <w:rPr>
                <w:rFonts w:ascii="宋体" w:hAnsi="宋体" w:cs="宋体" w:eastAsia="宋体" w:hint="default"/>
                <w:spacing w:val="-90"/>
                <w:sz w:val="18"/>
                <w:szCs w:val="18"/>
              </w:rPr>
              <w:t>）</w:t>
            </w:r>
            <w:r>
              <w:rPr>
                <w:rFonts w:ascii="宋体" w:hAnsi="宋体" w:cs="宋体" w:eastAsia="宋体" w:hint="default"/>
                <w:sz w:val="18"/>
                <w:szCs w:val="18"/>
              </w:rPr>
              <w:t>。其中购买银行理财产品余额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募</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集资金专户余额为人民币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70"/>
      <w:bookmarkEnd w:id="7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智慧易通</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10,280.19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444.54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营销服务网络建设和 升级</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2,885.47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2,885.47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2,656.34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2,656.34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656.97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4.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5"/>
                    <w:gridCol w:w="773"/>
                    <w:gridCol w:w="791"/>
                    <w:gridCol w:w="780"/>
                    <w:gridCol w:w="779"/>
                    <w:gridCol w:w="786"/>
                    <w:gridCol w:w="774"/>
                    <w:gridCol w:w="774"/>
                    <w:gridCol w:w="792"/>
                    <w:gridCol w:w="774"/>
                    <w:gridCol w:w="780"/>
                  </w:tblGrid>
                  <w:tr>
                    <w:trPr>
                      <w:trHeight w:val="40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6,472.18</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6,472.18</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444.54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3"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6,472.18</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444.54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研发中心项目原项目达到预定可使用状态日期为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日，由于公司新办公楼装修工程慢</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于预期，研发中心无法在原预定日期完成建设，根据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日召开的第二届第十九次董事</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会通过的决议，研发中心项目的建设完成时间延长至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07"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vMerge/>
                        <w:tcBorders>
                          <w:left w:val="single" w:sz="9" w:space="0" w:color="D2D2D2"/>
                          <w:bottom w:val="single" w:sz="4" w:space="0" w:color="000000"/>
                          <w:right w:val="single" w:sz="4" w:space="0" w:color="000000"/>
                        </w:tcBorders>
                      </w:tcPr>
                      <w:p>
                        <w:pPr/>
                      </w:p>
                    </w:tc>
                  </w:tr>
                  <w:tr>
                    <w:trPr>
                      <w:trHeight w:val="508"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日第二届董事会第十二次会议通过的决议，公司使用募集资金置换预先投入募</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投项目的自筹资金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40,372,716.84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206"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6"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w:t>
                        </w:r>
                        <w:r>
                          <w:rPr>
                            <w:rFonts w:ascii="宋体" w:hAnsi="宋体" w:cs="宋体" w:eastAsia="宋体" w:hint="default"/>
                            <w:spacing w:val="1"/>
                            <w:sz w:val="18"/>
                            <w:szCs w:val="18"/>
                          </w:rPr>
                          <w:t>二</w:t>
                        </w:r>
                        <w:r>
                          <w:rPr>
                            <w:rFonts w:ascii="宋体" w:hAnsi="宋体" w:cs="宋体" w:eastAsia="宋体" w:hint="default"/>
                            <w:sz w:val="18"/>
                            <w:szCs w:val="18"/>
                          </w:rPr>
                          <w:t>届董事会第十六次会议通过的决议</w:t>
                        </w:r>
                        <w:r>
                          <w:rPr>
                            <w:rFonts w:ascii="宋体" w:hAnsi="宋体" w:cs="宋体" w:eastAsia="宋体" w:hint="default"/>
                            <w:spacing w:val="-88"/>
                            <w:sz w:val="18"/>
                            <w:szCs w:val="18"/>
                          </w:rPr>
                          <w:t>，</w:t>
                        </w:r>
                        <w:r>
                          <w:rPr>
                            <w:rFonts w:ascii="宋体" w:hAnsi="宋体" w:cs="宋体" w:eastAsia="宋体" w:hint="default"/>
                            <w:sz w:val="18"/>
                            <w:szCs w:val="18"/>
                          </w:rPr>
                          <w:t>同意公司在不影响募集资金使用的</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情况下根据募集资金的使用进度，使用部分闲置募集资金不超过人民币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万元（含人民币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万元）暂时补充流动资金，本期使用闲置募集资金暂时补充流动资金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4,373.91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万元。使用期限自董</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事会审议批准议案之日起不超过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个月，到期归还至募集资金专项账户。</w:t>
                        </w:r>
                      </w:p>
                    </w:tc>
                  </w:tr>
                  <w:tr>
                    <w:trPr>
                      <w:trHeight w:val="703"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vMerge/>
                        <w:tcBorders>
                          <w:left w:val="single" w:sz="9" w:space="0" w:color="D2D2D2"/>
                          <w:right w:val="single" w:sz="4" w:space="0" w:color="000000"/>
                        </w:tcBorders>
                      </w:tcPr>
                      <w:p>
                        <w:pPr/>
                      </w:p>
                    </w:tc>
                  </w:tr>
                  <w:tr>
                    <w:trPr>
                      <w:trHeight w:val="518"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2" w:lineRule="auto" w:before="51"/>
                          <w:ind w:left="21" w:right="24"/>
                          <w:jc w:val="left"/>
                          <w:rPr>
                            <w:rFonts w:ascii="宋体" w:hAnsi="宋体" w:cs="宋体" w:eastAsia="宋体" w:hint="default"/>
                            <w:sz w:val="18"/>
                            <w:szCs w:val="18"/>
                          </w:rPr>
                        </w:pPr>
                        <w:r>
                          <w:rPr>
                            <w:rFonts w:ascii="宋体" w:hAnsi="宋体" w:cs="宋体" w:eastAsia="宋体" w:hint="default"/>
                            <w:sz w:val="18"/>
                            <w:szCs w:val="18"/>
                          </w:rPr>
                          <w:t>用途：尚未使用的募集资金余额为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5,137.13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万元，将按计划投入募集资金项目。去向：剩余募集资 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万元存放于募集资金存款专户。</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万元用于暂时购买银行理财产品。</w:t>
                        </w:r>
                      </w:p>
                    </w:tc>
                  </w:tr>
                  <w:tr>
                    <w:trPr>
                      <w:trHeight w:val="766"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21" w:right="25"/>
                          <w:jc w:val="left"/>
                          <w:rPr>
                            <w:rFonts w:ascii="宋体" w:hAnsi="宋体" w:cs="宋体" w:eastAsia="宋体" w:hint="default"/>
                            <w:sz w:val="18"/>
                            <w:szCs w:val="18"/>
                          </w:rPr>
                        </w:pPr>
                        <w:r>
                          <w:rPr>
                            <w:rFonts w:ascii="宋体" w:hAnsi="宋体" w:cs="宋体" w:eastAsia="宋体" w:hint="default"/>
                            <w:sz w:val="18"/>
                            <w:szCs w:val="18"/>
                          </w:rPr>
                          <w:t>募集资金投资项目无法单独核算效益的情况说明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、营销服务网络建设和升级项目无法单独核算效 益的原因说明该项目主要系建设本公司总部营销客服中心、增设大区营销服务中心、扩建营销客服 网点。项目实施后，虽不产生直接的经济效益，但可提升公司品牌知名度，更好的为核心客户提供 服务；加快反应速度，提高服务质量，进一步加强本公司市场及品牌的推广，提升本公司的品牌及 </w:t>
                        </w:r>
                        <w:r>
                          <w:rPr>
                            <w:rFonts w:ascii="宋体" w:hAnsi="宋体" w:cs="宋体" w:eastAsia="宋体" w:hint="default"/>
                            <w:spacing w:val="-5"/>
                            <w:sz w:val="18"/>
                            <w:szCs w:val="18"/>
                          </w:rPr>
                          <w:t>市场优势，提升本公司市场竞争力，巩固和提升本公司市场份额，为公司带来巨大潜在经济效益。</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研发中心项目无法单独核算效益的原因说明该项目产出为科研成果，主要为本公司智慧一卡通的演 进提供技术支持，不会产生直接的经济效益，但是对本公司经济效益的持续增长具有十分重要的间 接影响。本公司非常重视研发创新，本项目的建成将有效缩短公司产品（服务）与技术研发周期，</w:t>
                        </w:r>
                      </w:p>
                    </w:tc>
                  </w:tr>
                  <w:tr>
                    <w:trPr>
                      <w:trHeight w:val="1016"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gridSpan w:val="10"/>
                        <w:vMerge/>
                        <w:tcBorders>
                          <w:left w:val="single" w:sz="9" w:space="0" w:color="D2D2D2"/>
                          <w:right w:val="single" w:sz="4" w:space="0" w:color="000000"/>
                        </w:tcBorders>
                      </w:tcPr>
                      <w:p>
                        <w:pPr/>
                      </w:p>
                    </w:tc>
                  </w:tr>
                  <w:tr>
                    <w:trPr>
                      <w:trHeight w:val="766"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2"/>
        <w:rPr>
          <w:rFonts w:ascii="宋体" w:hAnsi="宋体" w:cs="宋体" w:eastAsia="宋体" w:hint="default"/>
          <w:sz w:val="28"/>
          <w:szCs w:val="28"/>
        </w:rPr>
      </w:pPr>
    </w:p>
    <w:p>
      <w:pPr>
        <w:spacing w:line="693" w:lineRule="exact"/>
        <w:ind w:left="112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0;top:14;width:1761;height:665" coordorigin="10,14" coordsize="1761,665">
              <v:shape style="position:absolute;left:10;top:14;width:1761;height:665" coordorigin="10,14" coordsize="1761,665" path="m10,679l1770,679,1770,14,10,14,10,679xe" filled="true" fillcolor="#d2d2d2" stroked="false">
                <v:path arrowok="t"/>
                <v:fill type="solid"/>
              </v:shape>
            </v:group>
            <v:group style="position:absolute;left:10;top:10;width:1761;height:2" coordorigin="10,10" coordsize="1761,2">
              <v:shape style="position:absolute;left:10;top:10;width:1761;height:2" coordorigin="10,10" coordsize="1761,0" path="m10,10l1770,10e" filled="false" stroked="true" strokeweight=".48pt" strokecolor="#000000">
                <v:path arrowok="t"/>
              </v:shape>
            </v:group>
            <v:group style="position:absolute;left:1780;top:10;width:7789;height:2" coordorigin="1780,10" coordsize="7789,2">
              <v:shape style="position:absolute;left:1780;top:10;width:7789;height:2" coordorigin="1780,10" coordsize="7789,0" path="m1780,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1761;height:2" coordorigin="10,684" coordsize="1761,2">
              <v:shape style="position:absolute;left:10;top:684;width:1761;height:2" coordorigin="10,684" coordsize="1761,0" path="m10,684l1770,684e" filled="false" stroked="true" strokeweight=".48pt" strokecolor="#000000">
                <v:path arrowok="t"/>
              </v:shape>
            </v:group>
            <v:group style="position:absolute;left:1775;top:5;width:2;height:684" coordorigin="1775,5" coordsize="2,684">
              <v:shape style="position:absolute;left:1775;top:5;width:2;height:684" coordorigin="1775,5" coordsize="0,684" path="m1775,5l1775,689e" filled="false" stroked="true" strokeweight=".48pt" strokecolor="#000000">
                <v:path arrowok="t"/>
              </v:shape>
            </v:group>
            <v:group style="position:absolute;left:1780;top:684;width:7789;height:2" coordorigin="1780,684" coordsize="7789,2">
              <v:shape style="position:absolute;left:1780;top:684;width:7789;height:2" coordorigin="1780,684" coordsize="7789,0" path="m1780,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1775;top:10;width:7799;height:675" type="#_x0000_t202" filled="false" stroked="false">
                <v:textbox inset="0,0,0,0">
                  <w:txbxContent>
                    <w:p>
                      <w:pPr>
                        <w:spacing w:line="319" w:lineRule="auto" w:before="15"/>
                        <w:ind w:left="27" w:right="28" w:firstLine="0"/>
                        <w:jc w:val="left"/>
                        <w:rPr>
                          <w:rFonts w:ascii="宋体" w:hAnsi="宋体" w:cs="宋体" w:eastAsia="宋体" w:hint="default"/>
                          <w:sz w:val="18"/>
                          <w:szCs w:val="18"/>
                        </w:rPr>
                      </w:pPr>
                      <w:r>
                        <w:rPr>
                          <w:rFonts w:ascii="宋体" w:hAnsi="宋体" w:cs="宋体" w:eastAsia="宋体" w:hint="default"/>
                          <w:sz w:val="18"/>
                          <w:szCs w:val="18"/>
                        </w:rPr>
                        <w:t>提高公司科技创新能力，提高产品的竞争力和盈利能力；同时还将催化更多的新技术、新产品（服 </w:t>
                      </w:r>
                      <w:r>
                        <w:rPr>
                          <w:rFonts w:ascii="宋体" w:hAnsi="宋体" w:cs="宋体" w:eastAsia="宋体" w:hint="default"/>
                          <w:spacing w:val="-3"/>
                          <w:sz w:val="18"/>
                          <w:szCs w:val="18"/>
                        </w:rPr>
                        <w:t>务），为公司提供新的利润增长点，增强公司业务的可持续发展能力。</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4"/>
        <w:spacing w:line="240" w:lineRule="auto" w:before="35"/>
        <w:ind w:left="1134" w:right="0"/>
        <w:jc w:val="left"/>
        <w:rPr>
          <w:b w:val="0"/>
          <w:bCs w:val="0"/>
        </w:rPr>
      </w:pPr>
      <w:bookmarkStart w:name="（3）募集资金变更项目情况" w:id="71"/>
      <w:bookmarkEnd w:id="7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72"/>
      <w:bookmarkEnd w:id="7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73"/>
      <w:bookmarkEnd w:id="7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left="1134" w:right="0"/>
        <w:jc w:val="left"/>
        <w:rPr>
          <w:b w:val="0"/>
          <w:bCs w:val="0"/>
        </w:rPr>
      </w:pPr>
      <w:bookmarkStart w:name="2、出售重大股权情况" w:id="74"/>
      <w:bookmarkEnd w:id="7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75"/>
      <w:bookmarkEnd w:id="7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30"/>
        <w:gridCol w:w="1169"/>
        <w:gridCol w:w="1021"/>
        <w:gridCol w:w="1091"/>
        <w:gridCol w:w="1091"/>
        <w:gridCol w:w="1085"/>
        <w:gridCol w:w="1091"/>
        <w:gridCol w:w="1044"/>
        <w:gridCol w:w="1045"/>
      </w:tblGrid>
      <w:tr>
        <w:trPr>
          <w:trHeight w:val="402" w:hRule="exact"/>
        </w:trPr>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70,613,518.79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23,575,211.62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66,729,039.67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7,187,662.56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6,710,801.30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浙江校云公司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-253,952.66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八、公司控制的结构化主体情况" w:id="76"/>
      <w:bookmarkEnd w:id="7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公司未来发展的展望" w:id="77"/>
      <w:bookmarkEnd w:id="77"/>
      <w:r>
        <w:rPr>
          <w:b w:val="0"/>
          <w:bCs w:val="0"/>
        </w:rPr>
      </w: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行业发展趋势" w:id="78"/>
      <w:bookmarkEnd w:id="78"/>
      <w:r>
        <w:rPr>
          <w:b w:val="0"/>
          <w:bCs w:val="0"/>
        </w:rPr>
      </w:r>
      <w:r>
        <w:rPr>
          <w:rFonts w:ascii="宋体" w:hAnsi="宋体" w:cs="宋体" w:eastAsia="宋体" w:hint="default"/>
        </w:rPr>
        <w:t>1</w:t>
      </w:r>
      <w:r>
        <w:rPr/>
        <w:t>、行业发展趋势</w:t>
      </w:r>
      <w:r>
        <w:rPr>
          <w:b w:val="0"/>
          <w:bCs w:val="0"/>
        </w:rPr>
      </w:r>
    </w:p>
    <w:p>
      <w:pPr>
        <w:spacing w:line="690" w:lineRule="exact" w:before="32"/>
        <w:ind w:left="1556" w:right="0" w:firstLine="3"/>
        <w:jc w:val="left"/>
        <w:rPr>
          <w:rFonts w:ascii="宋体" w:hAnsi="宋体" w:cs="宋体" w:eastAsia="宋体" w:hint="default"/>
          <w:sz w:val="21"/>
          <w:szCs w:val="21"/>
        </w:rPr>
      </w:pPr>
      <w:bookmarkStart w:name="（1）一卡通形态发生变化，应用领域不断扩展" w:id="79"/>
      <w:bookmarkEnd w:id="7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）一卡通形态发生变化，应用领域不断扩展</w:t>
      </w:r>
      <w:r>
        <w:rPr>
          <w:rFonts w:ascii="宋体" w:hAnsi="宋体" w:cs="宋体" w:eastAsia="宋体" w:hint="default"/>
          <w:b/>
          <w:bCs/>
          <w:w w:val="99"/>
          <w:sz w:val="21"/>
          <w:szCs w:val="21"/>
        </w:rPr>
        <w:t> </w:t>
      </w:r>
      <w:r>
        <w:rPr>
          <w:rFonts w:ascii="宋体" w:hAnsi="宋体" w:cs="宋体" w:eastAsia="宋体" w:hint="default"/>
          <w:spacing w:val="-1"/>
          <w:sz w:val="21"/>
          <w:szCs w:val="21"/>
        </w:rPr>
        <w:t>由于智能卡拓展性、便捷性及安全性较高，随着移动支付、人工智能、大数据、物联网等新技术的发</w:t>
      </w:r>
    </w:p>
    <w:p>
      <w:pPr>
        <w:pStyle w:val="BodyText"/>
        <w:spacing w:line="408" w:lineRule="auto" w:before="84"/>
        <w:ind w:right="1024"/>
        <w:jc w:val="left"/>
      </w:pPr>
      <w:r>
        <w:rPr/>
        <w:t>展，为一卡通注入了新的应用模式和体验模式；人脸识别、扫码付逐步开始代替校园卡成为新的支付和认 证模式，催生了校园卡系统新形态、新模式，同时会带来新一轮校园卡系统集中升级。随着我国信息化建 设的加快，一卡通的形态也发生了变化，体现在教育、企业、金融、交通、城市管理、政府管理等方方面 </w:t>
      </w:r>
      <w:r>
        <w:rPr>
          <w:spacing w:val="-3"/>
        </w:rPr>
        <w:t>面，这对于推动一卡通行业市场需求的不断增长十分有利。另一方面，随着全球信息技术发展步伐的加快，</w:t>
      </w:r>
      <w:r>
        <w:rPr>
          <w:spacing w:val="-90"/>
        </w:rPr>
        <w:t> </w:t>
      </w:r>
      <w:r>
        <w:rPr>
          <w:spacing w:val="-90"/>
        </w:rPr>
      </w:r>
      <w:r>
        <w:rPr/>
        <w:t>作为信息社会重要载体之一的一卡通系统，在社会生活各个领域的应用日益广泛。金融</w:t>
      </w:r>
      <w:r>
        <w:rPr>
          <w:spacing w:val="-61"/>
        </w:rPr>
        <w:t> </w:t>
      </w:r>
      <w:r>
        <w:rPr>
          <w:rFonts w:ascii="宋体" w:hAnsi="宋体" w:cs="宋体" w:eastAsia="宋体" w:hint="default"/>
        </w:rPr>
        <w:t>EMV</w:t>
      </w:r>
      <w:r>
        <w:rPr>
          <w:rFonts w:ascii="宋体" w:hAnsi="宋体" w:cs="宋体" w:eastAsia="宋体" w:hint="default"/>
          <w:spacing w:val="-20"/>
        </w:rPr>
        <w:t> </w:t>
      </w:r>
      <w:r>
        <w:rPr>
          <w:spacing w:val="-5"/>
        </w:rPr>
        <w:t>迁移、移动通</w:t>
      </w:r>
      <w:r>
        <w:rPr/>
        <w:t> 信的高速增长、数字化城市建设、学校和大中型企业的数字化建设、电子标签的推广等等，都将极大地扩 展我国一卡通行业的市场空间。</w:t>
      </w:r>
    </w:p>
    <w:p>
      <w:pPr>
        <w:spacing w:line="240" w:lineRule="auto" w:before="8"/>
        <w:rPr>
          <w:rFonts w:ascii="宋体" w:hAnsi="宋体" w:cs="宋体" w:eastAsia="宋体" w:hint="default"/>
          <w:sz w:val="20"/>
          <w:szCs w:val="20"/>
        </w:rPr>
      </w:pPr>
    </w:p>
    <w:p>
      <w:pPr>
        <w:pStyle w:val="Heading4"/>
        <w:spacing w:line="240" w:lineRule="auto"/>
        <w:ind w:left="1560" w:right="0"/>
        <w:jc w:val="left"/>
        <w:rPr>
          <w:b w:val="0"/>
          <w:bCs w:val="0"/>
        </w:rPr>
      </w:pPr>
      <w:bookmarkStart w:name="（2）智慧校园的应用不断丰富和深入" w:id="80"/>
      <w:bookmarkEnd w:id="80"/>
      <w:r>
        <w:rPr>
          <w:b w:val="0"/>
          <w:bCs w:val="0"/>
        </w:rPr>
      </w:r>
      <w:r>
        <w:rPr/>
        <w:t>（</w:t>
      </w:r>
      <w:r>
        <w:rPr>
          <w:rFonts w:ascii="宋体" w:hAnsi="宋体" w:cs="宋体" w:eastAsia="宋体" w:hint="default"/>
        </w:rPr>
        <w:t>2</w:t>
      </w:r>
      <w:r>
        <w:rPr/>
        <w:t>）智慧校园的应用不断丰富和深入</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10" w:firstLine="422"/>
        <w:jc w:val="both"/>
      </w:pPr>
      <w:r>
        <w:rPr>
          <w:spacing w:val="-1"/>
        </w:rPr>
        <w:t>高校信息化经过十几年的发展，从开始的各个部门自建独立应用系统，到后来发展成以三大平台为核</w:t>
      </w:r>
      <w:r>
        <w:rPr/>
        <w:t> </w:t>
      </w:r>
      <w:r>
        <w:rPr>
          <w:spacing w:val="-1"/>
        </w:rPr>
        <w:t>心的数字化平台；到现在已经发展成数据和服务为核心的智慧校园平台。智慧校园是数字校园发展的高级</w:t>
      </w:r>
      <w:r>
        <w:rPr>
          <w:spacing w:val="-81"/>
        </w:rPr>
        <w:t> </w:t>
      </w:r>
      <w:r>
        <w:rPr>
          <w:spacing w:val="-81"/>
        </w:rPr>
      </w:r>
      <w:r>
        <w:rPr/>
        <w:t>阶段，是综合运用物联网、云计算、大数据、移动互联网、人工智能等新一代信息技术，结合社交网络、 </w:t>
      </w:r>
      <w:r>
        <w:rPr>
          <w:spacing w:val="-1"/>
        </w:rPr>
        <w:t>生活实验室等工具和方法，实现对校园内各类人员、信息、设施全面感知、泛在互联、聚合应用的校园信</w:t>
      </w:r>
      <w:r>
        <w:rPr>
          <w:spacing w:val="-83"/>
        </w:rPr>
        <w:t> </w:t>
      </w:r>
      <w:r>
        <w:rPr>
          <w:spacing w:val="-83"/>
        </w:rPr>
      </w:r>
      <w:r>
        <w:rPr/>
        <w:t>息生态系统。</w:t>
      </w:r>
    </w:p>
    <w:p>
      <w:pPr>
        <w:spacing w:line="240" w:lineRule="auto" w:before="8"/>
        <w:rPr>
          <w:rFonts w:ascii="宋体" w:hAnsi="宋体" w:cs="宋体" w:eastAsia="宋体" w:hint="default"/>
          <w:sz w:val="20"/>
          <w:szCs w:val="20"/>
        </w:rPr>
      </w:pPr>
    </w:p>
    <w:p>
      <w:pPr>
        <w:pStyle w:val="Heading4"/>
        <w:spacing w:line="240" w:lineRule="auto"/>
        <w:ind w:left="1560" w:right="0"/>
        <w:jc w:val="left"/>
        <w:rPr>
          <w:b w:val="0"/>
          <w:bCs w:val="0"/>
        </w:rPr>
      </w:pPr>
      <w:bookmarkStart w:name="（3）智慧教育发展迅猛" w:id="81"/>
      <w:bookmarkEnd w:id="81"/>
      <w:r>
        <w:rPr>
          <w:b w:val="0"/>
          <w:bCs w:val="0"/>
        </w:rPr>
      </w:r>
      <w:r>
        <w:rPr/>
        <w:t>（</w:t>
      </w:r>
      <w:r>
        <w:rPr>
          <w:rFonts w:ascii="宋体" w:hAnsi="宋体" w:cs="宋体" w:eastAsia="宋体" w:hint="default"/>
        </w:rPr>
        <w:t>3</w:t>
      </w:r>
      <w:r>
        <w:rPr/>
        <w:t>）智慧教育发展迅猛</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0" w:firstLine="422"/>
        <w:jc w:val="left"/>
      </w:pPr>
      <w:r>
        <w:rPr>
          <w:spacing w:val="-1"/>
        </w:rPr>
        <w:t>当今，“互联网+”背景下的智慧教育技术已成为世界教育领域关注的热点。智慧技术进驻教育领域，</w:t>
      </w:r>
      <w:r>
        <w:rPr/>
        <w:t> 为翻转课堂、智慧课堂，思维教学、差异化教学，个性化学习、深度学习提供了可能，促使传统课堂向数 字化、智能化、泛在化方向发展。智慧化教育能让老师们站在高位上发展，能促进学生的有效学习，拓宽 了师生的成长空间，不仅影响了教师教学方式的变革，也影响了学生学习方式的变革，更使得整个教育趋 向于“人”的发展。</w:t>
      </w:r>
    </w:p>
    <w:p>
      <w:pPr>
        <w:pStyle w:val="BodyText"/>
        <w:spacing w:line="408" w:lineRule="auto"/>
        <w:ind w:right="1130" w:firstLine="422"/>
        <w:jc w:val="both"/>
      </w:pPr>
      <w:r>
        <w:rPr>
          <w:spacing w:val="-1"/>
        </w:rPr>
        <w:t>同时基础教育市场未来将成为校园一卡通重点建设对象。随着教育信息化进程的加快，中小学校也逐</w:t>
      </w:r>
      <w:r>
        <w:rPr/>
        <w:t> </w:t>
      </w:r>
      <w:r>
        <w:rPr>
          <w:spacing w:val="-1"/>
        </w:rPr>
        <w:t>步开始建设校园一卡通，校园一卡通的建设范围将越来越广。全国大部分中小学校园信息化程度还需要大</w:t>
      </w:r>
      <w:r>
        <w:rPr>
          <w:spacing w:val="-81"/>
        </w:rPr>
        <w:t> </w:t>
      </w:r>
      <w:r>
        <w:rPr>
          <w:spacing w:val="-81"/>
        </w:rPr>
      </w:r>
      <w:r>
        <w:rPr/>
        <w:t>幅度提升，可以预见未来市场空间广阔。</w:t>
      </w:r>
    </w:p>
    <w:p>
      <w:pPr>
        <w:spacing w:after="0" w:line="408" w:lineRule="auto"/>
        <w:jc w:val="both"/>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left="1559" w:right="0"/>
        <w:jc w:val="left"/>
        <w:rPr>
          <w:b w:val="0"/>
          <w:bCs w:val="0"/>
        </w:rPr>
      </w:pPr>
      <w:bookmarkStart w:name="（4）行业智慧化和智慧城市不断升级迭代" w:id="82"/>
      <w:bookmarkEnd w:id="82"/>
      <w:r>
        <w:rPr>
          <w:b w:val="0"/>
          <w:bCs w:val="0"/>
        </w:rPr>
      </w:r>
      <w:r>
        <w:rPr/>
        <w:t>（</w:t>
      </w:r>
      <w:r>
        <w:rPr>
          <w:rFonts w:ascii="宋体" w:hAnsi="宋体" w:cs="宋体" w:eastAsia="宋体" w:hint="default"/>
        </w:rPr>
        <w:t>4</w:t>
      </w:r>
      <w:r>
        <w:rPr/>
        <w:t>）行业智慧化和智慧城市不断升级迭代</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015" w:firstLine="422"/>
        <w:jc w:val="left"/>
      </w:pPr>
      <w:r>
        <w:rPr>
          <w:spacing w:val="-3"/>
        </w:rPr>
        <w:t>目前我国城镇化进程仍处于快速发展期，近年来我国的城市数量与城市化率都有较大提高。人口增加、</w:t>
      </w:r>
      <w:r>
        <w:rPr/>
        <w:t> 城市规模扩大带来的交通、医疗、环境以及政府管理等方面矛盾与压力正日益严峻，而传统方法已难以解 决相关挑战。</w:t>
      </w:r>
    </w:p>
    <w:p>
      <w:pPr>
        <w:pStyle w:val="BodyText"/>
        <w:spacing w:line="408" w:lineRule="auto"/>
        <w:ind w:left="1134" w:right="1131" w:firstLine="422"/>
        <w:jc w:val="both"/>
      </w:pPr>
      <w:r>
        <w:rPr>
          <w:spacing w:val="-1"/>
        </w:rPr>
        <w:t>近年来，随着智能卡在金融、通信、社保、安全证件、交通、教育、医疗健康及公用事业等众多领域</w:t>
      </w:r>
      <w:r>
        <w:rPr/>
        <w:t> </w:t>
      </w:r>
      <w:r>
        <w:rPr>
          <w:spacing w:val="-1"/>
        </w:rPr>
        <w:t>得到广泛的应用，取得了良好社会效益和经济效益，对提升相关行业和政府部门的现代化管理水平、方便</w:t>
      </w:r>
      <w:r>
        <w:rPr>
          <w:spacing w:val="-83"/>
        </w:rPr>
        <w:t> </w:t>
      </w:r>
      <w:r>
        <w:rPr>
          <w:spacing w:val="-83"/>
        </w:rPr>
      </w:r>
      <w:r>
        <w:rPr/>
        <w:t>人们的工作与生活、以及推动社会信息化进程发挥了重要作用。</w:t>
      </w:r>
    </w:p>
    <w:p>
      <w:pPr>
        <w:pStyle w:val="BodyText"/>
        <w:spacing w:line="408" w:lineRule="auto"/>
        <w:ind w:right="1131" w:firstLine="422"/>
        <w:jc w:val="both"/>
      </w:pPr>
      <w:r>
        <w:rPr>
          <w:spacing w:val="-1"/>
        </w:rPr>
        <w:t>智慧城市基于泛在化的信息网络、智能化的感知技术和信息安全基础设施，透明、充分地获取城市运</w:t>
      </w:r>
      <w:r>
        <w:rPr/>
        <w:t> </w:t>
      </w:r>
      <w:r>
        <w:rPr>
          <w:spacing w:val="-1"/>
        </w:rPr>
        <w:t>行核心系统的关键信息，从而打造出智慧的生活、智慧的产业以及智慧的管理。一卡通是智慧城市的重要</w:t>
      </w:r>
      <w:r>
        <w:rPr>
          <w:spacing w:val="-83"/>
        </w:rPr>
        <w:t> </w:t>
      </w:r>
      <w:r>
        <w:rPr>
          <w:spacing w:val="-83"/>
        </w:rPr>
      </w:r>
      <w:r>
        <w:rPr/>
        <w:t>组成部分，智慧城市的快速发展必将为一卡通行业注入新的活力。</w:t>
      </w:r>
    </w:p>
    <w:p>
      <w:pPr>
        <w:spacing w:line="240" w:lineRule="auto" w:before="8"/>
        <w:rPr>
          <w:rFonts w:ascii="宋体" w:hAnsi="宋体" w:cs="宋体" w:eastAsia="宋体" w:hint="default"/>
          <w:sz w:val="20"/>
          <w:szCs w:val="20"/>
        </w:rPr>
      </w:pPr>
    </w:p>
    <w:p>
      <w:pPr>
        <w:pStyle w:val="Heading4"/>
        <w:spacing w:line="240" w:lineRule="auto"/>
        <w:ind w:left="1560" w:right="0"/>
        <w:jc w:val="left"/>
        <w:rPr>
          <w:b w:val="0"/>
          <w:bCs w:val="0"/>
        </w:rPr>
      </w:pPr>
      <w:bookmarkStart w:name="（5）互联网、物联网技术的应用日新月异" w:id="83"/>
      <w:bookmarkEnd w:id="83"/>
      <w:r>
        <w:rPr>
          <w:b w:val="0"/>
          <w:bCs w:val="0"/>
        </w:rPr>
      </w:r>
      <w:r>
        <w:rPr/>
        <w:t>（</w:t>
      </w:r>
      <w:r>
        <w:rPr>
          <w:rFonts w:ascii="宋体" w:hAnsi="宋体" w:cs="宋体" w:eastAsia="宋体" w:hint="default"/>
        </w:rPr>
        <w:t>5</w:t>
      </w:r>
      <w:r>
        <w:rPr/>
        <w:t>）互联网、物联网技术的应用日新月异</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29" w:firstLine="422"/>
        <w:jc w:val="both"/>
      </w:pPr>
      <w:r>
        <w:rPr>
          <w:spacing w:val="-1"/>
        </w:rPr>
        <w:t>物联网作为新兴战略产业，伴随着国家政策加码，中国物联网市场投资前景巨大，发展迅速，在各行</w:t>
      </w:r>
      <w:r>
        <w:rPr/>
        <w:t> 各业的应用不断深化，将继续催生大量的新技术、新产品、新应用、新模式。根据</w:t>
      </w:r>
      <w:r>
        <w:rPr>
          <w:spacing w:val="-51"/>
        </w:rPr>
        <w:t> </w:t>
      </w:r>
      <w:r>
        <w:rPr>
          <w:rFonts w:ascii="宋体" w:hAnsi="宋体" w:cs="宋体" w:eastAsia="宋体" w:hint="default"/>
        </w:rPr>
        <w:t>GSMA</w:t>
      </w:r>
      <w:r>
        <w:rPr>
          <w:rFonts w:ascii="宋体" w:hAnsi="宋体" w:cs="宋体" w:eastAsia="宋体" w:hint="default"/>
          <w:spacing w:val="-23"/>
        </w:rPr>
        <w:t> </w:t>
      </w:r>
      <w:r>
        <w:rPr>
          <w:rFonts w:ascii="宋体" w:hAnsi="宋体" w:cs="宋体" w:eastAsia="宋体" w:hint="default"/>
        </w:rPr>
        <w:t>Intelligence</w:t>
      </w:r>
      <w:r>
        <w:rPr>
          <w:rFonts w:ascii="宋体" w:hAnsi="宋体" w:cs="宋体" w:eastAsia="宋体" w:hint="default"/>
          <w:spacing w:val="-51"/>
        </w:rPr>
        <w:t> </w:t>
      </w:r>
      <w:r>
        <w:rPr/>
        <w:t>数 据显示，中国物联网网络部署已占据世界领先地位，截至</w:t>
      </w:r>
      <w:r>
        <w:rPr>
          <w:spacing w:val="-33"/>
        </w:rPr>
        <w:t> </w:t>
      </w:r>
      <w:r>
        <w:rPr>
          <w:rFonts w:ascii="宋体" w:hAnsi="宋体" w:cs="宋体" w:eastAsia="宋体" w:hint="default"/>
        </w:rPr>
        <w:t>2017</w:t>
      </w:r>
      <w:r>
        <w:rPr>
          <w:rFonts w:ascii="宋体" w:hAnsi="宋体" w:cs="宋体" w:eastAsia="宋体" w:hint="default"/>
          <w:spacing w:val="-33"/>
        </w:rPr>
        <w:t> </w:t>
      </w:r>
      <w:r>
        <w:rPr/>
        <w:t>年第三季度，中国的移动</w:t>
      </w:r>
      <w:r>
        <w:rPr>
          <w:spacing w:val="-34"/>
        </w:rPr>
        <w:t> </w:t>
      </w:r>
      <w:r>
        <w:rPr>
          <w:rFonts w:ascii="宋体" w:hAnsi="宋体" w:cs="宋体" w:eastAsia="宋体" w:hint="default"/>
        </w:rPr>
        <w:t>M2M</w:t>
      </w:r>
      <w:r>
        <w:rPr>
          <w:rFonts w:ascii="宋体" w:hAnsi="宋体" w:cs="宋体" w:eastAsia="宋体" w:hint="default"/>
          <w:spacing w:val="-34"/>
        </w:rPr>
        <w:t> </w:t>
      </w:r>
      <w:r>
        <w:rPr/>
        <w:t>连接数达到 </w:t>
      </w:r>
      <w:r>
        <w:rPr>
          <w:rFonts w:ascii="宋体" w:hAnsi="宋体" w:cs="宋体" w:eastAsia="宋体" w:hint="default"/>
        </w:rPr>
        <w:t>24920</w:t>
      </w:r>
      <w:r>
        <w:rPr>
          <w:rFonts w:ascii="宋体" w:hAnsi="宋体" w:cs="宋体" w:eastAsia="宋体" w:hint="default"/>
          <w:spacing w:val="-33"/>
        </w:rPr>
        <w:t> </w:t>
      </w:r>
      <w:r>
        <w:rPr/>
        <w:t>万，而世界连接数为</w:t>
      </w:r>
      <w:r>
        <w:rPr>
          <w:spacing w:val="-34"/>
        </w:rPr>
        <w:t> </w:t>
      </w:r>
      <w:r>
        <w:rPr>
          <w:rFonts w:ascii="宋体" w:hAnsi="宋体" w:cs="宋体" w:eastAsia="宋体" w:hint="default"/>
        </w:rPr>
        <w:t>55500</w:t>
      </w:r>
      <w:r>
        <w:rPr>
          <w:rFonts w:ascii="宋体" w:hAnsi="宋体" w:cs="宋体" w:eastAsia="宋体" w:hint="default"/>
          <w:spacing w:val="-34"/>
        </w:rPr>
        <w:t> </w:t>
      </w:r>
      <w:r>
        <w:rPr/>
        <w:t>万，中国占到世界总连接数近</w:t>
      </w:r>
      <w:r>
        <w:rPr>
          <w:spacing w:val="-34"/>
        </w:rPr>
        <w:t> </w:t>
      </w:r>
      <w:r>
        <w:rPr>
          <w:rFonts w:ascii="宋体" w:hAnsi="宋体" w:cs="宋体" w:eastAsia="宋体" w:hint="default"/>
        </w:rPr>
        <w:t>45%</w:t>
      </w:r>
      <w:r>
        <w:rPr/>
        <w:t>，占据全球物联网半壁江山，未来中 国的物联网设备布局将会呈进一步加速状态。</w:t>
      </w:r>
    </w:p>
    <w:p>
      <w:pPr>
        <w:pStyle w:val="BodyText"/>
        <w:spacing w:line="408" w:lineRule="auto"/>
        <w:ind w:right="1130" w:firstLine="422"/>
        <w:jc w:val="both"/>
      </w:pPr>
      <w:r>
        <w:rPr>
          <w:spacing w:val="-1"/>
        </w:rPr>
        <w:t>从应用领域来看，目前，在物流、交通、建筑、医疗等行业信息化中，已出现物联网的雏形。物联网</w:t>
      </w:r>
      <w:r>
        <w:rPr/>
        <w:t> 的应用形式也多种多样，例如高速公路</w:t>
      </w:r>
      <w:r>
        <w:rPr>
          <w:spacing w:val="-44"/>
        </w:rPr>
        <w:t> </w:t>
      </w:r>
      <w:r>
        <w:rPr>
          <w:rFonts w:ascii="宋体" w:hAnsi="宋体" w:cs="宋体" w:eastAsia="宋体" w:hint="default"/>
        </w:rPr>
        <w:t>ETC</w:t>
      </w:r>
      <w:r>
        <w:rPr>
          <w:rFonts w:ascii="宋体" w:hAnsi="宋体" w:cs="宋体" w:eastAsia="宋体" w:hint="default"/>
          <w:spacing w:val="-43"/>
        </w:rPr>
        <w:t> </w:t>
      </w:r>
      <w:r>
        <w:rPr/>
        <w:t>收费、门票销售与检验，以及零售</w:t>
      </w:r>
      <w:r>
        <w:rPr>
          <w:spacing w:val="-44"/>
        </w:rPr>
        <w:t> </w:t>
      </w:r>
      <w:r>
        <w:rPr>
          <w:rFonts w:ascii="宋体" w:hAnsi="宋体" w:cs="宋体" w:eastAsia="宋体" w:hint="default"/>
        </w:rPr>
        <w:t>RFID/</w:t>
      </w:r>
      <w:r>
        <w:rPr/>
        <w:t>条形码、车辆调度系 统、电子收费系统、无线</w:t>
      </w:r>
      <w:r>
        <w:rPr>
          <w:spacing w:val="-64"/>
        </w:rPr>
        <w:t> </w:t>
      </w:r>
      <w:r>
        <w:rPr>
          <w:rFonts w:ascii="宋体" w:hAnsi="宋体" w:cs="宋体" w:eastAsia="宋体" w:hint="default"/>
        </w:rPr>
        <w:t>POS</w:t>
      </w:r>
      <w:r>
        <w:rPr>
          <w:rFonts w:ascii="宋体" w:hAnsi="宋体" w:cs="宋体" w:eastAsia="宋体" w:hint="default"/>
          <w:spacing w:val="-64"/>
        </w:rPr>
        <w:t> </w:t>
      </w:r>
      <w:r>
        <w:rPr/>
        <w:t>机系统、自动化生产系统以及各种物流管理和安防系统等。在教育领域，物 </w:t>
      </w:r>
      <w:r>
        <w:rPr>
          <w:spacing w:val="-1"/>
        </w:rPr>
        <w:t>联网技术使学校教学和管理变得更具人性化和智能化。在构建自主探究的学习环境中，这对提高教学质量</w:t>
      </w:r>
      <w:r>
        <w:rPr>
          <w:spacing w:val="-81"/>
        </w:rPr>
        <w:t> </w:t>
      </w:r>
      <w:r>
        <w:rPr>
          <w:spacing w:val="-81"/>
        </w:rPr>
      </w:r>
      <w:r>
        <w:rPr/>
        <w:t>有着广阔的应用前景。</w:t>
      </w:r>
    </w:p>
    <w:p>
      <w:pPr>
        <w:spacing w:line="240" w:lineRule="auto" w:before="8"/>
        <w:rPr>
          <w:rFonts w:ascii="宋体" w:hAnsi="宋体" w:cs="宋体" w:eastAsia="宋体" w:hint="default"/>
          <w:sz w:val="20"/>
          <w:szCs w:val="20"/>
        </w:rPr>
      </w:pPr>
    </w:p>
    <w:p>
      <w:pPr>
        <w:pStyle w:val="Heading4"/>
        <w:spacing w:line="240" w:lineRule="auto"/>
        <w:ind w:left="1559" w:right="0"/>
        <w:jc w:val="left"/>
        <w:rPr>
          <w:b w:val="0"/>
          <w:bCs w:val="0"/>
        </w:rPr>
      </w:pPr>
      <w:bookmarkStart w:name="（6）国家对教育行业及产业的政策扶持，便于企业进行大量探索" w:id="84"/>
      <w:bookmarkEnd w:id="84"/>
      <w:r>
        <w:rPr>
          <w:b w:val="0"/>
          <w:bCs w:val="0"/>
        </w:rPr>
      </w:r>
      <w:r>
        <w:rPr/>
        <w:t>（</w:t>
      </w:r>
      <w:r>
        <w:rPr>
          <w:rFonts w:ascii="宋体" w:hAnsi="宋体" w:cs="宋体" w:eastAsia="宋体" w:hint="default"/>
        </w:rPr>
        <w:t>6</w:t>
      </w:r>
      <w:r>
        <w:rPr/>
        <w:t>）国家对教育行业及产业的政策扶持，便于企业进行大量探索</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3" w:firstLine="422"/>
        <w:jc w:val="both"/>
      </w:pPr>
      <w:r>
        <w:rPr/>
        <w:t>《国家中长期教育改革和发展规划纲要</w:t>
      </w:r>
      <w:r>
        <w:rPr>
          <w:rFonts w:ascii="宋体" w:hAnsi="宋体" w:cs="宋体" w:eastAsia="宋体" w:hint="default"/>
        </w:rPr>
        <w:t>(2010</w:t>
      </w:r>
      <w:r>
        <w:rPr/>
        <w:t>—</w:t>
      </w:r>
      <w:r>
        <w:rPr>
          <w:rFonts w:ascii="宋体" w:hAnsi="宋体" w:cs="宋体" w:eastAsia="宋体" w:hint="default"/>
        </w:rPr>
        <w:t>2020</w:t>
      </w:r>
      <w:r>
        <w:rPr>
          <w:rFonts w:ascii="宋体" w:hAnsi="宋体" w:cs="宋体" w:eastAsia="宋体" w:hint="default"/>
          <w:spacing w:val="64"/>
        </w:rPr>
        <w:t> </w:t>
      </w:r>
      <w:r>
        <w:rPr/>
        <w:t>年</w:t>
      </w:r>
      <w:r>
        <w:rPr>
          <w:rFonts w:ascii="宋体" w:hAnsi="宋体" w:cs="宋体" w:eastAsia="宋体" w:hint="default"/>
        </w:rPr>
        <w:t>)</w:t>
      </w:r>
      <w:r>
        <w:rPr/>
        <w:t>》中提出要把教育信息化纳入国家信息化发 </w:t>
      </w:r>
      <w:r>
        <w:rPr>
          <w:spacing w:val="-1"/>
        </w:rPr>
        <w:t>展整体战略，明确加快教育信息化进程，加快教育信息基础设施建设。要求加快终端设施普及，推进数字</w:t>
      </w:r>
      <w:r>
        <w:rPr>
          <w:spacing w:val="-86"/>
        </w:rPr>
        <w:t> </w:t>
      </w:r>
      <w:r>
        <w:rPr>
          <w:spacing w:val="-86"/>
        </w:rPr>
      </w:r>
      <w:r>
        <w:rPr/>
        <w:t>化校园建设。</w:t>
      </w:r>
    </w:p>
    <w:p>
      <w:pPr>
        <w:pStyle w:val="BodyText"/>
        <w:spacing w:line="408" w:lineRule="auto"/>
        <w:ind w:right="1014" w:firstLine="422"/>
        <w:jc w:val="left"/>
      </w:pPr>
      <w:r>
        <w:rPr/>
        <w:t>在教育部印发的《教育信息化十年发展规划（</w:t>
      </w:r>
      <w:r>
        <w:rPr>
          <w:rFonts w:ascii="宋体" w:hAnsi="宋体" w:cs="宋体" w:eastAsia="宋体" w:hint="default"/>
        </w:rPr>
        <w:t>2011-2020</w:t>
      </w:r>
      <w:r>
        <w:rPr>
          <w:rFonts w:ascii="宋体" w:hAnsi="宋体" w:cs="宋体" w:eastAsia="宋体" w:hint="default"/>
          <w:spacing w:val="-33"/>
        </w:rPr>
        <w:t> </w:t>
      </w:r>
      <w:r>
        <w:rPr>
          <w:spacing w:val="-5"/>
        </w:rPr>
        <w:t>年）》中，要求建立教育经费投入保障体系，</w:t>
      </w:r>
      <w:r>
        <w:rPr/>
        <w:t> 提出在教育投入中加大对教育信息化的倾斜，与加强数字校园建设。</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2"/>
        <w:jc w:val="both"/>
      </w:pPr>
      <w:r>
        <w:rPr>
          <w:spacing w:val="-1"/>
        </w:rPr>
        <w:t>在国务院办公厅出台《关于深化产教融合的若干意见》，意味着产教融合发展进入新阶段，高等院校</w:t>
      </w:r>
      <w:r>
        <w:rPr/>
        <w:t> </w:t>
      </w:r>
      <w:r>
        <w:rPr>
          <w:spacing w:val="-5"/>
        </w:rPr>
        <w:t>要根据学生特点和学情分析，采用更先进的技术手段筑造产教深度融合的未来大学，这标志着产教融合</w:t>
      </w:r>
      <w:r>
        <w:rPr>
          <w:spacing w:val="-15"/>
        </w:rPr>
        <w:t> </w:t>
      </w:r>
      <w:r>
        <w:rPr>
          <w:rFonts w:ascii="宋体" w:hAnsi="宋体" w:cs="宋体" w:eastAsia="宋体" w:hint="default"/>
        </w:rPr>
        <w:t>2.0</w:t>
      </w:r>
      <w:r>
        <w:rPr>
          <w:rFonts w:ascii="宋体" w:hAnsi="宋体" w:cs="宋体" w:eastAsia="宋体" w:hint="default"/>
          <w:spacing w:val="-99"/>
        </w:rPr>
        <w:t> </w:t>
      </w:r>
      <w:r>
        <w:rPr/>
        <w:t>时代的到来。</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公司战略" w:id="85"/>
      <w:bookmarkEnd w:id="85"/>
      <w:r>
        <w:rPr>
          <w:b w:val="0"/>
          <w:bCs w:val="0"/>
        </w:rPr>
      </w:r>
      <w:r>
        <w:rPr>
          <w:rFonts w:ascii="宋体" w:hAnsi="宋体" w:cs="宋体" w:eastAsia="宋体" w:hint="default"/>
        </w:rPr>
        <w:t>2</w:t>
      </w:r>
      <w:r>
        <w:rPr/>
        <w:t>、公司战略</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1" w:firstLine="422"/>
        <w:jc w:val="both"/>
      </w:pPr>
      <w:r>
        <w:rPr>
          <w:spacing w:val="-1"/>
        </w:rPr>
        <w:t>公司智慧一卡通在行业内具有领先地位，具有坚实的市场基础和丰富的技术积累。公司正深入融合聚</w:t>
      </w:r>
      <w:r>
        <w:rPr/>
        <w:t> </w:t>
      </w:r>
      <w:r>
        <w:rPr>
          <w:spacing w:val="-1"/>
        </w:rPr>
        <w:t>合支付、生物识别、大数据、物联网、移动互联、量子加密及区块链等新兴技术，将线下服务逐步拓展为</w:t>
      </w:r>
      <w:r>
        <w:rPr>
          <w:spacing w:val="-83"/>
        </w:rPr>
        <w:t> </w:t>
      </w:r>
      <w:r>
        <w:rPr>
          <w:spacing w:val="-83"/>
        </w:rPr>
      </w:r>
      <w:r>
        <w:rPr/>
        <w:t>线上线下一体化服务，从为企业用户服务扩展为企业用户（</w:t>
      </w:r>
      <w:r>
        <w:rPr>
          <w:rFonts w:ascii="宋体" w:hAnsi="宋体" w:cs="宋体" w:eastAsia="宋体" w:hint="default"/>
        </w:rPr>
        <w:t>To B</w:t>
      </w:r>
      <w:r>
        <w:rPr/>
        <w:t>）及消费者（</w:t>
      </w:r>
      <w:r>
        <w:rPr>
          <w:rFonts w:ascii="宋体" w:hAnsi="宋体" w:cs="宋体" w:eastAsia="宋体" w:hint="default"/>
        </w:rPr>
        <w:t>To</w:t>
      </w:r>
      <w:r>
        <w:rPr>
          <w:rFonts w:ascii="宋体" w:hAnsi="宋体" w:cs="宋体" w:eastAsia="宋体" w:hint="default"/>
          <w:spacing w:val="-27"/>
        </w:rPr>
        <w:t> </w:t>
      </w:r>
      <w:r>
        <w:rPr>
          <w:rFonts w:ascii="宋体" w:hAnsi="宋体" w:cs="宋体" w:eastAsia="宋体" w:hint="default"/>
        </w:rPr>
        <w:t>C</w:t>
      </w:r>
      <w:r>
        <w:rPr/>
        <w:t>）的一体化服务，从区 </w:t>
      </w:r>
      <w:r>
        <w:rPr>
          <w:spacing w:val="-1"/>
        </w:rPr>
        <w:t>域内服务延伸为社会化、公共化的一站式服务。公司努力为以教育行业为主的各类园区和行业提供整体解</w:t>
      </w:r>
      <w:r>
        <w:rPr>
          <w:spacing w:val="-81"/>
        </w:rPr>
        <w:t> </w:t>
      </w:r>
      <w:r>
        <w:rPr>
          <w:spacing w:val="-81"/>
        </w:rPr>
      </w:r>
      <w:r>
        <w:rPr/>
        <w:t>决方案，成为智慧化应用服务的领先企业。“引领智能智慧生活，提供安心贴心服务”。</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2018年公司经营计划" w:id="86"/>
      <w:bookmarkEnd w:id="86"/>
      <w:r>
        <w:rPr>
          <w:b w:val="0"/>
          <w:bCs w:val="0"/>
        </w:rPr>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7"/>
        </w:rPr>
        <w:t> </w:t>
      </w:r>
      <w:r>
        <w:rPr/>
        <w:t>年公司经营计划</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10" w:firstLine="422"/>
        <w:jc w:val="both"/>
      </w:pPr>
      <w:r>
        <w:rPr>
          <w:rFonts w:ascii="宋体" w:hAnsi="宋体" w:cs="宋体" w:eastAsia="宋体" w:hint="default"/>
        </w:rPr>
        <w:t>2018</w:t>
      </w:r>
      <w:r>
        <w:rPr>
          <w:rFonts w:ascii="宋体" w:hAnsi="宋体" w:cs="宋体" w:eastAsia="宋体" w:hint="default"/>
          <w:spacing w:val="-44"/>
        </w:rPr>
        <w:t> </w:t>
      </w:r>
      <w:r>
        <w:rPr/>
        <w:t>年是公司</w:t>
      </w:r>
      <w:r>
        <w:rPr>
          <w:spacing w:val="-46"/>
        </w:rPr>
        <w:t> </w:t>
      </w:r>
      <w:r>
        <w:rPr>
          <w:rFonts w:ascii="宋体" w:hAnsi="宋体" w:cs="宋体" w:eastAsia="宋体" w:hint="default"/>
        </w:rPr>
        <w:t>IPO</w:t>
      </w:r>
      <w:r>
        <w:rPr>
          <w:rFonts w:ascii="宋体" w:hAnsi="宋体" w:cs="宋体" w:eastAsia="宋体" w:hint="default"/>
          <w:spacing w:val="-45"/>
        </w:rPr>
        <w:t> </w:t>
      </w:r>
      <w:r>
        <w:rPr>
          <w:spacing w:val="-3"/>
        </w:rPr>
        <w:t>后的第一年，企业发展迎来新的挑战和机遇。随着十九大精神的深入贯彻，行业相</w:t>
      </w:r>
      <w:r>
        <w:rPr/>
        <w:t> 关政策也将随之变化；各类新兴技术的不断涌现，使得行业技术加剧变革；大型互联网企业的跨界渗入， </w:t>
      </w:r>
      <w:r>
        <w:rPr>
          <w:spacing w:val="-1"/>
        </w:rPr>
        <w:t>使得行业的竞争形态发生变化。这些变化给公司带来了前所未有的危机，也带来了前所未有的机遇，带来</w:t>
      </w:r>
      <w:r>
        <w:rPr>
          <w:spacing w:val="-83"/>
        </w:rPr>
        <w:t> </w:t>
      </w:r>
      <w:r>
        <w:rPr>
          <w:spacing w:val="-83"/>
        </w:rPr>
      </w:r>
      <w:r>
        <w:rPr/>
        <w:t>了新的发展契机。为此，公司要积极应变：</w:t>
      </w:r>
    </w:p>
    <w:p>
      <w:pPr>
        <w:pStyle w:val="BodyText"/>
        <w:spacing w:line="408" w:lineRule="auto"/>
        <w:ind w:left="1134" w:right="1131" w:firstLine="422"/>
        <w:jc w:val="both"/>
      </w:pPr>
      <w:r>
        <w:rPr>
          <w:spacing w:val="-1"/>
        </w:rPr>
        <w:t>一是以新应变。深入研究新兴技术，顺应技术的发展不断推出新产品；适应公司新的发展格局，强化</w:t>
      </w:r>
      <w:r>
        <w:rPr/>
        <w:t> </w:t>
      </w:r>
      <w:r>
        <w:rPr>
          <w:spacing w:val="-1"/>
        </w:rPr>
        <w:t>以市场为导向的工作机制，确立工作的新标准；二是以快应变。以快制胜，以快增效，提升效率。做到内</w:t>
      </w:r>
      <w:r>
        <w:rPr>
          <w:spacing w:val="-83"/>
        </w:rPr>
        <w:t> </w:t>
      </w:r>
      <w:r>
        <w:rPr>
          <w:spacing w:val="-83"/>
        </w:rPr>
      </w:r>
      <w:r>
        <w:rPr>
          <w:spacing w:val="-1"/>
        </w:rPr>
        <w:t>部运行快，客户响应快，产品推出快，项目完成快；三是以合应变。积极进行市场整合、产品整合、资源</w:t>
      </w:r>
      <w:r>
        <w:rPr>
          <w:spacing w:val="-85"/>
        </w:rPr>
        <w:t> </w:t>
      </w:r>
      <w:r>
        <w:rPr>
          <w:spacing w:val="-85"/>
        </w:rPr>
      </w:r>
      <w:r>
        <w:rPr>
          <w:spacing w:val="-1"/>
        </w:rPr>
        <w:t>整合，打造协同发展的生态链。加强同各类合作伙伴的合作，加强同客户的合作，积极坚持合作共建、共</w:t>
      </w:r>
      <w:r>
        <w:rPr>
          <w:spacing w:val="-83"/>
        </w:rPr>
        <w:t> </w:t>
      </w:r>
      <w:r>
        <w:rPr>
          <w:spacing w:val="-83"/>
        </w:rPr>
      </w:r>
      <w:r>
        <w:rPr>
          <w:spacing w:val="-1"/>
        </w:rPr>
        <w:t>享共赢的理念；四是以质应变。在确保产品性能的前提下，进一步加强用户的操作便捷和体验感。及时进</w:t>
      </w:r>
      <w:r>
        <w:rPr>
          <w:spacing w:val="-86"/>
        </w:rPr>
        <w:t> </w:t>
      </w:r>
      <w:r>
        <w:rPr>
          <w:spacing w:val="-86"/>
        </w:rPr>
      </w:r>
      <w:r>
        <w:rPr/>
        <w:t>行产品迭代，提供精细的工程服务和优质的售后服务。</w:t>
      </w:r>
    </w:p>
    <w:p>
      <w:pPr>
        <w:pStyle w:val="BodyText"/>
        <w:spacing w:line="408" w:lineRule="auto"/>
        <w:ind w:right="1024" w:firstLine="422"/>
        <w:jc w:val="left"/>
      </w:pPr>
      <w:r>
        <w:rPr/>
        <w:t>公司将充分借助资本市场的力量和发展平台，快速拓展全国市场，拉伸软硬件产品链，稳固扩大主营 业务，形成公司产业集群，确立更强的竞争优势。充分借助国家给予校园智慧化的利好政策以及物联网、 大数据、移动互联、云计算等技术，创新延伸公司在智慧校园全方位的应用。积极借助移动互联网公司跨 界渗入的机会，推进公司从线下</w:t>
      </w:r>
      <w:r>
        <w:rPr>
          <w:spacing w:val="-33"/>
        </w:rPr>
        <w:t> </w:t>
      </w:r>
      <w:r>
        <w:rPr>
          <w:rFonts w:ascii="宋体" w:hAnsi="宋体" w:cs="宋体" w:eastAsia="宋体" w:hint="default"/>
        </w:rPr>
        <w:t>To</w:t>
      </w:r>
      <w:r>
        <w:rPr>
          <w:rFonts w:ascii="宋体" w:hAnsi="宋体" w:cs="宋体" w:eastAsia="宋体" w:hint="default"/>
          <w:spacing w:val="-3"/>
        </w:rPr>
        <w:t> </w:t>
      </w:r>
      <w:r>
        <w:rPr>
          <w:rFonts w:ascii="宋体" w:hAnsi="宋体" w:cs="宋体" w:eastAsia="宋体" w:hint="default"/>
        </w:rPr>
        <w:t>B</w:t>
      </w:r>
      <w:r>
        <w:rPr>
          <w:rFonts w:ascii="宋体" w:hAnsi="宋体" w:cs="宋体" w:eastAsia="宋体" w:hint="default"/>
          <w:spacing w:val="-33"/>
        </w:rPr>
        <w:t> </w:t>
      </w:r>
      <w:r>
        <w:rPr/>
        <w:t>的运营模式向线上线下一体化</w:t>
      </w:r>
      <w:r>
        <w:rPr>
          <w:spacing w:val="-33"/>
        </w:rPr>
        <w:t> </w:t>
      </w:r>
      <w:r>
        <w:rPr>
          <w:rFonts w:ascii="宋体" w:hAnsi="宋体" w:cs="宋体" w:eastAsia="宋体" w:hint="default"/>
        </w:rPr>
        <w:t>To</w:t>
      </w:r>
      <w:r>
        <w:rPr>
          <w:rFonts w:ascii="宋体" w:hAnsi="宋体" w:cs="宋体" w:eastAsia="宋体" w:hint="default"/>
          <w:spacing w:val="-1"/>
        </w:rPr>
        <w:t> </w:t>
      </w:r>
      <w:r>
        <w:rPr>
          <w:rFonts w:ascii="宋体" w:hAnsi="宋体" w:cs="宋体" w:eastAsia="宋体" w:hint="default"/>
        </w:rPr>
        <w:t>B</w:t>
      </w:r>
      <w:r>
        <w:rPr>
          <w:rFonts w:ascii="宋体" w:hAnsi="宋体" w:cs="宋体" w:eastAsia="宋体" w:hint="default"/>
          <w:spacing w:val="-1"/>
        </w:rPr>
        <w:t> </w:t>
      </w:r>
      <w:r>
        <w:rPr>
          <w:rFonts w:ascii="宋体" w:hAnsi="宋体" w:cs="宋体" w:eastAsia="宋体" w:hint="default"/>
        </w:rPr>
        <w:t>To C</w:t>
      </w:r>
      <w:r>
        <w:rPr>
          <w:rFonts w:ascii="宋体" w:hAnsi="宋体" w:cs="宋体" w:eastAsia="宋体" w:hint="default"/>
          <w:spacing w:val="-33"/>
        </w:rPr>
        <w:t> </w:t>
      </w:r>
      <w:r>
        <w:rPr/>
        <w:t>模式的快速发展。通过构 </w:t>
      </w:r>
      <w:r>
        <w:rPr>
          <w:spacing w:val="-3"/>
        </w:rPr>
        <w:t>建富有活力的内部机制提升公司的创新能力，以现有资源优势创建新的发展模式，融入人脸识别、二维码、</w:t>
      </w:r>
      <w:r>
        <w:rPr>
          <w:spacing w:val="-90"/>
        </w:rPr>
        <w:t> </w:t>
      </w:r>
      <w:r>
        <w:rPr>
          <w:spacing w:val="-90"/>
        </w:rPr>
      </w:r>
      <w:r>
        <w:rPr/>
        <w:t>大数据等技术加快产品迭代更新，通过以新应变确立公司的竞争优势。通过提升内部运行效率，提升客户</w:t>
      </w:r>
      <w:r>
        <w:rPr/>
        <w:t> 响应速度，提升产品研发速度和项目实施验收速度，提升公司的整体效率和人均效能。进一步通过市场整 合、产品整合、资源整合，打造协同发展的生态链，集聚企业核心竞争力，为公司持续健康发展赋能。</w:t>
      </w:r>
    </w:p>
    <w:p>
      <w:pPr>
        <w:spacing w:after="0" w:line="408" w:lineRule="auto"/>
        <w:jc w:val="left"/>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left="1559" w:right="0"/>
        <w:jc w:val="left"/>
        <w:rPr>
          <w:b w:val="0"/>
          <w:bCs w:val="0"/>
        </w:rPr>
      </w:pPr>
      <w:bookmarkStart w:name="（1）强化区域扩展，增加市场“宽度”" w:id="87"/>
      <w:bookmarkEnd w:id="87"/>
      <w:r>
        <w:rPr>
          <w:b w:val="0"/>
          <w:bCs w:val="0"/>
        </w:rPr>
      </w:r>
      <w:r>
        <w:rPr/>
        <w:t>（</w:t>
      </w:r>
      <w:r>
        <w:rPr>
          <w:rFonts w:ascii="宋体" w:hAnsi="宋体" w:cs="宋体" w:eastAsia="宋体" w:hint="default"/>
        </w:rPr>
        <w:t>1</w:t>
      </w:r>
      <w:r>
        <w:rPr/>
        <w:t>）强化区域扩展，增加市场“宽度”</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027" w:firstLine="422"/>
        <w:jc w:val="both"/>
      </w:pPr>
      <w:r>
        <w:rPr/>
        <w:t>要进一步加快国内市场全覆盖，并做好向国外市场拓展的准备。要在所有业务空白省份建立公司的办 事机构，在有一定市场基础的省份继续扩大和巩固市场份额，形成局部根据地；要形成若干协作区，通过 建立协作分工机制，提升区域竞争力力；在成熟市场要进一步改进和提升发展模式，实现业务从单点到成 片的转变，从战术规模到战役规模的提升；通过深挖用户，坚决、快速切入智慧校园、智慧服务、物联应 用的业务领域，尤其研究轻、快、小的智慧应用在老用户市场的快速推广；要进一步形成有正元特色和竞 </w:t>
      </w:r>
      <w:r>
        <w:rPr>
          <w:spacing w:val="-3"/>
        </w:rPr>
        <w:t>争优势的行业解决方案，实现在电力、智慧园区、部队军营、医院后勤智慧服务等方向的深化拓展和发展。</w:t>
      </w:r>
    </w:p>
    <w:p>
      <w:pPr>
        <w:spacing w:line="240" w:lineRule="auto" w:before="8"/>
        <w:rPr>
          <w:rFonts w:ascii="宋体" w:hAnsi="宋体" w:cs="宋体" w:eastAsia="宋体" w:hint="default"/>
          <w:sz w:val="20"/>
          <w:szCs w:val="20"/>
        </w:rPr>
      </w:pPr>
    </w:p>
    <w:p>
      <w:pPr>
        <w:pStyle w:val="Heading4"/>
        <w:spacing w:line="240" w:lineRule="auto"/>
        <w:ind w:left="1560" w:right="0"/>
        <w:jc w:val="left"/>
        <w:rPr>
          <w:b w:val="0"/>
          <w:bCs w:val="0"/>
        </w:rPr>
      </w:pPr>
      <w:bookmarkStart w:name="（2）增加客户粘度，挖掘市场“深度”" w:id="88"/>
      <w:bookmarkEnd w:id="88"/>
      <w:r>
        <w:rPr>
          <w:b w:val="0"/>
          <w:bCs w:val="0"/>
        </w:rPr>
      </w:r>
      <w:r>
        <w:rPr/>
        <w:t>（</w:t>
      </w:r>
      <w:r>
        <w:rPr>
          <w:rFonts w:ascii="宋体" w:hAnsi="宋体" w:cs="宋体" w:eastAsia="宋体" w:hint="default"/>
        </w:rPr>
        <w:t>2</w:t>
      </w:r>
      <w:r>
        <w:rPr/>
        <w:t>）增加客户粘度，挖掘市场“深度”</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31" w:firstLine="422"/>
        <w:jc w:val="both"/>
      </w:pPr>
      <w:r>
        <w:rPr>
          <w:spacing w:val="-1"/>
        </w:rPr>
        <w:t>在现有区域市场对原有行业用户提供更深入的智慧化服务，挖掘新需求，推出新产品和新应用，增加</w:t>
      </w:r>
      <w:r>
        <w:rPr/>
        <w:t> </w:t>
      </w:r>
      <w:r>
        <w:rPr>
          <w:spacing w:val="-1"/>
        </w:rPr>
        <w:t>客户粘度；加速智慧校园的推进，同时把智慧校园向基础教育市场延伸。开发适应县区教育局统一部署的</w:t>
      </w:r>
      <w:r>
        <w:rPr>
          <w:spacing w:val="-83"/>
        </w:rPr>
        <w:t> </w:t>
      </w:r>
      <w:r>
        <w:rPr>
          <w:spacing w:val="-83"/>
        </w:rPr>
      </w:r>
      <w:r>
        <w:rPr>
          <w:spacing w:val="-1"/>
        </w:rPr>
        <w:t>智慧教育云平台，完善智慧校园安全运维平台，以县区级为单位提供基础教育服务；充分发挥智慧易通平</w:t>
      </w:r>
      <w:r>
        <w:rPr>
          <w:spacing w:val="-83"/>
        </w:rPr>
        <w:t> </w:t>
      </w:r>
      <w:r>
        <w:rPr>
          <w:spacing w:val="-83"/>
        </w:rPr>
      </w:r>
      <w:r>
        <w:rPr>
          <w:spacing w:val="-1"/>
        </w:rPr>
        <w:t>台的优势，同时基于大量消费数据和行为数据，运用大数据、云计算等技术，通过大数据治理与分析，为</w:t>
      </w:r>
      <w:r>
        <w:rPr>
          <w:spacing w:val="-83"/>
        </w:rPr>
        <w:t> </w:t>
      </w:r>
      <w:r>
        <w:rPr>
          <w:spacing w:val="-83"/>
        </w:rPr>
      </w:r>
      <w:r>
        <w:rPr/>
        <w:t>客户提供智慧管理决策依据。</w:t>
      </w:r>
    </w:p>
    <w:p>
      <w:pPr>
        <w:spacing w:line="240" w:lineRule="auto" w:before="8"/>
        <w:rPr>
          <w:rFonts w:ascii="宋体" w:hAnsi="宋体" w:cs="宋体" w:eastAsia="宋体" w:hint="default"/>
          <w:sz w:val="20"/>
          <w:szCs w:val="20"/>
        </w:rPr>
      </w:pPr>
    </w:p>
    <w:p>
      <w:pPr>
        <w:pStyle w:val="Heading4"/>
        <w:spacing w:line="240" w:lineRule="auto"/>
        <w:ind w:left="1560" w:right="0"/>
        <w:jc w:val="left"/>
        <w:rPr>
          <w:b w:val="0"/>
          <w:bCs w:val="0"/>
        </w:rPr>
      </w:pPr>
      <w:bookmarkStart w:name="（3）加强云应用与服务，提升市场“高度”" w:id="89"/>
      <w:bookmarkEnd w:id="89"/>
      <w:r>
        <w:rPr>
          <w:b w:val="0"/>
          <w:bCs w:val="0"/>
        </w:rPr>
      </w:r>
      <w:r>
        <w:rPr/>
        <w:t>（</w:t>
      </w:r>
      <w:r>
        <w:rPr>
          <w:rFonts w:ascii="宋体" w:hAnsi="宋体" w:cs="宋体" w:eastAsia="宋体" w:hint="default"/>
        </w:rPr>
        <w:t>3</w:t>
      </w:r>
      <w:r>
        <w:rPr/>
        <w:t>）加强云应用与服务，提升市场“高度”</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024" w:firstLine="422"/>
        <w:jc w:val="left"/>
      </w:pPr>
      <w:r>
        <w:rPr/>
        <w:t>以深化智慧校园技术应用为抓手，积极向互联网领域拓展，打通校园内外线上线下的纵横服务，借助 智能设备、云技术、正元校园</w:t>
      </w:r>
      <w:r>
        <w:rPr>
          <w:spacing w:val="-58"/>
        </w:rPr>
        <w:t> </w:t>
      </w:r>
      <w:r>
        <w:rPr>
          <w:rFonts w:ascii="宋体" w:hAnsi="宋体" w:cs="宋体" w:eastAsia="宋体" w:hint="default"/>
        </w:rPr>
        <w:t>APP</w:t>
      </w:r>
      <w:r>
        <w:rPr>
          <w:rFonts w:ascii="宋体" w:hAnsi="宋体" w:cs="宋体" w:eastAsia="宋体" w:hint="default"/>
          <w:spacing w:val="-59"/>
        </w:rPr>
        <w:t> </w:t>
      </w:r>
      <w:r>
        <w:rPr/>
        <w:t>等，搭建校园云服务平台的生态服务圈，为高校师生提供更精准、更高 效的服务，打造数字校园、平安校园、健康校园。构建四大智慧云应用及服务平台，并逐步推出，更好地 </w:t>
      </w:r>
      <w:r>
        <w:rPr>
          <w:spacing w:val="-3"/>
        </w:rPr>
        <w:t>服务于校园、服务于师生。将部分智慧校园应用云端化，构建智慧校园云应用平台，如智慧后勤应用平台；</w:t>
      </w:r>
      <w:r>
        <w:rPr>
          <w:spacing w:val="-94"/>
        </w:rPr>
        <w:t> </w:t>
      </w:r>
      <w:r>
        <w:rPr>
          <w:spacing w:val="-94"/>
        </w:rPr>
      </w:r>
      <w:r>
        <w:rPr/>
        <w:t>以聚合支付和智慧校园云应用平台为切入点，与各类面向校园的互联网应用进行整合，推出智慧校园云服</w:t>
      </w:r>
      <w:r>
        <w:rPr/>
        <w:t> 务平台，为师生提供各类增值服务，如提供实习岗位、就业、假期旅行等服务；以智慧易通为基础，进一 步完善智慧校园建设方案，构建智慧校园安全及运维服务平台。大力推动大数据服务业务，以数据中心建 设为基础，通过构建多维度的分析模型，提供数据分析服务的大数据平台。</w:t>
      </w:r>
    </w:p>
    <w:p>
      <w:pPr>
        <w:spacing w:line="240" w:lineRule="auto" w:before="8"/>
        <w:rPr>
          <w:rFonts w:ascii="宋体" w:hAnsi="宋体" w:cs="宋体" w:eastAsia="宋体" w:hint="default"/>
          <w:sz w:val="20"/>
          <w:szCs w:val="20"/>
        </w:rPr>
      </w:pPr>
    </w:p>
    <w:p>
      <w:pPr>
        <w:pStyle w:val="Heading4"/>
        <w:spacing w:line="240" w:lineRule="auto"/>
        <w:ind w:left="1560" w:right="0"/>
        <w:jc w:val="left"/>
        <w:rPr>
          <w:b w:val="0"/>
          <w:bCs w:val="0"/>
        </w:rPr>
      </w:pPr>
      <w:bookmarkStart w:name="（4）丰富产品线，提供更优质的解决方案" w:id="90"/>
      <w:bookmarkEnd w:id="90"/>
      <w:r>
        <w:rPr>
          <w:b w:val="0"/>
          <w:bCs w:val="0"/>
        </w:rPr>
      </w:r>
      <w:r>
        <w:rPr/>
        <w:t>（</w:t>
      </w:r>
      <w:r>
        <w:rPr>
          <w:rFonts w:ascii="宋体" w:hAnsi="宋体" w:cs="宋体" w:eastAsia="宋体" w:hint="default"/>
        </w:rPr>
        <w:t>4</w:t>
      </w:r>
      <w:r>
        <w:rPr/>
        <w:t>）丰富产品线，提供更优质的解决方案</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028" w:firstLine="422"/>
        <w:jc w:val="both"/>
      </w:pPr>
      <w:r>
        <w:rPr/>
        <w:t>进一步加大研发投入，跟踪新技术，加快产品创新更新，丰富智慧校园产品，不断推出新产品。增强 智慧易通平台的聚合支付、人脸识别等应用深度，扩展应用场景；开发适应县区教育局统一部署的智慧教 </w:t>
      </w:r>
      <w:r>
        <w:rPr>
          <w:spacing w:val="-3"/>
        </w:rPr>
        <w:t>育云平台，平台集中小学智慧校园、数据中心和评价中心、公共服务为一体。开发智慧校园安全运维平台，</w:t>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3"/>
        </w:rPr>
        <w:t>支持安全管理、资产管理、配置管理、实时监控、事件处理、告警处理、远程管理、日志分析、软件分发、</w:t>
      </w:r>
      <w:r>
        <w:rPr>
          <w:spacing w:val="-92"/>
        </w:rPr>
        <w:t> </w:t>
      </w:r>
      <w:r>
        <w:rPr>
          <w:spacing w:val="-92"/>
        </w:rPr>
      </w:r>
      <w:r>
        <w:rPr/>
        <w:t>运维知识库等。智能终端广泛支持主动</w:t>
      </w:r>
      <w:r>
        <w:rPr>
          <w:rFonts w:ascii="宋体" w:hAnsi="宋体" w:cs="宋体" w:eastAsia="宋体" w:hint="default"/>
        </w:rPr>
        <w:t>/</w:t>
      </w:r>
      <w:r>
        <w:rPr/>
        <w:t>被动扫码、人脸识别、蓝牙通信、</w:t>
      </w:r>
      <w:r>
        <w:rPr>
          <w:rFonts w:ascii="宋体" w:hAnsi="宋体" w:cs="宋体" w:eastAsia="宋体" w:hint="default"/>
        </w:rPr>
        <w:t>WiFi</w:t>
      </w:r>
      <w:r>
        <w:rPr>
          <w:rFonts w:ascii="宋体" w:hAnsi="宋体" w:cs="宋体" w:eastAsia="宋体" w:hint="default"/>
          <w:spacing w:val="-64"/>
        </w:rPr>
        <w:t> </w:t>
      </w:r>
      <w:r>
        <w:rPr>
          <w:spacing w:val="-3"/>
        </w:rPr>
        <w:t>通信等，预留</w:t>
      </w:r>
      <w:r>
        <w:rPr>
          <w:spacing w:val="-65"/>
        </w:rPr>
        <w:t> </w:t>
      </w:r>
      <w:r>
        <w:rPr>
          <w:rFonts w:ascii="宋体" w:hAnsi="宋体" w:cs="宋体" w:eastAsia="宋体" w:hint="default"/>
        </w:rPr>
        <w:t>NB-IOT</w:t>
      </w:r>
      <w:r>
        <w:rPr>
          <w:rFonts w:ascii="宋体" w:hAnsi="宋体" w:cs="宋体" w:eastAsia="宋体" w:hint="default"/>
          <w:spacing w:val="-64"/>
        </w:rPr>
        <w:t> </w:t>
      </w:r>
      <w:r>
        <w:rPr/>
        <w:t>模块 </w:t>
      </w:r>
      <w:r>
        <w:rPr>
          <w:spacing w:val="-3"/>
        </w:rPr>
        <w:t>等接口。推出智慧校园数据中心集成平台，实现数据交换、数据治理、数据分析、数据应用与服务一体化。</w:t>
      </w:r>
    </w:p>
    <w:p>
      <w:pPr>
        <w:spacing w:line="240" w:lineRule="auto" w:before="8"/>
        <w:rPr>
          <w:rFonts w:ascii="宋体" w:hAnsi="宋体" w:cs="宋体" w:eastAsia="宋体" w:hint="default"/>
          <w:sz w:val="20"/>
          <w:szCs w:val="20"/>
        </w:rPr>
      </w:pPr>
    </w:p>
    <w:p>
      <w:pPr>
        <w:pStyle w:val="Heading4"/>
        <w:spacing w:line="240" w:lineRule="auto"/>
        <w:ind w:left="1560" w:right="0"/>
        <w:jc w:val="left"/>
        <w:rPr>
          <w:b w:val="0"/>
          <w:bCs w:val="0"/>
        </w:rPr>
      </w:pPr>
      <w:bookmarkStart w:name="（5）强化规范管理，提升工作效能" w:id="91"/>
      <w:bookmarkEnd w:id="91"/>
      <w:r>
        <w:rPr>
          <w:b w:val="0"/>
          <w:bCs w:val="0"/>
        </w:rPr>
      </w:r>
      <w:r>
        <w:rPr/>
        <w:t>（</w:t>
      </w:r>
      <w:r>
        <w:rPr>
          <w:rFonts w:ascii="宋体" w:hAnsi="宋体" w:cs="宋体" w:eastAsia="宋体" w:hint="default"/>
        </w:rPr>
        <w:t>5</w:t>
      </w:r>
      <w:r>
        <w:rPr/>
        <w:t>）强化规范管理，提升工作效能</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09" w:firstLine="422"/>
        <w:jc w:val="both"/>
      </w:pPr>
      <w:r>
        <w:rPr/>
        <w:t>结合公司实际，梳理明确公司各级岗位，明晰各岗位职责及任职要求，完善人力资源职岗薪酬体系。 </w:t>
      </w:r>
      <w:r>
        <w:rPr>
          <w:spacing w:val="-1"/>
        </w:rPr>
        <w:t>实现薪酬管理与岗位管理、绩效管理有机统一，形成有激励效果的公司薪酬体系。通过“正元学堂”，进</w:t>
      </w:r>
      <w:r>
        <w:rPr>
          <w:spacing w:val="-89"/>
        </w:rPr>
        <w:t> </w:t>
      </w:r>
      <w:r>
        <w:rPr>
          <w:spacing w:val="-89"/>
        </w:rPr>
      </w:r>
      <w:r>
        <w:rPr/>
        <w:t>行多层级、全覆盖的员工培训，有效提高队伍素质。全面完善公司绩效考评体系，提高工作热情和效率。</w:t>
      </w:r>
      <w:r>
        <w:rPr/>
        <w:t> 采取多手段、各渠道加强公司形象宣传充分展示公司新形象，扩大品牌知名度。</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接待调研、沟通、采访等活动登记表" w:id="92"/>
      <w:bookmarkEnd w:id="92"/>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93"/>
      <w:bookmarkEnd w:id="9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2">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7" w:id="94"/>
      <w:bookmarkStart w:name="第五节重要事项" w:id="95"/>
      <w:r>
        <w:rPr>
          <w:b w:val="0"/>
          <w:bCs w:val="0"/>
        </w:rPr>
      </w:r>
      <w:r>
        <w:rPr/>
        <w:t>第五节重要事项</w:t>
      </w:r>
      <w:bookmarkEnd w:id="9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96"/>
      <w:bookmarkEnd w:id="9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1133" w:right="3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公司报告期利润分配预案及资本公积金转增股本预案与公司章程和分红管理办法等的相关规定一致</w:t>
      </w:r>
    </w:p>
    <w:p>
      <w:pPr>
        <w:spacing w:line="340" w:lineRule="auto" w:before="42"/>
        <w:ind w:left="1133" w:right="95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原因</w:t>
      </w:r>
    </w:p>
    <w:p>
      <w:pPr>
        <w:spacing w:line="360" w:lineRule="auto" w:before="39"/>
        <w:ind w:left="1134" w:right="6432" w:firstLine="0"/>
        <w:jc w:val="left"/>
        <w:rPr>
          <w:rFonts w:ascii="宋体" w:hAnsi="宋体" w:cs="宋体" w:eastAsia="宋体" w:hint="default"/>
          <w:sz w:val="18"/>
          <w:szCs w:val="18"/>
        </w:rPr>
      </w:pPr>
      <w:r>
        <w:rPr>
          <w:rFonts w:ascii="宋体" w:hAnsi="宋体" w:cs="宋体" w:eastAsia="宋体" w:hint="default"/>
          <w:sz w:val="18"/>
          <w:szCs w:val="18"/>
        </w:rPr>
        <w:t>报告期内公司未进行利润分配及资本公积金转增股本。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66,666,667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13,333,333.40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179,547,380.38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目前公司经营盈利情况良好，但仍处于发展阶段，属于成长期。根据《中华人民共和国公司法》、《公司章程》等有关规定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及公司实际经营情况，为了更好的兼顾股东的即期利益和长远利益，在符合利润分配原则、保证公司正常经营和长远发展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的前提下，公司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年度利润分配预案为：以截止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66,666,667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13,333,333.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，剩余未分配利润结转至下年度。本</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预案尚需提交公司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w:t>
            </w:r>
          </w:p>
        </w:tc>
      </w:tr>
    </w:tbl>
    <w:p>
      <w:pPr>
        <w:spacing w:before="67"/>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386" w:lineRule="auto" w:before="155"/>
        <w:ind w:right="1130" w:firstLine="482"/>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年度权益分配预案为：以截至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66,666,667</w:t>
      </w:r>
      <w:r>
        <w:rPr>
          <w:spacing w:val="-2"/>
        </w:rPr>
        <w:t>股为基数，向全体股东按</w:t>
      </w:r>
      <w:r>
        <w:rPr/>
        <w:t> 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2.00</w:t>
      </w:r>
      <w:r>
        <w:rPr/>
        <w:t>元（含税），合计派发现金股利</w:t>
      </w:r>
      <w:r>
        <w:rPr>
          <w:rFonts w:ascii="Times New Roman" w:hAnsi="Times New Roman" w:cs="Times New Roman" w:eastAsia="Times New Roman" w:hint="default"/>
        </w:rPr>
        <w:t>13,333,333.40</w:t>
      </w:r>
      <w:r>
        <w:rPr/>
        <w:t>元（含税），剩余未分配利</w:t>
      </w:r>
      <w:r>
        <w:rPr>
          <w:spacing w:val="-30"/>
        </w:rPr>
        <w:t> </w:t>
      </w:r>
      <w:r>
        <w:rPr>
          <w:spacing w:val="-30"/>
        </w:rPr>
      </w:r>
      <w:r>
        <w:rPr/>
        <w:t>润结转至下年度。</w:t>
      </w:r>
    </w:p>
    <w:p>
      <w:pPr>
        <w:pStyle w:val="BodyText"/>
        <w:spacing w:line="240" w:lineRule="auto" w:before="64"/>
        <w:ind w:left="1616" w:right="0"/>
        <w:jc w:val="left"/>
      </w:pPr>
      <w:r>
        <w:rPr/>
        <w:t>以上利润分配方案已经第二届董事会第十九次会议审议通过，尚需提交</w:t>
      </w:r>
      <w:r>
        <w:rPr>
          <w:rFonts w:ascii="Times New Roman" w:hAnsi="Times New Roman" w:cs="Times New Roman" w:eastAsia="Times New Roman" w:hint="default"/>
        </w:rPr>
        <w:t>2017</w:t>
      </w:r>
      <w:r>
        <w:rPr/>
        <w:t>年度股东大会审议通过。</w:t>
      </w:r>
    </w:p>
    <w:p>
      <w:pPr>
        <w:pStyle w:val="BodyText"/>
        <w:spacing w:line="386" w:lineRule="auto" w:before="177"/>
        <w:ind w:right="1131" w:firstLine="482"/>
        <w:jc w:val="both"/>
      </w:pPr>
      <w:r>
        <w:rPr>
          <w:rFonts w:ascii="Times New Roman" w:hAnsi="Times New Roman" w:cs="Times New Roman" w:eastAsia="Times New Roman" w:hint="default"/>
          <w:spacing w:val="2"/>
        </w:rPr>
        <w:t>2</w:t>
      </w:r>
      <w:r>
        <w:rPr>
          <w:spacing w:val="2"/>
        </w:rPr>
        <w:t>、根据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2016</w:t>
      </w:r>
      <w:r>
        <w:rPr>
          <w:spacing w:val="2"/>
        </w:rPr>
        <w:t>年度股东大会审议通过的《关于公司</w:t>
      </w:r>
      <w:r>
        <w:rPr>
          <w:rFonts w:ascii="Times New Roman" w:hAnsi="Times New Roman" w:cs="Times New Roman" w:eastAsia="Times New Roman" w:hint="default"/>
          <w:spacing w:val="2"/>
        </w:rPr>
        <w:t>2016</w:t>
      </w:r>
      <w:r>
        <w:rPr>
          <w:spacing w:val="2"/>
        </w:rPr>
        <w:t>年度利润分配预案的议</w:t>
      </w:r>
      <w:r>
        <w:rPr/>
        <w:t> 案》：公司</w:t>
      </w:r>
      <w:r>
        <w:rPr>
          <w:rFonts w:ascii="Times New Roman" w:hAnsi="Times New Roman" w:cs="Times New Roman" w:eastAsia="Times New Roman" w:hint="default"/>
        </w:rPr>
        <w:t>2017</w:t>
      </w:r>
      <w:r>
        <w:rPr/>
        <w:t>年度不进行利润分配。</w:t>
      </w:r>
    </w:p>
    <w:p>
      <w:pPr>
        <w:pStyle w:val="BodyText"/>
        <w:spacing w:line="240" w:lineRule="auto" w:before="35"/>
        <w:ind w:left="1616" w:right="0"/>
        <w:jc w:val="left"/>
      </w:pPr>
      <w:r>
        <w:rPr>
          <w:rFonts w:ascii="Times New Roman" w:hAnsi="Times New Roman" w:cs="Times New Roman" w:eastAsia="Times New Roman" w:hint="default"/>
          <w:spacing w:val="2"/>
        </w:rPr>
        <w:t>3</w:t>
      </w:r>
      <w:r>
        <w:rPr>
          <w:spacing w:val="2"/>
        </w:rPr>
        <w:t>、根据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2015</w:t>
      </w:r>
      <w:r>
        <w:rPr>
          <w:spacing w:val="2"/>
        </w:rPr>
        <w:t>年度股东大会审议通过的《关于公司</w:t>
      </w:r>
      <w:r>
        <w:rPr>
          <w:rFonts w:ascii="Times New Roman" w:hAnsi="Times New Roman" w:cs="Times New Roman" w:eastAsia="Times New Roman" w:hint="default"/>
          <w:spacing w:val="2"/>
        </w:rPr>
        <w:t>2015</w:t>
      </w:r>
      <w:r>
        <w:rPr>
          <w:spacing w:val="2"/>
        </w:rPr>
        <w:t>年度利润分配预案的议</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案》：公司</w:t>
      </w:r>
      <w:r>
        <w:rPr>
          <w:rFonts w:ascii="Times New Roman" w:hAnsi="Times New Roman" w:cs="Times New Roman" w:eastAsia="Times New Roman" w:hint="default"/>
        </w:rPr>
        <w:t>2016</w:t>
      </w:r>
      <w:r>
        <w:rPr/>
        <w:t>年度不进行利润分配。</w:t>
      </w:r>
    </w:p>
    <w:p>
      <w:pPr>
        <w:spacing w:line="240" w:lineRule="auto" w:before="3"/>
        <w:rPr>
          <w:rFonts w:ascii="宋体" w:hAnsi="宋体" w:cs="宋体" w:eastAsia="宋体" w:hint="default"/>
          <w:sz w:val="9"/>
          <w:szCs w:val="9"/>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13,333,333.40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41,968,856.74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45,750,858.31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33,449,692.34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97"/>
      <w:bookmarkEnd w:id="97"/>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98"/>
      <w:bookmarkEnd w:id="9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799"/>
        <w:gridCol w:w="1880"/>
        <w:gridCol w:w="421"/>
        <w:gridCol w:w="4951"/>
        <w:gridCol w:w="558"/>
        <w:gridCol w:w="557"/>
        <w:gridCol w:w="490"/>
      </w:tblGrid>
      <w:tr>
        <w:trPr>
          <w:trHeight w:val="161" w:hRule="exact"/>
        </w:trPr>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9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5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4" w:right="91"/>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5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3" w:hRule="exact"/>
        </w:trPr>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21" w:type="dxa"/>
            <w:vMerge/>
            <w:tcBorders>
              <w:left w:val="single" w:sz="4" w:space="0" w:color="000000"/>
              <w:right w:val="single" w:sz="4" w:space="0" w:color="000000"/>
            </w:tcBorders>
            <w:shd w:val="clear" w:color="auto" w:fill="D2D2D2"/>
          </w:tcPr>
          <w:p>
            <w:pPr/>
          </w:p>
        </w:tc>
        <w:tc>
          <w:tcPr>
            <w:tcW w:w="49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58"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490" w:type="dxa"/>
            <w:vMerge/>
            <w:tcBorders>
              <w:left w:val="single" w:sz="4" w:space="0" w:color="000000"/>
              <w:right w:val="single" w:sz="4" w:space="0" w:color="000000"/>
            </w:tcBorders>
            <w:shd w:val="clear" w:color="auto" w:fill="D2D2D2"/>
          </w:tcPr>
          <w:p>
            <w:pPr/>
          </w:p>
        </w:tc>
      </w:tr>
      <w:tr>
        <w:trPr>
          <w:trHeight w:val="161" w:hRule="exact"/>
        </w:trPr>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1" w:type="dxa"/>
            <w:vMerge/>
            <w:tcBorders>
              <w:left w:val="single" w:sz="4" w:space="0" w:color="000000"/>
              <w:bottom w:val="single" w:sz="4" w:space="0" w:color="000000"/>
              <w:right w:val="single" w:sz="4" w:space="0" w:color="000000"/>
            </w:tcBorders>
            <w:shd w:val="clear" w:color="auto" w:fill="D2D2D2"/>
          </w:tcPr>
          <w:p>
            <w:pPr/>
          </w:p>
        </w:tc>
        <w:tc>
          <w:tcPr>
            <w:tcW w:w="49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7"/>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880" w:type="dxa"/>
            <w:tcBorders>
              <w:top w:val="single" w:sz="4" w:space="0" w:color="000000"/>
              <w:left w:val="single" w:sz="13" w:space="0" w:color="D2D2D2"/>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7"/>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880" w:type="dxa"/>
            <w:tcBorders>
              <w:top w:val="single" w:sz="4" w:space="0" w:color="000000"/>
              <w:left w:val="single" w:sz="13" w:space="0" w:color="D2D2D2"/>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r>
        <w:trPr>
          <w:trHeight w:val="1232" w:hRule="exact"/>
        </w:trPr>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00" w:lineRule="auto"/>
              <w:ind w:left="16" w:right="126"/>
              <w:jc w:val="both"/>
              <w:rPr>
                <w:rFonts w:ascii="宋体" w:hAnsi="宋体" w:cs="宋体" w:eastAsia="宋体" w:hint="default"/>
                <w:sz w:val="18"/>
                <w:szCs w:val="18"/>
              </w:rPr>
            </w:pP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杭州正元企 业管理咨询有限公司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王亚静</w:t>
            </w:r>
          </w:p>
        </w:tc>
        <w:tc>
          <w:tcPr>
            <w:tcW w:w="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2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951"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个月内，不转让或者委托他人管理本</w:t>
            </w:r>
            <w:r>
              <w:rPr>
                <w:rFonts w:ascii="宋体" w:hAnsi="宋体" w:cs="宋体" w:eastAsia="宋体" w:hint="default"/>
                <w:sz w:val="18"/>
                <w:szCs w:val="18"/>
              </w:rPr>
              <w:t>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本人直接或间接持有的公司股份，也不由公司回购本公司</w:t>
            </w:r>
          </w:p>
          <w:p>
            <w:pPr>
              <w:pStyle w:val="TableParagraph"/>
              <w:spacing w:line="300" w:lineRule="auto" w:before="1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本人所直接或间接持有的公司股份；公司实际控制人陈坚承 </w:t>
            </w:r>
            <w:r>
              <w:rPr>
                <w:rFonts w:ascii="宋体" w:hAnsi="宋体" w:cs="宋体" w:eastAsia="宋体" w:hint="default"/>
                <w:spacing w:val="-3"/>
                <w:sz w:val="18"/>
                <w:szCs w:val="18"/>
              </w:rPr>
              <w:t>诺：自公司股票上市之日起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个月内，不转让或者委托他人管 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本人直接或间接持有的杭州正元的股份；在锁定期</w:t>
            </w:r>
          </w:p>
          <w:p>
            <w:pPr>
              <w:pStyle w:val="TableParagraph"/>
              <w:spacing w:line="300" w:lineRule="auto" w:before="13"/>
              <w:ind w:left="22" w:right="2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（包括延长的锁定期）届满后，关于减持本公司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本人于本次发</w:t>
            </w:r>
            <w:r>
              <w:rPr>
                <w:rFonts w:ascii="宋体" w:hAnsi="宋体" w:cs="宋体" w:eastAsia="宋体" w:hint="default"/>
                <w:spacing w:val="-78"/>
                <w:sz w:val="18"/>
                <w:szCs w:val="18"/>
              </w:rPr>
              <w:t> </w:t>
            </w:r>
            <w:r>
              <w:rPr>
                <w:rFonts w:ascii="宋体" w:hAnsi="宋体" w:cs="宋体" w:eastAsia="宋体" w:hint="default"/>
                <w:spacing w:val="-1"/>
                <w:sz w:val="18"/>
                <w:szCs w:val="18"/>
              </w:rPr>
              <w:t>行前已直接或间接持有的老股（不包括本公司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本人在本次发行</w:t>
            </w:r>
            <w:r>
              <w:rPr>
                <w:rFonts w:ascii="宋体" w:hAnsi="宋体" w:cs="宋体" w:eastAsia="宋体" w:hint="default"/>
                <w:spacing w:val="-78"/>
                <w:sz w:val="18"/>
                <w:szCs w:val="18"/>
              </w:rPr>
              <w:t> </w:t>
            </w:r>
            <w:r>
              <w:rPr>
                <w:rFonts w:ascii="宋体" w:hAnsi="宋体" w:cs="宋体" w:eastAsia="宋体" w:hint="default"/>
                <w:spacing w:val="-1"/>
                <w:sz w:val="18"/>
                <w:szCs w:val="18"/>
              </w:rPr>
              <w:t>股票后从公开市场中新买入的股份）事项，本公司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本人承诺如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下：在锁定期（包括延长的锁定期）届满后的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个月内，本公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本人直接或间接转让所持老股不超过本公司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本人持有公司 老股的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，在锁定期（包括延长的锁定期）届满后的第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本人直接或间接转让所持老股不超过在</w:t>
            </w:r>
          </w:p>
        </w:tc>
        <w:tc>
          <w:tcPr>
            <w:tcW w:w="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300" w:lineRule="auto" w:before="63"/>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至</w:t>
            </w:r>
          </w:p>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329" w:hRule="exact"/>
        </w:trPr>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7"/>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880" w:type="dxa"/>
            <w:vMerge/>
            <w:tcBorders>
              <w:left w:val="single" w:sz="9" w:space="0" w:color="D2D2D2"/>
              <w:right w:val="single" w:sz="4" w:space="0" w:color="000000"/>
            </w:tcBorders>
          </w:tcPr>
          <w:p>
            <w:pPr/>
          </w:p>
        </w:tc>
        <w:tc>
          <w:tcPr>
            <w:tcW w:w="421" w:type="dxa"/>
            <w:vMerge/>
            <w:tcBorders>
              <w:left w:val="single" w:sz="4" w:space="0" w:color="000000"/>
              <w:right w:val="single" w:sz="4" w:space="0" w:color="000000"/>
            </w:tcBorders>
          </w:tcPr>
          <w:p>
            <w:pPr/>
          </w:p>
        </w:tc>
        <w:tc>
          <w:tcPr>
            <w:tcW w:w="4951"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1232" w:hRule="exact"/>
        </w:trPr>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vMerge/>
            <w:tcBorders>
              <w:left w:val="single" w:sz="9" w:space="0" w:color="D2D2D2"/>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4951" w:type="dxa"/>
            <w:vMerge/>
            <w:tcBorders>
              <w:left w:val="single" w:sz="4" w:space="0" w:color="000000"/>
              <w:bottom w:val="single" w:sz="4" w:space="0" w:color="000000"/>
              <w:right w:val="single" w:sz="4" w:space="0" w:color="000000"/>
            </w:tcBorders>
          </w:tcPr>
          <w:p>
            <w:pPr/>
          </w:p>
        </w:tc>
        <w:tc>
          <w:tcPr>
            <w:tcW w:w="558"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35.989014pt;margin-top:72.47998pt;width:51.45pt;height:204.9pt;mso-position-horizontal-relative:page;mso-position-vertical-relative:page;z-index:-949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w:pict>
      </w:r>
      <w:r>
        <w:rPr/>
        <w:pict>
          <v:shape style="position:absolute;margin-left:444.95401pt;margin-top:277.819977pt;width:42.5pt;height:148.25pt;mso-position-horizontal-relative:page;mso-position-vertical-relative:page;z-index:-949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内，</w:t>
                  </w:r>
                </w:p>
              </w:txbxContent>
            </v:textbox>
            <w10:wrap type="none"/>
          </v:shape>
        </w:pict>
      </w:r>
      <w:r>
        <w:rPr/>
        <w:pict>
          <v:group style="position:absolute;margin-left:460.140015pt;margin-top:72.47998pt;width:27.3pt;height:353.6pt;mso-position-horizontal-relative:page;mso-position-vertical-relative:page;z-index:-949792" coordorigin="9203,1450" coordsize="546,7072">
            <v:group style="position:absolute;left:9203;top:1450;width:546;height:4098" coordorigin="9203,1450" coordsize="546,4098">
              <v:shape style="position:absolute;left:9203;top:1450;width:546;height:4098" coordorigin="9203,1450" coordsize="546,4098" path="m9203,5547l9749,5547,9749,1450,9203,1450,9203,5547xe" filled="true" fillcolor="#ffffff" stroked="false">
                <v:path arrowok="t"/>
                <v:fill type="solid"/>
              </v:shape>
            </v:group>
            <v:group style="position:absolute;left:9203;top:5556;width:546;height:2965" coordorigin="9203,5556" coordsize="546,2965">
              <v:shape style="position:absolute;left:9203;top:5556;width:546;height:2965" coordorigin="9203,5556" coordsize="546,2965" path="m9203,8521l9749,8521,9749,5556,9203,5556,9203,85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0"/>
      </w:tblGrid>
      <w:tr>
        <w:trPr>
          <w:trHeight w:val="322"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vMerge w:val="restart"/>
            <w:tcBorders>
              <w:top w:val="single" w:sz="4" w:space="0" w:color="000000"/>
              <w:left w:val="single" w:sz="4" w:space="0" w:color="000000"/>
              <w:right w:val="single" w:sz="4" w:space="0" w:color="000000"/>
            </w:tcBorders>
          </w:tcPr>
          <w:p>
            <w:pPr/>
          </w:p>
        </w:tc>
        <w:tc>
          <w:tcPr>
            <w:tcW w:w="421" w:type="dxa"/>
            <w:vMerge w:val="restart"/>
            <w:tcBorders>
              <w:top w:val="single" w:sz="4" w:space="0" w:color="000000"/>
              <w:left w:val="single" w:sz="4" w:space="0" w:color="000000"/>
              <w:right w:val="single" w:sz="4" w:space="0" w:color="000000"/>
            </w:tcBorders>
          </w:tcPr>
          <w:p>
            <w:pPr/>
          </w:p>
        </w:tc>
        <w:tc>
          <w:tcPr>
            <w:tcW w:w="4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锁定期届满后第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个月初本公司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本人直接或间接持有老股的</w:t>
            </w:r>
          </w:p>
        </w:tc>
        <w:tc>
          <w:tcPr>
            <w:tcW w:w="558" w:type="dxa"/>
            <w:vMerge w:val="restart"/>
            <w:tcBorders>
              <w:top w:val="single" w:sz="4" w:space="0" w:color="000000"/>
              <w:left w:val="single" w:sz="4" w:space="0" w:color="000000"/>
              <w:right w:val="single" w:sz="4" w:space="0" w:color="000000"/>
            </w:tcBorders>
          </w:tcPr>
          <w:p>
            <w:pPr/>
          </w:p>
        </w:tc>
        <w:tc>
          <w:tcPr>
            <w:tcW w:w="557"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本人持有的公司股份的锁定期限（包括延长的锁</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定期）届满后，本公司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本人减持直接或间接所持公司股份时，</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应提前将减持意向和拟减持数量等信息以书面方式通知公司，</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并由公司及时予以公告，自公告之日起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个交易日后，本公司</w:t>
            </w:r>
            <w:r>
              <w:rPr>
                <w:rFonts w:ascii="Times New Roman" w:hAnsi="Times New Roman" w:cs="Times New Roman" w:eastAsia="Times New Roman" w:hint="default"/>
                <w:sz w:val="18"/>
                <w:szCs w:val="18"/>
              </w:rPr>
              <w:t>/</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本人方可减持股份。此外，陈坚、陈英在担任公司董事、</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高级管理人员期间，每年转让直接或间接持有的股份不超过本</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；离职后半年内，不转让本人直</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接或间接持有的公司股份。如在公司股票上市交易之日起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月内申报离职，则自申报离职之日起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个月内，不转让其直接</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或间接持有的公司股份；如在股票上市交易之日起第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3"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个月之间申报离职，则自申报离职之日起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5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4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让其直接或间接持有的公司股份。</w:t>
            </w:r>
          </w:p>
        </w:tc>
        <w:tc>
          <w:tcPr>
            <w:tcW w:w="558"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r>
      <w:tr>
        <w:trPr>
          <w:trHeight w:val="357" w:hRule="exact"/>
        </w:trPr>
        <w:tc>
          <w:tcPr>
            <w:tcW w:w="810" w:type="dxa"/>
            <w:vMerge/>
            <w:tcBorders>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博信优选（天津）股权</w:t>
            </w:r>
          </w:p>
        </w:tc>
        <w:tc>
          <w:tcPr>
            <w:tcW w:w="421" w:type="dxa"/>
            <w:tcBorders>
              <w:top w:val="single" w:sz="4" w:space="0" w:color="000000"/>
              <w:left w:val="single" w:sz="4" w:space="0" w:color="000000"/>
              <w:bottom w:val="nil" w:sz="6" w:space="0" w:color="auto"/>
              <w:right w:val="single" w:sz="4" w:space="0" w:color="000000"/>
            </w:tcBorders>
          </w:tcPr>
          <w:p>
            <w:pPr/>
          </w:p>
        </w:tc>
        <w:tc>
          <w:tcPr>
            <w:tcW w:w="4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持有公司股份的董事、监事和高级管理人员黄金明、杨增荣、</w:t>
            </w:r>
          </w:p>
        </w:tc>
        <w:tc>
          <w:tcPr>
            <w:tcW w:w="558"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49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投资基金合伙企业（有</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周军辉、范熊熊、陈根清、施东圣、吕晓平及原公司高级管理</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陈根清</w:t>
            </w:r>
            <w:r>
              <w:rPr>
                <w:rFonts w:ascii="Times New Roman" w:hAnsi="Times New Roman" w:cs="Times New Roman" w:eastAsia="Times New Roman" w:hint="default"/>
                <w:sz w:val="18"/>
                <w:szCs w:val="18"/>
              </w:rPr>
              <w:t>;</w:t>
            </w:r>
            <w:r>
              <w:rPr>
                <w:rFonts w:ascii="宋体" w:hAnsi="宋体" w:cs="宋体" w:eastAsia="宋体" w:hint="default"/>
                <w:sz w:val="18"/>
                <w:szCs w:val="18"/>
              </w:rPr>
              <w:t>范熊</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人员何玉萍（已离职）承诺：自公司股票上市之日起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熊</w:t>
            </w:r>
            <w:r>
              <w:rPr>
                <w:rFonts w:ascii="Times New Roman" w:hAnsi="Times New Roman" w:cs="Times New Roman" w:eastAsia="Times New Roman" w:hint="default"/>
                <w:sz w:val="18"/>
                <w:szCs w:val="18"/>
              </w:rPr>
              <w:t>;</w:t>
            </w:r>
            <w:r>
              <w:rPr>
                <w:rFonts w:ascii="宋体" w:hAnsi="宋体" w:cs="宋体" w:eastAsia="宋体" w:hint="default"/>
                <w:sz w:val="18"/>
                <w:szCs w:val="18"/>
              </w:rPr>
              <w:t>杭州金础创业投资</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本人不转让或者委托他人管理本人直接或间接持有的公司股</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合伙企业（有限合伙）</w:t>
            </w:r>
            <w:r>
              <w:rPr>
                <w:rFonts w:ascii="Times New Roman" w:hAnsi="Times New Roman" w:cs="Times New Roman" w:eastAsia="Times New Roman" w:hint="default"/>
                <w:spacing w:val="-3"/>
                <w:sz w:val="18"/>
                <w:szCs w:val="18"/>
              </w:rPr>
              <w:t>;</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份，也不由公司回购本人直接或间接持有的公司股份。在本人</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杭州乾盈投资管理有限</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任职期间每年转让直接或间接持有的公司股份不超过本人所持</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杭州文诚创业投</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；离职后半年内，不转让本人直接或间</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杭州易康</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接持有的公司股份。如在公司股票上市交易之日起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报离职，则自申报离职之日起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个月内，不转让其直接或间接</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2017</w:t>
            </w:r>
          </w:p>
        </w:tc>
        <w:tc>
          <w:tcPr>
            <w:tcW w:w="49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州盈沛投资合伙企业</w:t>
            </w:r>
          </w:p>
          <w:p>
            <w:pPr>
              <w:pStyle w:val="TableParagraph"/>
              <w:spacing w:line="300" w:lineRule="auto" w:before="76"/>
              <w:ind w:left="22" w:right="23"/>
              <w:jc w:val="left"/>
              <w:rPr>
                <w:rFonts w:ascii="宋体" w:hAnsi="宋体" w:cs="宋体" w:eastAsia="宋体" w:hint="default"/>
                <w:sz w:val="18"/>
                <w:szCs w:val="18"/>
              </w:rPr>
            </w:pP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杭州正浩</w:t>
            </w:r>
            <w:r>
              <w:rPr>
                <w:rFonts w:ascii="宋体" w:hAnsi="宋体" w:cs="宋体" w:eastAsia="宋体" w:hint="default"/>
                <w:spacing w:val="-84"/>
                <w:sz w:val="18"/>
                <w:szCs w:val="18"/>
              </w:rPr>
              <w:t> </w:t>
            </w:r>
            <w:r>
              <w:rPr>
                <w:rFonts w:ascii="宋体" w:hAnsi="宋体" w:cs="宋体" w:eastAsia="宋体" w:hint="default"/>
                <w:sz w:val="18"/>
                <w:szCs w:val="18"/>
              </w:rPr>
              <w:t>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何 玉萍</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李成</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 </w:t>
            </w:r>
            <w:r>
              <w:rPr>
                <w:rFonts w:ascii="宋体" w:hAnsi="宋体" w:cs="宋体" w:eastAsia="宋体" w:hint="default"/>
                <w:sz w:val="18"/>
                <w:szCs w:val="18"/>
              </w:rPr>
              <w:t>吕晓平</w:t>
            </w:r>
            <w:r>
              <w:rPr>
                <w:rFonts w:ascii="Times New Roman" w:hAnsi="Times New Roman" w:cs="Times New Roman" w:eastAsia="Times New Roman" w:hint="default"/>
                <w:sz w:val="18"/>
                <w:szCs w:val="18"/>
              </w:rPr>
              <w:t>;</w:t>
            </w:r>
            <w:r>
              <w:rPr>
                <w:rFonts w:ascii="宋体" w:hAnsi="宋体" w:cs="宋体" w:eastAsia="宋体" w:hint="default"/>
                <w:sz w:val="18"/>
                <w:szCs w:val="18"/>
              </w:rPr>
              <w:t>青岛金石灏汭</w:t>
            </w:r>
          </w:p>
        </w:tc>
        <w:tc>
          <w:tcPr>
            <w:tcW w:w="4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2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pacing w:val="-3"/>
                <w:sz w:val="18"/>
                <w:szCs w:val="18"/>
              </w:rPr>
              <w:t>持有的公司股份；如在股票上市交易之日起第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4"/>
                <w:sz w:val="18"/>
                <w:szCs w:val="18"/>
              </w:rPr>
              <w:t>月之间申报离职，则自申报离职之日起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个月内不转让其直接</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或间接持有的公司股份。锁定期届满后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本人减 持公司股票的，减持价格不低于本次发行并上市时公司股票的 </w:t>
            </w:r>
            <w:r>
              <w:rPr>
                <w:rFonts w:ascii="宋体" w:hAnsi="宋体" w:cs="宋体" w:eastAsia="宋体" w:hint="default"/>
                <w:spacing w:val="-7"/>
                <w:w w:val="100"/>
                <w:sz w:val="18"/>
                <w:szCs w:val="18"/>
              </w:rPr>
              <w:t>发行价（以下简称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发行价</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）；公司上市后</w:t>
            </w:r>
            <w:r>
              <w:rPr>
                <w:rFonts w:ascii="宋体" w:hAnsi="宋体" w:cs="宋体" w:eastAsia="宋体" w:hint="default"/>
                <w:spacing w:val="-40"/>
                <w:w w:val="10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个月内如公司股票</w:t>
            </w:r>
          </w:p>
        </w:tc>
        <w:tc>
          <w:tcPr>
            <w:tcW w:w="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300" w:lineRule="auto" w:before="63"/>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至</w:t>
            </w:r>
          </w:p>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95"/>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3"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施东圣</w:t>
            </w:r>
            <w:r>
              <w:rPr>
                <w:rFonts w:ascii="Times New Roman" w:hAnsi="Times New Roman" w:cs="Times New Roman" w:eastAsia="Times New Roman" w:hint="default"/>
                <w:sz w:val="18"/>
                <w:szCs w:val="18"/>
              </w:rPr>
              <w:t>;</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个交易日的收盘价均低于发行价，或者上市后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0"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新余鼎峰鲲鹏投资管理</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末（如该日不是交易日，则该日后第一个交易日）收盘价低于</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中心（有限合伙）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杨增</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本人持有股票的锁定期限将自动延长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荣</w:t>
            </w:r>
            <w:r>
              <w:rPr>
                <w:rFonts w:ascii="Times New Roman" w:hAnsi="Times New Roman" w:cs="Times New Roman" w:eastAsia="Times New Roman" w:hint="default"/>
                <w:sz w:val="18"/>
                <w:szCs w:val="18"/>
              </w:rPr>
              <w:t>;</w:t>
            </w:r>
            <w:r>
              <w:rPr>
                <w:rFonts w:ascii="宋体" w:hAnsi="宋体" w:cs="宋体" w:eastAsia="宋体" w:hint="default"/>
                <w:sz w:val="18"/>
                <w:szCs w:val="18"/>
              </w:rPr>
              <w:t>浙江海宁嘉慧投资</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若公司在本次发行并上市后有派息、送股、资本公积转增股本</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合伙企业（有限合伙）</w:t>
            </w:r>
            <w:r>
              <w:rPr>
                <w:rFonts w:ascii="Times New Roman" w:hAnsi="Times New Roman" w:cs="Times New Roman" w:eastAsia="Times New Roman" w:hint="default"/>
                <w:spacing w:val="-3"/>
                <w:sz w:val="18"/>
                <w:szCs w:val="18"/>
              </w:rPr>
              <w:t>;</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等除权除息事项的，应对发行价进行除权除息处理；如本公司</w:t>
            </w:r>
            <w:r>
              <w:rPr>
                <w:rFonts w:ascii="Times New Roman" w:hAnsi="Times New Roman" w:cs="Times New Roman" w:eastAsia="Times New Roman" w:hint="default"/>
                <w:sz w:val="18"/>
                <w:szCs w:val="18"/>
              </w:rPr>
              <w:t>/</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浙江合力创业投资有限</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本人违反上述承诺或法律强制性规定减持股份的，本公司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浙江连连投资有</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承诺违规减持股票所得归公司所有，同时本公司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本人持有剩余</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浙江盈瓯创业</w:t>
            </w: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股份的锁定期在原股份锁定期（包括延长后的锁定期）届满后</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49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周军辉</w:t>
            </w:r>
          </w:p>
        </w:tc>
        <w:tc>
          <w:tcPr>
            <w:tcW w:w="421" w:type="dxa"/>
            <w:tcBorders>
              <w:top w:val="nil" w:sz="6" w:space="0" w:color="auto"/>
              <w:left w:val="single" w:sz="4" w:space="0" w:color="000000"/>
              <w:bottom w:val="single" w:sz="4" w:space="0" w:color="000000"/>
              <w:right w:val="single" w:sz="4" w:space="0" w:color="000000"/>
            </w:tcBorders>
          </w:tcPr>
          <w:p>
            <w:pPr/>
          </w:p>
        </w:tc>
        <w:tc>
          <w:tcPr>
            <w:tcW w:w="4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558"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810" w:type="dxa"/>
            <w:vMerge/>
            <w:tcBorders>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nil" w:sz="6" w:space="0" w:color="auto"/>
              <w:right w:val="single" w:sz="4" w:space="0" w:color="000000"/>
            </w:tcBorders>
          </w:tcPr>
          <w:p>
            <w:pPr/>
          </w:p>
        </w:tc>
        <w:tc>
          <w:tcPr>
            <w:tcW w:w="421" w:type="dxa"/>
            <w:tcBorders>
              <w:top w:val="single" w:sz="4" w:space="0" w:color="000000"/>
              <w:left w:val="single" w:sz="4" w:space="0" w:color="000000"/>
              <w:bottom w:val="nil" w:sz="6" w:space="0" w:color="auto"/>
              <w:right w:val="single" w:sz="4" w:space="0" w:color="000000"/>
            </w:tcBorders>
          </w:tcPr>
          <w:p>
            <w:pPr/>
          </w:p>
        </w:tc>
        <w:tc>
          <w:tcPr>
            <w:tcW w:w="4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在锁定期（包括延长的锁定期）届满后，关于减持本公司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558"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490"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于本次发行前已直接或间接持有的老股（不包括本公司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Times New Roman" w:hAnsi="Times New Roman" w:cs="Times New Roman" w:eastAsia="Times New Roman" w:hint="default"/>
                <w:sz w:val="18"/>
                <w:szCs w:val="18"/>
              </w:rPr>
            </w:pPr>
            <w:r>
              <w:rPr>
                <w:rFonts w:ascii="Times New Roman"/>
                <w:sz w:val="18"/>
              </w:rPr>
              <w:t>2017</w:t>
            </w:r>
          </w:p>
        </w:tc>
        <w:tc>
          <w:tcPr>
            <w:tcW w:w="490"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杭州正元企业管理咨询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p>
        </w:tc>
        <w:tc>
          <w:tcPr>
            <w:tcW w:w="421"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26"/>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2" w:right="20"/>
              <w:jc w:val="both"/>
              <w:rPr>
                <w:rFonts w:ascii="宋体" w:hAnsi="宋体" w:cs="宋体" w:eastAsia="宋体" w:hint="default"/>
                <w:sz w:val="18"/>
                <w:szCs w:val="18"/>
              </w:rPr>
            </w:pPr>
            <w:r>
              <w:rPr>
                <w:rFonts w:ascii="宋体" w:hAnsi="宋体" w:cs="宋体" w:eastAsia="宋体" w:hint="default"/>
                <w:spacing w:val="-1"/>
                <w:sz w:val="18"/>
                <w:szCs w:val="18"/>
              </w:rPr>
              <w:t>本次发行股票后从公开市场中新买入的股份）事项，本公司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w:t>
            </w:r>
            <w:r>
              <w:rPr>
                <w:rFonts w:ascii="宋体" w:hAnsi="宋体" w:cs="宋体" w:eastAsia="宋体" w:hint="default"/>
                <w:spacing w:val="-80"/>
                <w:sz w:val="18"/>
                <w:szCs w:val="18"/>
              </w:rPr>
              <w:t> </w:t>
            </w:r>
            <w:r>
              <w:rPr>
                <w:rFonts w:ascii="宋体" w:hAnsi="宋体" w:cs="宋体" w:eastAsia="宋体" w:hint="default"/>
                <w:spacing w:val="-3"/>
                <w:sz w:val="18"/>
                <w:szCs w:val="18"/>
              </w:rPr>
              <w:t>人承诺如下：在锁定期（包括延长的锁定期）届满后的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3"/>
                <w:sz w:val="18"/>
                <w:szCs w:val="18"/>
              </w:rPr>
              <w:t>内，本公司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本人直接或间接转让所持老股不超过本公司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w:t>
            </w:r>
            <w:r>
              <w:rPr>
                <w:rFonts w:ascii="宋体" w:hAnsi="宋体" w:cs="宋体" w:eastAsia="宋体" w:hint="default"/>
                <w:spacing w:val="-70"/>
                <w:sz w:val="18"/>
                <w:szCs w:val="18"/>
              </w:rPr>
              <w:t> </w:t>
            </w:r>
            <w:r>
              <w:rPr>
                <w:rFonts w:ascii="宋体" w:hAnsi="宋体" w:cs="宋体" w:eastAsia="宋体" w:hint="default"/>
                <w:sz w:val="18"/>
                <w:szCs w:val="18"/>
              </w:rPr>
              <w:t>有公司老股的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，在锁定期（包括延长的锁定期）届满后的</w:t>
            </w:r>
          </w:p>
        </w:tc>
        <w:tc>
          <w:tcPr>
            <w:tcW w:w="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95"/>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tcPr>
          <w:p>
            <w:pPr/>
          </w:p>
        </w:tc>
        <w:tc>
          <w:tcPr>
            <w:tcW w:w="421" w:type="dxa"/>
            <w:tcBorders>
              <w:top w:val="nil" w:sz="6" w:space="0" w:color="auto"/>
              <w:left w:val="single" w:sz="4" w:space="0" w:color="000000"/>
              <w:bottom w:val="nil" w:sz="6" w:space="0" w:color="auto"/>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本人直接或间接转让所持老股不超</w:t>
            </w:r>
          </w:p>
        </w:tc>
        <w:tc>
          <w:tcPr>
            <w:tcW w:w="558"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2" w:right="0"/>
              <w:jc w:val="left"/>
              <w:rPr>
                <w:rFonts w:ascii="Times New Roman" w:hAnsi="Times New Roman" w:cs="Times New Roman" w:eastAsia="Times New Roman" w:hint="default"/>
                <w:sz w:val="18"/>
                <w:szCs w:val="18"/>
              </w:rPr>
            </w:pPr>
            <w:r>
              <w:rPr>
                <w:rFonts w:ascii="Times New Roman"/>
                <w:sz w:val="18"/>
              </w:rPr>
              <w:t>20</w:t>
            </w:r>
          </w:p>
        </w:tc>
        <w:tc>
          <w:tcPr>
            <w:tcW w:w="49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single" w:sz="4" w:space="0" w:color="000000"/>
              <w:right w:val="single" w:sz="4" w:space="0" w:color="000000"/>
            </w:tcBorders>
          </w:tcPr>
          <w:p>
            <w:pPr/>
          </w:p>
        </w:tc>
        <w:tc>
          <w:tcPr>
            <w:tcW w:w="421" w:type="dxa"/>
            <w:tcBorders>
              <w:top w:val="nil" w:sz="6" w:space="0" w:color="auto"/>
              <w:left w:val="single" w:sz="4" w:space="0" w:color="000000"/>
              <w:bottom w:val="single" w:sz="4" w:space="0" w:color="000000"/>
              <w:right w:val="single" w:sz="4" w:space="0" w:color="000000"/>
            </w:tcBorders>
          </w:tcPr>
          <w:p>
            <w:pPr/>
          </w:p>
        </w:tc>
        <w:tc>
          <w:tcPr>
            <w:tcW w:w="4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过在锁定期届满后第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个月初本公司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本人直接或间接持有老</w:t>
            </w:r>
          </w:p>
        </w:tc>
        <w:tc>
          <w:tcPr>
            <w:tcW w:w="558"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2"/>
      </w:tblGrid>
      <w:tr>
        <w:trPr>
          <w:trHeight w:val="1611"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股的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本人持有的公司股份的锁定期限（包括延长 </w:t>
            </w:r>
            <w:r>
              <w:rPr>
                <w:rFonts w:ascii="宋体" w:hAnsi="宋体" w:cs="宋体" w:eastAsia="宋体" w:hint="default"/>
                <w:spacing w:val="-1"/>
                <w:sz w:val="18"/>
                <w:szCs w:val="18"/>
              </w:rPr>
              <w:t>的锁定期）届满后，本公司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本人减持直接或间接所持公司股份</w:t>
            </w:r>
            <w:r>
              <w:rPr>
                <w:rFonts w:ascii="宋体" w:hAnsi="宋体" w:cs="宋体" w:eastAsia="宋体" w:hint="default"/>
                <w:spacing w:val="-79"/>
                <w:sz w:val="18"/>
                <w:szCs w:val="18"/>
              </w:rPr>
              <w:t> </w:t>
            </w:r>
            <w:r>
              <w:rPr>
                <w:rFonts w:ascii="宋体" w:hAnsi="宋体" w:cs="宋体" w:eastAsia="宋体" w:hint="default"/>
                <w:sz w:val="18"/>
                <w:szCs w:val="18"/>
              </w:rPr>
              <w:t>时，应提前将减持意向和拟减持数量等信息以书面方式通知公 司，并由公司及时予以公告，自公告之日起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本人方可减持股份。</w:t>
            </w: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810" w:type="dxa"/>
            <w:vMerge/>
            <w:tcBorders>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博信优选（天津）股权 投资基金合伙企业（有 </w:t>
            </w:r>
            <w:r>
              <w:rPr>
                <w:rFonts w:ascii="宋体" w:hAnsi="宋体" w:cs="宋体" w:eastAsia="宋体" w:hint="default"/>
                <w:spacing w:val="-3"/>
                <w:sz w:val="18"/>
                <w:szCs w:val="18"/>
              </w:rPr>
              <w:t>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杭州易康投资</w:t>
            </w:r>
            <w:r>
              <w:rPr>
                <w:rFonts w:ascii="宋体" w:hAnsi="宋体" w:cs="宋体" w:eastAsia="宋体" w:hint="default"/>
                <w:spacing w:val="-84"/>
                <w:sz w:val="18"/>
                <w:szCs w:val="18"/>
              </w:rPr>
              <w:t> </w:t>
            </w:r>
            <w:r>
              <w:rPr>
                <w:rFonts w:ascii="宋体" w:hAnsi="宋体" w:cs="宋体" w:eastAsia="宋体" w:hint="default"/>
                <w:sz w:val="18"/>
                <w:szCs w:val="18"/>
              </w:rPr>
              <w:t>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 浩投资管理有限公司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浙江合力创业投资有限 公司</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6"/>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在锁定期（包括延长的锁定期）届满后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年内，本企业将根据 公司经营、资本市场、自身资金需求等情况综合分析决定减持 数量。本单位的减持价格将均不低于公司上一年度经审计的每 股净资产值及股票首次公开发行的价格。若公司已发生派息、 送股、资本公积转增股本等除权除息事项，则上述减持价格指 </w:t>
            </w:r>
            <w:r>
              <w:rPr>
                <w:rFonts w:ascii="宋体" w:hAnsi="宋体" w:cs="宋体" w:eastAsia="宋体" w:hint="default"/>
                <w:spacing w:val="-6"/>
                <w:sz w:val="18"/>
                <w:szCs w:val="18"/>
              </w:rPr>
              <w:t>公司股票复权后的价格；本单位持有的公司股份的锁定期限（包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括延长的锁定期）届满后，本单位减持持有的公司股份时，应 提前将减持意向和拟减持数量等信息以书面方式通知公司，并 由公司及时予以公告，自公司公告之日起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个交易日后，本单 位方可以减持股份；如本单位违反上述承诺或法律强制性规定 减持股份的，本单位承诺违规减持股票所得归公司所有，同时 本单位所持有的剩余股份的锁定期在原股份锁定期届满后自动 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年。如本单位未将违规减持所得上缴发行人，则发行人 有权将应付本单位现金分红中与违规减持所得相等的金额收归 发行人所有。</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97"/>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7539"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47"/>
              <w:jc w:val="left"/>
              <w:rPr>
                <w:rFonts w:ascii="宋体" w:hAnsi="宋体" w:cs="宋体" w:eastAsia="宋体" w:hint="default"/>
                <w:sz w:val="18"/>
                <w:szCs w:val="18"/>
              </w:rPr>
            </w:pPr>
            <w:r>
              <w:rPr>
                <w:rFonts w:ascii="宋体" w:hAnsi="宋体" w:cs="宋体" w:eastAsia="宋体" w:hint="default"/>
                <w:sz w:val="18"/>
                <w:szCs w:val="18"/>
              </w:rPr>
              <w:t>浙江正元智慧科技股份 有限公司</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6"/>
              <w:jc w:val="left"/>
              <w:rPr>
                <w:rFonts w:ascii="宋体" w:hAnsi="宋体" w:cs="宋体" w:eastAsia="宋体" w:hint="default"/>
                <w:sz w:val="18"/>
                <w:szCs w:val="18"/>
              </w:rPr>
            </w:pPr>
            <w:r>
              <w:rPr>
                <w:rFonts w:ascii="宋体" w:hAnsi="宋体" w:cs="宋体" w:eastAsia="宋体" w:hint="default"/>
                <w:sz w:val="18"/>
                <w:szCs w:val="18"/>
              </w:rPr>
              <w:t>分红 承诺</w:t>
            </w: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公司发行上市后的股利分配政策：根据公司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7"/>
                <w:sz w:val="18"/>
                <w:szCs w:val="18"/>
              </w:rPr>
              <w:t>会审议通过的《公司章程（草案）》，公司发行上市后的主要股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利分配政策如下：（一）利润分配政策的基本原则公司股东回报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规划的制定需充分考虑和听取股东（特别是中小股东）、独立董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事和监事的意见。公司利润分配政策应保持连续性和稳定性， 同时兼顾公司的长远利益、全体股东的整体利益及公司的可持 </w:t>
            </w:r>
            <w:r>
              <w:rPr>
                <w:rFonts w:ascii="宋体" w:hAnsi="宋体" w:cs="宋体" w:eastAsia="宋体" w:hint="default"/>
                <w:spacing w:val="-6"/>
                <w:sz w:val="18"/>
                <w:szCs w:val="18"/>
              </w:rPr>
              <w:t>续发展，优先采用现金分红的利润分配方式。（二）利润分配的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形式公司采用现金、股票或者股票和现金相结合的方式分配股 </w:t>
            </w:r>
            <w:r>
              <w:rPr>
                <w:rFonts w:ascii="宋体" w:hAnsi="宋体" w:cs="宋体" w:eastAsia="宋体" w:hint="default"/>
                <w:spacing w:val="-6"/>
                <w:sz w:val="18"/>
                <w:szCs w:val="18"/>
              </w:rPr>
              <w:t>利。（三）利润分配的期间间隔公司应每年至少进行一次利润分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配，公司董事会可以根据公司的盈利及资金需求状况提议公司 </w:t>
            </w:r>
            <w:r>
              <w:rPr>
                <w:rFonts w:ascii="宋体" w:hAnsi="宋体" w:cs="宋体" w:eastAsia="宋体" w:hint="default"/>
                <w:spacing w:val="-5"/>
                <w:sz w:val="18"/>
                <w:szCs w:val="18"/>
              </w:rPr>
              <w:t>进行中期股利分配。（四）现金分红的具体条件和比例</w:t>
            </w:r>
            <w:r>
              <w:rPr>
                <w:rFonts w:ascii="宋体" w:hAnsi="宋体" w:cs="宋体" w:eastAsia="宋体" w:hint="default"/>
                <w:spacing w:val="-28"/>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、现金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分红条件：在符合现金分红的条件下，公司应当采取现金分红 </w:t>
            </w:r>
            <w:r>
              <w:rPr>
                <w:rFonts w:ascii="宋体" w:hAnsi="宋体" w:cs="宋体" w:eastAsia="宋体" w:hint="default"/>
                <w:spacing w:val="-4"/>
                <w:sz w:val="18"/>
                <w:szCs w:val="18"/>
              </w:rPr>
              <w:t>的方式进行利润分配。符合现金分红的条件为：（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）该年度无</w:t>
            </w:r>
            <w:r>
              <w:rPr>
                <w:rFonts w:ascii="宋体" w:hAnsi="宋体" w:cs="宋体" w:eastAsia="宋体" w:hint="default"/>
                <w:spacing w:val="-68"/>
                <w:sz w:val="18"/>
                <w:szCs w:val="18"/>
              </w:rPr>
              <w:t> </w:t>
            </w:r>
            <w:r>
              <w:rPr>
                <w:rFonts w:ascii="宋体" w:hAnsi="宋体" w:cs="宋体" w:eastAsia="宋体" w:hint="default"/>
                <w:spacing w:val="-4"/>
                <w:sz w:val="18"/>
                <w:szCs w:val="18"/>
              </w:rPr>
              <w:t>重大投资计划或重大现金支出；（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）公司该年度实现的可分配</w:t>
            </w:r>
            <w:r>
              <w:rPr>
                <w:rFonts w:ascii="宋体" w:hAnsi="宋体" w:cs="宋体" w:eastAsia="宋体" w:hint="default"/>
                <w:spacing w:val="-68"/>
                <w:sz w:val="18"/>
                <w:szCs w:val="18"/>
              </w:rPr>
              <w:t> </w:t>
            </w:r>
            <w:r>
              <w:rPr>
                <w:rFonts w:ascii="宋体" w:hAnsi="宋体" w:cs="宋体" w:eastAsia="宋体" w:hint="default"/>
                <w:sz w:val="18"/>
                <w:szCs w:val="18"/>
              </w:rPr>
              <w:t>利润（即公司弥补亏损、提取公积金后所余的税后利润）及累 </w:t>
            </w:r>
            <w:r>
              <w:rPr>
                <w:rFonts w:ascii="宋体" w:hAnsi="宋体" w:cs="宋体" w:eastAsia="宋体" w:hint="default"/>
                <w:spacing w:val="-4"/>
                <w:sz w:val="18"/>
                <w:szCs w:val="18"/>
              </w:rPr>
              <w:t>计未分配利润为正值；（</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）审计机构对公司该年度财务报告出</w:t>
            </w:r>
            <w:r>
              <w:rPr>
                <w:rFonts w:ascii="宋体" w:hAnsi="宋体" w:cs="宋体" w:eastAsia="宋体" w:hint="default"/>
                <w:spacing w:val="-68"/>
                <w:sz w:val="18"/>
                <w:szCs w:val="18"/>
              </w:rPr>
              <w:t> </w:t>
            </w:r>
            <w:r>
              <w:rPr>
                <w:rFonts w:ascii="宋体" w:hAnsi="宋体" w:cs="宋体" w:eastAsia="宋体" w:hint="default"/>
                <w:sz w:val="18"/>
                <w:szCs w:val="18"/>
              </w:rPr>
              <w:t>具标准无保留意见的审计报告。上述重大投资计划或重大现金 </w:t>
            </w:r>
            <w:r>
              <w:rPr>
                <w:rFonts w:ascii="宋体" w:hAnsi="宋体" w:cs="宋体" w:eastAsia="宋体" w:hint="default"/>
                <w:spacing w:val="-12"/>
                <w:sz w:val="18"/>
                <w:szCs w:val="18"/>
              </w:rPr>
              <w:t>支出指：（</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）公司未来</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个月内拟对外投资、购买资产等交易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累计支出达到或超过公司最近一期经审计净资产的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，或超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万元；或（</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个月内拟对外投资、购买 资产等交易累计支出达到或超过公司最近一期经审计总资产的 </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、现金分红比例：如无重大投资计划或重大现金支出等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事项发生，以现金方式分配的利润不少于当年实现的可分配利 润的百分之十五。同时，公司近三年以现金方式累计分配利润</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62"/>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97"/>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72.917023pt;margin-top:72.47998pt;width:114.55pt;height:686.5pt;mso-position-horizontal-relative:page;mso-position-vertical-relative:page;z-index:-949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3"/>
                    <w:ind w:left="0" w:right="0" w:firstLine="0"/>
                    <w:jc w:val="left"/>
                    <w:rPr>
                      <w:rFonts w:ascii="宋体" w:hAnsi="宋体" w:cs="宋体" w:eastAsia="宋体" w:hint="default"/>
                      <w:sz w:val="18"/>
                      <w:szCs w:val="18"/>
                    </w:rPr>
                  </w:pPr>
                  <w:r>
                    <w:rPr>
                      <w:rFonts w:ascii="宋体" w:hAnsi="宋体" w:cs="宋体" w:eastAsia="宋体" w:hint="default"/>
                      <w:sz w:val="18"/>
                      <w:szCs w:val="18"/>
                    </w:rPr>
                    <w:t>（包括但不限于电话、</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0"/>
      </w:tblGrid>
      <w:tr>
        <w:trPr>
          <w:trHeight w:val="317"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vMerge w:val="restart"/>
            <w:tcBorders>
              <w:top w:val="single" w:sz="4" w:space="0" w:color="000000"/>
              <w:left w:val="single" w:sz="4" w:space="0" w:color="000000"/>
              <w:right w:val="single" w:sz="4" w:space="0" w:color="000000"/>
            </w:tcBorders>
          </w:tcPr>
          <w:p>
            <w:pPr/>
          </w:p>
        </w:tc>
        <w:tc>
          <w:tcPr>
            <w:tcW w:w="421" w:type="dxa"/>
            <w:vMerge w:val="restart"/>
            <w:tcBorders>
              <w:top w:val="single" w:sz="4" w:space="0" w:color="000000"/>
              <w:left w:val="single" w:sz="4" w:space="0" w:color="000000"/>
              <w:right w:val="single" w:sz="4" w:space="0" w:color="000000"/>
            </w:tcBorders>
          </w:tcPr>
          <w:p>
            <w:pPr/>
          </w:p>
        </w:tc>
        <w:tc>
          <w:tcPr>
            <w:tcW w:w="4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不少于最近三年实现的年均可分配利润的百分之三十。公司进</w:t>
            </w:r>
          </w:p>
        </w:tc>
        <w:tc>
          <w:tcPr>
            <w:tcW w:w="558" w:type="dxa"/>
            <w:vMerge w:val="restart"/>
            <w:tcBorders>
              <w:top w:val="single" w:sz="4" w:space="0" w:color="000000"/>
              <w:left w:val="single" w:sz="4" w:space="0" w:color="000000"/>
              <w:right w:val="single" w:sz="4" w:space="0" w:color="000000"/>
            </w:tcBorders>
          </w:tcPr>
          <w:p>
            <w:pPr>
              <w:pStyle w:val="TableParagraph"/>
              <w:spacing w:line="13729"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27.3pt;height:686.5pt;mso-position-horizontal-relative:char;mso-position-vertical-relative:line" coordorigin="0,0" coordsize="546,13730">
                  <v:group style="position:absolute;left:0;top:0;width:546;height:13730" coordorigin="0,0" coordsize="546,13730">
                    <v:shape style="position:absolute;left:0;top:0;width:546;height:13730" coordorigin="0,0" coordsize="546,13730" path="m0,13729l546,13729,54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57"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行利润分配时，公司董事会应当综合考虑所处行业特点、发展</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阶段、自身经营模式、盈利水平以及是否有重大资金支出安排</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等因素，区分下列情形，并按照公司章程规定的程序，提出差</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异化的现金分红政策</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）公司发展阶段属成熟期且无重大资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金支出安排的，进行利润分配时，现金分红在本次利润分配中</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大资金支出安排的，进行利润分配时，现金分红在本次利润分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）公司发展阶段属成长期且</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有重大资金支出安排的，进行利润分配时，现金分红在本次利</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；公司发展阶段不易区分但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有重大资金支出安排的</w:t>
            </w:r>
            <w:r>
              <w:rPr>
                <w:rFonts w:ascii="宋体" w:hAnsi="宋体" w:cs="宋体" w:eastAsia="宋体" w:hint="default"/>
                <w:spacing w:val="-18"/>
                <w:sz w:val="18"/>
                <w:szCs w:val="18"/>
              </w:rPr>
              <w:t>，</w:t>
            </w:r>
            <w:r>
              <w:rPr>
                <w:rFonts w:ascii="宋体" w:hAnsi="宋体" w:cs="宋体" w:eastAsia="宋体" w:hint="default"/>
                <w:sz w:val="18"/>
                <w:szCs w:val="18"/>
              </w:rPr>
              <w:t>可以按照前项规定处理</w:t>
            </w:r>
            <w:r>
              <w:rPr>
                <w:rFonts w:ascii="宋体" w:hAnsi="宋体" w:cs="宋体" w:eastAsia="宋体" w:hint="default"/>
                <w:spacing w:val="-108"/>
                <w:sz w:val="18"/>
                <w:szCs w:val="18"/>
              </w:rPr>
              <w:t>。</w:t>
            </w:r>
            <w:r>
              <w:rPr>
                <w:rFonts w:ascii="宋体" w:hAnsi="宋体" w:cs="宋体" w:eastAsia="宋体" w:hint="default"/>
                <w:sz w:val="18"/>
                <w:szCs w:val="18"/>
              </w:rPr>
              <w:t>（五</w:t>
            </w:r>
            <w:r>
              <w:rPr>
                <w:rFonts w:ascii="宋体" w:hAnsi="宋体" w:cs="宋体" w:eastAsia="宋体" w:hint="default"/>
                <w:spacing w:val="-20"/>
                <w:sz w:val="18"/>
                <w:szCs w:val="18"/>
              </w:rPr>
              <w:t>）</w:t>
            </w:r>
            <w:r>
              <w:rPr>
                <w:rFonts w:ascii="宋体" w:hAnsi="宋体" w:cs="宋体" w:eastAsia="宋体" w:hint="default"/>
                <w:sz w:val="18"/>
                <w:szCs w:val="18"/>
              </w:rPr>
              <w:t>股票股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利分配的条件公司在经营情况良好，并且董事会认为公司股票</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价格与公司股本规模不匹配、发放股票股利有利于公司全体股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东整体利益时，可以在满足上述现金分红的条件下，发放股票</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108"/>
                <w:sz w:val="18"/>
                <w:szCs w:val="18"/>
              </w:rPr>
              <w:t>。</w:t>
            </w:r>
            <w:r>
              <w:rPr>
                <w:rFonts w:ascii="宋体" w:hAnsi="宋体" w:cs="宋体" w:eastAsia="宋体" w:hint="default"/>
                <w:sz w:val="18"/>
                <w:szCs w:val="18"/>
              </w:rPr>
              <w:t>（六</w:t>
            </w:r>
            <w:r>
              <w:rPr>
                <w:rFonts w:ascii="宋体" w:hAnsi="宋体" w:cs="宋体" w:eastAsia="宋体" w:hint="default"/>
                <w:spacing w:val="-18"/>
                <w:sz w:val="18"/>
                <w:szCs w:val="18"/>
              </w:rPr>
              <w:t>）</w:t>
            </w:r>
            <w:r>
              <w:rPr>
                <w:rFonts w:ascii="宋体" w:hAnsi="宋体" w:cs="宋体" w:eastAsia="宋体" w:hint="default"/>
                <w:spacing w:val="-2"/>
                <w:sz w:val="18"/>
                <w:szCs w:val="18"/>
              </w:rPr>
              <w:t>存</w:t>
            </w:r>
            <w:r>
              <w:rPr>
                <w:rFonts w:ascii="宋体" w:hAnsi="宋体" w:cs="宋体" w:eastAsia="宋体" w:hint="default"/>
                <w:sz w:val="18"/>
                <w:szCs w:val="18"/>
              </w:rPr>
              <w:t>在股东违规占用公司资金情况的</w:t>
            </w:r>
            <w:r>
              <w:rPr>
                <w:rFonts w:ascii="宋体" w:hAnsi="宋体" w:cs="宋体" w:eastAsia="宋体" w:hint="default"/>
                <w:spacing w:val="-18"/>
                <w:sz w:val="18"/>
                <w:szCs w:val="18"/>
              </w:rPr>
              <w:t>，</w:t>
            </w:r>
            <w:r>
              <w:rPr>
                <w:rFonts w:ascii="宋体" w:hAnsi="宋体" w:cs="宋体" w:eastAsia="宋体" w:hint="default"/>
                <w:sz w:val="18"/>
                <w:szCs w:val="18"/>
              </w:rPr>
              <w:t>公司应当扣减</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该股东所分配的现金红利</w:t>
            </w:r>
            <w:r>
              <w:rPr>
                <w:rFonts w:ascii="宋体" w:hAnsi="宋体" w:cs="宋体" w:eastAsia="宋体" w:hint="default"/>
                <w:spacing w:val="-18"/>
                <w:sz w:val="18"/>
                <w:szCs w:val="18"/>
              </w:rPr>
              <w:t>，</w:t>
            </w:r>
            <w:r>
              <w:rPr>
                <w:rFonts w:ascii="宋体" w:hAnsi="宋体" w:cs="宋体" w:eastAsia="宋体" w:hint="default"/>
                <w:sz w:val="18"/>
                <w:szCs w:val="18"/>
              </w:rPr>
              <w:t>以偿还其占用的资金</w:t>
            </w:r>
            <w:r>
              <w:rPr>
                <w:rFonts w:ascii="宋体" w:hAnsi="宋体" w:cs="宋体" w:eastAsia="宋体" w:hint="default"/>
                <w:spacing w:val="-108"/>
                <w:sz w:val="18"/>
                <w:szCs w:val="18"/>
              </w:rPr>
              <w:t>。</w:t>
            </w:r>
            <w:r>
              <w:rPr>
                <w:rFonts w:ascii="宋体" w:hAnsi="宋体" w:cs="宋体" w:eastAsia="宋体" w:hint="default"/>
                <w:sz w:val="18"/>
                <w:szCs w:val="18"/>
              </w:rPr>
              <w:t>（七</w:t>
            </w:r>
            <w:r>
              <w:rPr>
                <w:rFonts w:ascii="宋体" w:hAnsi="宋体" w:cs="宋体" w:eastAsia="宋体" w:hint="default"/>
                <w:spacing w:val="-20"/>
                <w:sz w:val="18"/>
                <w:szCs w:val="18"/>
              </w:rPr>
              <w:t>）</w:t>
            </w:r>
            <w:r>
              <w:rPr>
                <w:rFonts w:ascii="宋体" w:hAnsi="宋体" w:cs="宋体" w:eastAsia="宋体" w:hint="default"/>
                <w:sz w:val="18"/>
                <w:szCs w:val="18"/>
              </w:rPr>
              <w:t>利润分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配的决策程序与机制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、公司每年利润分配方案由董事会结合</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本章程的规定、盈利情况、资金供给和需求情况提出、拟订。</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董事会审议现金分红具体方案时，应当认真研究和论证公司现</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金分红的时机、条件和最低比例、调整的条件及决策程序要求</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等事宜，独立董事应对利润分配方案进行审核并发表独立明确</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的意见，董事会通过后提交股东大会审议。独立董事可以征集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中小股东的意见，提出分红提案，并直接提交董事会审议。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股东大会对现金分红具体方案进行审议前，应通过多种渠道主</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动与股东特别是中小股东进行沟通和交流</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传真和邮件沟通或邀请中小股东参会等方式</w:t>
            </w:r>
            <w:r>
              <w:rPr>
                <w:rFonts w:ascii="宋体" w:hAnsi="宋体" w:cs="宋体" w:eastAsia="宋体" w:hint="default"/>
                <w:spacing w:val="-90"/>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充分听取中小股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东的意见和诉求，并及时答复中小股东关心的问题。</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、公司不</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进行现金分红或分红水平较低时，董事会就不进行现金分红或</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现金分配低于规定比例的具体原因、公司留存收益的用途和使</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用计划等事项进行专项说明，经独立董事发表独立意见后，提</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交公司股东大会审议。同时在召开股东大会时，公司应当提供</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网络投票等方式以方便中小股东参与股东大会表决</w:t>
            </w:r>
            <w:r>
              <w:rPr>
                <w:rFonts w:ascii="宋体" w:hAnsi="宋体" w:cs="宋体" w:eastAsia="宋体" w:hint="default"/>
                <w:spacing w:val="-118"/>
                <w:sz w:val="18"/>
                <w:szCs w:val="18"/>
              </w:rPr>
              <w:t>。</w:t>
            </w:r>
            <w:r>
              <w:rPr>
                <w:rFonts w:ascii="宋体" w:hAnsi="宋体" w:cs="宋体" w:eastAsia="宋体" w:hint="default"/>
                <w:sz w:val="18"/>
                <w:szCs w:val="18"/>
              </w:rPr>
              <w:t>（八</w:t>
            </w:r>
            <w:r>
              <w:rPr>
                <w:rFonts w:ascii="宋体" w:hAnsi="宋体" w:cs="宋体" w:eastAsia="宋体" w:hint="default"/>
                <w:spacing w:val="-28"/>
                <w:sz w:val="18"/>
                <w:szCs w:val="18"/>
              </w:rPr>
              <w:t>）</w:t>
            </w:r>
            <w:r>
              <w:rPr>
                <w:rFonts w:ascii="宋体" w:hAnsi="宋体" w:cs="宋体" w:eastAsia="宋体" w:hint="default"/>
                <w:sz w:val="18"/>
                <w:szCs w:val="18"/>
              </w:rPr>
              <w:t>利润</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分配政策的调整机制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、如遇到战争、自然灾害等不可抗力，</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或公司外部经营环境变化并对公司生产经营造成重大影响，或</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公司自身经营状况发生较大变化时，公司可对利润分配政策进</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行调整。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、公司根据生产经营情况、投资规划和长期发展的需</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要等原因需调整利润分配政策的，应由公司董事会根据实际情</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况提出利润分配政策调整议案，提请股东大会审议并经出席股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东大会的股东所持表决权的三分之二以上通过；调整后的利润</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分配政策应以股东权益保护为出发点，且不得违反中国证监会</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和证券交易所的有关规定；调整利润分配政策的相关议案需分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别经监事会和二分之一以上独立董事同意后提交董事会、股东</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8"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4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大会批准，提交股东大会的相关提案中应详细说明修改利润分</w:t>
            </w:r>
          </w:p>
        </w:tc>
        <w:tc>
          <w:tcPr>
            <w:tcW w:w="558"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3.942993pt;margin-top:72.47998pt;width:123.5pt;height:392.1pt;mso-position-horizontal-relative:page;mso-position-vertical-relative:page;z-index:-949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48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48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487" w:firstLine="0"/>
                    <w:jc w:val="right"/>
                    <w:rPr>
                      <w:rFonts w:ascii="宋体" w:hAnsi="宋体" w:cs="宋体" w:eastAsia="宋体" w:hint="default"/>
                      <w:sz w:val="18"/>
                      <w:szCs w:val="18"/>
                    </w:rPr>
                  </w:pPr>
                  <w:r>
                    <w:rPr>
                      <w:rFonts w:ascii="宋体" w:hAnsi="宋体" w:cs="宋体" w:eastAsia="宋体" w:hint="default"/>
                      <w:sz w:val="18"/>
                      <w:szCs w:val="18"/>
                    </w:rPr>
                    <w:t>充分考虑公司盈利规模、</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2"/>
      </w:tblGrid>
      <w:tr>
        <w:trPr>
          <w:trHeight w:val="7851"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配政策的原因，独立董事应当对调整利润分配政策发表独立意 见。公司调整利润分配政策，应当提供网络投票等方式为公众 </w:t>
            </w:r>
            <w:r>
              <w:rPr>
                <w:rFonts w:ascii="宋体" w:hAnsi="宋体" w:cs="宋体" w:eastAsia="宋体" w:hint="default"/>
                <w:spacing w:val="-4"/>
                <w:sz w:val="18"/>
                <w:szCs w:val="18"/>
              </w:rPr>
              <w:t>股东参与股东大会表决提供便利。（九）股东分红回报规划</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股东回报规划制定考虑因素公司将着眼于长远和可持续发展， 在综合考虑公司实际经营情况、发展目标、股东要求和意愿， 尤其是中小投资者的合理回报需要、公司外部融资环境、社会 资金成本等因素的基础上，建立对投资者持续、稳定、科学的 回报规划与机制，从而对利润分配作出制度性安排，以保持未 </w:t>
            </w:r>
            <w:r>
              <w:rPr>
                <w:rFonts w:ascii="宋体" w:hAnsi="宋体" w:cs="宋体" w:eastAsia="宋体" w:hint="default"/>
                <w:spacing w:val="-2"/>
                <w:sz w:val="18"/>
                <w:szCs w:val="18"/>
              </w:rPr>
              <w:t>来公司利润分配政策的连续性和稳定性。</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、股东回报规划制定</w:t>
            </w:r>
            <w:r>
              <w:rPr>
                <w:rFonts w:ascii="宋体" w:hAnsi="宋体" w:cs="宋体" w:eastAsia="宋体" w:hint="default"/>
                <w:sz w:val="18"/>
                <w:szCs w:val="18"/>
              </w:rPr>
              <w:t> 原则公司的股东分红回报规划充分考虑和听取股东（特别是公 </w:t>
            </w:r>
            <w:r>
              <w:rPr>
                <w:rFonts w:ascii="宋体" w:hAnsi="宋体" w:cs="宋体" w:eastAsia="宋体" w:hint="default"/>
                <w:spacing w:val="-6"/>
                <w:sz w:val="18"/>
                <w:szCs w:val="18"/>
              </w:rPr>
              <w:t>众投资者和中小投资者）、独立董事和外部监事的意见，在保证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公司正常经营业务发展的前提下，坚持现金分红这一基本原则</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如无重大资金支出事项发生，公司上市后将在每年向股东分配 的现金股利不低于当年实现的可供分配利润的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的基础上， 确定年度现金股利及股票股利分配的具体方案。公司的股东分 红回报规划的制定应符合相关法律法规、规范性文件及《公司 </w:t>
            </w:r>
            <w:r>
              <w:rPr>
                <w:rFonts w:ascii="宋体" w:hAnsi="宋体" w:cs="宋体" w:eastAsia="宋体" w:hint="default"/>
                <w:spacing w:val="-6"/>
                <w:sz w:val="18"/>
                <w:szCs w:val="18"/>
              </w:rPr>
              <w:t>章程》的规定，公司实行连续、稳定、积极的利润分配政策。</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股东回报规划制定周期和相关决策机制公司至少每三年重新审 阅一次股东分红回报规划，根据股东（特别是公众投资者和中 </w:t>
            </w:r>
            <w:r>
              <w:rPr>
                <w:rFonts w:ascii="宋体" w:hAnsi="宋体" w:cs="宋体" w:eastAsia="宋体" w:hint="default"/>
                <w:spacing w:val="-6"/>
                <w:sz w:val="18"/>
                <w:szCs w:val="18"/>
              </w:rPr>
              <w:t>小投资者）、独立董事和外部监事的意见对公司正在实施的股利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分配政策作出适当且必要的修改，确定该时段的股东分红回报 计划。公司董事会结合具体经营数据，</w:t>
            </w:r>
            <w:r>
              <w:rPr>
                <w:rFonts w:ascii="宋体" w:hAnsi="宋体" w:cs="宋体" w:eastAsia="宋体" w:hint="default"/>
                <w:sz w:val="18"/>
                <w:szCs w:val="18"/>
              </w:rPr>
              <w:t> 现金流量状况、发展阶段及当期资金需求，并结合股东（特别 </w:t>
            </w:r>
            <w:r>
              <w:rPr>
                <w:rFonts w:ascii="宋体" w:hAnsi="宋体" w:cs="宋体" w:eastAsia="宋体" w:hint="default"/>
                <w:spacing w:val="-6"/>
                <w:sz w:val="18"/>
                <w:szCs w:val="18"/>
              </w:rPr>
              <w:t>是公众投资者和中小投资者）、独立董事和外部监事的意见，制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定年度或中期分红方案，并经公司股东大会表决通过后实施。</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7841"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27.3pt;height:392.1pt;mso-position-horizontal-relative:char;mso-position-vertical-relative:line" coordorigin="0,0" coordsize="546,7842">
                  <v:group style="position:absolute;left:0;top:0;width:546;height:7842" coordorigin="0,0" coordsize="546,7842">
                    <v:shape style="position:absolute;left:0;top:0;width:546;height:7842" coordorigin="0,0" coordsize="546,7842" path="m0,7842l546,7842,546,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JAYTSAICHIENCHOU;</w:t>
            </w:r>
          </w:p>
          <w:p>
            <w:pPr>
              <w:pStyle w:val="TableParagraph"/>
              <w:spacing w:line="304" w:lineRule="auto" w:before="65"/>
              <w:ind w:left="22" w:right="47"/>
              <w:jc w:val="both"/>
              <w:rPr>
                <w:rFonts w:ascii="宋体" w:hAnsi="宋体" w:cs="宋体" w:eastAsia="宋体" w:hint="default"/>
                <w:sz w:val="18"/>
                <w:szCs w:val="18"/>
              </w:rPr>
            </w:pP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杭州正元企 业管理咨询有限公司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陆卫明</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 江正元智慧科技股份有 限公司</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both"/>
              <w:rPr>
                <w:rFonts w:ascii="Times New Roman" w:hAnsi="Times New Roman" w:cs="Times New Roman" w:eastAsia="Times New Roman" w:hint="default"/>
                <w:sz w:val="18"/>
                <w:szCs w:val="18"/>
              </w:rPr>
            </w:pPr>
            <w:r>
              <w:rPr>
                <w:rFonts w:ascii="Times New Roman"/>
                <w:sz w:val="18"/>
              </w:rPr>
              <w:t>IPO</w:t>
            </w:r>
          </w:p>
          <w:p>
            <w:pPr>
              <w:pStyle w:val="TableParagraph"/>
              <w:spacing w:line="319" w:lineRule="auto" w:before="65"/>
              <w:ind w:left="22" w:right="26"/>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495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（一）启动股价稳定措施的具体条件公司上市后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年内，若股</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票收盘价连续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个交易日低于最近一期经审计的每股净资产</w:t>
            </w:r>
          </w:p>
          <w:p>
            <w:pPr>
              <w:pStyle w:val="TableParagraph"/>
              <w:spacing w:line="309" w:lineRule="auto" w:before="63"/>
              <w:ind w:left="22" w:right="-30"/>
              <w:jc w:val="left"/>
              <w:rPr>
                <w:rFonts w:ascii="宋体" w:hAnsi="宋体" w:cs="宋体" w:eastAsia="宋体" w:hint="default"/>
                <w:sz w:val="18"/>
                <w:szCs w:val="18"/>
              </w:rPr>
            </w:pPr>
            <w:r>
              <w:rPr>
                <w:rFonts w:ascii="宋体" w:hAnsi="宋体" w:cs="宋体" w:eastAsia="宋体" w:hint="default"/>
                <w:sz w:val="18"/>
                <w:szCs w:val="18"/>
              </w:rPr>
              <w:t>（若因除权除息事项导致股票收盘价与公司最近一期经审计每 </w:t>
            </w:r>
            <w:r>
              <w:rPr>
                <w:rFonts w:ascii="宋体" w:hAnsi="宋体" w:cs="宋体" w:eastAsia="宋体" w:hint="default"/>
                <w:spacing w:val="-6"/>
                <w:sz w:val="18"/>
                <w:szCs w:val="18"/>
              </w:rPr>
              <w:t>股净资产不具有可比性时，上述每股净资产作相应调整），且同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时满足相关回购、增持公司股份等行为的法律、法规和规范性 文件的规定，则触发公司、控股股东、董事（不含独立董事） </w:t>
            </w:r>
            <w:r>
              <w:rPr>
                <w:rFonts w:ascii="宋体" w:hAnsi="宋体" w:cs="宋体" w:eastAsia="宋体" w:hint="default"/>
                <w:spacing w:val="-2"/>
                <w:sz w:val="18"/>
                <w:szCs w:val="18"/>
              </w:rPr>
              <w:t>及高级管理人员履行稳定公司股价措施（以下简称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触发稳定股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w w:val="100"/>
                <w:sz w:val="18"/>
                <w:szCs w:val="18"/>
              </w:rPr>
              <w:t>价措施</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）。（二）稳定公司股价的具体措施根据股价稳定预案，</w:t>
            </w:r>
            <w:r>
              <w:rPr>
                <w:rFonts w:ascii="宋体" w:hAnsi="宋体" w:cs="宋体" w:eastAsia="宋体" w:hint="default"/>
                <w:spacing w:val="-68"/>
                <w:w w:val="100"/>
                <w:sz w:val="18"/>
                <w:szCs w:val="18"/>
              </w:rPr>
              <w:t> </w:t>
            </w:r>
            <w:r>
              <w:rPr>
                <w:rFonts w:ascii="宋体" w:hAnsi="宋体" w:cs="宋体" w:eastAsia="宋体" w:hint="default"/>
                <w:spacing w:val="-68"/>
                <w:w w:val="100"/>
                <w:sz w:val="18"/>
                <w:szCs w:val="18"/>
              </w:rPr>
            </w:r>
            <w:r>
              <w:rPr>
                <w:rFonts w:ascii="宋体" w:hAnsi="宋体" w:cs="宋体" w:eastAsia="宋体" w:hint="default"/>
                <w:sz w:val="18"/>
                <w:szCs w:val="18"/>
              </w:rPr>
              <w:t>在不导致公司不满足法定上市条件，不导致公司控股股东或实 际控制人履行要约收购义务的情况下，股价稳定措施采取如下 顺序与方式：</w:t>
            </w:r>
            <w:r>
              <w:rPr>
                <w:rFonts w:ascii="Times New Roman" w:hAnsi="Times New Roman" w:cs="Times New Roman" w:eastAsia="Times New Roman" w:hint="default"/>
                <w:sz w:val="18"/>
                <w:szCs w:val="18"/>
              </w:rPr>
              <w:t>1</w:t>
            </w:r>
            <w:r>
              <w:rPr>
                <w:rFonts w:ascii="宋体" w:hAnsi="宋体" w:cs="宋体" w:eastAsia="宋体" w:hint="default"/>
                <w:sz w:val="18"/>
                <w:szCs w:val="18"/>
              </w:rPr>
              <w:t>、在触发稳定股价措施后，公司控股股东将在 </w:t>
            </w:r>
            <w:r>
              <w:rPr>
                <w:rFonts w:ascii="Times New Roman" w:hAnsi="Times New Roman" w:cs="Times New Roman" w:eastAsia="Times New Roman" w:hint="default"/>
                <w:sz w:val="18"/>
                <w:szCs w:val="18"/>
              </w:rPr>
              <w:t>10 </w:t>
            </w:r>
            <w:r>
              <w:rPr>
                <w:rFonts w:ascii="宋体" w:hAnsi="宋体" w:cs="宋体" w:eastAsia="宋体" w:hint="default"/>
                <w:spacing w:val="-4"/>
                <w:w w:val="100"/>
                <w:sz w:val="18"/>
                <w:szCs w:val="18"/>
              </w:rPr>
              <w:t>个交易日内向公司送达增持公司股票书面通知（以下简称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增</w:t>
            </w:r>
            <w:r>
              <w:rPr>
                <w:rFonts w:ascii="宋体" w:hAnsi="宋体" w:cs="宋体" w:eastAsia="宋体" w:hint="default"/>
                <w:spacing w:val="-75"/>
                <w:w w:val="100"/>
                <w:sz w:val="18"/>
                <w:szCs w:val="18"/>
              </w:rPr>
              <w:t> </w:t>
            </w:r>
            <w:r>
              <w:rPr>
                <w:rFonts w:ascii="宋体" w:hAnsi="宋体" w:cs="宋体" w:eastAsia="宋体" w:hint="default"/>
                <w:spacing w:val="-4"/>
                <w:w w:val="100"/>
                <w:sz w:val="18"/>
                <w:szCs w:val="18"/>
              </w:rPr>
              <w:t>持通知书</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），增持通知书应包括增持股份数量、增持价格、增</w:t>
            </w:r>
            <w:r>
              <w:rPr>
                <w:rFonts w:ascii="宋体" w:hAnsi="宋体" w:cs="宋体" w:eastAsia="宋体" w:hint="default"/>
                <w:spacing w:val="-69"/>
                <w:w w:val="100"/>
                <w:sz w:val="18"/>
                <w:szCs w:val="18"/>
              </w:rPr>
              <w:t> </w:t>
            </w:r>
            <w:r>
              <w:rPr>
                <w:rFonts w:ascii="宋体" w:hAnsi="宋体" w:cs="宋体" w:eastAsia="宋体" w:hint="default"/>
                <w:spacing w:val="-69"/>
                <w:w w:val="100"/>
                <w:sz w:val="18"/>
                <w:szCs w:val="18"/>
              </w:rPr>
            </w:r>
            <w:r>
              <w:rPr>
                <w:rFonts w:ascii="宋体" w:hAnsi="宋体" w:cs="宋体" w:eastAsia="宋体" w:hint="default"/>
                <w:sz w:val="18"/>
                <w:szCs w:val="18"/>
              </w:rPr>
              <w:t>持期限、增持目标及其他有关增持的内容。公司控股股东将在 触发增持股票措施之日起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个月内，按照持股比例增持公司股</w:t>
            </w:r>
          </w:p>
          <w:p>
            <w:pPr>
              <w:pStyle w:val="TableParagraph"/>
              <w:spacing w:line="300" w:lineRule="auto" w:before="5"/>
              <w:ind w:left="22" w:right="14"/>
              <w:jc w:val="left"/>
              <w:rPr>
                <w:rFonts w:ascii="宋体" w:hAnsi="宋体" w:cs="宋体" w:eastAsia="宋体" w:hint="default"/>
                <w:sz w:val="18"/>
                <w:szCs w:val="18"/>
              </w:rPr>
            </w:pPr>
            <w:r>
              <w:rPr>
                <w:rFonts w:ascii="宋体" w:hAnsi="宋体" w:cs="宋体" w:eastAsia="宋体" w:hint="default"/>
                <w:sz w:val="18"/>
                <w:szCs w:val="18"/>
              </w:rPr>
              <w:t>票，合计增持总金额不低于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万元人民币，增持股票的数 量不超过增持前公司股份总数的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。在实施增持股票期间，公</w:t>
            </w:r>
            <w:r>
              <w:rPr>
                <w:rFonts w:ascii="宋体" w:hAnsi="宋体" w:cs="宋体" w:eastAsia="宋体" w:hint="default"/>
                <w:sz w:val="18"/>
                <w:szCs w:val="18"/>
              </w:rPr>
              <w:t> 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个交易日的收盘价均已高于公司最近一年经审 计的每股净资产，或者继续增持股票将导致公司不满足法定上</w:t>
            </w:r>
          </w:p>
        </w:tc>
        <w:tc>
          <w:tcPr>
            <w:tcW w:w="55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7"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300" w:lineRule="auto" w:before="63"/>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至</w:t>
            </w:r>
          </w:p>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97"/>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5.940002pt;margin-top:72.47998pt;width:141.5pt;height:563.7pt;mso-position-horizontal-relative:page;mso-position-vertical-relative:page;z-index:-949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358" w:right="0" w:hanging="359"/>
                    <w:jc w:val="left"/>
                    <w:rPr>
                      <w:rFonts w:ascii="宋体" w:hAnsi="宋体" w:cs="宋体" w:eastAsia="宋体" w:hint="default"/>
                      <w:sz w:val="18"/>
                      <w:szCs w:val="18"/>
                    </w:rPr>
                  </w:pPr>
                  <w:r>
                    <w:rPr>
                      <w:rFonts w:ascii="宋体" w:hAnsi="宋体" w:cs="宋体" w:eastAsia="宋体" w:hint="default"/>
                      <w:sz w:val="18"/>
                      <w:szCs w:val="18"/>
                    </w:rPr>
                    <w:t>东将中止实施增持股票措施。</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130" w:firstLine="0"/>
                    <w:jc w:val="center"/>
                    <w:rPr>
                      <w:rFonts w:ascii="宋体" w:hAnsi="宋体" w:cs="宋体" w:eastAsia="宋体" w:hint="default"/>
                      <w:sz w:val="18"/>
                      <w:szCs w:val="18"/>
                    </w:rPr>
                  </w:pPr>
                  <w:r>
                    <w:rPr>
                      <w:rFonts w:ascii="宋体" w:hAnsi="宋体" w:cs="宋体" w:eastAsia="宋体" w:hint="default"/>
                      <w:sz w:val="18"/>
                      <w:szCs w:val="18"/>
                    </w:rPr>
                    <w:t>在触发稳定股价措施后，</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179" w:right="0" w:firstLine="1981"/>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spacing w:before="0"/>
                    <w:ind w:left="0" w:right="308" w:firstLine="0"/>
                    <w:jc w:val="center"/>
                    <w:rPr>
                      <w:rFonts w:ascii="宋体" w:hAnsi="宋体" w:cs="宋体" w:eastAsia="宋体" w:hint="default"/>
                      <w:sz w:val="18"/>
                      <w:szCs w:val="18"/>
                    </w:rPr>
                  </w:pPr>
                  <w:r>
                    <w:rPr>
                      <w:rFonts w:ascii="宋体" w:hAnsi="宋体" w:cs="宋体" w:eastAsia="宋体" w:hint="default"/>
                      <w:sz w:val="18"/>
                      <w:szCs w:val="18"/>
                    </w:rPr>
                    <w:t>备案及通知债权人等义务。</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2"/>
      </w:tblGrid>
      <w:tr>
        <w:trPr>
          <w:trHeight w:val="11283"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市条件时，或者继续增持股票将导致公司控股股东或实际控制 </w:t>
            </w:r>
            <w:r>
              <w:rPr>
                <w:rFonts w:ascii="宋体" w:hAnsi="宋体" w:cs="宋体" w:eastAsia="宋体" w:hint="default"/>
                <w:spacing w:val="-4"/>
                <w:sz w:val="18"/>
                <w:szCs w:val="18"/>
              </w:rPr>
              <w:t>人履行要约收购义务，公司控股股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在触发增持股票义务后，若控股股东未向公司送达增持通知书 或虽送达增持通知书但未按披露的增持计划实施，则公司有权 将该年度及以后年度应付控股股东的现金分红款项收归公司所 </w:t>
            </w:r>
            <w:r>
              <w:rPr>
                <w:rFonts w:ascii="宋体" w:hAnsi="宋体" w:cs="宋体" w:eastAsia="宋体" w:hint="default"/>
                <w:spacing w:val="-4"/>
                <w:sz w:val="18"/>
                <w:szCs w:val="18"/>
              </w:rPr>
              <w:t>有，直至累计金额达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万元止。</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公司控股股东无法实施增持股票措施，或者增持股票措施实施 完毕后公司股票连续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个交易日的收盘价仍低于公司最近一 </w:t>
            </w:r>
            <w:r>
              <w:rPr>
                <w:rFonts w:ascii="宋体" w:hAnsi="宋体" w:cs="宋体" w:eastAsia="宋体" w:hint="default"/>
                <w:spacing w:val="-6"/>
                <w:sz w:val="18"/>
                <w:szCs w:val="18"/>
              </w:rPr>
              <w:t>年经审计的每股净资产后，公司董事（不含独立董事）、高级管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6"/>
                <w:sz w:val="18"/>
                <w:szCs w:val="18"/>
              </w:rPr>
              <w:t>理人员将实施增持公司股票的程序。公司董事（不含独立董事）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高级管理人员将在触发增持股票措施之日起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个月内履行增持 义务，个人增持的总金额不低于上一年度自公司取得税后工资 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。在实施增持股票期间，公司股票连续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 的收盘价均已高于公司最近一年经审计的每股净资产，或者继 续增持股票将导致公司不满足法定上市条件时，或者继续增持 股票将导致公司控股股东或实际控制人履行要约收购义务，公 </w:t>
            </w:r>
            <w:r>
              <w:rPr>
                <w:rFonts w:ascii="宋体" w:hAnsi="宋体" w:cs="宋体" w:eastAsia="宋体" w:hint="default"/>
                <w:spacing w:val="-6"/>
                <w:sz w:val="18"/>
                <w:szCs w:val="18"/>
              </w:rPr>
              <w:t>司董事（不含独立董事）、高级管理人员将中止实施增持股票措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、在触发稳定股价措施后，公司控股股东、董事（不含独</w:t>
            </w:r>
            <w:r>
              <w:rPr>
                <w:rFonts w:ascii="宋体" w:hAnsi="宋体" w:cs="宋体" w:eastAsia="宋体" w:hint="default"/>
                <w:sz w:val="18"/>
                <w:szCs w:val="18"/>
              </w:rPr>
              <w:t> </w:t>
            </w:r>
            <w:r>
              <w:rPr>
                <w:rFonts w:ascii="宋体" w:hAnsi="宋体" w:cs="宋体" w:eastAsia="宋体" w:hint="default"/>
                <w:spacing w:val="-6"/>
                <w:sz w:val="18"/>
                <w:szCs w:val="18"/>
              </w:rPr>
              <w:t>立董事）、高级管理人员无法实施增持股票措施，或者增持股票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措施实施完毕后公司股票连续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个交易日的收盘价仍低于公</w:t>
            </w:r>
          </w:p>
          <w:p>
            <w:pPr>
              <w:pStyle w:val="TableParagraph"/>
              <w:spacing w:line="314" w:lineRule="auto" w:before="1"/>
              <w:ind w:left="22" w:right="21"/>
              <w:jc w:val="left"/>
              <w:rPr>
                <w:rFonts w:ascii="宋体" w:hAnsi="宋体" w:cs="宋体" w:eastAsia="宋体" w:hint="default"/>
                <w:sz w:val="18"/>
                <w:szCs w:val="18"/>
              </w:rPr>
            </w:pPr>
            <w:r>
              <w:rPr>
                <w:rFonts w:ascii="宋体" w:hAnsi="宋体" w:cs="宋体" w:eastAsia="宋体" w:hint="default"/>
                <w:spacing w:val="-3"/>
                <w:sz w:val="18"/>
                <w:szCs w:val="18"/>
              </w:rPr>
              <w:t>司最近一年经审计的每股净资产后，公司将在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个交易日内召 开董事会，依法作出实施回购股票的决议，并提交股东大会批 准并履行相应公告程序。公司股东大会批准实施回购股票的议 案后，公司将依法履行相应的公告、 公司将在股东大会决议作出之日起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个月内回购股票，回购总</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金额不低于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万元人民币，回购股票的数量不超过回购前</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。在实施回购股票期间，公司股票连续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个交易日的收盘价均已高于公司最近一年经审计的每股净资 产，或者继续回购股票将导致公司不满足法定上市条件时，公 </w:t>
            </w:r>
            <w:r>
              <w:rPr>
                <w:rFonts w:ascii="宋体" w:hAnsi="宋体" w:cs="宋体" w:eastAsia="宋体" w:hint="default"/>
                <w:spacing w:val="-6"/>
                <w:sz w:val="18"/>
                <w:szCs w:val="18"/>
              </w:rPr>
              <w:t>司将中止实施回购股票措施。（三）稳定股价预案的修订权限任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何对稳定股价预案的修订均应经公司股东大会审议通过，且需 经出席股东大会的股东所持有表决权的三分之二以上同意通 </w:t>
            </w:r>
            <w:r>
              <w:rPr>
                <w:rFonts w:ascii="宋体" w:hAnsi="宋体" w:cs="宋体" w:eastAsia="宋体" w:hint="default"/>
                <w:spacing w:val="-6"/>
                <w:sz w:val="18"/>
                <w:szCs w:val="18"/>
              </w:rPr>
              <w:t>过。（四）稳定股价预案的执行公司、公司控股股东、公司董事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及高级管理人员在履行上述回购或增持义务时，应按照公司章 程、上市公司回购股份等相关监管规则履行相应的信息披露义 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11273"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4"/>
                <w:sz w:val="20"/>
                <w:szCs w:val="20"/>
              </w:rPr>
              <w:pict>
                <v:group style="width:27.3pt;height:563.7pt;mso-position-horizontal-relative:char;mso-position-vertical-relative:line" coordorigin="0,0" coordsize="546,11274">
                  <v:group style="position:absolute;left:0;top:0;width:546;height:11274" coordorigin="0,0" coordsize="546,11274">
                    <v:shape style="position:absolute;left:0;top:0;width:546;height:11274" coordorigin="0,0" coordsize="546,11274" path="m0,11274l546,11274,546,0,0,0,0,11274xe" filled="true" fillcolor="#ffffff" stroked="false">
                      <v:path arrowok="t"/>
                      <v:fill type="solid"/>
                    </v:shape>
                  </v:group>
                </v:group>
              </w:pict>
            </w:r>
            <w:r>
              <w:rPr>
                <w:rFonts w:ascii="Times New Roman" w:hAnsi="Times New Roman" w:cs="Times New Roman" w:eastAsia="Times New Roman" w:hint="default"/>
                <w:position w:val="-224"/>
                <w:sz w:val="20"/>
                <w:szCs w:val="20"/>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JAYTSAICHIENCHOU;</w:t>
            </w:r>
          </w:p>
          <w:p>
            <w:pPr>
              <w:pStyle w:val="TableParagraph"/>
              <w:spacing w:line="300" w:lineRule="auto" w:before="64"/>
              <w:ind w:left="22" w:right="77"/>
              <w:jc w:val="left"/>
              <w:rPr>
                <w:rFonts w:ascii="宋体" w:hAnsi="宋体" w:cs="宋体" w:eastAsia="宋体" w:hint="default"/>
                <w:sz w:val="18"/>
                <w:szCs w:val="18"/>
              </w:rPr>
            </w:pPr>
            <w:r>
              <w:rPr>
                <w:rFonts w:ascii="宋体" w:hAnsi="宋体" w:cs="宋体" w:eastAsia="宋体" w:hint="default"/>
                <w:sz w:val="18"/>
                <w:szCs w:val="18"/>
              </w:rPr>
              <w:t>陈根清</w:t>
            </w:r>
            <w:r>
              <w:rPr>
                <w:rFonts w:ascii="Times New Roman" w:hAnsi="Times New Roman" w:cs="Times New Roman" w:eastAsia="Times New Roman" w:hint="default"/>
                <w:sz w:val="18"/>
                <w:szCs w:val="18"/>
              </w:rPr>
              <w:t>;</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范熊 熊</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杭州正元企业管理 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 </w:t>
            </w:r>
            <w:r>
              <w:rPr>
                <w:rFonts w:ascii="宋体" w:hAnsi="宋体" w:cs="宋体" w:eastAsia="宋体" w:hint="default"/>
                <w:sz w:val="18"/>
                <w:szCs w:val="18"/>
              </w:rPr>
              <w:t>季建华</w:t>
            </w:r>
            <w:r>
              <w:rPr>
                <w:rFonts w:ascii="Times New Roman" w:hAnsi="Times New Roman" w:cs="Times New Roman" w:eastAsia="Times New Roman" w:hint="default"/>
                <w:sz w:val="18"/>
                <w:szCs w:val="18"/>
              </w:rPr>
              <w:t>;</w:t>
            </w:r>
            <w:r>
              <w:rPr>
                <w:rFonts w:ascii="宋体" w:hAnsi="宋体" w:cs="宋体" w:eastAsia="宋体" w:hint="default"/>
                <w:sz w:val="18"/>
                <w:szCs w:val="18"/>
              </w:rPr>
              <w:t>陆卫明</w:t>
            </w:r>
            <w:r>
              <w:rPr>
                <w:rFonts w:ascii="Times New Roman" w:hAnsi="Times New Roman" w:cs="Times New Roman" w:eastAsia="Times New Roman" w:hint="default"/>
                <w:sz w:val="18"/>
                <w:szCs w:val="18"/>
              </w:rPr>
              <w:t>;</w:t>
            </w:r>
            <w:r>
              <w:rPr>
                <w:rFonts w:ascii="宋体" w:hAnsi="宋体" w:cs="宋体" w:eastAsia="宋体" w:hint="default"/>
                <w:sz w:val="18"/>
                <w:szCs w:val="18"/>
              </w:rPr>
              <w:t>吕晓平</w:t>
            </w:r>
            <w:r>
              <w:rPr>
                <w:rFonts w:ascii="Times New Roman" w:hAnsi="Times New Roman" w:cs="Times New Roman" w:eastAsia="Times New Roman" w:hint="default"/>
                <w:sz w:val="18"/>
                <w:szCs w:val="18"/>
              </w:rPr>
              <w:t>; </w:t>
            </w:r>
            <w:r>
              <w:rPr>
                <w:rFonts w:ascii="宋体" w:hAnsi="宋体" w:cs="宋体" w:eastAsia="宋体" w:hint="default"/>
                <w:sz w:val="18"/>
                <w:szCs w:val="18"/>
              </w:rPr>
              <w:t>潘利华</w:t>
            </w:r>
            <w:r>
              <w:rPr>
                <w:rFonts w:ascii="Times New Roman" w:hAnsi="Times New Roman" w:cs="Times New Roman" w:eastAsia="Times New Roman" w:hint="default"/>
                <w:sz w:val="18"/>
                <w:szCs w:val="18"/>
              </w:rPr>
              <w:t>;</w:t>
            </w:r>
            <w:r>
              <w:rPr>
                <w:rFonts w:ascii="宋体" w:hAnsi="宋体" w:cs="宋体" w:eastAsia="宋体" w:hint="default"/>
                <w:sz w:val="18"/>
                <w:szCs w:val="18"/>
              </w:rPr>
              <w:t>施东圣</w:t>
            </w:r>
            <w:r>
              <w:rPr>
                <w:rFonts w:ascii="Times New Roman" w:hAnsi="Times New Roman" w:cs="Times New Roman" w:eastAsia="Times New Roman" w:hint="default"/>
                <w:sz w:val="18"/>
                <w:szCs w:val="18"/>
              </w:rPr>
              <w:t>;</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 </w:t>
            </w:r>
            <w:r>
              <w:rPr>
                <w:rFonts w:ascii="宋体" w:hAnsi="宋体" w:cs="宋体" w:eastAsia="宋体" w:hint="default"/>
                <w:sz w:val="18"/>
                <w:szCs w:val="18"/>
              </w:rPr>
              <w:t>杨增荣</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浙江正元 智慧科技股份有限公</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
              <w:jc w:val="both"/>
              <w:rPr>
                <w:rFonts w:ascii="宋体" w:hAnsi="宋体" w:cs="宋体" w:eastAsia="宋体" w:hint="default"/>
                <w:sz w:val="18"/>
                <w:szCs w:val="18"/>
              </w:rPr>
            </w:pPr>
            <w:r>
              <w:rPr>
                <w:rFonts w:ascii="宋体" w:hAnsi="宋体" w:cs="宋体" w:eastAsia="宋体" w:hint="default"/>
                <w:sz w:val="18"/>
                <w:szCs w:val="18"/>
              </w:rPr>
              <w:t>关于招股说明书有虚假记载、误导性陈述或者重大遗漏方面的 </w:t>
            </w:r>
            <w:r>
              <w:rPr>
                <w:rFonts w:ascii="宋体" w:hAnsi="宋体" w:cs="宋体" w:eastAsia="宋体" w:hint="default"/>
                <w:spacing w:val="-3"/>
                <w:sz w:val="18"/>
                <w:szCs w:val="18"/>
              </w:rPr>
              <w:t>承诺：公司、控股股东杭州正元、实际控制人陈坚承诺：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w:t>
            </w:r>
            <w:r>
              <w:rPr>
                <w:rFonts w:ascii="宋体" w:hAnsi="宋体" w:cs="宋体" w:eastAsia="宋体" w:hint="default"/>
                <w:spacing w:val="-7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本人承诺本次发行并上市的招股说明书不存在虚假记载、 误导性陈述或重大遗漏，并对其真实性、准确性和完整性承担 </w:t>
            </w:r>
            <w:r>
              <w:rPr>
                <w:rFonts w:ascii="宋体" w:hAnsi="宋体" w:cs="宋体" w:eastAsia="宋体" w:hint="default"/>
                <w:spacing w:val="-2"/>
                <w:sz w:val="18"/>
                <w:szCs w:val="18"/>
              </w:rPr>
              <w:t>相应的法律责任。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、若在发行人投资者缴纳股票申购款后且股</w:t>
            </w:r>
            <w:r>
              <w:rPr>
                <w:rFonts w:ascii="宋体" w:hAnsi="宋体" w:cs="宋体" w:eastAsia="宋体" w:hint="default"/>
                <w:sz w:val="18"/>
                <w:szCs w:val="18"/>
              </w:rPr>
              <w:t> 票尚未上市交易前，因发行人本次发行并上市的招股说明书有 虚假记载、误导性陈述或者重大遗漏，对判断发行人是否符合 法律规定的发行条件构成重大、实质影响的，对于已发行的新</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2"/>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97"/>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09.937012pt;margin-top:72.47998pt;width:177.55pt;height:579.3pt;mso-position-horizontal-relative:page;mso-position-vertical-relative:page;z-index:-949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spacing w:before="0"/>
                    <w:ind w:left="0" w:right="0" w:firstLine="2519"/>
                    <w:jc w:val="left"/>
                    <w:rPr>
                      <w:rFonts w:ascii="宋体" w:hAnsi="宋体" w:cs="宋体" w:eastAsia="宋体" w:hint="default"/>
                      <w:sz w:val="18"/>
                      <w:szCs w:val="18"/>
                    </w:rPr>
                  </w:pPr>
                  <w:r>
                    <w:rPr>
                      <w:rFonts w:ascii="宋体" w:hAnsi="宋体" w:cs="宋体" w:eastAsia="宋体" w:hint="default"/>
                      <w:sz w:val="18"/>
                      <w:szCs w:val="18"/>
                    </w:rPr>
                    <w:t>此外，</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致使投资者在证券交易中遭受损失的，</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234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2"/>
      </w:tblGrid>
      <w:tr>
        <w:trPr>
          <w:trHeight w:val="11595"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周军辉</w:t>
            </w:r>
            <w:r>
              <w:rPr>
                <w:rFonts w:ascii="Times New Roman" w:hAnsi="Times New Roman" w:cs="Times New Roman" w:eastAsia="Times New Roman" w:hint="default"/>
                <w:sz w:val="18"/>
                <w:szCs w:val="18"/>
              </w:rPr>
              <w:t>;</w:t>
            </w:r>
            <w:r>
              <w:rPr>
                <w:rFonts w:ascii="宋体" w:hAnsi="宋体" w:cs="宋体" w:eastAsia="宋体" w:hint="default"/>
                <w:sz w:val="18"/>
                <w:szCs w:val="18"/>
              </w:rPr>
              <w:t>朱加宁</w:t>
            </w:r>
            <w:r>
              <w:rPr>
                <w:rFonts w:ascii="Times New Roman" w:hAnsi="Times New Roman" w:cs="Times New Roman" w:eastAsia="Times New Roman" w:hint="default"/>
                <w:sz w:val="18"/>
                <w:szCs w:val="18"/>
              </w:rPr>
              <w:t>;</w:t>
            </w:r>
            <w:r>
              <w:rPr>
                <w:rFonts w:ascii="宋体" w:hAnsi="宋体" w:cs="宋体" w:eastAsia="宋体" w:hint="default"/>
                <w:sz w:val="18"/>
                <w:szCs w:val="18"/>
              </w:rPr>
              <w:t>朱军</w:t>
            </w: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股和已转让的原限售股份但尚未上市交易的，本公司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本人将按</w:t>
            </w:r>
            <w:r>
              <w:rPr>
                <w:rFonts w:ascii="宋体" w:hAnsi="宋体" w:cs="宋体" w:eastAsia="宋体" w:hint="default"/>
                <w:spacing w:val="-78"/>
                <w:sz w:val="18"/>
                <w:szCs w:val="18"/>
              </w:rPr>
              <w:t> </w:t>
            </w:r>
            <w:r>
              <w:rPr>
                <w:rFonts w:ascii="宋体" w:hAnsi="宋体" w:cs="宋体" w:eastAsia="宋体" w:hint="default"/>
                <w:sz w:val="18"/>
                <w:szCs w:val="18"/>
              </w:rPr>
              <w:t>照投资者所缴纳股票申购款加该期间内银行同期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年期存款利 </w:t>
            </w:r>
            <w:r>
              <w:rPr>
                <w:rFonts w:ascii="宋体" w:hAnsi="宋体" w:cs="宋体" w:eastAsia="宋体" w:hint="default"/>
                <w:spacing w:val="-2"/>
                <w:sz w:val="18"/>
                <w:szCs w:val="18"/>
              </w:rPr>
              <w:t>息，对已缴纳股票申购款的投资者进行退款。</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、若在发行人首</w:t>
            </w:r>
            <w:r>
              <w:rPr>
                <w:rFonts w:ascii="宋体" w:hAnsi="宋体" w:cs="宋体" w:eastAsia="宋体" w:hint="default"/>
                <w:sz w:val="18"/>
                <w:szCs w:val="18"/>
              </w:rPr>
              <w:t> 次公开发行的股票上市交易后，因发行人本次发行并上市招股 说明书有虚假记载、误导性陈述或者重大遗漏，导致对判断发 行人是否符合法律规定的发行条件构成重大、实质影响的，本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本人将依法购回已发行的新股和已转让的原限售股份，购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回价格不低于回购公告前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个交易日，则 以回购公告前实际交易日为准）该种股票每日加权平均价的算 术平均值，并根据相关法律法规规定的程序实施。上述购回实 </w:t>
            </w:r>
            <w:r>
              <w:rPr>
                <w:rFonts w:ascii="宋体" w:hAnsi="宋体" w:cs="宋体" w:eastAsia="宋体" w:hint="default"/>
                <w:spacing w:val="-1"/>
                <w:sz w:val="18"/>
                <w:szCs w:val="18"/>
              </w:rPr>
              <w:t>施时法律法规另有规定的从其规定。本公司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本人将及时向发行</w:t>
            </w:r>
            <w:r>
              <w:rPr>
                <w:rFonts w:ascii="宋体" w:hAnsi="宋体" w:cs="宋体" w:eastAsia="宋体" w:hint="default"/>
                <w:spacing w:val="-78"/>
                <w:sz w:val="18"/>
                <w:szCs w:val="18"/>
              </w:rPr>
              <w:t> </w:t>
            </w:r>
            <w:r>
              <w:rPr>
                <w:rFonts w:ascii="宋体" w:hAnsi="宋体" w:cs="宋体" w:eastAsia="宋体" w:hint="default"/>
                <w:spacing w:val="-3"/>
                <w:sz w:val="18"/>
                <w:szCs w:val="18"/>
              </w:rPr>
              <w:t>人提出预案，并提交董事会、股东大会讨论。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、若因招股说明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书所载之内容存在虚假记载、误导性陈述或者重大遗漏，致使 </w:t>
            </w:r>
            <w:r>
              <w:rPr>
                <w:rFonts w:ascii="宋体" w:hAnsi="宋体" w:cs="宋体" w:eastAsia="宋体" w:hint="default"/>
                <w:spacing w:val="-1"/>
                <w:sz w:val="18"/>
                <w:szCs w:val="18"/>
              </w:rPr>
              <w:t>投资者在证券交易中遭受损失的，本公司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本人将依法赔偿投资</w:t>
            </w:r>
            <w:r>
              <w:rPr>
                <w:rFonts w:ascii="宋体" w:hAnsi="宋体" w:cs="宋体" w:eastAsia="宋体" w:hint="default"/>
                <w:spacing w:val="-78"/>
                <w:sz w:val="18"/>
                <w:szCs w:val="18"/>
              </w:rPr>
              <w:t> </w:t>
            </w:r>
            <w:r>
              <w:rPr>
                <w:rFonts w:ascii="宋体" w:hAnsi="宋体" w:cs="宋体" w:eastAsia="宋体" w:hint="default"/>
                <w:sz w:val="18"/>
                <w:szCs w:val="18"/>
              </w:rPr>
              <w:t>者损失。在该等违法事实被中国证监会、证券交易所或司法机 </w:t>
            </w:r>
            <w:r>
              <w:rPr>
                <w:rFonts w:ascii="宋体" w:hAnsi="宋体" w:cs="宋体" w:eastAsia="宋体" w:hint="default"/>
                <w:spacing w:val="-1"/>
                <w:sz w:val="18"/>
                <w:szCs w:val="18"/>
              </w:rPr>
              <w:t>关认定后，本单位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本人将本着主动沟通、尽快赔偿、切实保障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投资者特别是中小投资者利益的原则，按照投资者直接遭受的 可测算的经济损失选择与投资者沟通赔偿，通过设立投资者赔 偿基金等方式积极赔偿投资者由此遭受的直接经济损失。 </w:t>
            </w:r>
            <w:r>
              <w:rPr>
                <w:rFonts w:ascii="宋体" w:hAnsi="宋体" w:cs="宋体" w:eastAsia="宋体" w:hint="default"/>
                <w:spacing w:val="-1"/>
                <w:sz w:val="18"/>
                <w:szCs w:val="18"/>
              </w:rPr>
              <w:t>控股股东杭州正元、实际控制人陈坚承诺：本企业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本人以公司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当年及以后年度利润分配方案中应享有的分红作为履约担保， 且若本企业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本人未履行上述购回或赔偿义务，则在履行承诺 </w:t>
            </w:r>
            <w:r>
              <w:rPr>
                <w:rFonts w:ascii="宋体" w:hAnsi="宋体" w:cs="宋体" w:eastAsia="宋体" w:hint="default"/>
                <w:spacing w:val="-1"/>
                <w:sz w:val="18"/>
                <w:szCs w:val="18"/>
              </w:rPr>
              <w:t>前，本企业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本人直接或间接所持的公司股份不得转让。公司全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体董事、监事和高级管理人员承诺：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、本人承诺发行人本次发</w:t>
            </w:r>
            <w:r>
              <w:rPr>
                <w:rFonts w:ascii="宋体" w:hAnsi="宋体" w:cs="宋体" w:eastAsia="宋体" w:hint="default"/>
                <w:sz w:val="18"/>
                <w:szCs w:val="18"/>
              </w:rPr>
              <w:t> 行并上市的招股说明书不存在虚假记载、误导性陈述或重大遗 漏，并对其真实性、准确性和完整性承担个别和连带的法律责 </w:t>
            </w:r>
            <w:r>
              <w:rPr>
                <w:rFonts w:ascii="宋体" w:hAnsi="宋体" w:cs="宋体" w:eastAsia="宋体" w:hint="default"/>
                <w:spacing w:val="-2"/>
                <w:sz w:val="18"/>
                <w:szCs w:val="18"/>
              </w:rPr>
              <w:t>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、若因发行人本次发行并上市招股说明书有虚假记载、误</w:t>
            </w:r>
            <w:r>
              <w:rPr>
                <w:rFonts w:ascii="宋体" w:hAnsi="宋体" w:cs="宋体" w:eastAsia="宋体" w:hint="default"/>
                <w:sz w:val="18"/>
                <w:szCs w:val="18"/>
              </w:rPr>
              <w:t> 导性陈述或者重大遗漏， 本人将依法赔偿投资者损失。在该等违法事实被中国证监会、 证券交易所或司法机关认定后，本人将本着主动沟通、尽快赔 偿、切实保障投资者特别是中小投资者利益的原则，按照投资 者直接遭受的可测算的经济损失选择与投资者沟通赔偿，通过 设立投资者赔偿基金等方式积极赔偿投资者由此遭受的直接经 </w:t>
            </w:r>
            <w:r>
              <w:rPr>
                <w:rFonts w:ascii="宋体" w:hAnsi="宋体" w:cs="宋体" w:eastAsia="宋体" w:hint="default"/>
                <w:spacing w:val="-2"/>
                <w:sz w:val="18"/>
                <w:szCs w:val="18"/>
              </w:rPr>
              <w:t>济损失。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、本人以当年以及以后年度自发行人取得的税后工资</w:t>
            </w:r>
            <w:r>
              <w:rPr>
                <w:rFonts w:ascii="宋体" w:hAnsi="宋体" w:cs="宋体" w:eastAsia="宋体" w:hint="default"/>
                <w:sz w:val="18"/>
                <w:szCs w:val="18"/>
              </w:rPr>
              <w:t> 作为上述承诺的履约担保，且若本人未履行上述购回或赔偿义 务，则在履行承诺前，本人直接或间接所持的公司股份 不得转让。</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11585"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1"/>
                <w:sz w:val="20"/>
                <w:szCs w:val="20"/>
              </w:rPr>
              <w:pict>
                <v:group style="width:27.3pt;height:579.3pt;mso-position-horizontal-relative:char;mso-position-vertical-relative:line" coordorigin="0,0" coordsize="546,11586">
                  <v:group style="position:absolute;left:0;top:0;width:546;height:11586" coordorigin="0,0" coordsize="546,11586">
                    <v:shape style="position:absolute;left:0;top:0;width:546;height:11586" coordorigin="0,0" coordsize="546,11586" path="m0,11586l546,11586,546,0,0,0,0,11586xe" filled="true" fillcolor="#ffffff" stroked="false">
                      <v:path arrowok="t"/>
                      <v:fill type="solid"/>
                    </v:shape>
                  </v:group>
                </v:group>
              </w:pict>
            </w:r>
            <w:r>
              <w:rPr>
                <w:rFonts w:ascii="Times New Roman" w:hAnsi="Times New Roman" w:cs="Times New Roman" w:eastAsia="Times New Roman" w:hint="default"/>
                <w:position w:val="-231"/>
                <w:sz w:val="20"/>
                <w:szCs w:val="20"/>
              </w:rPr>
            </w:r>
          </w:p>
        </w:tc>
        <w:tc>
          <w:tcPr>
            <w:tcW w:w="55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JAYTSAICHIENCHOU;</w:t>
            </w:r>
          </w:p>
          <w:p>
            <w:pPr>
              <w:pStyle w:val="TableParagraph"/>
              <w:spacing w:line="304" w:lineRule="auto" w:before="64"/>
              <w:ind w:left="22" w:right="76"/>
              <w:jc w:val="left"/>
              <w:rPr>
                <w:rFonts w:ascii="宋体" w:hAnsi="宋体" w:cs="宋体" w:eastAsia="宋体" w:hint="default"/>
                <w:sz w:val="18"/>
                <w:szCs w:val="18"/>
              </w:rPr>
            </w:pP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杭州正元企 业管理咨询有限公司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陆卫明</w:t>
            </w:r>
            <w:r>
              <w:rPr>
                <w:rFonts w:ascii="Times New Roman" w:hAnsi="Times New Roman" w:cs="Times New Roman" w:eastAsia="Times New Roman" w:hint="default"/>
                <w:sz w:val="18"/>
                <w:szCs w:val="18"/>
              </w:rPr>
              <w:t>;</w:t>
            </w:r>
            <w:r>
              <w:rPr>
                <w:rFonts w:ascii="宋体" w:hAnsi="宋体" w:cs="宋体" w:eastAsia="宋体" w:hint="default"/>
                <w:sz w:val="18"/>
                <w:szCs w:val="18"/>
              </w:rPr>
              <w:t>潘利华</w:t>
            </w:r>
            <w:r>
              <w:rPr>
                <w:rFonts w:ascii="Times New Roman" w:hAnsi="Times New Roman" w:cs="Times New Roman" w:eastAsia="Times New Roman" w:hint="default"/>
                <w:sz w:val="18"/>
                <w:szCs w:val="18"/>
              </w:rPr>
              <w:t>; </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浙江正元 智慧科技股份有限公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朱加宁</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5"/>
              <w:jc w:val="both"/>
              <w:rPr>
                <w:rFonts w:ascii="宋体" w:hAnsi="宋体" w:cs="宋体" w:eastAsia="宋体" w:hint="default"/>
                <w:sz w:val="18"/>
                <w:szCs w:val="18"/>
              </w:rPr>
            </w:pPr>
            <w:r>
              <w:rPr>
                <w:rFonts w:ascii="宋体" w:hAnsi="宋体" w:cs="宋体" w:eastAsia="宋体" w:hint="default"/>
                <w:sz w:val="18"/>
                <w:szCs w:val="18"/>
              </w:rPr>
              <w:t>关于填补本次公开发行股票被摊薄即期回报的措施及承诺：依 据中国证监会《关于首发及再融资、重大资产重组摊薄即期回 报有关事项的指导意见》相关规定，公司董事会就公司本次公 开发行股票是否摊薄即期回报进行了分析，制定了填补即期回 报措施，相关主体出具了承诺。公司第二届董事会第二次会议 就上述事项通过了《关于本次公开发行股票摊薄即期回报影响 </w:t>
            </w:r>
            <w:r>
              <w:rPr>
                <w:rFonts w:ascii="宋体" w:hAnsi="宋体" w:cs="宋体" w:eastAsia="宋体" w:hint="default"/>
                <w:spacing w:val="-6"/>
                <w:sz w:val="18"/>
                <w:szCs w:val="18"/>
              </w:rPr>
              <w:t>分析和应对措施的议案》，并提交公司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年度股东大会审议</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97"/>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37.917007pt;margin-top:72.47998pt;width:249.55pt;height:686.5pt;mso-position-horizontal-relative:page;mso-position-vertical-relative:page;z-index:-94955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公司制定填补回报措施不等于对公司未来利润做出保证。</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2"/>
                    <w:ind w:left="2880" w:right="0" w:firstLine="0"/>
                    <w:jc w:val="left"/>
                    <w:rPr>
                      <w:rFonts w:ascii="宋体" w:hAnsi="宋体" w:cs="宋体" w:eastAsia="宋体" w:hint="default"/>
                      <w:sz w:val="18"/>
                      <w:szCs w:val="18"/>
                    </w:rPr>
                  </w:pPr>
                  <w:r>
                    <w:rPr>
                      <w:rFonts w:ascii="宋体" w:hAnsi="宋体" w:cs="宋体" w:eastAsia="宋体" w:hint="default"/>
                      <w:sz w:val="18"/>
                      <w:szCs w:val="18"/>
                    </w:rPr>
                    <w:t>加强营销团队力量；</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0"/>
      </w:tblGrid>
      <w:tr>
        <w:trPr>
          <w:trHeight w:val="317"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vMerge w:val="restart"/>
            <w:tcBorders>
              <w:top w:val="single" w:sz="4" w:space="0" w:color="000000"/>
              <w:left w:val="single" w:sz="4" w:space="0" w:color="000000"/>
              <w:right w:val="single" w:sz="4" w:space="0" w:color="000000"/>
            </w:tcBorders>
          </w:tcPr>
          <w:p>
            <w:pPr/>
          </w:p>
        </w:tc>
        <w:tc>
          <w:tcPr>
            <w:tcW w:w="421" w:type="dxa"/>
            <w:vMerge w:val="restart"/>
            <w:tcBorders>
              <w:top w:val="single" w:sz="4" w:space="0" w:color="000000"/>
              <w:left w:val="single" w:sz="4" w:space="0" w:color="000000"/>
              <w:right w:val="single" w:sz="4" w:space="0" w:color="000000"/>
            </w:tcBorders>
          </w:tcPr>
          <w:p>
            <w:pPr/>
          </w:p>
        </w:tc>
        <w:tc>
          <w:tcPr>
            <w:tcW w:w="4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558" w:type="dxa"/>
            <w:vMerge w:val="restart"/>
            <w:tcBorders>
              <w:top w:val="single" w:sz="4" w:space="0" w:color="000000"/>
              <w:left w:val="single" w:sz="4" w:space="0" w:color="000000"/>
              <w:right w:val="single" w:sz="4" w:space="0" w:color="000000"/>
            </w:tcBorders>
          </w:tcPr>
          <w:p>
            <w:pPr>
              <w:pStyle w:val="TableParagraph"/>
              <w:spacing w:line="13729"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27.3pt;height:686.5pt;mso-position-horizontal-relative:char;mso-position-vertical-relative:line" coordorigin="0,0" coordsize="546,13730">
                  <v:group style="position:absolute;left:0;top:0;width:546;height:13730" coordorigin="0,0" coordsize="546,13730">
                    <v:shape style="position:absolute;left:0;top:0;width:546;height:13730" coordorigin="0,0" coordsize="546,13730" path="m0,13729l546,13729,54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57"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公司在本次公开发行股票后，将在定期报告中持续披露填补即</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期回报措施的完成情况及相关承诺主体承诺事项的履行情况。</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敬请投资者关注</w:t>
            </w:r>
            <w:r>
              <w:rPr>
                <w:rFonts w:ascii="宋体" w:hAnsi="宋体" w:cs="宋体" w:eastAsia="宋体" w:hint="default"/>
                <w:spacing w:val="-118"/>
                <w:sz w:val="18"/>
                <w:szCs w:val="18"/>
              </w:rPr>
              <w:t>。</w:t>
            </w:r>
            <w:r>
              <w:rPr>
                <w:rFonts w:ascii="宋体" w:hAnsi="宋体" w:cs="宋体" w:eastAsia="宋体" w:hint="default"/>
                <w:sz w:val="18"/>
                <w:szCs w:val="18"/>
              </w:rPr>
              <w:t>（一</w:t>
            </w:r>
            <w:r>
              <w:rPr>
                <w:rFonts w:ascii="宋体" w:hAnsi="宋体" w:cs="宋体" w:eastAsia="宋体" w:hint="default"/>
                <w:spacing w:val="-28"/>
                <w:sz w:val="18"/>
                <w:szCs w:val="18"/>
              </w:rPr>
              <w:t>）</w:t>
            </w:r>
            <w:r>
              <w:rPr>
                <w:rFonts w:ascii="宋体" w:hAnsi="宋体" w:cs="宋体" w:eastAsia="宋体" w:hint="default"/>
                <w:sz w:val="18"/>
                <w:szCs w:val="18"/>
              </w:rPr>
              <w:t>本次公开发行摊薄即期回报的风险及对</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公司主要财务指标的影响分析本次发行完成后，随着募集资金</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的到位，公司的资金实力大幅增强，同时公司总股本和净资产</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均有较大幅度的增长，后续随着募集资金投资项目的效益得以</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逐步体现，公司的净利润将有所增加，但由于募集资金投资项</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目的实施需要一定的时间周期，相关效益的实现也需要一定的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时间，因此短期内公司的每股收益和净资产收益率等指标存在</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被摊薄的风险</w:t>
            </w:r>
            <w:r>
              <w:rPr>
                <w:rFonts w:ascii="宋体" w:hAnsi="宋体" w:cs="宋体" w:eastAsia="宋体" w:hint="default"/>
                <w:spacing w:val="-118"/>
                <w:sz w:val="18"/>
                <w:szCs w:val="18"/>
              </w:rPr>
              <w:t>。</w:t>
            </w:r>
            <w:r>
              <w:rPr>
                <w:rFonts w:ascii="宋体" w:hAnsi="宋体" w:cs="宋体" w:eastAsia="宋体" w:hint="default"/>
                <w:sz w:val="18"/>
                <w:szCs w:val="18"/>
              </w:rPr>
              <w:t>（二</w:t>
            </w:r>
            <w:r>
              <w:rPr>
                <w:rFonts w:ascii="宋体" w:hAnsi="宋体" w:cs="宋体" w:eastAsia="宋体" w:hint="default"/>
                <w:spacing w:val="-28"/>
                <w:sz w:val="18"/>
                <w:szCs w:val="18"/>
              </w:rPr>
              <w:t>）</w:t>
            </w:r>
            <w:r>
              <w:rPr>
                <w:rFonts w:ascii="宋体" w:hAnsi="宋体" w:cs="宋体" w:eastAsia="宋体" w:hint="default"/>
                <w:sz w:val="18"/>
                <w:szCs w:val="18"/>
              </w:rPr>
              <w:t>本次公开发行股票的必要性和合理性公司</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董事会选择本次融资的必要性和合理性如下：依据公司的发展</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战略，未来将继续致力于一卡通系统的应用及推广，为客户提</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供品质卓越的服务，着力把正元智慧建设为全国一流的知名品</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牌，并基于领先的一卡通技术服务与丰富的经验，拓宽产品功</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能与应用领域。公司在市场发展的关键机遇期，必要地需要巩</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固和发展传统优势业务，同时探索新技术、新业务与新领域市</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场；具体需要加大市场空间和市场渗透力，提升新产品与关键</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技术的研发能力，优化人力资源管理，持续提高公司内部治理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水平和外部服务能力。近年来公司发展迅速，但由于受到资金</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瓶颈的限制，公司软硬件的提供能力扩张速度低于需求增长速</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度，在开拓新客户上难以全力以赴。同时，随着科学与经济的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不断发展，客户对公司产品功能和性能提出了更高的要求，需</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要公司加大研发投入以满足客户不断变化的需求。资金紧张等</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因素限制和制约公司的业务发展，选择本次融资能够合理的发</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挥募集资金投资项目动力、进一步增强公司资本实力及盈利能</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力，对公司长期发展提供助益。各个具体募集资金投资项目的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必要性和合理性分析，具体详见本招股说明书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第十节、二、募</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集资金投资项目的具体情况</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（三）本次募集资金投资项目与</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公司现有业务的关系及公司相关资源储备情况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、本次募集资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金投资项目与公司现有业务的关系本次募集资金项目全部围绕</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公司现有的主营业务进行，以进一步增强公司的核心竞争力和</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盈利能力。其中，智慧易通项目是在公司已开发并广泛应用的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数字化园区一卡通基础上，对体系结构重新架构、对业务流程</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重组优化、对终端机具全面升级、增加应用系统种类和扩大应</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用范围，为客户构建更协同、更智能的服务环境；营销服务体</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系建设和升级项目将强化、完善公司现有的面向一卡通市场的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营销服务体系，并通过完善组织机构设置，</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研发中心建设项目在公司现有技术研发中心基础上，扩大公司</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研发规模并进行技术升级，提高公司产品的研发效率、缩短产</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品研发和制造周期，提升公司核心竞争力。</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、公司从事募投项</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目在人员、技术、市场等方面的储备情况截至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日，公司员工总人数为</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711</w:t>
            </w:r>
            <w:r>
              <w:rPr>
                <w:rFonts w:ascii="Times New Roman" w:hAnsi="Times New Roman" w:cs="Times New Roman" w:eastAsia="Times New Roman" w:hint="default"/>
                <w:sz w:val="18"/>
                <w:szCs w:val="18"/>
              </w:rPr>
              <w:t> </w:t>
            </w:r>
            <w:r>
              <w:rPr>
                <w:rFonts w:ascii="宋体" w:hAnsi="宋体" w:cs="宋体" w:eastAsia="宋体" w:hint="default"/>
                <w:sz w:val="18"/>
                <w:szCs w:val="18"/>
              </w:rPr>
              <w:t>人，其中研发技术人员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 </w:t>
            </w:r>
            <w:r>
              <w:rPr>
                <w:rFonts w:ascii="宋体" w:hAnsi="宋体" w:cs="宋体" w:eastAsia="宋体" w:hint="default"/>
                <w:sz w:val="18"/>
                <w:szCs w:val="18"/>
              </w:rPr>
              <w:t>人，销</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3"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4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售人员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人，公司从业人员质量相对较高，人员结构合理，</w:t>
            </w:r>
          </w:p>
        </w:tc>
        <w:tc>
          <w:tcPr>
            <w:tcW w:w="558"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6.980011pt;margin-top:72.47998pt;width:150.5pt;height:686.5pt;mso-position-horizontal-relative:page;mso-position-vertical-relative:page;z-index:-949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4"/>
                    <w:ind w:left="0" w:right="487" w:firstLine="0"/>
                    <w:jc w:val="right"/>
                    <w:rPr>
                      <w:rFonts w:ascii="宋体" w:hAnsi="宋体" w:cs="宋体" w:eastAsia="宋体" w:hint="default"/>
                      <w:sz w:val="18"/>
                      <w:szCs w:val="18"/>
                    </w:rPr>
                  </w:pPr>
                  <w:r>
                    <w:rPr>
                      <w:rFonts w:ascii="宋体" w:hAnsi="宋体" w:cs="宋体" w:eastAsia="宋体" w:hint="default"/>
                      <w:sz w:val="18"/>
                      <w:szCs w:val="18"/>
                    </w:rPr>
                    <w:t>卫生等其他领域也有众多客户。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8"/>
                      <w:szCs w:val="18"/>
                    </w:rPr>
                  </w:pPr>
                </w:p>
                <w:p>
                  <w:pPr>
                    <w:spacing w:before="0"/>
                    <w:ind w:left="0" w:right="486"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0"/>
      </w:tblGrid>
      <w:tr>
        <w:trPr>
          <w:trHeight w:val="317"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vMerge w:val="restart"/>
            <w:tcBorders>
              <w:top w:val="single" w:sz="4" w:space="0" w:color="000000"/>
              <w:left w:val="single" w:sz="4" w:space="0" w:color="000000"/>
              <w:right w:val="single" w:sz="4" w:space="0" w:color="000000"/>
            </w:tcBorders>
          </w:tcPr>
          <w:p>
            <w:pPr/>
          </w:p>
        </w:tc>
        <w:tc>
          <w:tcPr>
            <w:tcW w:w="421" w:type="dxa"/>
            <w:vMerge w:val="restart"/>
            <w:tcBorders>
              <w:top w:val="single" w:sz="4" w:space="0" w:color="000000"/>
              <w:left w:val="single" w:sz="4" w:space="0" w:color="000000"/>
              <w:right w:val="single" w:sz="4" w:space="0" w:color="000000"/>
            </w:tcBorders>
          </w:tcPr>
          <w:p>
            <w:pPr/>
          </w:p>
        </w:tc>
        <w:tc>
          <w:tcPr>
            <w:tcW w:w="4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具备业务线的覆盖和新业务的研发探索能力。公司自成立以来</w:t>
            </w:r>
          </w:p>
        </w:tc>
        <w:tc>
          <w:tcPr>
            <w:tcW w:w="558" w:type="dxa"/>
            <w:vMerge w:val="restart"/>
            <w:tcBorders>
              <w:top w:val="single" w:sz="4" w:space="0" w:color="000000"/>
              <w:left w:val="single" w:sz="4" w:space="0" w:color="000000"/>
              <w:right w:val="single" w:sz="4" w:space="0" w:color="000000"/>
            </w:tcBorders>
          </w:tcPr>
          <w:p>
            <w:pPr>
              <w:pStyle w:val="TableParagraph"/>
              <w:spacing w:line="13729"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27.3pt;height:686.5pt;mso-position-horizontal-relative:char;mso-position-vertical-relative:line" coordorigin="0,0" coordsize="546,13730">
                  <v:group style="position:absolute;left:0;top:0;width:546;height:13730" coordorigin="0,0" coordsize="546,13730">
                    <v:shape style="position:absolute;left:0;top:0;width:546;height:13730" coordorigin="0,0" coordsize="546,13730" path="m0,13729l546,13729,54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57"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一直专注于为客户提供一卡通系统整体解决方案，目前企业研</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发实力和市场品牌影响力处于行业前列。近年来，公司先后被</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认定为国家火炬计划重点高新技术企业、省级企业技术中心，</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正元智慧卡应用研究院</w:t>
            </w:r>
            <w:r>
              <w:rPr>
                <w:rFonts w:ascii="Times New Roman" w:hAnsi="Times New Roman" w:cs="Times New Roman" w:eastAsia="Times New Roman" w:hint="default"/>
                <w:sz w:val="18"/>
                <w:szCs w:val="18"/>
              </w:rPr>
              <w:t>”</w:t>
            </w:r>
            <w:r>
              <w:rPr>
                <w:rFonts w:ascii="宋体" w:hAnsi="宋体" w:cs="宋体" w:eastAsia="宋体" w:hint="default"/>
                <w:sz w:val="18"/>
                <w:szCs w:val="18"/>
              </w:rPr>
              <w:t>为省级企业研究院，截至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日，公司拥有软件著作权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项，专利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项。公司重视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研发投入和引进高素质人才以提高技术创新能力，近年来引进</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包括国家</w:t>
            </w:r>
            <w:r>
              <w:rPr>
                <w:rFonts w:ascii="Times New Roman" w:hAnsi="Times New Roman" w:cs="Times New Roman" w:eastAsia="Times New Roman" w:hint="default"/>
                <w:sz w:val="18"/>
                <w:szCs w:val="18"/>
              </w:rPr>
              <w:t>“</w:t>
            </w:r>
            <w:r>
              <w:rPr>
                <w:rFonts w:ascii="宋体" w:hAnsi="宋体" w:cs="宋体" w:eastAsia="宋体" w:hint="default"/>
                <w:sz w:val="18"/>
                <w:szCs w:val="18"/>
              </w:rPr>
              <w:t>千人计划</w:t>
            </w:r>
            <w:r>
              <w:rPr>
                <w:rFonts w:ascii="Times New Roman" w:hAnsi="Times New Roman" w:cs="Times New Roman" w:eastAsia="Times New Roman" w:hint="default"/>
                <w:sz w:val="18"/>
                <w:szCs w:val="18"/>
              </w:rPr>
              <w:t>”</w:t>
            </w:r>
            <w:r>
              <w:rPr>
                <w:rFonts w:ascii="宋体" w:hAnsi="宋体" w:cs="宋体" w:eastAsia="宋体" w:hint="default"/>
                <w:sz w:val="18"/>
                <w:szCs w:val="18"/>
              </w:rPr>
              <w:t>特聘专家在内的一流研发和研发管理人</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才，且核心技术带头人员的行业专业经验丰富，在智能卡、校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园信息化、互联网等业务领域具有非常突出的技术创新能力。</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公司经过多年智能卡行业的市场经营与深耕服务，在部分区域</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积累并沉淀了一大批优质且忠诚的客户，逐步形成了较强的品</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牌影响力。除在教育行业拥有广泛的市场基础外，在电信运营</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商、银行、政府、军警、旅游、</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目前，公司拥有直接用户超过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余家、年发卡量已超过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万张，直接用户数量和持卡人数居行业前列，客户遍布国内</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多个省市。综上所述，公司募集资金投资项目与现有业务的关</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系密切，并已具备了实施募集资金投资项目的人员、技术、市</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场等方面储备</w:t>
            </w:r>
            <w:r>
              <w:rPr>
                <w:rFonts w:ascii="宋体" w:hAnsi="宋体" w:cs="宋体" w:eastAsia="宋体" w:hint="default"/>
                <w:spacing w:val="-118"/>
                <w:sz w:val="18"/>
                <w:szCs w:val="18"/>
              </w:rPr>
              <w:t>。</w:t>
            </w:r>
            <w:r>
              <w:rPr>
                <w:rFonts w:ascii="宋体" w:hAnsi="宋体" w:cs="宋体" w:eastAsia="宋体" w:hint="default"/>
                <w:sz w:val="18"/>
                <w:szCs w:val="18"/>
              </w:rPr>
              <w:t>（四</w:t>
            </w:r>
            <w:r>
              <w:rPr>
                <w:rFonts w:ascii="宋体" w:hAnsi="宋体" w:cs="宋体" w:eastAsia="宋体" w:hint="default"/>
                <w:spacing w:val="-28"/>
                <w:sz w:val="18"/>
                <w:szCs w:val="18"/>
              </w:rPr>
              <w:t>）</w:t>
            </w:r>
            <w:r>
              <w:rPr>
                <w:rFonts w:ascii="宋体" w:hAnsi="宋体" w:cs="宋体" w:eastAsia="宋体" w:hint="default"/>
                <w:sz w:val="18"/>
                <w:szCs w:val="18"/>
              </w:rPr>
              <w:t>公司应对本次公开发行摊薄即期回报采取</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的措施本次发行后的募集资金到位当年，公司预计即期回报将</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会摊薄。根据《国务院办公厅关于进一步加强资本市场中小投</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资者合法权益保护工作的意见</w:t>
            </w:r>
            <w:r>
              <w:rPr>
                <w:rFonts w:ascii="宋体" w:hAnsi="宋体" w:cs="宋体" w:eastAsia="宋体" w:hint="default"/>
                <w:spacing w:val="-90"/>
                <w:sz w:val="18"/>
                <w:szCs w:val="18"/>
              </w:rPr>
              <w:t>》</w:t>
            </w:r>
            <w:r>
              <w:rPr>
                <w:rFonts w:ascii="宋体" w:hAnsi="宋体" w:cs="宋体" w:eastAsia="宋体" w:hint="default"/>
                <w:sz w:val="18"/>
                <w:szCs w:val="18"/>
              </w:rPr>
              <w:t>（国办发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及</w:t>
            </w:r>
            <w:r>
              <w:rPr>
                <w:rFonts w:ascii="宋体" w:hAnsi="宋体" w:cs="宋体" w:eastAsia="宋体" w:hint="default"/>
                <w:sz w:val="18"/>
                <w:szCs w:val="18"/>
              </w:rPr>
              <w:t>《关</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于首发及再融资、重大资产重组摊薄即期回报有关事项的指导</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104"/>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 </w:t>
            </w:r>
            <w:r>
              <w:rPr>
                <w:rFonts w:ascii="宋体" w:hAnsi="宋体" w:cs="宋体" w:eastAsia="宋体" w:hint="default"/>
                <w:sz w:val="18"/>
                <w:szCs w:val="18"/>
              </w:rPr>
              <w:t>号</w:t>
            </w:r>
            <w:r>
              <w:rPr>
                <w:rFonts w:ascii="宋体" w:hAnsi="宋体" w:cs="宋体" w:eastAsia="宋体" w:hint="default"/>
                <w:spacing w:val="-14"/>
                <w:sz w:val="18"/>
                <w:szCs w:val="18"/>
              </w:rPr>
              <w:t>）</w:t>
            </w:r>
            <w:r>
              <w:rPr>
                <w:rFonts w:ascii="宋体" w:hAnsi="宋体" w:cs="宋体" w:eastAsia="宋体" w:hint="default"/>
                <w:sz w:val="18"/>
                <w:szCs w:val="18"/>
              </w:rPr>
              <w:t>的要求</w:t>
            </w:r>
            <w:r>
              <w:rPr>
                <w:rFonts w:ascii="宋体" w:hAnsi="宋体" w:cs="宋体" w:eastAsia="宋体" w:hint="default"/>
                <w:spacing w:val="-14"/>
                <w:sz w:val="18"/>
                <w:szCs w:val="18"/>
              </w:rPr>
              <w:t>，</w:t>
            </w:r>
            <w:r>
              <w:rPr>
                <w:rFonts w:ascii="宋体" w:hAnsi="宋体" w:cs="宋体" w:eastAsia="宋体" w:hint="default"/>
                <w:sz w:val="18"/>
                <w:szCs w:val="18"/>
              </w:rPr>
              <w:t>公司拟通过加快本次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公开发行募集资金投资项目的实施，促进完善公司各板块业务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发展，强化风险控制等方面提升公司核心竞争力，降低摊薄影</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响，填补回报。公司制定的主要具体措施如下：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、公司在国内</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校园一卡通行业中处于前列，其中直接服务用户数、可控持卡</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人数和部分区域用户密集度都处于相对领先地位。在现有产品</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应用领域，公司将利用当前坚实的客户基础，不断深入了解和</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引导客户需求，将公司最新研究成果和创新应用于客户服务方</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案，争取更大的市场份额，拓展行业应用；同时，公司也将加</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强新产品和新技术的研发力度，围绕智能一卡通产业应用的各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个领域，寻找新的产品方案与业务增长点，巩固现有品牌和优</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势，增强公司市场竞争力，提升公司盈利能力。</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、公司运行中</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将持续伴随各类既有的经营、行业、财务风险，同时也将面临</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宏观微观经济环境变化带来的新风险，公司将持续强化风险意</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识与能力，不断发现、改进、控制公司业务经营的相关风险。</w:t>
            </w:r>
            <w:r>
              <w:rPr>
                <w:rFonts w:ascii="Times New Roman" w:hAnsi="Times New Roman" w:cs="Times New Roman" w:eastAsia="Times New Roman" w:hint="default"/>
                <w:spacing w:val="-6"/>
                <w:sz w:val="18"/>
                <w:szCs w:val="18"/>
              </w:rPr>
              <w:t>3</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本次募集资金使用紧密围绕公司主营业务进行，符合公司未来</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发展战略，有利于公司提高公司持续盈利能力。公司将根据相</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2"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关法律法规和《募集资金管理办法》的要求，严格管理募集资</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金使用，保证募集资金按照原定用途得到充分有效利用。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w:t>
            </w:r>
            <w:r>
              <w:rPr>
                <w:rFonts w:ascii="宋体" w:hAnsi="宋体" w:cs="宋体" w:eastAsia="宋体" w:hint="default"/>
                <w:sz w:val="18"/>
                <w:szCs w:val="18"/>
              </w:rPr>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07" w:hRule="exact"/>
        </w:trPr>
        <w:tc>
          <w:tcPr>
            <w:tcW w:w="810" w:type="dxa"/>
            <w:vMerge/>
            <w:tcBorders>
              <w:left w:val="single" w:sz="4" w:space="0" w:color="000000"/>
              <w:right w:val="single" w:sz="4" w:space="0" w:color="000000"/>
            </w:tcBorders>
            <w:shd w:val="clear" w:color="auto" w:fill="D2D2D2"/>
          </w:tcPr>
          <w:p>
            <w:pPr/>
          </w:p>
        </w:tc>
        <w:tc>
          <w:tcPr>
            <w:tcW w:w="188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4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司将不断健全研发机构，增强技术力量，完善创新体系，建立</w:t>
            </w:r>
          </w:p>
        </w:tc>
        <w:tc>
          <w:tcPr>
            <w:tcW w:w="558"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r>
      <w:tr>
        <w:trPr>
          <w:trHeight w:val="318"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4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符合企业实际的人才管理和激励制度。今后本公司将继续完善</w:t>
            </w:r>
          </w:p>
        </w:tc>
        <w:tc>
          <w:tcPr>
            <w:tcW w:w="558"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10"/>
        <w:gridCol w:w="1880"/>
        <w:gridCol w:w="421"/>
        <w:gridCol w:w="4951"/>
        <w:gridCol w:w="558"/>
        <w:gridCol w:w="557"/>
        <w:gridCol w:w="490"/>
      </w:tblGrid>
      <w:tr>
        <w:trPr>
          <w:trHeight w:val="7227" w:hRule="exact"/>
        </w:trPr>
        <w:tc>
          <w:tcPr>
            <w:tcW w:w="810" w:type="dxa"/>
            <w:vMerge w:val="restart"/>
            <w:tcBorders>
              <w:top w:val="single" w:sz="4" w:space="0" w:color="000000"/>
              <w:left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9"/>
              <w:jc w:val="both"/>
              <w:rPr>
                <w:rFonts w:ascii="宋体" w:hAnsi="宋体" w:cs="宋体" w:eastAsia="宋体" w:hint="default"/>
                <w:sz w:val="18"/>
                <w:szCs w:val="18"/>
              </w:rPr>
            </w:pPr>
            <w:r>
              <w:rPr>
                <w:rFonts w:ascii="宋体" w:hAnsi="宋体" w:cs="宋体" w:eastAsia="宋体" w:hint="default"/>
                <w:sz w:val="18"/>
                <w:szCs w:val="18"/>
              </w:rPr>
              <w:t>以智慧一卡通网络研发设计为主体的创新体系，维持较高的研 </w:t>
            </w:r>
            <w:r>
              <w:rPr>
                <w:rFonts w:ascii="宋体" w:hAnsi="宋体" w:cs="宋体" w:eastAsia="宋体" w:hint="default"/>
                <w:spacing w:val="-3"/>
                <w:sz w:val="18"/>
                <w:szCs w:val="18"/>
              </w:rPr>
              <w:t>发投入，大力进行新服务、新技术的开发与创新。</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、公司未来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将根据中国证监会、证券交易所等监管机构出台的具体细则及 要求，并参照上市公司较为通行的惯例，继续补充、修订、完 </w:t>
            </w:r>
            <w:r>
              <w:rPr>
                <w:rFonts w:ascii="宋体" w:hAnsi="宋体" w:cs="宋体" w:eastAsia="宋体" w:hint="default"/>
                <w:spacing w:val="-6"/>
                <w:sz w:val="18"/>
                <w:szCs w:val="18"/>
              </w:rPr>
              <w:t>善公司投资者权益保护的各项制度并予以实施。（五）关于保障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中小投资者合法利益的承诺本次公开发行完成后，公司即期收 益存在被摊薄的风险，为保护中小投资者合法权益，公司做出 如下承诺：未来将根据中国证监会、证券交易所等监管机构出 台的具体细则及要求，并参照上市公司较为通行的惯例，积极 落实《关于进一步加强资本市场中小投资者合法权益保护工作 </w:t>
            </w:r>
            <w:r>
              <w:rPr>
                <w:rFonts w:ascii="宋体" w:hAnsi="宋体" w:cs="宋体" w:eastAsia="宋体" w:hint="default"/>
                <w:spacing w:val="-6"/>
                <w:sz w:val="18"/>
                <w:szCs w:val="18"/>
              </w:rPr>
              <w:t>的意见》（国办发</w:t>
            </w:r>
            <w:r>
              <w:rPr>
                <w:rFonts w:ascii="Times New Roman" w:hAnsi="Times New Roman" w:cs="Times New Roman" w:eastAsia="Times New Roman" w:hint="default"/>
                <w:spacing w:val="-6"/>
                <w:sz w:val="18"/>
                <w:szCs w:val="18"/>
              </w:rPr>
              <w:t>[2013]110</w:t>
            </w:r>
            <w:r>
              <w:rPr>
                <w:rFonts w:ascii="Times New Roman" w:hAnsi="Times New Roman" w:cs="Times New Roman" w:eastAsia="Times New Roman" w:hint="default"/>
                <w:sz w:val="18"/>
                <w:szCs w:val="18"/>
              </w:rPr>
              <w:t> </w:t>
            </w:r>
            <w:r>
              <w:rPr>
                <w:rFonts w:ascii="宋体" w:hAnsi="宋体" w:cs="宋体" w:eastAsia="宋体" w:hint="default"/>
                <w:sz w:val="18"/>
                <w:szCs w:val="18"/>
              </w:rPr>
              <w:t>号）的内容，继续补充、修订、完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善公司投资者权益保护的各项制度并予以实施。公司的控股股 东、实际控制人作出如下承诺：不得越权干预公司经营管理活 动，不得侵占公司利益。公司的董事、高级管理人员将忠实、 勤勉地履行职责，维护公司和全体股东的合法权益，尽最大努 力确保公司签署填补回报措施能够得到切实履行，并就此作出 </w:t>
            </w:r>
            <w:r>
              <w:rPr>
                <w:rFonts w:ascii="宋体" w:hAnsi="宋体" w:cs="宋体" w:eastAsia="宋体" w:hint="default"/>
                <w:spacing w:val="-2"/>
                <w:sz w:val="18"/>
                <w:szCs w:val="18"/>
              </w:rPr>
              <w:t>如下承诺：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、承诺不无偿或以不公平条件向其他单位或者个人</w:t>
            </w:r>
            <w:r>
              <w:rPr>
                <w:rFonts w:ascii="宋体" w:hAnsi="宋体" w:cs="宋体" w:eastAsia="宋体" w:hint="default"/>
                <w:sz w:val="18"/>
                <w:szCs w:val="18"/>
              </w:rPr>
              <w:t> </w:t>
            </w:r>
            <w:r>
              <w:rPr>
                <w:rFonts w:ascii="宋体" w:hAnsi="宋体" w:cs="宋体" w:eastAsia="宋体" w:hint="default"/>
                <w:spacing w:val="-2"/>
                <w:sz w:val="18"/>
                <w:szCs w:val="18"/>
              </w:rPr>
              <w:t>输送利益，也不采用其他方式损害公司利益。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、承诺对董事和</w:t>
            </w:r>
            <w:r>
              <w:rPr>
                <w:rFonts w:ascii="宋体" w:hAnsi="宋体" w:cs="宋体" w:eastAsia="宋体" w:hint="default"/>
                <w:sz w:val="18"/>
                <w:szCs w:val="18"/>
              </w:rPr>
              <w:t> </w:t>
            </w:r>
            <w:r>
              <w:rPr>
                <w:rFonts w:ascii="宋体" w:hAnsi="宋体" w:cs="宋体" w:eastAsia="宋体" w:hint="default"/>
                <w:spacing w:val="-2"/>
                <w:sz w:val="18"/>
                <w:szCs w:val="18"/>
              </w:rPr>
              <w:t>高级管理人员的职务消费行为进行约束。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、承诺不动用公司资</w:t>
            </w:r>
            <w:r>
              <w:rPr>
                <w:rFonts w:ascii="宋体" w:hAnsi="宋体" w:cs="宋体" w:eastAsia="宋体" w:hint="default"/>
                <w:sz w:val="18"/>
                <w:szCs w:val="18"/>
              </w:rPr>
              <w:t> </w:t>
            </w:r>
            <w:r>
              <w:rPr>
                <w:rFonts w:ascii="宋体" w:hAnsi="宋体" w:cs="宋体" w:eastAsia="宋体" w:hint="default"/>
                <w:spacing w:val="-2"/>
                <w:sz w:val="18"/>
                <w:szCs w:val="18"/>
              </w:rPr>
              <w:t>产从事与其履行职责无关的投资、消费活动。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、承诺由董事会</w:t>
            </w:r>
            <w:r>
              <w:rPr>
                <w:rFonts w:ascii="宋体" w:hAnsi="宋体" w:cs="宋体" w:eastAsia="宋体" w:hint="default"/>
                <w:sz w:val="18"/>
                <w:szCs w:val="18"/>
              </w:rPr>
              <w:t> 或薪酬委员会制定的薪酬制度与公司填补回报措施的执行情况 </w:t>
            </w:r>
            <w:r>
              <w:rPr>
                <w:rFonts w:ascii="宋体" w:hAnsi="宋体" w:cs="宋体" w:eastAsia="宋体" w:hint="default"/>
                <w:spacing w:val="-2"/>
                <w:sz w:val="18"/>
                <w:szCs w:val="18"/>
              </w:rPr>
              <w:t>相挂钩。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、承诺未来拟实施的公司股权激励的行权条件与公司</w:t>
            </w:r>
            <w:r>
              <w:rPr>
                <w:rFonts w:ascii="宋体" w:hAnsi="宋体" w:cs="宋体" w:eastAsia="宋体" w:hint="default"/>
                <w:sz w:val="18"/>
                <w:szCs w:val="18"/>
              </w:rPr>
              <w:t> 填补回报措施的执行情况相挂钩。</w:t>
            </w: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810" w:type="dxa"/>
            <w:vMerge/>
            <w:tcBorders>
              <w:left w:val="single" w:sz="4" w:space="0" w:color="000000"/>
              <w:bottom w:val="single" w:sz="4" w:space="0" w:color="000000"/>
              <w:right w:val="single" w:sz="4" w:space="0" w:color="000000"/>
            </w:tcBorders>
            <w:shd w:val="clear" w:color="auto" w:fill="D2D2D2"/>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JAYTSAICHIENCHOU;</w:t>
            </w:r>
          </w:p>
          <w:p>
            <w:pPr>
              <w:pStyle w:val="TableParagraph"/>
              <w:spacing w:line="307" w:lineRule="auto" w:before="64"/>
              <w:ind w:left="22" w:right="47"/>
              <w:jc w:val="left"/>
              <w:rPr>
                <w:rFonts w:ascii="宋体" w:hAnsi="宋体" w:cs="宋体" w:eastAsia="宋体" w:hint="default"/>
                <w:sz w:val="18"/>
                <w:szCs w:val="18"/>
              </w:rPr>
            </w:pPr>
            <w:r>
              <w:rPr>
                <w:rFonts w:ascii="宋体" w:hAnsi="宋体" w:cs="宋体" w:eastAsia="宋体" w:hint="default"/>
                <w:sz w:val="18"/>
                <w:szCs w:val="18"/>
              </w:rPr>
              <w:t>博信优选（天津）股权 投资基金合伙企业（有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陈坚</w:t>
            </w:r>
            <w:r>
              <w:rPr>
                <w:rFonts w:ascii="Times New Roman" w:hAnsi="Times New Roman" w:cs="Times New Roman" w:eastAsia="Times New Roman" w:hint="default"/>
                <w:sz w:val="18"/>
                <w:szCs w:val="18"/>
              </w:rPr>
              <w:t>;</w:t>
            </w:r>
            <w:r>
              <w:rPr>
                <w:rFonts w:ascii="宋体" w:hAnsi="宋体" w:cs="宋体" w:eastAsia="宋体" w:hint="default"/>
                <w:sz w:val="18"/>
                <w:szCs w:val="18"/>
              </w:rPr>
              <w:t>陈英</w:t>
            </w:r>
            <w:r>
              <w:rPr>
                <w:rFonts w:ascii="Times New Roman" w:hAnsi="Times New Roman" w:cs="Times New Roman" w:eastAsia="Times New Roman" w:hint="default"/>
                <w:sz w:val="18"/>
                <w:szCs w:val="18"/>
              </w:rPr>
              <w:t>;</w:t>
            </w:r>
            <w:r>
              <w:rPr>
                <w:rFonts w:ascii="宋体" w:hAnsi="宋体" w:cs="宋体" w:eastAsia="宋体" w:hint="default"/>
                <w:sz w:val="18"/>
                <w:szCs w:val="18"/>
              </w:rPr>
              <w:t>杭 州易康投资管理有限公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杭州正浩投资管理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杭州正元企 业管理咨询有限公司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黄金明</w:t>
            </w:r>
            <w:r>
              <w:rPr>
                <w:rFonts w:ascii="Times New Roman" w:hAnsi="Times New Roman" w:cs="Times New Roman" w:eastAsia="Times New Roman" w:hint="default"/>
                <w:sz w:val="18"/>
                <w:szCs w:val="18"/>
              </w:rPr>
              <w:t>;</w:t>
            </w:r>
            <w:r>
              <w:rPr>
                <w:rFonts w:ascii="宋体" w:hAnsi="宋体" w:cs="宋体" w:eastAsia="宋体" w:hint="default"/>
                <w:sz w:val="18"/>
                <w:szCs w:val="18"/>
              </w:rPr>
              <w:t>陆卫明</w:t>
            </w:r>
            <w:r>
              <w:rPr>
                <w:rFonts w:ascii="Times New Roman" w:hAnsi="Times New Roman" w:cs="Times New Roman" w:eastAsia="Times New Roman" w:hint="default"/>
                <w:sz w:val="18"/>
                <w:szCs w:val="18"/>
              </w:rPr>
              <w:t>;</w:t>
            </w:r>
            <w:r>
              <w:rPr>
                <w:rFonts w:ascii="宋体" w:hAnsi="宋体" w:cs="宋体" w:eastAsia="宋体" w:hint="default"/>
                <w:sz w:val="18"/>
                <w:szCs w:val="18"/>
              </w:rPr>
              <w:t>潘利华</w:t>
            </w:r>
            <w:r>
              <w:rPr>
                <w:rFonts w:ascii="Times New Roman" w:hAnsi="Times New Roman" w:cs="Times New Roman" w:eastAsia="Times New Roman" w:hint="default"/>
                <w:sz w:val="18"/>
                <w:szCs w:val="18"/>
              </w:rPr>
              <w:t>; </w:t>
            </w:r>
            <w:r>
              <w:rPr>
                <w:rFonts w:ascii="宋体" w:hAnsi="宋体" w:cs="宋体" w:eastAsia="宋体" w:hint="default"/>
                <w:sz w:val="18"/>
                <w:szCs w:val="18"/>
              </w:rPr>
              <w:t>童本立</w:t>
            </w:r>
            <w:r>
              <w:rPr>
                <w:rFonts w:ascii="Times New Roman" w:hAnsi="Times New Roman" w:cs="Times New Roman" w:eastAsia="Times New Roman" w:hint="default"/>
                <w:sz w:val="18"/>
                <w:szCs w:val="18"/>
              </w:rPr>
              <w:t>;</w:t>
            </w:r>
            <w:r>
              <w:rPr>
                <w:rFonts w:ascii="宋体" w:hAnsi="宋体" w:cs="宋体" w:eastAsia="宋体" w:hint="default"/>
                <w:sz w:val="18"/>
                <w:szCs w:val="18"/>
              </w:rPr>
              <w:t>余锴</w:t>
            </w:r>
            <w:r>
              <w:rPr>
                <w:rFonts w:ascii="Times New Roman" w:hAnsi="Times New Roman" w:cs="Times New Roman" w:eastAsia="Times New Roman" w:hint="default"/>
                <w:sz w:val="18"/>
                <w:szCs w:val="18"/>
              </w:rPr>
              <w:t>;</w:t>
            </w:r>
            <w:r>
              <w:rPr>
                <w:rFonts w:ascii="宋体" w:hAnsi="宋体" w:cs="宋体" w:eastAsia="宋体" w:hint="default"/>
                <w:sz w:val="18"/>
                <w:szCs w:val="18"/>
              </w:rPr>
              <w:t>浙江合力 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 江正元智慧科技股份有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朱加宁</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2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951"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强化对相关责任主体承诺事项的约束措施：公司、控股股东杭 </w:t>
            </w:r>
            <w:r>
              <w:rPr>
                <w:rFonts w:ascii="宋体" w:hAnsi="宋体" w:cs="宋体" w:eastAsia="宋体" w:hint="default"/>
                <w:spacing w:val="-4"/>
                <w:sz w:val="18"/>
                <w:szCs w:val="18"/>
              </w:rPr>
              <w:t>州正元、实际控制人陈坚、持股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以上股东及全体董事、监事 和高级管理人员承诺：本公司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本人保证将严格履行正元智慧首 次公开发行股票并上市招股说明书披露的承诺事项，并承诺严 格遵守下列约束措施：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、如果本公司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本人未履行相关承诺事 项，本公司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本人将在正元智慧股东大会及中国证监会指定报刊 上公开说明未履行承诺的具体原因并向股东和社会公众投资者 </w:t>
            </w:r>
            <w:r>
              <w:rPr>
                <w:rFonts w:ascii="宋体" w:hAnsi="宋体" w:cs="宋体" w:eastAsia="宋体" w:hint="default"/>
                <w:spacing w:val="-3"/>
                <w:sz w:val="18"/>
                <w:szCs w:val="18"/>
              </w:rPr>
              <w:t>道歉。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、及时、充分披露相关承诺未能履行、无法履行或无法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按期履行的具体原因。</w:t>
            </w:r>
            <w:r>
              <w:rPr>
                <w:rFonts w:ascii="Times New Roman" w:hAnsi="Times New Roman" w:cs="Times New Roman" w:eastAsia="Times New Roman" w:hint="default"/>
                <w:sz w:val="18"/>
                <w:szCs w:val="18"/>
              </w:rPr>
              <w:t>3</w:t>
            </w:r>
            <w:r>
              <w:rPr>
                <w:rFonts w:ascii="宋体" w:hAnsi="宋体" w:cs="宋体" w:eastAsia="宋体" w:hint="default"/>
                <w:sz w:val="18"/>
                <w:szCs w:val="18"/>
              </w:rPr>
              <w:t>、向投资者提出补充承诺或替代承诺， </w:t>
            </w:r>
            <w:r>
              <w:rPr>
                <w:rFonts w:ascii="宋体" w:hAnsi="宋体" w:cs="宋体" w:eastAsia="宋体" w:hint="default"/>
                <w:spacing w:val="-6"/>
                <w:sz w:val="18"/>
                <w:szCs w:val="18"/>
              </w:rPr>
              <w:t>以尽可能保护投资者的权益。</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、违反承诺给投资者造成损失的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将依法对投资者进行赔偿。此外，控股股东杭州正元、实际控 </w:t>
            </w:r>
            <w:r>
              <w:rPr>
                <w:rFonts w:ascii="宋体" w:hAnsi="宋体" w:cs="宋体" w:eastAsia="宋体" w:hint="default"/>
                <w:spacing w:val="-5"/>
                <w:sz w:val="18"/>
                <w:szCs w:val="18"/>
              </w:rPr>
              <w:t>制人陈坚、持股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以上股东及全体董事、监事和高级管理人员 还承诺：因未履行相关承诺事项而获得收入的，所得的收入归 正元智慧所有，并将在获得收入的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日内将前述收入支付给正 元智慧指定账户；若因未履行上述承诺事项给正元智慧或其他 投资者造成损失的，本单位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本人将向正元智慧或其他投资者依 法承担赔偿责任。</w:t>
            </w:r>
          </w:p>
        </w:tc>
        <w:tc>
          <w:tcPr>
            <w:tcW w:w="55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03" w:lineRule="exact"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150"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7"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664" w:lineRule="exact"/>
              <w:ind w:left="17"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25.05pt;height:33.25pt;mso-position-horizontal-relative:char;mso-position-vertical-relative:line" coordorigin="0,0" coordsize="501,665">
                  <v:group style="position:absolute;left:0;top:0;width:501;height:312" coordorigin="0,0" coordsize="501,312">
                    <v:shape style="position:absolute;left:0;top:0;width:501;height:312" coordorigin="0,0" coordsize="501,312" path="m0,312l500,312,500,0,0,0,0,312xe" filled="true" fillcolor="#ffffff" stroked="false">
                      <v:path arrowok="t"/>
                      <v:fill type="solid"/>
                    </v:shape>
                  </v:group>
                  <v:group style="position:absolute;left:0;top:312;width:501;height:353" coordorigin="0,312" coordsize="501,353">
                    <v:shape style="position:absolute;left:0;top:312;width:501;height:353" coordorigin="0,312" coordsize="501,353" path="m0,665l500,665,500,312,0,312,0,665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62"/>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714" w:hRule="exact"/>
        </w:trPr>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88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其他对公</w:t>
            </w:r>
          </w:p>
        </w:tc>
        <w:tc>
          <w:tcPr>
            <w:tcW w:w="1880"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788"/>
        <w:gridCol w:w="1892"/>
        <w:gridCol w:w="421"/>
        <w:gridCol w:w="4951"/>
        <w:gridCol w:w="558"/>
        <w:gridCol w:w="557"/>
        <w:gridCol w:w="490"/>
      </w:tblGrid>
      <w:tr>
        <w:trPr>
          <w:trHeight w:val="986"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4"/>
              <w:jc w:val="both"/>
              <w:rPr>
                <w:rFonts w:ascii="宋体" w:hAnsi="宋体" w:cs="宋体" w:eastAsia="宋体" w:hint="default"/>
                <w:sz w:val="18"/>
                <w:szCs w:val="18"/>
              </w:rPr>
            </w:pPr>
            <w:r>
              <w:rPr>
                <w:rFonts w:ascii="宋体" w:hAnsi="宋体" w:cs="宋体" w:eastAsia="宋体" w:hint="default"/>
                <w:sz w:val="18"/>
                <w:szCs w:val="18"/>
              </w:rPr>
              <w:t>司中小股 东所作承 诺</w:t>
            </w:r>
          </w:p>
        </w:tc>
        <w:tc>
          <w:tcPr>
            <w:tcW w:w="1892" w:type="dxa"/>
            <w:tcBorders>
              <w:top w:val="single" w:sz="4" w:space="0" w:color="000000"/>
              <w:left w:val="single" w:sz="13" w:space="0" w:color="D2D2D2"/>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4951"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44"/>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1892" w:type="dxa"/>
            <w:vMerge w:val="restart"/>
            <w:tcBorders>
              <w:top w:val="single" w:sz="4" w:space="0" w:color="000000"/>
              <w:left w:val="single" w:sz="13" w:space="0" w:color="D2D2D2"/>
              <w:right w:val="single" w:sz="9" w:space="0" w:color="D2D2D2"/>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788" w:type="dxa"/>
            <w:vMerge/>
            <w:tcBorders>
              <w:left w:val="single" w:sz="4" w:space="0" w:color="000000"/>
              <w:right w:val="single" w:sz="4" w:space="0" w:color="000000"/>
            </w:tcBorders>
            <w:shd w:val="clear" w:color="auto" w:fill="D2D2D2"/>
          </w:tcPr>
          <w:p>
            <w:pPr/>
          </w:p>
        </w:tc>
        <w:tc>
          <w:tcPr>
            <w:tcW w:w="1892" w:type="dxa"/>
            <w:vMerge/>
            <w:tcBorders>
              <w:left w:val="single" w:sz="13" w:space="0" w:color="D2D2D2"/>
              <w:right w:val="single" w:sz="9" w:space="0" w:color="D2D2D2"/>
            </w:tcBorders>
          </w:tcPr>
          <w:p>
            <w:pPr/>
          </w:p>
        </w:tc>
        <w:tc>
          <w:tcPr>
            <w:tcW w:w="421" w:type="dxa"/>
            <w:tcBorders>
              <w:top w:val="nil" w:sz="6" w:space="0" w:color="auto"/>
              <w:left w:val="single" w:sz="4" w:space="0" w:color="000000"/>
              <w:bottom w:val="nil" w:sz="6" w:space="0" w:color="auto"/>
              <w:right w:val="single" w:sz="4" w:space="0" w:color="000000"/>
            </w:tcBorders>
            <w:shd w:val="clear" w:color="auto" w:fill="D2D2D2"/>
          </w:tcPr>
          <w:p>
            <w:pPr/>
          </w:p>
        </w:tc>
        <w:tc>
          <w:tcPr>
            <w:tcW w:w="4951" w:type="dxa"/>
            <w:tcBorders>
              <w:top w:val="nil" w:sz="6" w:space="0" w:color="auto"/>
              <w:left w:val="single" w:sz="4" w:space="0" w:color="000000"/>
              <w:bottom w:val="nil" w:sz="6" w:space="0" w:color="auto"/>
              <w:right w:val="single" w:sz="4" w:space="0" w:color="000000"/>
            </w:tcBorders>
            <w:shd w:val="clear" w:color="auto" w:fill="D2D2D2"/>
          </w:tcPr>
          <w:p>
            <w:pPr/>
          </w:p>
        </w:tc>
        <w:tc>
          <w:tcPr>
            <w:tcW w:w="558" w:type="dxa"/>
            <w:tcBorders>
              <w:top w:val="nil" w:sz="6" w:space="0" w:color="auto"/>
              <w:left w:val="single" w:sz="4" w:space="0" w:color="000000"/>
              <w:bottom w:val="nil" w:sz="6" w:space="0" w:color="auto"/>
              <w:right w:val="single" w:sz="4" w:space="0" w:color="000000"/>
            </w:tcBorders>
            <w:shd w:val="clear" w:color="auto" w:fill="D2D2D2"/>
          </w:tcPr>
          <w:p>
            <w:pPr/>
          </w:p>
        </w:tc>
        <w:tc>
          <w:tcPr>
            <w:tcW w:w="557" w:type="dxa"/>
            <w:tcBorders>
              <w:top w:val="nil" w:sz="6" w:space="0" w:color="auto"/>
              <w:left w:val="single" w:sz="4" w:space="0" w:color="000000"/>
              <w:bottom w:val="nil" w:sz="6" w:space="0" w:color="auto"/>
              <w:right w:val="single" w:sz="4" w:space="0" w:color="000000"/>
            </w:tcBorders>
            <w:shd w:val="clear" w:color="auto" w:fill="D2D2D2"/>
          </w:tcPr>
          <w:p>
            <w:pPr/>
          </w:p>
        </w:tc>
        <w:tc>
          <w:tcPr>
            <w:tcW w:w="49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788" w:type="dxa"/>
            <w:vMerge/>
            <w:tcBorders>
              <w:left w:val="single" w:sz="4" w:space="0" w:color="000000"/>
              <w:bottom w:val="single" w:sz="4" w:space="0" w:color="000000"/>
              <w:right w:val="single" w:sz="4" w:space="0" w:color="000000"/>
            </w:tcBorders>
            <w:shd w:val="clear" w:color="auto" w:fill="D2D2D2"/>
          </w:tcPr>
          <w:p>
            <w:pPr/>
          </w:p>
        </w:tc>
        <w:tc>
          <w:tcPr>
            <w:tcW w:w="1892" w:type="dxa"/>
            <w:vMerge/>
            <w:tcBorders>
              <w:left w:val="single" w:sz="13" w:space="0" w:color="D2D2D2"/>
              <w:bottom w:val="single" w:sz="4" w:space="0" w:color="000000"/>
              <w:right w:val="single" w:sz="9" w:space="0" w:color="D2D2D2"/>
            </w:tcBorders>
          </w:tcPr>
          <w:p>
            <w:pPr/>
          </w:p>
        </w:tc>
        <w:tc>
          <w:tcPr>
            <w:tcW w:w="42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134" w:right="0"/>
        <w:jc w:val="left"/>
        <w:rPr>
          <w:b w:val="0"/>
          <w:bCs w:val="0"/>
        </w:rPr>
      </w:pPr>
      <w:bookmarkStart w:name="2、公司资产或项目存在盈利预测，且报告期仍处在盈利预测期间，公司就资产或项目达到" w:id="99"/>
      <w:bookmarkEnd w:id="9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100"/>
      <w:bookmarkEnd w:id="100"/>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101"/>
      <w:bookmarkEnd w:id="101"/>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102"/>
      <w:bookmarkEnd w:id="10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103"/>
      <w:bookmarkEnd w:id="103"/>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153"/>
        <w:ind w:left="1616" w:right="0"/>
        <w:jc w:val="left"/>
      </w:pPr>
      <w:r>
        <w:rPr>
          <w:rFonts w:ascii="Times New Roman" w:hAnsi="Times New Roman" w:cs="Times New Roman" w:eastAsia="Times New Roman" w:hint="default"/>
        </w:rPr>
        <w:t>1</w:t>
      </w:r>
      <w:r>
        <w:rPr/>
        <w:t>、变更原因</w:t>
      </w:r>
    </w:p>
    <w:p>
      <w:pPr>
        <w:pStyle w:val="BodyText"/>
        <w:spacing w:line="386" w:lineRule="auto" w:before="177"/>
        <w:ind w:right="1133" w:firstLine="48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 营）》，要求自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日起在所有执行企业会计准则的企业范围内施行。对于准则施行日存在的持</w:t>
      </w:r>
      <w:r>
        <w:rPr>
          <w:spacing w:val="-34"/>
        </w:rPr>
        <w:t> </w:t>
      </w:r>
      <w:r>
        <w:rPr>
          <w:spacing w:val="-34"/>
        </w:rPr>
      </w:r>
      <w:r>
        <w:rPr/>
        <w:t>有待售的非流动资产、处置组和终止经营，采用未来适用法处理。</w:t>
      </w:r>
    </w:p>
    <w:p>
      <w:pPr>
        <w:pStyle w:val="BodyText"/>
        <w:spacing w:line="386" w:lineRule="auto" w:before="65"/>
        <w:ind w:right="1129" w:firstLine="482"/>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日，财政部对《企业会计准则第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政府补助》进行了修订，要求自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spacing w:val="-1"/>
        </w:rPr>
        <w:t>日起在所有执行企业会计准则的企业范围内施行，并要求对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日存在的政府补助采用未来适用法</w:t>
      </w:r>
      <w:r>
        <w:rPr>
          <w:spacing w:val="-83"/>
        </w:rPr>
        <w:t> </w:t>
      </w:r>
      <w:r>
        <w:rPr>
          <w:spacing w:val="-83"/>
        </w:rPr>
      </w:r>
      <w:r>
        <w:rPr/>
        <w:t>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日至准则施行日之间新增的政府补助根据修订后准则进行调整。</w:t>
      </w:r>
    </w:p>
    <w:p>
      <w:pPr>
        <w:pStyle w:val="BodyText"/>
        <w:spacing w:line="386" w:lineRule="auto" w:before="35"/>
        <w:ind w:left="1134" w:right="1133" w:firstLine="48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日，财政部发布了《财政部关于修订印发一般企业财务报表格式的通知》，对一般企业</w:t>
      </w:r>
      <w:r>
        <w:rPr/>
        <w:t> 财务报表格式进行了修订，适用于</w:t>
      </w:r>
      <w:r>
        <w:rPr>
          <w:rFonts w:ascii="Times New Roman" w:hAnsi="Times New Roman" w:cs="Times New Roman" w:eastAsia="Times New Roman" w:hint="default"/>
        </w:rPr>
        <w:t>2017</w:t>
      </w:r>
      <w:r>
        <w:rPr/>
        <w:t>年度及以后期间的财务报表。</w:t>
      </w:r>
    </w:p>
    <w:p>
      <w:pPr>
        <w:pStyle w:val="BodyText"/>
        <w:spacing w:line="240" w:lineRule="auto" w:before="35"/>
        <w:ind w:left="1616" w:right="0"/>
        <w:jc w:val="left"/>
      </w:pPr>
      <w:r>
        <w:rPr/>
        <w:t>按照上述通知及企业会计准则的规定和要求，公司对原会计政策进行相应变更。</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left="1616" w:right="3550"/>
        <w:jc w:val="left"/>
      </w:pPr>
      <w:r>
        <w:rPr>
          <w:rFonts w:ascii="Times New Roman" w:hAnsi="Times New Roman" w:cs="Times New Roman" w:eastAsia="Times New Roman" w:hint="default"/>
        </w:rPr>
        <w:t>2</w:t>
      </w:r>
      <w:r>
        <w:rPr/>
        <w:t>、本次会计政策变更对公司的影响 本次会计政策变更对公司的财务状况、经营成果和现金流量无重大影响。 </w:t>
      </w:r>
      <w:r>
        <w:rPr>
          <w:rFonts w:ascii="Times New Roman" w:hAnsi="Times New Roman" w:cs="Times New Roman" w:eastAsia="Times New Roman" w:hint="default"/>
        </w:rPr>
        <w:t>3</w:t>
      </w:r>
      <w:r>
        <w:rPr/>
        <w:t>、审批程序</w:t>
      </w:r>
    </w:p>
    <w:p>
      <w:pPr>
        <w:pStyle w:val="BodyText"/>
        <w:spacing w:line="386" w:lineRule="auto" w:before="24"/>
        <w:ind w:right="1134" w:firstLine="482"/>
        <w:jc w:val="both"/>
      </w:pPr>
      <w:r>
        <w:rPr/>
        <w:t>《关于公司会计政策变更的议案》已经公司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日召开的第二届董事会第十五次会议审议通 过和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日召开第二届董事会第十九次会议审议通过，公司独立董事对该议案发表了独立意见，</w:t>
      </w:r>
      <w:r>
        <w:rPr>
          <w:spacing w:val="-36"/>
        </w:rPr>
        <w:t> </w:t>
      </w:r>
      <w:r>
        <w:rPr>
          <w:spacing w:val="-36"/>
        </w:rPr>
      </w:r>
      <w:r>
        <w:rPr>
          <w:spacing w:val="7"/>
        </w:rPr>
        <w:t>详见公司于</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22</w:t>
      </w:r>
      <w:r>
        <w:rPr>
          <w:spacing w:val="7"/>
        </w:rPr>
        <w:t>日及</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23</w:t>
      </w:r>
      <w:r>
        <w:rPr>
          <w:spacing w:val="7"/>
        </w:rPr>
        <w:t>日在中国证券监督管理委员会指定信息披露网站巨潮资讯网</w:t>
      </w:r>
    </w:p>
    <w:p>
      <w:pPr>
        <w:pStyle w:val="BodyText"/>
        <w:spacing w:line="240" w:lineRule="auto" w:before="35"/>
        <w:ind w:right="0"/>
        <w:jc w:val="left"/>
      </w:pPr>
      <w:r>
        <w:rPr/>
        <w:t>（</w:t>
      </w:r>
      <w:hyperlink r:id="rId12">
        <w:r>
          <w:rPr>
            <w:rFonts w:ascii="Times New Roman" w:hAnsi="Times New Roman" w:cs="Times New Roman" w:eastAsia="Times New Roman" w:hint="default"/>
          </w:rPr>
          <w:t>http://www.cninfo.com.cn</w:t>
        </w:r>
      </w:hyperlink>
      <w:r>
        <w:rPr/>
        <w:t>）上披露的《关于公司会计政策变更的公告》。</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七、与上年度财务报告相比，合并报表范围发生变化的情况说明" w:id="104"/>
      <w:bookmarkEnd w:id="104"/>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75"/>
        <w:ind w:left="1553" w:right="0"/>
        <w:jc w:val="left"/>
      </w:pPr>
      <w:r>
        <w:rPr/>
        <w:t>合并范围增加</w:t>
      </w:r>
    </w:p>
    <w:p>
      <w:pPr>
        <w:spacing w:line="240" w:lineRule="auto" w:before="2"/>
        <w:rPr>
          <w:rFonts w:ascii="宋体" w:hAnsi="宋体" w:cs="宋体" w:eastAsia="宋体" w:hint="default"/>
          <w:sz w:val="13"/>
          <w:szCs w:val="13"/>
        </w:rPr>
      </w:pPr>
    </w:p>
    <w:tbl>
      <w:tblPr>
        <w:tblW w:w="0" w:type="auto"/>
        <w:jc w:val="left"/>
        <w:tblInd w:w="1126" w:type="dxa"/>
        <w:tblLayout w:type="fixed"/>
        <w:tblCellMar>
          <w:top w:w="0" w:type="dxa"/>
          <w:left w:w="0" w:type="dxa"/>
          <w:bottom w:w="0" w:type="dxa"/>
          <w:right w:w="0" w:type="dxa"/>
        </w:tblCellMar>
        <w:tblLook w:val="01E0"/>
      </w:tblPr>
      <w:tblGrid>
        <w:gridCol w:w="1701"/>
        <w:gridCol w:w="1700"/>
        <w:gridCol w:w="1943"/>
        <w:gridCol w:w="1745"/>
        <w:gridCol w:w="1700"/>
      </w:tblGrid>
      <w:tr>
        <w:trPr>
          <w:trHeight w:val="348"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23"/>
              <w:jc w:val="right"/>
              <w:rPr>
                <w:rFonts w:ascii="宋体" w:hAnsi="宋体" w:cs="宋体" w:eastAsia="宋体" w:hint="default"/>
                <w:sz w:val="21"/>
                <w:szCs w:val="21"/>
              </w:rPr>
            </w:pPr>
            <w:r>
              <w:rPr>
                <w:rFonts w:ascii="宋体" w:hAnsi="宋体" w:cs="宋体" w:eastAsia="宋体" w:hint="default"/>
                <w:sz w:val="21"/>
                <w:szCs w:val="21"/>
              </w:rPr>
              <w:t>公司名称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0"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3"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7"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23"/>
              <w:jc w:val="right"/>
              <w:rPr>
                <w:rFonts w:ascii="宋体" w:hAnsi="宋体" w:cs="宋体" w:eastAsia="宋体" w:hint="default"/>
                <w:sz w:val="21"/>
                <w:szCs w:val="21"/>
              </w:rPr>
            </w:pPr>
            <w:r>
              <w:rPr>
                <w:rFonts w:ascii="宋体" w:hAnsi="宋体" w:cs="宋体" w:eastAsia="宋体" w:hint="default"/>
                <w:sz w:val="21"/>
                <w:szCs w:val="21"/>
              </w:rPr>
              <w:t>浙江校云</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25" w:right="0"/>
              <w:jc w:val="left"/>
              <w:rPr>
                <w:rFonts w:ascii="Times New Roman" w:hAnsi="Times New Roman" w:cs="Times New Roman" w:eastAsia="Times New Roman" w:hint="default"/>
                <w:sz w:val="21"/>
                <w:szCs w:val="21"/>
              </w:rPr>
            </w:pPr>
            <w:r>
              <w:rPr>
                <w:rFonts w:ascii="Times New Roman"/>
                <w:sz w:val="21"/>
              </w:rPr>
              <w:t>2,550,000.00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35" w:right="0"/>
              <w:jc w:val="left"/>
              <w:rPr>
                <w:rFonts w:ascii="Times New Roman" w:hAnsi="Times New Roman" w:cs="Times New Roman" w:eastAsia="Times New Roman" w:hint="default"/>
                <w:sz w:val="21"/>
                <w:szCs w:val="21"/>
              </w:rPr>
            </w:pPr>
            <w:r>
              <w:rPr>
                <w:rFonts w:ascii="Times New Roman"/>
                <w:sz w:val="21"/>
              </w:rPr>
              <w:t>51.00%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left="1134" w:right="0"/>
        <w:jc w:val="left"/>
        <w:rPr>
          <w:b w:val="0"/>
          <w:bCs w:val="0"/>
        </w:rPr>
      </w:pPr>
      <w:bookmarkStart w:name="八、聘任、解聘会计师事务所情况" w:id="105"/>
      <w:bookmarkEnd w:id="105"/>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胡燕华、罗衡</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胡燕华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年、罗衡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 聘请内部控制审计会计师事务所、财务顾问或保荐人情况</w:t>
      </w:r>
    </w:p>
    <w:p>
      <w:pPr>
        <w:spacing w:before="4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106"/>
      <w:bookmarkEnd w:id="106"/>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107"/>
      <w:bookmarkEnd w:id="107"/>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公司报告期未发生破产重整相关事项。</w:t>
      </w:r>
    </w:p>
    <w:p>
      <w:pPr>
        <w:spacing w:after="0" w:line="3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重大诉讼、仲裁事项" w:id="108"/>
      <w:bookmarkEnd w:id="108"/>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109"/>
      <w:bookmarkEnd w:id="109"/>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left="1134" w:right="0"/>
        <w:jc w:val="left"/>
        <w:rPr>
          <w:b w:val="0"/>
          <w:bCs w:val="0"/>
        </w:rPr>
      </w:pPr>
      <w:bookmarkStart w:name="十三、公司及其控股股东、实际控制人的诚信状况" w:id="110"/>
      <w:bookmarkEnd w:id="110"/>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111"/>
      <w:bookmarkEnd w:id="111"/>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4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112"/>
      <w:bookmarkEnd w:id="112"/>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113"/>
      <w:bookmarkEnd w:id="11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64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公司报告期未发生与日常经营相关的关联交易。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资产或股权收购、出售发生的关联交易" w:id="114"/>
      <w:bookmarkEnd w:id="11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left="1134" w:right="0"/>
        <w:jc w:val="left"/>
        <w:rPr>
          <w:b w:val="0"/>
          <w:bCs w:val="0"/>
        </w:rPr>
      </w:pPr>
      <w:bookmarkStart w:name="3、共同对外投资的关联交易" w:id="115"/>
      <w:bookmarkEnd w:id="11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left="1134" w:right="0"/>
        <w:jc w:val="left"/>
        <w:rPr>
          <w:b w:val="0"/>
          <w:bCs w:val="0"/>
        </w:rPr>
      </w:pPr>
      <w:bookmarkStart w:name="4、关联债权债务往来" w:id="116"/>
      <w:bookmarkEnd w:id="11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117"/>
      <w:bookmarkEnd w:id="11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3"/>
        <w:jc w:val="both"/>
      </w:pPr>
      <w:r>
        <w:rPr/>
        <w:t>经公司</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14</w:t>
      </w:r>
      <w:r>
        <w:rPr/>
        <w:t>日召开的第二届董事会第十四次会议审议通过，公司与卓然实业签订房屋租赁合 </w:t>
      </w:r>
      <w:r>
        <w:rPr>
          <w:spacing w:val="-1"/>
        </w:rPr>
        <w:t>同，承租杭州市余杭区龙潭路与舒心路交叉口西北侧“智慧教育产业生态园（拟名）”办公用房，租赁面</w:t>
      </w:r>
      <w:r>
        <w:rPr>
          <w:spacing w:val="-86"/>
        </w:rPr>
        <w:t> </w:t>
      </w:r>
      <w:r>
        <w:rPr>
          <w:spacing w:val="-86"/>
        </w:rPr>
      </w:r>
      <w:r>
        <w:rPr/>
        <w:t>积</w:t>
      </w:r>
      <w:r>
        <w:rPr>
          <w:rFonts w:ascii="宋体" w:hAnsi="宋体" w:cs="宋体" w:eastAsia="宋体" w:hint="default"/>
        </w:rPr>
        <w:t>9,593.10</w:t>
      </w:r>
      <w:r>
        <w:rPr/>
        <w:t>平方米，租金为</w:t>
      </w:r>
      <w:r>
        <w:rPr>
          <w:rFonts w:ascii="宋体" w:hAnsi="宋体" w:cs="宋体" w:eastAsia="宋体" w:hint="default"/>
        </w:rPr>
        <w:t>1.5</w:t>
      </w:r>
      <w:r>
        <w:rPr/>
        <w:t>元</w:t>
      </w:r>
      <w:r>
        <w:rPr>
          <w:rFonts w:ascii="宋体" w:hAnsi="宋体" w:cs="宋体" w:eastAsia="宋体" w:hint="default"/>
        </w:rPr>
        <w:t>/</w:t>
      </w:r>
      <w:r>
        <w:rPr/>
        <w:t>平方米•天，租赁期限自办公用房装修完工后入驻之日起至</w:t>
      </w:r>
      <w:r>
        <w:rPr>
          <w:rFonts w:ascii="宋体" w:hAnsi="宋体" w:cs="宋体" w:eastAsia="宋体" w:hint="default"/>
        </w:rPr>
        <w:t>2022</w:t>
      </w:r>
      <w:r>
        <w:rPr/>
        <w:t>年</w:t>
      </w:r>
      <w:r>
        <w:rPr>
          <w:rFonts w:ascii="宋体" w:hAnsi="宋体" w:cs="宋体" w:eastAsia="宋体" w:hint="default"/>
        </w:rPr>
        <w:t>12</w:t>
      </w:r>
      <w:r>
        <w:rPr/>
        <w:t>月</w:t>
      </w:r>
      <w:r>
        <w:rPr>
          <w:spacing w:val="-32"/>
        </w:rPr>
        <w:t> </w:t>
      </w:r>
      <w:r>
        <w:rPr>
          <w:rFonts w:ascii="宋体" w:hAnsi="宋体" w:cs="宋体" w:eastAsia="宋体" w:hint="default"/>
        </w:rPr>
        <w:t>31</w:t>
      </w:r>
      <w:r>
        <w:rPr/>
        <w:t>日止，截至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日公司已预付租金</w:t>
      </w:r>
      <w:r>
        <w:rPr>
          <w:rFonts w:ascii="宋体" w:hAnsi="宋体" w:cs="宋体" w:eastAsia="宋体" w:hint="default"/>
        </w:rPr>
        <w:t>5,252,222.00</w:t>
      </w:r>
      <w:r>
        <w:rPr/>
        <w:t>元。</w:t>
      </w:r>
    </w:p>
    <w:p>
      <w:pPr>
        <w:spacing w:before="34"/>
        <w:ind w:left="1133"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关于房屋租赁暨关联交易的公告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重大合同及其履行情况" w:id="118"/>
      <w:bookmarkEnd w:id="118"/>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119"/>
      <w:bookmarkEnd w:id="11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120"/>
      <w:bookmarkEnd w:id="12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left="1134" w:right="0"/>
        <w:jc w:val="left"/>
        <w:rPr>
          <w:b w:val="0"/>
          <w:bCs w:val="0"/>
        </w:rPr>
      </w:pPr>
      <w:bookmarkStart w:name="（2）承包情况" w:id="121"/>
      <w:bookmarkEnd w:id="12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left="1134" w:right="0"/>
        <w:jc w:val="left"/>
        <w:rPr>
          <w:b w:val="0"/>
          <w:bCs w:val="0"/>
        </w:rPr>
      </w:pPr>
      <w:bookmarkStart w:name="（3）租赁情况" w:id="122"/>
      <w:bookmarkEnd w:id="12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left="1134" w:right="0"/>
        <w:jc w:val="left"/>
        <w:rPr>
          <w:b w:val="0"/>
          <w:bCs w:val="0"/>
        </w:rPr>
      </w:pPr>
      <w:bookmarkStart w:name="2、重大担保" w:id="123"/>
      <w:bookmarkEnd w:id="12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担保情况" w:id="124"/>
      <w:bookmarkEnd w:id="12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67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0" w:right="8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907"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青岛天高</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1,100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广西筑波</w:t>
            </w:r>
          </w:p>
        </w:tc>
        <w:tc>
          <w:tcPr>
            <w:tcW w:w="907"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900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广西筑波</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4,100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4,100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4,100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4,100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违规对外担保情况" w:id="125"/>
      <w:bookmarkEnd w:id="12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公司报告期无违规对外担保情况。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126"/>
      <w:bookmarkEnd w:id="12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127"/>
      <w:bookmarkEnd w:id="12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0" w:right="0"/>
        </w:sectPr>
      </w:pPr>
    </w:p>
    <w:p>
      <w:pPr>
        <w:spacing w:line="33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2935" w:space="580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13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委托理财出现预期无法收回本金或存在其他可能导致减值的情形</w:t>
      </w:r>
    </w:p>
    <w:p>
      <w:pPr>
        <w:spacing w:before="4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128"/>
      <w:bookmarkEnd w:id="12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left="1134" w:right="0"/>
        <w:jc w:val="left"/>
        <w:rPr>
          <w:b w:val="0"/>
          <w:bCs w:val="0"/>
        </w:rPr>
      </w:pPr>
      <w:bookmarkStart w:name="4、其他重大合同" w:id="129"/>
      <w:bookmarkEnd w:id="12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130"/>
      <w:bookmarkEnd w:id="130"/>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131"/>
      <w:bookmarkEnd w:id="131"/>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1017" w:firstLine="6"/>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）概述</w:t>
      </w:r>
      <w:r>
        <w:rPr>
          <w:rFonts w:ascii="宋体" w:hAnsi="宋体" w:cs="宋体" w:eastAsia="宋体" w:hint="default"/>
          <w:b/>
          <w:bCs/>
          <w:spacing w:val="1"/>
          <w:w w:val="99"/>
        </w:rPr>
        <w:t> </w:t>
      </w:r>
      <w:r>
        <w:rPr>
          <w:spacing w:val="-3"/>
        </w:rPr>
        <w:t>正元智慧一直秉承“正合奇胜、积贤培元”的企业文化，始终以建设现代企业制度，打造公开、透明、</w:t>
      </w:r>
    </w:p>
    <w:p>
      <w:pPr>
        <w:pStyle w:val="BodyText"/>
        <w:spacing w:line="408" w:lineRule="auto"/>
        <w:ind w:left="1134" w:right="0"/>
        <w:jc w:val="left"/>
      </w:pPr>
      <w:r>
        <w:rPr>
          <w:spacing w:val="-1"/>
        </w:rPr>
        <w:t>规范的上市公司为目标，努力探索，完善公司治理，与投资者建立信任共赢关系，注重保护投资者、尤其</w:t>
      </w:r>
      <w:r>
        <w:rPr>
          <w:spacing w:val="-83"/>
        </w:rPr>
        <w:t> </w:t>
      </w:r>
      <w:r>
        <w:rPr>
          <w:spacing w:val="-83"/>
        </w:rPr>
      </w:r>
      <w:r>
        <w:rPr/>
        <w:t>是中小投资者的合法权益。</w:t>
      </w:r>
    </w:p>
    <w:p>
      <w:pPr>
        <w:spacing w:line="408" w:lineRule="auto" w:before="46"/>
        <w:ind w:left="1554" w:right="0" w:firstLine="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）股东及债权人权益保护</w:t>
      </w:r>
      <w:r>
        <w:rPr>
          <w:rFonts w:ascii="宋体" w:hAnsi="宋体" w:cs="宋体" w:eastAsia="宋体" w:hint="default"/>
          <w:b/>
          <w:bCs/>
          <w:w w:val="99"/>
          <w:sz w:val="21"/>
          <w:szCs w:val="21"/>
        </w:rPr>
        <w:t> </w:t>
      </w:r>
      <w:r>
        <w:rPr>
          <w:rFonts w:ascii="宋体" w:hAnsi="宋体" w:cs="宋体" w:eastAsia="宋体" w:hint="default"/>
          <w:spacing w:val="-1"/>
          <w:sz w:val="21"/>
          <w:szCs w:val="21"/>
        </w:rPr>
        <w:t>公司严格按照《公司法》、《证券法》和中国证监会有关法律法规及公司章程等规定，依法召开股东</w:t>
      </w:r>
    </w:p>
    <w:p>
      <w:pPr>
        <w:spacing w:after="0" w:line="408" w:lineRule="auto"/>
        <w:jc w:val="left"/>
        <w:rPr>
          <w:rFonts w:ascii="宋体" w:hAnsi="宋体" w:cs="宋体" w:eastAsia="宋体" w:hint="default"/>
          <w:sz w:val="21"/>
          <w:szCs w:val="21"/>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spacing w:val="-1"/>
        </w:rPr>
        <w:t>大会，积极主动采用网络投票等方式扩大股东参与股东大会的比例。报告期内，公司不断完善法人治理结</w:t>
      </w:r>
      <w:r>
        <w:rPr>
          <w:spacing w:val="-83"/>
        </w:rPr>
        <w:t> </w:t>
      </w:r>
      <w:r>
        <w:rPr>
          <w:spacing w:val="-83"/>
        </w:rPr>
      </w:r>
      <w:r>
        <w:rPr/>
        <w:t>构，保障股东知情权、参与权及分红权的实现；不断完善内控体系及治理结构，严格履行信息披露义务， </w:t>
      </w:r>
      <w:r>
        <w:rPr>
          <w:spacing w:val="-1"/>
        </w:rPr>
        <w:t>真实、准确、完整、及时、公平地向所有股东披露信息；通过投资者电话、传真、电子邮箱和投资者关系</w:t>
      </w:r>
      <w:r>
        <w:rPr>
          <w:spacing w:val="-85"/>
        </w:rPr>
        <w:t> </w:t>
      </w:r>
      <w:r>
        <w:rPr>
          <w:spacing w:val="-85"/>
        </w:rPr>
      </w:r>
      <w:r>
        <w:rPr>
          <w:spacing w:val="-1"/>
        </w:rPr>
        <w:t>互动平台、接待投资者现场调研等多种方式与投资者进行沟通交流，建立良好的互动平台。同时，公司的</w:t>
      </w:r>
      <w:r>
        <w:rPr>
          <w:spacing w:val="-86"/>
        </w:rPr>
        <w:t> </w:t>
      </w:r>
      <w:r>
        <w:rPr>
          <w:spacing w:val="-86"/>
        </w:rPr>
      </w:r>
      <w:r>
        <w:rPr>
          <w:spacing w:val="-1"/>
        </w:rPr>
        <w:t>财务政策稳健，资产、资金安全，在维护股东利益的同时兼顾债权人的利益。报告期内公司不存在控股股</w:t>
      </w:r>
      <w:r>
        <w:rPr>
          <w:spacing w:val="-85"/>
        </w:rPr>
        <w:t> </w:t>
      </w:r>
      <w:r>
        <w:rPr>
          <w:spacing w:val="-85"/>
        </w:rPr>
      </w:r>
      <w:r>
        <w:rPr>
          <w:spacing w:val="-1"/>
        </w:rPr>
        <w:t>东及其他关联方占用公司资金的情况，也不存在以前期间发生并延续到报告期的控股股东及其他关联方占</w:t>
      </w:r>
      <w:r>
        <w:rPr>
          <w:spacing w:val="-81"/>
        </w:rPr>
        <w:t> </w:t>
      </w:r>
      <w:r>
        <w:rPr>
          <w:spacing w:val="-81"/>
        </w:rPr>
      </w:r>
      <w:r>
        <w:rPr/>
        <w:t>用公司资金的情况。报告期内，除公司控股子公司外</w:t>
      </w:r>
      <w:r>
        <w:rPr>
          <w:rFonts w:ascii="宋体" w:hAnsi="宋体" w:cs="宋体" w:eastAsia="宋体" w:hint="default"/>
        </w:rPr>
        <w:t>,</w:t>
      </w:r>
      <w:r>
        <w:rPr/>
        <w:t>公司没有为控股股东、实际控制人及其他关联方、</w:t>
      </w:r>
      <w:r>
        <w:rPr>
          <w:spacing w:val="-30"/>
        </w:rPr>
        <w:t> </w:t>
      </w:r>
      <w:r>
        <w:rPr>
          <w:spacing w:val="-30"/>
        </w:rPr>
      </w:r>
      <w:r>
        <w:rPr>
          <w:spacing w:val="-1"/>
        </w:rPr>
        <w:t>任何非法人单位或个人提供担保；控股股东、实际控制人及其他关联方也未强制公司为他人提供担保，公</w:t>
      </w:r>
      <w:r>
        <w:rPr>
          <w:spacing w:val="-83"/>
        </w:rPr>
        <w:t> </w:t>
      </w:r>
      <w:r>
        <w:rPr>
          <w:spacing w:val="-83"/>
        </w:rPr>
      </w:r>
      <w:r>
        <w:rPr/>
        <w:t>司为子公司提供担保事项的决策程序符合相关法律、法规及公司章程的规定</w:t>
      </w:r>
      <w:r>
        <w:rPr>
          <w:rFonts w:ascii="宋体" w:hAnsi="宋体" w:cs="宋体" w:eastAsia="宋体" w:hint="default"/>
        </w:rPr>
        <w:t>,</w:t>
      </w:r>
      <w:r>
        <w:rPr/>
        <w:t>不存在损害公司和中小股东</w:t>
      </w:r>
      <w:r>
        <w:rPr>
          <w:spacing w:val="-26"/>
        </w:rPr>
        <w:t> </w:t>
      </w:r>
      <w:r>
        <w:rPr>
          <w:spacing w:val="-26"/>
        </w:rPr>
      </w:r>
      <w:r>
        <w:rPr/>
        <w:t>利益的情形。</w:t>
      </w:r>
    </w:p>
    <w:p>
      <w:pPr>
        <w:pStyle w:val="BodyText"/>
        <w:spacing w:line="408" w:lineRule="auto"/>
        <w:ind w:left="1553" w:right="0" w:firstLine="6"/>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）职工权益保护</w:t>
      </w:r>
      <w:r>
        <w:rPr>
          <w:rFonts w:ascii="宋体" w:hAnsi="宋体" w:cs="宋体" w:eastAsia="宋体" w:hint="default"/>
          <w:b/>
          <w:bCs/>
          <w:w w:val="99"/>
        </w:rPr>
        <w:t> </w:t>
      </w:r>
      <w:r>
        <w:rPr>
          <w:spacing w:val="-1"/>
        </w:rPr>
        <w:t>公司严格遵守《劳动法》和《劳动合同法》，依法保护职工的合法权益。公司严格按照国家规定和标</w:t>
      </w:r>
    </w:p>
    <w:p>
      <w:pPr>
        <w:pStyle w:val="BodyText"/>
        <w:spacing w:line="408" w:lineRule="auto"/>
        <w:ind w:right="0"/>
        <w:jc w:val="left"/>
      </w:pPr>
      <w:r>
        <w:rPr>
          <w:spacing w:val="-1"/>
        </w:rPr>
        <w:t>准为员工提供福利保障；不断优化员工关怀体系，定期发放节日礼品提供更多人问关怀；注重员工自身素</w:t>
      </w:r>
      <w:r>
        <w:rPr>
          <w:spacing w:val="-83"/>
        </w:rPr>
        <w:t> </w:t>
      </w:r>
      <w:r>
        <w:rPr>
          <w:spacing w:val="-83"/>
        </w:rPr>
      </w:r>
      <w:r>
        <w:rPr/>
        <w:t>质提升，积极开展培训工作。</w:t>
      </w:r>
    </w:p>
    <w:p>
      <w:pPr>
        <w:spacing w:line="408" w:lineRule="auto" w:before="46"/>
        <w:ind w:left="1553" w:right="0" w:firstLine="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）供应商、客户权益保护</w:t>
      </w:r>
      <w:r>
        <w:rPr>
          <w:rFonts w:ascii="宋体" w:hAnsi="宋体" w:cs="宋体" w:eastAsia="宋体" w:hint="default"/>
          <w:b/>
          <w:bCs/>
          <w:w w:val="99"/>
          <w:sz w:val="21"/>
          <w:szCs w:val="21"/>
        </w:rPr>
        <w:t> </w:t>
      </w:r>
      <w:r>
        <w:rPr>
          <w:rFonts w:ascii="宋体" w:hAnsi="宋体" w:cs="宋体" w:eastAsia="宋体" w:hint="default"/>
          <w:spacing w:val="-1"/>
          <w:sz w:val="21"/>
          <w:szCs w:val="21"/>
        </w:rPr>
        <w:t>公司将诚实守信作为企业发展之基，与供应商和客户建立合作共赢的战略合作伙伴关系，与之保持长</w:t>
      </w:r>
    </w:p>
    <w:p>
      <w:pPr>
        <w:pStyle w:val="BodyText"/>
        <w:spacing w:line="240" w:lineRule="auto"/>
        <w:ind w:right="0"/>
        <w:jc w:val="both"/>
      </w:pPr>
      <w:r>
        <w:rPr/>
        <w:t>期良好的合作关系，充分尊重并保护供应商、客户的合法权益。</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2、履行精准扶贫社会责任情况" w:id="132"/>
      <w:bookmarkEnd w:id="13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精准扶贫规划" w:id="133"/>
      <w:bookmarkEnd w:id="133"/>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年度精准扶贫概要" w:id="134"/>
      <w:bookmarkEnd w:id="134"/>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3）精准扶贫成效" w:id="135"/>
      <w:bookmarkEnd w:id="135"/>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4）后续精准扶贫计划" w:id="136"/>
      <w:bookmarkEnd w:id="136"/>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环境保护相关的情况" w:id="137"/>
      <w:bookmarkEnd w:id="13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5"/>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本公司及子公司不属于排污单位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134" w:right="0"/>
        <w:jc w:val="left"/>
        <w:rPr>
          <w:b w:val="0"/>
          <w:bCs w:val="0"/>
        </w:rPr>
      </w:pPr>
      <w:bookmarkStart w:name="十八、其他重大事项的说明" w:id="138"/>
      <w:bookmarkEnd w:id="138"/>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39"/>
      <w:bookmarkEnd w:id="139"/>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3" w:right="3403"/>
        <w:jc w:val="center"/>
        <w:rPr>
          <w:b w:val="0"/>
          <w:bCs w:val="0"/>
        </w:rPr>
      </w:pPr>
      <w:bookmarkStart w:name="_TOC_250006" w:id="140"/>
      <w:bookmarkStart w:name="第六节股份变动及股东情况" w:id="141"/>
      <w:r>
        <w:rPr>
          <w:b w:val="0"/>
          <w:bCs w:val="0"/>
        </w:rPr>
      </w:r>
      <w:r>
        <w:rPr/>
        <w:t>第六节股份变动及股东情况</w:t>
      </w:r>
      <w:bookmarkEnd w:id="14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42"/>
      <w:bookmarkEnd w:id="14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43"/>
      <w:bookmarkEnd w:id="14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153"/>
        <w:gridCol w:w="878"/>
        <w:gridCol w:w="820"/>
        <w:gridCol w:w="866"/>
        <w:gridCol w:w="805"/>
        <w:gridCol w:w="805"/>
        <w:gridCol w:w="806"/>
        <w:gridCol w:w="865"/>
        <w:gridCol w:w="866"/>
        <w:gridCol w:w="791"/>
      </w:tblGrid>
      <w:tr>
        <w:trPr>
          <w:trHeight w:val="402" w:hRule="exact"/>
        </w:trPr>
        <w:tc>
          <w:tcPr>
            <w:tcW w:w="2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53" w:type="dxa"/>
            <w:vMerge w:val="restart"/>
            <w:tcBorders>
              <w:top w:val="nil" w:sz="6" w:space="0" w:color="auto"/>
              <w:left w:val="single" w:sz="4" w:space="0" w:color="000000"/>
              <w:right w:val="single" w:sz="4" w:space="0" w:color="000000"/>
            </w:tcBorders>
            <w:shd w:val="clear" w:color="auto" w:fill="D2D2D2"/>
          </w:tcPr>
          <w:p>
            <w:pPr/>
          </w:p>
        </w:tc>
        <w:tc>
          <w:tcPr>
            <w:tcW w:w="87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07" w:right="36"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53" w:type="dxa"/>
            <w:vMerge/>
            <w:tcBorders>
              <w:left w:val="single" w:sz="4" w:space="0" w:color="000000"/>
              <w:bottom w:val="nil" w:sz="6" w:space="0" w:color="auto"/>
              <w:right w:val="single" w:sz="4" w:space="0" w:color="000000"/>
            </w:tcBorders>
            <w:shd w:val="clear" w:color="auto" w:fill="D2D2D2"/>
          </w:tcPr>
          <w:p>
            <w:pP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05" w:type="dxa"/>
            <w:vMerge/>
            <w:tcBorders>
              <w:left w:val="single" w:sz="4" w:space="0" w:color="000000"/>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53" w:type="dxa"/>
            <w:vMerge w:val="restart"/>
            <w:tcBorders>
              <w:top w:val="nil" w:sz="6" w:space="0" w:color="auto"/>
              <w:left w:val="single" w:sz="4" w:space="0" w:color="000000"/>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53" w:type="dxa"/>
            <w:vMerge/>
            <w:tcBorders>
              <w:left w:val="single" w:sz="4" w:space="0" w:color="000000"/>
              <w:bottom w:val="single" w:sz="4" w:space="0" w:color="000000"/>
              <w:right w:val="single" w:sz="4" w:space="0" w:color="000000"/>
            </w:tcBorders>
            <w:shd w:val="clear" w:color="auto" w:fill="D2D2D2"/>
          </w:tcPr>
          <w:p>
            <w:pPr/>
          </w:p>
        </w:tc>
        <w:tc>
          <w:tcPr>
            <w:tcW w:w="87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47,046,475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94.09%</w:t>
            </w:r>
          </w:p>
        </w:tc>
        <w:tc>
          <w:tcPr>
            <w:tcW w:w="86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47,046,475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70.57%</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2,953,525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86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2,953,525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78" w:type="dxa"/>
            <w:tcBorders>
              <w:top w:val="single" w:sz="4" w:space="0" w:color="000000"/>
              <w:left w:val="single" w:sz="13" w:space="0" w:color="D2D2D2"/>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16,666,667</w:t>
            </w:r>
          </w:p>
        </w:tc>
        <w:tc>
          <w:tcPr>
            <w:tcW w:w="805"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16,666,667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16,666,667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78" w:type="dxa"/>
            <w:tcBorders>
              <w:top w:val="single" w:sz="4" w:space="0" w:color="000000"/>
              <w:left w:val="single" w:sz="13" w:space="0" w:color="D2D2D2"/>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16,666,667</w:t>
            </w:r>
          </w:p>
        </w:tc>
        <w:tc>
          <w:tcPr>
            <w:tcW w:w="805"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16,666,667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16,666,667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16,666,667</w:t>
            </w:r>
          </w:p>
        </w:tc>
        <w:tc>
          <w:tcPr>
            <w:tcW w:w="805"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16,666,667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66,666,667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153"/>
        <w:ind w:left="1553" w:right="0"/>
        <w:jc w:val="left"/>
      </w:pPr>
      <w:r>
        <w:rPr/>
        <w:t>根据中国证券监督管理委员会《关于核准浙江正元智慧科技股份有限公司首次公开发行股票的批复》</w:t>
      </w:r>
    </w:p>
    <w:p>
      <w:pPr>
        <w:spacing w:line="240" w:lineRule="auto" w:before="10"/>
        <w:rPr>
          <w:rFonts w:ascii="宋体" w:hAnsi="宋体" w:cs="宋体" w:eastAsia="宋体" w:hint="default"/>
          <w:sz w:val="14"/>
          <w:szCs w:val="14"/>
        </w:rPr>
      </w:pPr>
    </w:p>
    <w:p>
      <w:pPr>
        <w:pStyle w:val="BodyText"/>
        <w:spacing w:line="403" w:lineRule="auto" w:before="0"/>
        <w:ind w:right="1116"/>
        <w:jc w:val="left"/>
      </w:pPr>
      <w:r>
        <w:rPr/>
        <w:t>（证监许可</w:t>
      </w:r>
      <w:r>
        <w:rPr>
          <w:rFonts w:ascii="Times New Roman" w:hAnsi="Times New Roman" w:cs="Times New Roman" w:eastAsia="Times New Roman" w:hint="default"/>
        </w:rPr>
        <w:t>[2017]478</w:t>
      </w:r>
      <w:r>
        <w:rPr/>
        <w:t>号）的核准，向社会公众发行人民币普通股（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16,666,667</w:t>
      </w:r>
      <w:r>
        <w:rPr/>
        <w:t>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21</w:t>
      </w:r>
      <w:r>
        <w:rPr/>
        <w:t>日在深圳证券交易所创业板挂牌上市。发行后公司总股本由</w:t>
      </w:r>
      <w:r>
        <w:rPr>
          <w:rFonts w:ascii="Times New Roman" w:hAnsi="Times New Roman" w:cs="Times New Roman" w:eastAsia="Times New Roman" w:hint="default"/>
        </w:rPr>
        <w:t>50,000,000</w:t>
      </w:r>
      <w:r>
        <w:rPr/>
        <w:t>股增加至</w:t>
      </w:r>
      <w:r>
        <w:rPr>
          <w:rFonts w:ascii="Times New Roman" w:hAnsi="Times New Roman" w:cs="Times New Roman" w:eastAsia="Times New Roman" w:hint="default"/>
        </w:rPr>
        <w:t>66,666,667</w:t>
      </w:r>
      <w:r>
        <w:rPr/>
        <w:t>股。</w:t>
      </w:r>
      <w:r>
        <w:rPr>
          <w:spacing w:val="-2"/>
        </w:rPr>
        <w:t> </w:t>
      </w:r>
      <w:r>
        <w:rPr/>
        <w:t>股份变动的批准情况</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408" w:lineRule="auto" w:before="153"/>
        <w:ind w:right="1131" w:firstLine="420"/>
        <w:jc w:val="both"/>
      </w:pPr>
      <w:r>
        <w:rPr>
          <w:spacing w:val="3"/>
        </w:rPr>
        <w:t>公司经中国证券监督管理委员会《关于核准浙江正元智慧科技股份有限公司首次公开发行股票的批</w:t>
      </w:r>
      <w:r>
        <w:rPr/>
        <w:t> 复》（证监许可</w:t>
      </w:r>
      <w:r>
        <w:rPr>
          <w:rFonts w:ascii="宋体" w:hAnsi="宋体" w:cs="宋体" w:eastAsia="宋体" w:hint="default"/>
        </w:rPr>
        <w:t>[2017]478</w:t>
      </w:r>
      <w:r>
        <w:rPr/>
        <w:t>号）核准，经深圳证券交易所《关于浙江正元智慧科技股份有限公司人民币普</w:t>
      </w:r>
      <w:r>
        <w:rPr>
          <w:spacing w:val="-35"/>
        </w:rPr>
        <w:t> </w:t>
      </w:r>
      <w:r>
        <w:rPr>
          <w:spacing w:val="-35"/>
        </w:rPr>
      </w:r>
      <w:r>
        <w:rPr/>
        <w:t>通股股票在创业板上市的通知》（深证上</w:t>
      </w:r>
      <w:r>
        <w:rPr>
          <w:rFonts w:ascii="宋体" w:hAnsi="宋体" w:cs="宋体" w:eastAsia="宋体" w:hint="default"/>
        </w:rPr>
        <w:t>[2017]244</w:t>
      </w:r>
      <w:r>
        <w:rPr/>
        <w:t>号）同意，公司首次公开发行的</w:t>
      </w:r>
      <w:r>
        <w:rPr>
          <w:rFonts w:ascii="宋体" w:hAnsi="宋体" w:cs="宋体" w:eastAsia="宋体" w:hint="default"/>
        </w:rPr>
        <w:t>16,666,667</w:t>
      </w:r>
      <w:r>
        <w:rPr/>
        <w:t>股人民币</w:t>
      </w:r>
      <w:r>
        <w:rPr>
          <w:spacing w:val="-27"/>
        </w:rPr>
        <w:t> </w:t>
      </w:r>
      <w:r>
        <w:rPr>
          <w:spacing w:val="-27"/>
        </w:rPr>
      </w:r>
      <w:r>
        <w:rPr/>
        <w:t>普通股股票已于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日在深圳证券交易所创业板上市交易，证券代码</w:t>
      </w:r>
      <w:r>
        <w:rPr>
          <w:rFonts w:ascii="宋体" w:hAnsi="宋体" w:cs="宋体" w:eastAsia="宋体" w:hint="default"/>
        </w:rPr>
        <w:t>300645</w:t>
      </w:r>
      <w:r>
        <w:rPr/>
        <w:t>，证券简称：正元智</w:t>
      </w:r>
      <w:r>
        <w:rPr>
          <w:spacing w:val="-30"/>
        </w:rPr>
        <w:t> </w:t>
      </w:r>
      <w:r>
        <w:rPr>
          <w:spacing w:val="-30"/>
        </w:rPr>
      </w:r>
      <w:r>
        <w:rPr/>
        <w:t>慧。</w:t>
      </w:r>
    </w:p>
    <w:p>
      <w:pPr>
        <w:spacing w:before="34"/>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408" w:lineRule="auto" w:before="153"/>
        <w:ind w:left="1134" w:right="1129" w:firstLine="420"/>
        <w:jc w:val="both"/>
      </w:pPr>
      <w:r>
        <w:rPr/>
        <w:t>公开发行前的</w:t>
      </w:r>
      <w:r>
        <w:rPr>
          <w:rFonts w:ascii="宋体" w:hAnsi="宋体" w:cs="宋体" w:eastAsia="宋体" w:hint="default"/>
        </w:rPr>
        <w:t>50,000,000</w:t>
      </w:r>
      <w:r>
        <w:rPr/>
        <w:t>股及首次公开发行的</w:t>
      </w:r>
      <w:r>
        <w:rPr>
          <w:rFonts w:ascii="宋体" w:hAnsi="宋体" w:cs="宋体" w:eastAsia="宋体" w:hint="default"/>
        </w:rPr>
        <w:t>16,666,667</w:t>
      </w:r>
      <w:r>
        <w:rPr/>
        <w:t>股，总股本合计</w:t>
      </w:r>
      <w:r>
        <w:rPr>
          <w:rFonts w:ascii="宋体" w:hAnsi="宋体" w:cs="宋体" w:eastAsia="宋体" w:hint="default"/>
        </w:rPr>
        <w:t>66,666,667</w:t>
      </w:r>
      <w:r>
        <w:rPr/>
        <w:t>股</w:t>
      </w:r>
      <w:r>
        <w:rPr>
          <w:rFonts w:ascii="宋体" w:hAnsi="宋体" w:cs="宋体" w:eastAsia="宋体" w:hint="default"/>
        </w:rPr>
        <w:t>,</w:t>
      </w:r>
      <w:r>
        <w:rPr/>
        <w:t>已于中国证</w:t>
      </w:r>
      <w:r>
        <w:rPr>
          <w:spacing w:val="2"/>
        </w:rPr>
        <w:t> </w:t>
      </w:r>
      <w:r>
        <w:rPr/>
        <w:t>券登记结算有限责任公司深圳分公司完成证券登记手续。公司于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24</w:t>
      </w:r>
      <w:r>
        <w:rPr/>
        <w:t>日召开第二届董事会第十三</w:t>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spacing w:line="405" w:lineRule="auto" w:before="0"/>
        <w:ind w:left="1133" w:right="0" w:firstLine="0"/>
        <w:jc w:val="left"/>
        <w:rPr>
          <w:rFonts w:ascii="宋体" w:hAnsi="宋体" w:cs="宋体" w:eastAsia="宋体" w:hint="default"/>
          <w:sz w:val="18"/>
          <w:szCs w:val="18"/>
        </w:rPr>
      </w:pPr>
      <w:r>
        <w:rPr>
          <w:rFonts w:ascii="宋体" w:hAnsi="宋体" w:cs="宋体" w:eastAsia="宋体" w:hint="default"/>
          <w:spacing w:val="-1"/>
          <w:sz w:val="21"/>
          <w:szCs w:val="21"/>
        </w:rPr>
        <w:t>次会议、</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6</w:t>
      </w:r>
      <w:r>
        <w:rPr>
          <w:rFonts w:ascii="宋体" w:hAnsi="宋体" w:cs="宋体" w:eastAsia="宋体" w:hint="default"/>
          <w:spacing w:val="-1"/>
          <w:sz w:val="21"/>
          <w:szCs w:val="21"/>
        </w:rPr>
        <w:t>月</w:t>
      </w:r>
      <w:r>
        <w:rPr>
          <w:rFonts w:ascii="宋体" w:hAnsi="宋体" w:cs="宋体" w:eastAsia="宋体" w:hint="default"/>
          <w:spacing w:val="-1"/>
          <w:sz w:val="21"/>
          <w:szCs w:val="21"/>
        </w:rPr>
        <w:t>9</w:t>
      </w:r>
      <w:r>
        <w:rPr>
          <w:rFonts w:ascii="宋体" w:hAnsi="宋体" w:cs="宋体" w:eastAsia="宋体" w:hint="default"/>
          <w:spacing w:val="-1"/>
          <w:sz w:val="21"/>
          <w:szCs w:val="21"/>
        </w:rPr>
        <w:t>日召开</w:t>
      </w:r>
      <w:r>
        <w:rPr>
          <w:rFonts w:ascii="宋体" w:hAnsi="宋体" w:cs="宋体" w:eastAsia="宋体" w:hint="default"/>
          <w:spacing w:val="-1"/>
          <w:sz w:val="21"/>
          <w:szCs w:val="21"/>
        </w:rPr>
        <w:t>2017</w:t>
      </w:r>
      <w:r>
        <w:rPr>
          <w:rFonts w:ascii="宋体" w:hAnsi="宋体" w:cs="宋体" w:eastAsia="宋体" w:hint="default"/>
          <w:spacing w:val="-1"/>
          <w:sz w:val="21"/>
          <w:szCs w:val="21"/>
        </w:rPr>
        <w:t>年第一次临时股东大会，审议通过了《关于变更注册资本的议案》、《关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于修改公司章程的议案》。公司于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日办理完成工商变更相关事项并取得了浙江省工商行政管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理局核发的《营业执照》。 </w:t>
      </w: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242" w:lineRule="exact"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405" w:lineRule="auto" w:before="153"/>
        <w:ind w:right="0" w:firstLine="420"/>
        <w:jc w:val="left"/>
        <w:rPr>
          <w:sz w:val="18"/>
          <w:szCs w:val="18"/>
        </w:rPr>
      </w:pPr>
      <w:r>
        <w:rPr>
          <w:spacing w:val="17"/>
        </w:rPr>
        <w:t>本次公开发行的</w:t>
      </w:r>
      <w:r>
        <w:rPr>
          <w:spacing w:val="-83"/>
        </w:rPr>
        <w:t> </w:t>
      </w:r>
      <w:r>
        <w:rPr>
          <w:rFonts w:ascii="宋体" w:hAnsi="宋体" w:cs="宋体" w:eastAsia="宋体" w:hint="default"/>
        </w:rPr>
        <w:t>1,666.6667</w:t>
      </w:r>
      <w:r>
        <w:rPr>
          <w:rFonts w:ascii="宋体" w:hAnsi="宋体" w:cs="宋体" w:eastAsia="宋体" w:hint="default"/>
          <w:spacing w:val="-84"/>
        </w:rPr>
        <w:t> </w:t>
      </w:r>
      <w:r>
        <w:rPr>
          <w:spacing w:val="16"/>
        </w:rPr>
        <w:t>万股股票于</w:t>
      </w:r>
      <w:r>
        <w:rPr>
          <w:spacing w:val="-85"/>
        </w:rPr>
        <w:t> </w:t>
      </w:r>
      <w:r>
        <w:rPr>
          <w:rFonts w:ascii="宋体" w:hAnsi="宋体" w:cs="宋体" w:eastAsia="宋体" w:hint="default"/>
        </w:rPr>
        <w:t>2017</w:t>
      </w:r>
      <w:r>
        <w:rPr>
          <w:rFonts w:ascii="宋体" w:hAnsi="宋体" w:cs="宋体" w:eastAsia="宋体" w:hint="default"/>
          <w:spacing w:val="-84"/>
        </w:rPr>
        <w:t> </w:t>
      </w:r>
      <w:r>
        <w:rPr/>
        <w:t>年</w:t>
      </w:r>
      <w:r>
        <w:rPr>
          <w:spacing w:val="-85"/>
        </w:rPr>
        <w:t> </w:t>
      </w:r>
      <w:r>
        <w:rPr>
          <w:rFonts w:ascii="宋体" w:hAnsi="宋体" w:cs="宋体" w:eastAsia="宋体" w:hint="default"/>
        </w:rPr>
        <w:t>4</w:t>
      </w:r>
      <w:r>
        <w:rPr>
          <w:rFonts w:ascii="宋体" w:hAnsi="宋体" w:cs="宋体" w:eastAsia="宋体" w:hint="default"/>
          <w:spacing w:val="-84"/>
        </w:rPr>
        <w:t> </w:t>
      </w:r>
      <w:r>
        <w:rPr/>
        <w:t>月</w:t>
      </w:r>
      <w:r>
        <w:rPr>
          <w:spacing w:val="-85"/>
        </w:rPr>
        <w:t> </w:t>
      </w:r>
      <w:r>
        <w:rPr>
          <w:rFonts w:ascii="宋体" w:hAnsi="宋体" w:cs="宋体" w:eastAsia="宋体" w:hint="default"/>
        </w:rPr>
        <w:t>21</w:t>
      </w:r>
      <w:r>
        <w:rPr>
          <w:rFonts w:ascii="宋体" w:hAnsi="宋体" w:cs="宋体" w:eastAsia="宋体" w:hint="default"/>
          <w:spacing w:val="-84"/>
        </w:rPr>
        <w:t> </w:t>
      </w:r>
      <w:r>
        <w:rPr>
          <w:spacing w:val="17"/>
        </w:rPr>
        <w:t>日起上市交易</w:t>
      </w:r>
      <w:r>
        <w:rPr>
          <w:rFonts w:ascii="宋体" w:hAnsi="宋体" w:cs="宋体" w:eastAsia="宋体" w:hint="default"/>
          <w:spacing w:val="17"/>
        </w:rPr>
        <w:t>,</w:t>
      </w:r>
      <w:r>
        <w:rPr>
          <w:rFonts w:ascii="宋体" w:hAnsi="宋体" w:cs="宋体" w:eastAsia="宋体" w:hint="default"/>
          <w:spacing w:val="-83"/>
        </w:rPr>
        <w:t> </w:t>
      </w:r>
      <w:r>
        <w:rPr>
          <w:spacing w:val="15"/>
        </w:rPr>
        <w:t>总股本由</w:t>
      </w:r>
      <w:r>
        <w:rPr>
          <w:spacing w:val="-84"/>
        </w:rPr>
        <w:t> </w:t>
      </w:r>
      <w:r>
        <w:rPr>
          <w:rFonts w:ascii="宋体" w:hAnsi="宋体" w:cs="宋体" w:eastAsia="宋体" w:hint="default"/>
        </w:rPr>
        <w:t>5,000</w:t>
      </w:r>
      <w:r>
        <w:rPr>
          <w:rFonts w:ascii="宋体" w:hAnsi="宋体" w:cs="宋体" w:eastAsia="宋体" w:hint="default"/>
          <w:spacing w:val="-84"/>
        </w:rPr>
        <w:t> </w:t>
      </w:r>
      <w:r>
        <w:rPr>
          <w:spacing w:val="16"/>
        </w:rPr>
        <w:t>万股增加至</w:t>
      </w:r>
      <w:r>
        <w:rPr/>
        <w:t> </w:t>
      </w:r>
      <w:r>
        <w:rPr>
          <w:rFonts w:ascii="宋体" w:hAnsi="宋体" w:cs="宋体" w:eastAsia="宋体" w:hint="default"/>
        </w:rPr>
        <w:t>6,666.6667</w:t>
      </w:r>
      <w:r>
        <w:rPr/>
        <w:t>万股。本次股份变动</w:t>
      </w:r>
      <w:r>
        <w:rPr>
          <w:rFonts w:ascii="宋体" w:hAnsi="宋体" w:cs="宋体" w:eastAsia="宋体" w:hint="default"/>
        </w:rPr>
        <w:t>,</w:t>
      </w:r>
      <w:r>
        <w:rPr/>
        <w:t>对公司最近一期的基本每股收益、稀释每股收益及归属于公司普通股股</w:t>
      </w:r>
      <w:r>
        <w:rPr>
          <w:spacing w:val="-34"/>
        </w:rPr>
        <w:t> </w:t>
      </w:r>
      <w:r>
        <w:rPr>
          <w:spacing w:val="-34"/>
        </w:rPr>
      </w:r>
      <w:r>
        <w:rPr/>
        <w:t>东的每股净资产等财务指标的影响情况如下：报告期公司基本每股收益、稀释每股收益均为</w:t>
      </w:r>
      <w:r>
        <w:rPr>
          <w:rFonts w:ascii="宋体" w:hAnsi="宋体" w:cs="宋体" w:eastAsia="宋体" w:hint="default"/>
        </w:rPr>
        <w:t>0.69</w:t>
      </w:r>
      <w:r>
        <w:rPr/>
        <w:t>元</w:t>
      </w:r>
      <w:r>
        <w:rPr>
          <w:rFonts w:ascii="宋体" w:hAnsi="宋体" w:cs="宋体" w:eastAsia="宋体" w:hint="default"/>
        </w:rPr>
        <w:t>/</w:t>
      </w:r>
      <w:r>
        <w:rPr/>
        <w:t>股，</w:t>
      </w:r>
      <w:r>
        <w:rPr>
          <w:spacing w:val="-24"/>
        </w:rPr>
        <w:t> </w:t>
      </w:r>
      <w:r>
        <w:rPr/>
        <w:t>比去年同期下降</w:t>
      </w:r>
      <w:r>
        <w:rPr>
          <w:rFonts w:ascii="宋体" w:hAnsi="宋体" w:cs="宋体" w:eastAsia="宋体" w:hint="default"/>
        </w:rPr>
        <w:t>25.00%</w:t>
      </w:r>
      <w:r>
        <w:rPr/>
        <w:t>；归属于公司普通股东的每股净资产为</w:t>
      </w:r>
      <w:r>
        <w:rPr>
          <w:rFonts w:ascii="宋体" w:hAnsi="宋体" w:cs="宋体" w:eastAsia="宋体" w:hint="default"/>
        </w:rPr>
        <w:t>8.17</w:t>
      </w:r>
      <w:r>
        <w:rPr/>
        <w:t>元</w:t>
      </w:r>
      <w:r>
        <w:rPr>
          <w:rFonts w:ascii="宋体" w:hAnsi="宋体" w:cs="宋体" w:eastAsia="宋体" w:hint="default"/>
        </w:rPr>
        <w:t>/</w:t>
      </w:r>
      <w:r>
        <w:rPr/>
        <w:t>股，比去年同期增长</w:t>
      </w:r>
      <w:r>
        <w:rPr>
          <w:rFonts w:ascii="宋体" w:hAnsi="宋体" w:cs="宋体" w:eastAsia="宋体" w:hint="default"/>
        </w:rPr>
        <w:t>19.10%</w:t>
      </w:r>
      <w:r>
        <w:rPr/>
        <w:t>。 </w:t>
      </w:r>
      <w:r>
        <w:rPr>
          <w:sz w:val="18"/>
          <w:szCs w:val="18"/>
        </w:rPr>
        <w:t>公司认为必要或证券监管机构要求披露的其他内容</w:t>
      </w:r>
    </w:p>
    <w:p>
      <w:pPr>
        <w:spacing w:line="242" w:lineRule="exact"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44"/>
      <w:bookmarkEnd w:id="14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553"/>
        <w:gridCol w:w="850"/>
        <w:gridCol w:w="851"/>
        <w:gridCol w:w="1134"/>
        <w:gridCol w:w="992"/>
        <w:gridCol w:w="1701"/>
        <w:gridCol w:w="1489"/>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杭州正元企业管理咨询有限公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19,305,588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19,305,588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杭州易康投资管理有限公司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4,592,996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4,592,996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杭州正浩投资管理有限公司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3,186,106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3,186,106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博信优选（天津）股权投资基金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合伙企业（有限合伙）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浙江合力创业投资有限公司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2,832,565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2,832,565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浙江盈瓯创业投资有限公司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2,230,589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2,230,589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1,941,980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1,941,980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浙江连连投资有限公司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青岛金石灏纳投资有限公司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浙江海宁嘉慧投资合伙企业（有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1,745,000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杭州乾盈投资管理有限公司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1,741,363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1,741,363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2"/>
                <w:sz w:val="18"/>
                <w:szCs w:val="18"/>
              </w:rPr>
              <w:t>新余鼎峰鲲鹏投资管理中心（有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杭州金础创业投资合伙企业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1,357,268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1,357,268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553"/>
        <w:gridCol w:w="850"/>
        <w:gridCol w:w="851"/>
        <w:gridCol w:w="1134"/>
        <w:gridCol w:w="992"/>
        <w:gridCol w:w="1701"/>
        <w:gridCol w:w="1489"/>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1,011,545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1,011,545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杭州盈沛投资合伙企业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杭州文诚创业投资有限公司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首次公开发行限售股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45"/>
      <w:bookmarkEnd w:id="14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46"/>
      <w:bookmarkEnd w:id="14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16,666,667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16,666,667</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2"/>
        <w:rPr>
          <w:rFonts w:ascii="宋体" w:hAnsi="宋体" w:cs="宋体" w:eastAsia="宋体" w:hint="default"/>
          <w:sz w:val="12"/>
          <w:szCs w:val="12"/>
        </w:rPr>
      </w:pPr>
    </w:p>
    <w:p>
      <w:pPr>
        <w:pStyle w:val="BodyText"/>
        <w:spacing w:line="393" w:lineRule="auto" w:before="0"/>
        <w:ind w:right="0" w:firstLine="423"/>
        <w:jc w:val="left"/>
      </w:pPr>
      <w:r>
        <w:rPr/>
        <w:t>公司经中国证券监督管理委员会《关于核准浙江正元智慧科技股份有限公司首次公开发行股票的批 </w:t>
      </w:r>
      <w:r>
        <w:rPr>
          <w:spacing w:val="-2"/>
        </w:rPr>
        <w:t>复》（证监许可</w:t>
      </w:r>
      <w:r>
        <w:rPr>
          <w:rFonts w:ascii="Times New Roman" w:hAnsi="Times New Roman" w:cs="Times New Roman" w:eastAsia="Times New Roman" w:hint="default"/>
          <w:spacing w:val="-2"/>
        </w:rPr>
        <w:t>[2017]478</w:t>
      </w:r>
      <w:r>
        <w:rPr>
          <w:spacing w:val="-2"/>
        </w:rPr>
        <w:t>号）核准，经深圳证券交易所《关于浙江正元智慧科技股份有限公司人民币普通</w:t>
      </w:r>
      <w:r>
        <w:rPr>
          <w:spacing w:val="-63"/>
        </w:rPr>
        <w:t> </w:t>
      </w:r>
      <w:r>
        <w:rPr>
          <w:spacing w:val="-63"/>
        </w:rPr>
      </w:r>
      <w:r>
        <w:rPr/>
        <w:t>股股票在创业板上市的通知》（深证上</w:t>
      </w:r>
      <w:r>
        <w:rPr>
          <w:rFonts w:ascii="Times New Roman" w:hAnsi="Times New Roman" w:cs="Times New Roman" w:eastAsia="Times New Roman" w:hint="default"/>
        </w:rPr>
        <w:t>[2017]244</w:t>
      </w:r>
      <w:r>
        <w:rPr/>
        <w:t>号）同意，公司首次公开发行的</w:t>
      </w:r>
      <w:r>
        <w:rPr>
          <w:rFonts w:ascii="Times New Roman" w:hAnsi="Times New Roman" w:cs="Times New Roman" w:eastAsia="Times New Roman" w:hint="default"/>
        </w:rPr>
        <w:t>16,666,667</w:t>
      </w:r>
      <w:r>
        <w:rPr/>
        <w:t>股人民币普通 股股票已于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日在深圳证券交易所创业板上市交易，证券代码</w:t>
      </w:r>
      <w:r>
        <w:rPr>
          <w:rFonts w:ascii="Times New Roman" w:hAnsi="Times New Roman" w:cs="Times New Roman" w:eastAsia="Times New Roman" w:hint="default"/>
        </w:rPr>
        <w:t>300645</w:t>
      </w:r>
      <w:r>
        <w:rPr/>
        <w:t>，证券简称：正元智慧。</w:t>
      </w:r>
    </w:p>
    <w:p>
      <w:pPr>
        <w:spacing w:line="240" w:lineRule="auto" w:before="3"/>
        <w:rPr>
          <w:rFonts w:ascii="宋体" w:hAnsi="宋体" w:cs="宋体" w:eastAsia="宋体" w:hint="default"/>
          <w:sz w:val="19"/>
          <w:szCs w:val="19"/>
        </w:rPr>
      </w:pPr>
    </w:p>
    <w:p>
      <w:pPr>
        <w:pStyle w:val="Heading4"/>
        <w:spacing w:line="240" w:lineRule="auto"/>
        <w:ind w:left="1134" w:right="0"/>
        <w:jc w:val="left"/>
        <w:rPr>
          <w:b w:val="0"/>
          <w:bCs w:val="0"/>
        </w:rPr>
      </w:pPr>
      <w:bookmarkStart w:name="2、公司股份总数及股东结构的变动、公司资产和负债结构的变动情况说明" w:id="147"/>
      <w:bookmarkEnd w:id="14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153"/>
        <w:ind w:left="1553" w:right="0"/>
        <w:jc w:val="left"/>
      </w:pPr>
      <w:r>
        <w:rPr/>
        <w:t>根据中国证券监督管理委员会《关于核准浙江正元智慧科技股份有限公司首次公开发行股票的批复》</w:t>
      </w:r>
    </w:p>
    <w:p>
      <w:pPr>
        <w:spacing w:line="240" w:lineRule="auto" w:before="10"/>
        <w:rPr>
          <w:rFonts w:ascii="宋体" w:hAnsi="宋体" w:cs="宋体" w:eastAsia="宋体" w:hint="default"/>
          <w:sz w:val="14"/>
          <w:szCs w:val="14"/>
        </w:rPr>
      </w:pPr>
    </w:p>
    <w:p>
      <w:pPr>
        <w:pStyle w:val="BodyText"/>
        <w:spacing w:line="386" w:lineRule="auto" w:before="0"/>
        <w:ind w:left="1134" w:right="1115"/>
        <w:jc w:val="left"/>
      </w:pPr>
      <w:r>
        <w:rPr/>
        <w:t>（证监许可</w:t>
      </w:r>
      <w:r>
        <w:rPr>
          <w:rFonts w:ascii="Times New Roman" w:hAnsi="Times New Roman" w:cs="Times New Roman" w:eastAsia="Times New Roman" w:hint="default"/>
        </w:rPr>
        <w:t>[2017]478</w:t>
      </w:r>
      <w:r>
        <w:rPr/>
        <w:t>号）的核准，向社会公众发行人民币普通股（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16,666,667</w:t>
      </w:r>
      <w:r>
        <w:rPr/>
        <w:t>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21</w:t>
      </w:r>
      <w:r>
        <w:rPr/>
        <w:t>日在深圳证券交易所创业板上市。公开发行后公司总股本由</w:t>
      </w:r>
      <w:r>
        <w:rPr>
          <w:rFonts w:ascii="Times New Roman" w:hAnsi="Times New Roman" w:cs="Times New Roman" w:eastAsia="Times New Roman" w:hint="default"/>
        </w:rPr>
        <w:t>50,000,000</w:t>
      </w:r>
      <w:r>
        <w:rPr/>
        <w:t>股增加至</w:t>
      </w:r>
      <w:r>
        <w:rPr>
          <w:rFonts w:ascii="Times New Roman" w:hAnsi="Times New Roman" w:cs="Times New Roman" w:eastAsia="Times New Roman" w:hint="default"/>
        </w:rPr>
        <w:t>66,666,667</w:t>
      </w:r>
      <w:r>
        <w:rPr/>
        <w:t>股。</w:t>
      </w:r>
    </w:p>
    <w:p>
      <w:pPr>
        <w:pStyle w:val="BodyText"/>
        <w:spacing w:line="240" w:lineRule="auto" w:before="35"/>
        <w:ind w:left="1553"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2017</w:t>
      </w:r>
      <w:r>
        <w:rPr>
          <w:spacing w:val="-3"/>
        </w:rPr>
        <w:t>年末，公司总资产为</w:t>
      </w:r>
      <w:r>
        <w:rPr>
          <w:rFonts w:ascii="Times New Roman" w:hAnsi="Times New Roman" w:cs="Times New Roman" w:eastAsia="Times New Roman" w:hint="default"/>
          <w:spacing w:val="-3"/>
        </w:rPr>
        <w:t>818,488,938.16</w:t>
      </w:r>
      <w:r>
        <w:rPr>
          <w:spacing w:val="-3"/>
        </w:rPr>
        <w:t>元，较</w:t>
      </w:r>
      <w:r>
        <w:rPr>
          <w:rFonts w:ascii="Times New Roman" w:hAnsi="Times New Roman" w:cs="Times New Roman" w:eastAsia="Times New Roman" w:hint="default"/>
          <w:spacing w:val="-3"/>
        </w:rPr>
        <w:t>2016</w:t>
      </w:r>
      <w:r>
        <w:rPr>
          <w:spacing w:val="-3"/>
        </w:rPr>
        <w:t>年末增长</w:t>
      </w:r>
      <w:r>
        <w:rPr>
          <w:rFonts w:ascii="Times New Roman" w:hAnsi="Times New Roman" w:cs="Times New Roman" w:eastAsia="Times New Roman" w:hint="default"/>
          <w:spacing w:val="-3"/>
        </w:rPr>
        <w:t>43.27%</w:t>
      </w:r>
      <w:r>
        <w:rPr>
          <w:spacing w:val="-3"/>
        </w:rPr>
        <w:t>；负债为</w:t>
      </w:r>
      <w:r>
        <w:rPr>
          <w:rFonts w:ascii="Times New Roman" w:hAnsi="Times New Roman" w:cs="Times New Roman" w:eastAsia="Times New Roman" w:hint="default"/>
          <w:spacing w:val="-3"/>
        </w:rPr>
        <w:t>260,325,694.57</w:t>
      </w:r>
      <w:r>
        <w:rPr>
          <w:spacing w:val="-3"/>
        </w:rPr>
        <w:t>元，较</w:t>
      </w:r>
      <w:r>
        <w:rPr>
          <w:rFonts w:ascii="Times New Roman" w:hAnsi="Times New Roman" w:cs="Times New Roman" w:eastAsia="Times New Roman" w:hint="default"/>
          <w:spacing w:val="-3"/>
        </w:rPr>
        <w:t>2016</w:t>
      </w:r>
    </w:p>
    <w:p>
      <w:pPr>
        <w:pStyle w:val="BodyText"/>
        <w:spacing w:line="240" w:lineRule="auto" w:before="177"/>
        <w:ind w:left="1134" w:right="0"/>
        <w:jc w:val="left"/>
      </w:pPr>
      <w:r>
        <w:rPr/>
        <w:t>年末增长</w:t>
      </w:r>
      <w:r>
        <w:rPr>
          <w:rFonts w:ascii="Times New Roman" w:hAnsi="Times New Roman" w:cs="Times New Roman" w:eastAsia="Times New Roman" w:hint="default"/>
        </w:rPr>
        <w:t>20.31%</w:t>
      </w:r>
      <w:r>
        <w:rPr/>
        <w:t>；所有者权益为</w:t>
      </w:r>
      <w:r>
        <w:rPr>
          <w:rFonts w:ascii="Times New Roman" w:hAnsi="Times New Roman" w:cs="Times New Roman" w:eastAsia="Times New Roman" w:hint="default"/>
        </w:rPr>
        <w:t>558,163,243.59</w:t>
      </w:r>
      <w:r>
        <w:rPr/>
        <w:t>元，较</w:t>
      </w:r>
      <w:r>
        <w:rPr>
          <w:rFonts w:ascii="Times New Roman" w:hAnsi="Times New Roman" w:cs="Times New Roman" w:eastAsia="Times New Roman" w:hint="default"/>
        </w:rPr>
        <w:t>2016</w:t>
      </w:r>
      <w:r>
        <w:rPr/>
        <w:t>年末增长</w:t>
      </w:r>
      <w:r>
        <w:rPr>
          <w:rFonts w:ascii="Times New Roman" w:hAnsi="Times New Roman" w:cs="Times New Roman" w:eastAsia="Times New Roman" w:hint="default"/>
        </w:rPr>
        <w:t>57.27%</w:t>
      </w:r>
      <w:r>
        <w:rPr/>
        <w:t>。</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bookmarkStart w:name="3、现存的内部职工股情况" w:id="148"/>
      <w:bookmarkEnd w:id="14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49"/>
      <w:bookmarkEnd w:id="14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50"/>
      <w:bookmarkEnd w:id="15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449.277008pt;margin-top:70.491699pt;width:85.6pt;height:31.2pt;mso-position-horizontal-relative:page;mso-position-vertical-relative:paragraph;z-index:-94945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0.491699pt;width:52.45pt;height:31.2pt;mso-position-horizontal-relative:page;mso-position-vertical-relative:paragraph;z-index:-949432"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05"/>
        <w:gridCol w:w="836"/>
        <w:gridCol w:w="694"/>
        <w:gridCol w:w="789"/>
        <w:gridCol w:w="1054"/>
        <w:gridCol w:w="121"/>
        <w:gridCol w:w="731"/>
        <w:gridCol w:w="575"/>
        <w:gridCol w:w="416"/>
        <w:gridCol w:w="671"/>
        <w:gridCol w:w="181"/>
        <w:gridCol w:w="1125"/>
        <w:gridCol w:w="151"/>
        <w:gridCol w:w="920"/>
      </w:tblGrid>
      <w:tr>
        <w:trPr>
          <w:trHeight w:val="162"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83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10,202</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10,994</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51" w:type="dxa"/>
            <w:tcBorders>
              <w:top w:val="single" w:sz="4" w:space="0" w:color="000000"/>
              <w:left w:val="single" w:sz="13" w:space="0" w:color="D2D2D2"/>
              <w:bottom w:val="nil" w:sz="6" w:space="0" w:color="auto"/>
              <w:right w:val="nil" w:sz="6" w:space="0" w:color="auto"/>
            </w:tcBorders>
          </w:tcPr>
          <w:p>
            <w:pPr/>
          </w:p>
        </w:tc>
        <w:tc>
          <w:tcPr>
            <w:tcW w:w="920"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val="restart"/>
            <w:tcBorders>
              <w:top w:val="nil" w:sz="6" w:space="0" w:color="auto"/>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6" w:type="dxa"/>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51" w:type="dxa"/>
            <w:vMerge/>
            <w:tcBorders>
              <w:left w:val="single" w:sz="13" w:space="0" w:color="D2D2D2"/>
              <w:right w:val="nil" w:sz="6" w:space="0" w:color="auto"/>
            </w:tcBorders>
          </w:tcPr>
          <w:p>
            <w:pPr/>
          </w:p>
        </w:tc>
        <w:tc>
          <w:tcPr>
            <w:tcW w:w="920"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51" w:type="dxa"/>
            <w:vMerge/>
            <w:tcBorders>
              <w:left w:val="single" w:sz="13" w:space="0" w:color="D2D2D2"/>
              <w:bottom w:val="single" w:sz="4" w:space="0" w:color="000000"/>
              <w:right w:val="nil" w:sz="6" w:space="0" w:color="auto"/>
            </w:tcBorders>
          </w:tcPr>
          <w:p>
            <w:pPr/>
          </w:p>
        </w:tc>
        <w:tc>
          <w:tcPr>
            <w:tcW w:w="920"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531" w:type="dxa"/>
            <w:gridSpan w:val="2"/>
            <w:vMerge w:val="restart"/>
            <w:tcBorders>
              <w:top w:val="single" w:sz="4" w:space="0" w:color="000000"/>
              <w:left w:val="single" w:sz="4" w:space="0" w:color="000000"/>
              <w:right w:val="single" w:sz="4" w:space="0" w:color="000000"/>
            </w:tcBorders>
            <w:shd w:val="clear" w:color="auto" w:fill="D2D2D2"/>
          </w:tcPr>
          <w:p>
            <w:pPr/>
          </w:p>
        </w:tc>
        <w:tc>
          <w:tcPr>
            <w:tcW w:w="789"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1"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6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531" w:type="dxa"/>
            <w:gridSpan w:val="2"/>
            <w:vMerge/>
            <w:tcBorders>
              <w:left w:val="single" w:sz="4" w:space="0" w:color="000000"/>
              <w:bottom w:val="nil" w:sz="6" w:space="0" w:color="auto"/>
              <w:right w:val="single" w:sz="4" w:space="0" w:color="000000"/>
            </w:tcBorders>
            <w:shd w:val="clear" w:color="auto" w:fill="D2D2D2"/>
          </w:tcPr>
          <w:p>
            <w:pPr/>
          </w:p>
        </w:tc>
        <w:tc>
          <w:tcPr>
            <w:tcW w:w="789"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3" w:right="48"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196" w:type="dxa"/>
            <w:gridSpan w:val="3"/>
            <w:vMerge/>
            <w:tcBorders>
              <w:left w:val="single" w:sz="4" w:space="0" w:color="000000"/>
              <w:right w:val="single" w:sz="4" w:space="0" w:color="000000"/>
            </w:tcBorders>
            <w:shd w:val="clear" w:color="auto" w:fill="D2D2D2"/>
          </w:tcPr>
          <w:p>
            <w:pPr/>
          </w:p>
        </w:tc>
      </w:tr>
      <w:tr>
        <w:trPr>
          <w:trHeight w:val="140" w:hRule="exact"/>
        </w:trPr>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3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196"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531" w:type="dxa"/>
            <w:gridSpan w:val="2"/>
            <w:vMerge/>
            <w:tcBorders>
              <w:left w:val="single" w:sz="4" w:space="0" w:color="000000"/>
              <w:bottom w:val="nil" w:sz="6" w:space="0" w:color="auto"/>
              <w:right w:val="single" w:sz="4" w:space="0" w:color="000000"/>
            </w:tcBorders>
            <w:shd w:val="clear" w:color="auto" w:fill="D2D2D2"/>
          </w:tcPr>
          <w:p>
            <w:pPr/>
          </w:p>
        </w:tc>
        <w:tc>
          <w:tcPr>
            <w:tcW w:w="789"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1531" w:type="dxa"/>
            <w:gridSpan w:val="2"/>
            <w:vMerge w:val="restart"/>
            <w:tcBorders>
              <w:top w:val="nil" w:sz="6" w:space="0" w:color="auto"/>
              <w:left w:val="single" w:sz="4" w:space="0" w:color="000000"/>
              <w:right w:val="single" w:sz="4" w:space="0" w:color="000000"/>
            </w:tcBorders>
            <w:shd w:val="clear" w:color="auto" w:fill="D2D2D2"/>
          </w:tcPr>
          <w:p>
            <w:pPr/>
          </w:p>
        </w:tc>
        <w:tc>
          <w:tcPr>
            <w:tcW w:w="789"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1531" w:type="dxa"/>
            <w:gridSpan w:val="2"/>
            <w:vMerge/>
            <w:tcBorders>
              <w:left w:val="single" w:sz="4" w:space="0" w:color="000000"/>
              <w:bottom w:val="single" w:sz="4" w:space="0" w:color="000000"/>
              <w:right w:val="single" w:sz="4" w:space="0" w:color="000000"/>
            </w:tcBorders>
            <w:shd w:val="clear" w:color="auto" w:fill="D2D2D2"/>
          </w:tcPr>
          <w:p>
            <w:pPr/>
          </w:p>
        </w:tc>
        <w:tc>
          <w:tcPr>
            <w:tcW w:w="789"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28.96%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19,305,588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19,305,588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z w:val="18"/>
              </w:rPr>
              <w:t>12,027,600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6.89%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4,592,996</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4,592,996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3,186,106</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3,186,106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博信优选</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3,000,000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合力创投</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2,832,565</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2,832,565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盈瓯创投</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2,230,589</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2,230,589</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2.91%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1,941,980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1,941,980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连连投资</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2.70%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1,800,000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青岛金石</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2.62%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1,750,000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海宁嘉慧</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2.62%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1,745,000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1,745,000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33"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8" w:hRule="exact"/>
        </w:trPr>
        <w:tc>
          <w:tcPr>
            <w:tcW w:w="283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33" w:type="dxa"/>
            <w:gridSpan w:val="11"/>
            <w:vMerge w:val="restart"/>
            <w:tcBorders>
              <w:top w:val="single" w:sz="4" w:space="0" w:color="000000"/>
              <w:left w:val="single" w:sz="9" w:space="0" w:color="D2D2D2"/>
              <w:right w:val="single" w:sz="4" w:space="0" w:color="000000"/>
            </w:tcBorders>
          </w:tcPr>
          <w:p>
            <w:pPr>
              <w:pStyle w:val="TableParagraph"/>
              <w:spacing w:line="300" w:lineRule="auto" w:before="52"/>
              <w:ind w:left="16" w:right="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）杭州正元控股股东陈坚和李琳为夫妻关系，根据其声明李琳女士为陈坚先生的一</w:t>
            </w:r>
            <w:r>
              <w:rPr>
                <w:rFonts w:ascii="宋体" w:hAnsi="宋体" w:cs="宋体" w:eastAsia="宋体" w:hint="default"/>
                <w:sz w:val="18"/>
                <w:szCs w:val="18"/>
              </w:rPr>
              <w:t> </w:t>
            </w:r>
            <w:r>
              <w:rPr>
                <w:rFonts w:ascii="宋体" w:hAnsi="宋体" w:cs="宋体" w:eastAsia="宋体" w:hint="default"/>
                <w:spacing w:val="-3"/>
                <w:sz w:val="18"/>
                <w:szCs w:val="18"/>
              </w:rPr>
              <w:t>致行动人；（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）易康投资和正浩投资均系为实施员工股权激励而设立的持股公司，部</w:t>
            </w:r>
            <w:r>
              <w:rPr>
                <w:rFonts w:ascii="宋体" w:hAnsi="宋体" w:cs="宋体" w:eastAsia="宋体" w:hint="default"/>
                <w:spacing w:val="-66"/>
                <w:sz w:val="18"/>
                <w:szCs w:val="18"/>
              </w:rPr>
              <w:t> </w:t>
            </w:r>
            <w:r>
              <w:rPr>
                <w:rFonts w:ascii="宋体" w:hAnsi="宋体" w:cs="宋体" w:eastAsia="宋体" w:hint="default"/>
                <w:spacing w:val="-7"/>
                <w:sz w:val="18"/>
                <w:szCs w:val="18"/>
              </w:rPr>
              <w:t>分股东重合；（</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）陈坚持有易康投资</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35.42%</w:t>
            </w:r>
            <w:r>
              <w:rPr>
                <w:rFonts w:ascii="宋体" w:hAnsi="宋体" w:cs="宋体" w:eastAsia="宋体" w:hint="default"/>
                <w:spacing w:val="-5"/>
                <w:sz w:val="18"/>
                <w:szCs w:val="18"/>
              </w:rPr>
              <w:t>的股权；（</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）陈坚之妹陈英持有正浩投资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10.22%</w:t>
            </w:r>
            <w:r>
              <w:rPr>
                <w:rFonts w:ascii="宋体" w:hAnsi="宋体" w:cs="宋体" w:eastAsia="宋体" w:hint="default"/>
                <w:sz w:val="18"/>
                <w:szCs w:val="18"/>
              </w:rPr>
              <w:t>股权，且担任正浩投资的执行董事兼总经理。</w:t>
            </w:r>
          </w:p>
        </w:tc>
      </w:tr>
      <w:tr>
        <w:trPr>
          <w:trHeight w:val="703" w:hRule="exact"/>
        </w:trPr>
        <w:tc>
          <w:tcPr>
            <w:tcW w:w="2836"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33" w:type="dxa"/>
            <w:gridSpan w:val="11"/>
            <w:vMerge/>
            <w:tcBorders>
              <w:left w:val="single" w:sz="9" w:space="0" w:color="D2D2D2"/>
              <w:right w:val="single" w:sz="4" w:space="0" w:color="000000"/>
            </w:tcBorders>
          </w:tcPr>
          <w:p>
            <w:pPr/>
          </w:p>
        </w:tc>
      </w:tr>
      <w:tr>
        <w:trPr>
          <w:trHeight w:val="317" w:hRule="exact"/>
        </w:trPr>
        <w:tc>
          <w:tcPr>
            <w:tcW w:w="283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33" w:type="dxa"/>
            <w:gridSpan w:val="11"/>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3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537"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1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3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537"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36" w:type="dxa"/>
            <w:gridSpan w:val="3"/>
            <w:vMerge/>
            <w:tcBorders>
              <w:left w:val="single" w:sz="4" w:space="0" w:color="000000"/>
              <w:bottom w:val="nil" w:sz="6" w:space="0" w:color="auto"/>
              <w:right w:val="single" w:sz="4" w:space="0" w:color="000000"/>
            </w:tcBorders>
            <w:shd w:val="clear" w:color="auto" w:fill="D2D2D2"/>
          </w:tcPr>
          <w:p>
            <w:pPr/>
          </w:p>
        </w:tc>
        <w:tc>
          <w:tcPr>
            <w:tcW w:w="4537" w:type="dxa"/>
            <w:gridSpan w:val="8"/>
            <w:vMerge/>
            <w:tcBorders>
              <w:left w:val="single" w:sz="4" w:space="0" w:color="000000"/>
              <w:bottom w:val="nil" w:sz="6" w:space="0" w:color="auto"/>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3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537"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张建雄</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180,400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180,400</w:t>
            </w:r>
          </w:p>
        </w:tc>
      </w:tr>
      <w:tr>
        <w:trPr>
          <w:trHeight w:val="402"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刘琼</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171,000</w:t>
            </w:r>
          </w:p>
        </w:tc>
      </w:tr>
      <w:tr>
        <w:trPr>
          <w:trHeight w:val="402"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陈智勇</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158,000</w:t>
            </w:r>
          </w:p>
        </w:tc>
      </w:tr>
      <w:tr>
        <w:trPr>
          <w:trHeight w:val="403"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杨晓程</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137,800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137,800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4537"/>
        <w:gridCol w:w="1276"/>
        <w:gridCol w:w="92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梁春玉</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陈粉</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王全娣</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王建鑫</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梁布明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北京宝德源资本管理有限公司－宝 德源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期基金</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75,900</w:t>
            </w:r>
          </w:p>
        </w:tc>
      </w:tr>
      <w:tr>
        <w:trPr>
          <w:trHeight w:val="133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8"/>
              <w:jc w:val="left"/>
              <w:rPr>
                <w:rFonts w:ascii="宋体" w:hAnsi="宋体" w:cs="宋体" w:eastAsia="宋体" w:hint="default"/>
                <w:sz w:val="18"/>
                <w:szCs w:val="18"/>
              </w:rPr>
            </w:pPr>
            <w:r>
              <w:rPr>
                <w:rFonts w:ascii="宋体" w:hAnsi="宋体" w:cs="宋体" w:eastAsia="宋体" w:hint="default"/>
                <w:sz w:val="18"/>
                <w:szCs w:val="18"/>
              </w:rPr>
              <w:t>公司未知前十名无限售股股东之间，以及前十名无限售流通股股东和公司限售股股东 之间是否存在关联关系，也未知是否属于一致行动人。</w:t>
            </w:r>
          </w:p>
        </w:tc>
      </w:tr>
      <w:tr>
        <w:trPr>
          <w:trHeight w:val="133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公司股东刘琼通过普通证券账户持有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股，通过联讯证券股份有限公司客户信用交易</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171,000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171,000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股；北京宝德源资本管理有限公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司－宝德源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期基金通过普通证券账户持有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股，通过招商证券股份有限公司客户信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75,900 </w:t>
            </w:r>
            <w:r>
              <w:rPr>
                <w:rFonts w:ascii="宋体" w:hAnsi="宋体" w:cs="宋体" w:eastAsia="宋体" w:hint="default"/>
                <w:sz w:val="18"/>
                <w:szCs w:val="18"/>
              </w:rPr>
              <w:t>股。</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51"/>
      <w:bookmarkEnd w:id="15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00"/>
        <w:gridCol w:w="2054"/>
        <w:gridCol w:w="1702"/>
        <w:gridCol w:w="1701"/>
        <w:gridCol w:w="1913"/>
      </w:tblGrid>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杭州正元企业管理咨询有 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center"/>
              <w:rPr>
                <w:rFonts w:ascii="Times New Roman" w:hAnsi="Times New Roman" w:cs="Times New Roman" w:eastAsia="Times New Roman" w:hint="default"/>
                <w:sz w:val="18"/>
                <w:szCs w:val="18"/>
              </w:rPr>
            </w:pPr>
            <w:r>
              <w:rPr>
                <w:rFonts w:ascii="Times New Roman"/>
                <w:sz w:val="18"/>
              </w:rPr>
              <w:t>913301087337992009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52"/>
      <w:bookmarkEnd w:id="15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624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陈坚先生为公司董事长兼总经理</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2"/>
        <w:rPr>
          <w:rFonts w:ascii="宋体" w:hAnsi="宋体" w:cs="宋体" w:eastAsia="宋体" w:hint="default"/>
          <w:sz w:val="20"/>
          <w:szCs w:val="20"/>
        </w:rPr>
      </w:pPr>
    </w:p>
    <w:p>
      <w:pPr>
        <w:spacing w:line="2643" w:lineRule="exact"/>
        <w:ind w:left="3545"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3079838" cy="16784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079838" cy="1678400"/>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10"/>
        <w:rPr>
          <w:rFonts w:ascii="宋体" w:hAnsi="宋体" w:cs="宋体" w:eastAsia="宋体" w:hint="default"/>
          <w:sz w:val="25"/>
          <w:szCs w:val="25"/>
        </w:rPr>
      </w:pPr>
    </w:p>
    <w:p>
      <w:pPr>
        <w:pStyle w:val="BodyText"/>
        <w:spacing w:line="240" w:lineRule="auto" w:before="0"/>
        <w:ind w:left="1557" w:right="0"/>
        <w:jc w:val="left"/>
      </w:pPr>
      <w:r>
        <w:rPr/>
        <w:t>实际控制人通过信托或其他资产管理方式控制公司</w:t>
      </w:r>
    </w:p>
    <w:p>
      <w:pPr>
        <w:spacing w:line="240" w:lineRule="auto" w:before="2"/>
        <w:rPr>
          <w:rFonts w:ascii="宋体" w:hAnsi="宋体" w:cs="宋体" w:eastAsia="宋体" w:hint="default"/>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53"/>
      <w:bookmarkEnd w:id="15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54"/>
      <w:bookmarkEnd w:id="15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5" w:id="155"/>
      <w:bookmarkStart w:name="第七节优先股相关情况" w:id="156"/>
      <w:r>
        <w:rPr>
          <w:b w:val="0"/>
          <w:bCs w:val="0"/>
        </w:rPr>
      </w:r>
      <w:r>
        <w:rPr/>
        <w:t>第七节优先股相关情况</w:t>
      </w:r>
      <w:bookmarkEnd w:id="15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41" w:right="0"/>
        <w:jc w:val="left"/>
        <w:rPr>
          <w:b w:val="0"/>
          <w:bCs w:val="0"/>
        </w:rPr>
      </w:pPr>
      <w:bookmarkStart w:name="_TOC_250004" w:id="157"/>
      <w:bookmarkStart w:name="第八节董事、监事、高级管理人员和员工情况" w:id="158"/>
      <w:r>
        <w:rPr>
          <w:b w:val="0"/>
          <w:bCs w:val="0"/>
        </w:rPr>
      </w:r>
      <w:r>
        <w:rPr/>
        <w:t>第八节董事、监事、高级管理人员和员工情况</w:t>
      </w:r>
      <w:bookmarkEnd w:id="15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59"/>
      <w:bookmarkEnd w:id="15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830"/>
        <w:gridCol w:w="772"/>
        <w:gridCol w:w="740"/>
        <w:gridCol w:w="508"/>
        <w:gridCol w:w="523"/>
        <w:gridCol w:w="991"/>
        <w:gridCol w:w="1006"/>
        <w:gridCol w:w="596"/>
        <w:gridCol w:w="689"/>
        <w:gridCol w:w="689"/>
        <w:gridCol w:w="690"/>
        <w:gridCol w:w="632"/>
      </w:tblGrid>
      <w:tr>
        <w:trPr>
          <w:trHeight w:val="1337"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75" w:right="92"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9" w:right="4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07" w:right="4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13" w:right="20"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6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6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30" w:right="41"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0" w:right="17" w:hanging="88"/>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余锴</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2"/>
                <w:sz w:val="18"/>
              </w:rPr>
              <w:t>JAYTSAICHIENCHOU</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
              <w:jc w:val="both"/>
              <w:rPr>
                <w:rFonts w:ascii="宋体" w:hAnsi="宋体" w:cs="宋体" w:eastAsia="宋体" w:hint="default"/>
                <w:sz w:val="18"/>
                <w:szCs w:val="18"/>
              </w:rPr>
            </w:pPr>
            <w:r>
              <w:rPr>
                <w:rFonts w:ascii="宋体" w:hAnsi="宋体" w:cs="宋体" w:eastAsia="宋体" w:hint="default"/>
                <w:sz w:val="18"/>
                <w:szCs w:val="18"/>
              </w:rPr>
              <w:t>董事、副 总经理、 总工程</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潘利华</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00" w:right="109" w:hanging="90"/>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范熊熊</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0" w:right="109"/>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830"/>
        <w:gridCol w:w="772"/>
        <w:gridCol w:w="740"/>
        <w:gridCol w:w="508"/>
        <w:gridCol w:w="523"/>
        <w:gridCol w:w="991"/>
        <w:gridCol w:w="1006"/>
        <w:gridCol w:w="596"/>
        <w:gridCol w:w="689"/>
        <w:gridCol w:w="689"/>
        <w:gridCol w:w="690"/>
        <w:gridCol w:w="632"/>
      </w:tblGrid>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施东圣</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朱军</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吕晓平</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季建华</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8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4"/>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60"/>
      <w:bookmarkEnd w:id="16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pict>
          <v:shape style="position:absolute;margin-left:56.459999pt;margin-top:-52.10828pt;width:479.2pt;height:205.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原职工监事周军辉先生因工作原因申请辞去第二届监</w:t>
                        </w:r>
                        <w:r>
                          <w:rPr>
                            <w:rFonts w:ascii="宋体" w:hAnsi="宋体" w:cs="宋体" w:eastAsia="宋体" w:hint="default"/>
                            <w:spacing w:val="-45"/>
                            <w:sz w:val="18"/>
                            <w:szCs w:val="18"/>
                          </w:rPr>
                          <w:t> </w:t>
                        </w:r>
                        <w:r>
                          <w:rPr>
                            <w:rFonts w:ascii="宋体" w:hAnsi="宋体" w:cs="宋体" w:eastAsia="宋体" w:hint="default"/>
                            <w:sz w:val="18"/>
                            <w:szCs w:val="18"/>
                          </w:rPr>
                          <w:t>事会职工代表监事的职务。周军辉先生辞职后，公司</w:t>
                        </w:r>
                        <w:r>
                          <w:rPr>
                            <w:rFonts w:ascii="宋体" w:hAnsi="宋体" w:cs="宋体" w:eastAsia="宋体" w:hint="default"/>
                            <w:spacing w:val="-45"/>
                            <w:sz w:val="18"/>
                            <w:szCs w:val="18"/>
                          </w:rPr>
                          <w:t> </w:t>
                        </w:r>
                        <w:r>
                          <w:rPr>
                            <w:rFonts w:ascii="宋体" w:hAnsi="宋体" w:cs="宋体" w:eastAsia="宋体" w:hint="default"/>
                            <w:sz w:val="18"/>
                            <w:szCs w:val="18"/>
                          </w:rPr>
                          <w:t>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日召开</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年第一次职工代表大会 经与会职工代表民主选举，会议选举李战鹏先生为公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司第二届监事会职工代表监事。</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季建华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90" w:right="29"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日季建华先生因个人原因辞去副总经 理、董事会秘书职务，辞职后季建华先生不再担任公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司及子公司任何职务。</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90" w:right="29"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8"/>
                          <w:jc w:val="both"/>
                          <w:rPr>
                            <w:rFonts w:ascii="宋体" w:hAnsi="宋体" w:cs="宋体" w:eastAsia="宋体" w:hint="default"/>
                            <w:sz w:val="18"/>
                            <w:szCs w:val="18"/>
                          </w:rPr>
                        </w:pPr>
                        <w:r>
                          <w:rPr>
                            <w:rFonts w:ascii="宋体" w:hAnsi="宋体" w:cs="宋体" w:eastAsia="宋体" w:hint="default"/>
                            <w:sz w:val="18"/>
                            <w:szCs w:val="18"/>
                          </w:rPr>
                          <w:t>周军辉先生因工作原因申请辞去第二届监事会职工代</w:t>
                        </w:r>
                        <w:r>
                          <w:rPr>
                            <w:rFonts w:ascii="宋体" w:hAnsi="宋体" w:cs="宋体" w:eastAsia="宋体" w:hint="default"/>
                            <w:spacing w:val="-45"/>
                            <w:sz w:val="18"/>
                            <w:szCs w:val="18"/>
                          </w:rPr>
                          <w:t> </w:t>
                        </w:r>
                        <w:r>
                          <w:rPr>
                            <w:rFonts w:ascii="宋体" w:hAnsi="宋体" w:cs="宋体" w:eastAsia="宋体" w:hint="default"/>
                            <w:sz w:val="18"/>
                            <w:szCs w:val="18"/>
                          </w:rPr>
                          <w:t>表监事的职务。经</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日第二届董事会决 议，聘任周军辉先生担任公司副总经理、董事会秘书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2"/>
        <w:rPr>
          <w:rFonts w:ascii="宋体" w:hAnsi="宋体" w:cs="宋体" w:eastAsia="宋体" w:hint="default"/>
          <w:sz w:val="26"/>
          <w:szCs w:val="26"/>
        </w:rPr>
      </w:pPr>
    </w:p>
    <w:p>
      <w:pPr>
        <w:pStyle w:val="Heading2"/>
        <w:spacing w:line="240" w:lineRule="auto" w:before="26"/>
        <w:ind w:left="1134" w:right="0"/>
        <w:jc w:val="left"/>
        <w:rPr>
          <w:b w:val="0"/>
          <w:bCs w:val="0"/>
        </w:rPr>
      </w:pPr>
      <w:bookmarkStart w:name="三、任职情况" w:id="161"/>
      <w:bookmarkEnd w:id="16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26"/>
          <w:szCs w:val="26"/>
        </w:rPr>
      </w:pPr>
    </w:p>
    <w:p>
      <w:pPr>
        <w:pStyle w:val="Heading4"/>
        <w:spacing w:line="571" w:lineRule="auto"/>
        <w:ind w:left="1616" w:right="8540" w:hanging="483"/>
        <w:jc w:val="left"/>
        <w:rPr>
          <w:b w:val="0"/>
          <w:bCs w:val="0"/>
        </w:rPr>
      </w:pPr>
      <w:bookmarkStart w:name="1、现任董事会成员简历" w:id="162"/>
      <w:bookmarkEnd w:id="162"/>
      <w:r>
        <w:rPr>
          <w:b w:val="0"/>
          <w:bCs w:val="0"/>
        </w:rPr>
      </w:r>
      <w:r>
        <w:rPr>
          <w:rFonts w:ascii="Times New Roman" w:hAnsi="Times New Roman" w:cs="Times New Roman" w:eastAsia="Times New Roman" w:hint="default"/>
        </w:rPr>
        <w:t>1</w:t>
      </w:r>
      <w:r>
        <w:rPr/>
        <w:t>、现任董事会成员简历</w:t>
      </w:r>
      <w:r>
        <w:rPr>
          <w:w w:val="99"/>
        </w:rPr>
        <w:t> </w:t>
      </w:r>
      <w:r>
        <w:rPr/>
        <w:t>非独立董事成员：</w:t>
      </w:r>
      <w:r>
        <w:rPr>
          <w:b w:val="0"/>
          <w:bCs w:val="0"/>
        </w:rPr>
      </w:r>
    </w:p>
    <w:p>
      <w:pPr>
        <w:pStyle w:val="BodyText"/>
        <w:spacing w:line="240" w:lineRule="auto" w:before="59"/>
        <w:ind w:left="1613" w:right="0"/>
        <w:jc w:val="left"/>
      </w:pPr>
      <w:r>
        <w:rPr/>
        <w:t>陈坚，中国国籍，无境外居留权，男，</w:t>
      </w:r>
      <w:r>
        <w:rPr>
          <w:rFonts w:ascii="Times New Roman" w:hAnsi="Times New Roman" w:cs="Times New Roman" w:eastAsia="Times New Roman" w:hint="default"/>
        </w:rPr>
        <w:t>1962</w:t>
      </w:r>
      <w:r>
        <w:rPr/>
        <w:t>年出生，硕士，中欧国际工商学院</w:t>
      </w:r>
      <w:r>
        <w:rPr>
          <w:rFonts w:ascii="Times New Roman" w:hAnsi="Times New Roman" w:cs="Times New Roman" w:eastAsia="Times New Roman" w:hint="default"/>
        </w:rPr>
        <w:t>EMBA</w:t>
      </w:r>
      <w:r>
        <w:rPr/>
        <w:t>，高级经济师。</w:t>
      </w:r>
    </w:p>
    <w:p>
      <w:pPr>
        <w:pStyle w:val="BodyText"/>
        <w:spacing w:line="240" w:lineRule="auto" w:before="177"/>
        <w:ind w:right="0"/>
        <w:jc w:val="left"/>
        <w:rPr>
          <w:rFonts w:ascii="Times New Roman" w:hAnsi="Times New Roman" w:cs="Times New Roman" w:eastAsia="Times New Roman" w:hint="default"/>
        </w:rPr>
      </w:pPr>
      <w:r>
        <w:rPr>
          <w:rFonts w:ascii="Times New Roman" w:hAnsi="Times New Roman" w:cs="Times New Roman" w:eastAsia="Times New Roman" w:hint="default"/>
        </w:rPr>
        <w:t>1982</w:t>
      </w:r>
      <w:r>
        <w:rPr/>
        <w:t>年毕业于南京陆军学校军事指挥专业，担任过连长，曾在团、集团军、南京军区三级机关任职，</w:t>
      </w:r>
      <w:r>
        <w:rPr>
          <w:rFonts w:ascii="Times New Roman" w:hAnsi="Times New Roman" w:cs="Times New Roman" w:eastAsia="Times New Roman" w:hint="default"/>
        </w:rPr>
        <w:t>1994</w:t>
      </w:r>
    </w:p>
    <w:p>
      <w:pPr>
        <w:spacing w:after="0" w:line="240" w:lineRule="auto"/>
        <w:jc w:val="left"/>
        <w:rPr>
          <w:rFonts w:ascii="Times New Roman" w:hAnsi="Times New Roman" w:cs="Times New Roman" w:eastAsia="Times New Roman" w:hint="default"/>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408" w:lineRule="auto" w:before="0"/>
        <w:ind w:right="0"/>
        <w:jc w:val="left"/>
      </w:pPr>
      <w:r>
        <w:rPr>
          <w:spacing w:val="-1"/>
        </w:rPr>
        <w:t>年转业，历任杭州正元、正元有限公司董事长、总经理；现任主要职务有杭州正元执行董事等，本公司董</w:t>
      </w:r>
      <w:r>
        <w:rPr>
          <w:spacing w:val="-83"/>
        </w:rPr>
        <w:t> </w:t>
      </w:r>
      <w:r>
        <w:rPr>
          <w:spacing w:val="-83"/>
        </w:rPr>
      </w:r>
      <w:r>
        <w:rPr/>
        <w:t>事长兼总经理。</w:t>
      </w:r>
    </w:p>
    <w:p>
      <w:pPr>
        <w:spacing w:line="240" w:lineRule="auto" w:before="6"/>
        <w:rPr>
          <w:rFonts w:ascii="宋体" w:hAnsi="宋体" w:cs="宋体" w:eastAsia="宋体" w:hint="default"/>
          <w:sz w:val="15"/>
          <w:szCs w:val="15"/>
        </w:rPr>
      </w:pPr>
    </w:p>
    <w:p>
      <w:pPr>
        <w:pStyle w:val="BodyText"/>
        <w:spacing w:line="398" w:lineRule="auto" w:before="0"/>
        <w:ind w:right="1132" w:firstLine="480"/>
        <w:jc w:val="both"/>
      </w:pPr>
      <w:r>
        <w:rPr>
          <w:spacing w:val="-2"/>
        </w:rPr>
        <w:t>陈英，中国国籍，无境外居留权，女，</w:t>
      </w:r>
      <w:r>
        <w:rPr>
          <w:rFonts w:ascii="Times New Roman" w:hAnsi="Times New Roman" w:cs="Times New Roman" w:eastAsia="Times New Roman" w:hint="default"/>
          <w:spacing w:val="-2"/>
        </w:rPr>
        <w:t>1967</w:t>
      </w:r>
      <w:r>
        <w:rPr>
          <w:spacing w:val="-2"/>
        </w:rPr>
        <w:t>年出生，本科，毕业于杭州大学财经系金融学专业，会计</w:t>
      </w:r>
      <w:r>
        <w:rPr/>
        <w:t> </w:t>
      </w:r>
      <w:r>
        <w:rPr>
          <w:spacing w:val="-1"/>
        </w:rPr>
        <w:t>师、讲师。历任东南国际投资有限公司会计、杭州正元财务经理、正元有限总裁助理；现任主要职务有浙</w:t>
      </w:r>
      <w:r>
        <w:rPr>
          <w:spacing w:val="-83"/>
        </w:rPr>
        <w:t> </w:t>
      </w:r>
      <w:r>
        <w:rPr>
          <w:spacing w:val="-83"/>
        </w:rPr>
      </w:r>
      <w:r>
        <w:rPr/>
        <w:t>江树人大学现代服务业学院金融系主任、杭州正元经理、正浩投资执行董事兼总经理等，本公司董事。</w:t>
      </w:r>
    </w:p>
    <w:p>
      <w:pPr>
        <w:spacing w:line="240" w:lineRule="auto" w:before="1"/>
        <w:rPr>
          <w:rFonts w:ascii="宋体" w:hAnsi="宋体" w:cs="宋体" w:eastAsia="宋体" w:hint="default"/>
          <w:sz w:val="16"/>
          <w:szCs w:val="16"/>
        </w:rPr>
      </w:pPr>
    </w:p>
    <w:p>
      <w:pPr>
        <w:pStyle w:val="BodyText"/>
        <w:spacing w:line="400" w:lineRule="auto" w:before="0"/>
        <w:ind w:left="1134" w:right="1130" w:firstLine="480"/>
        <w:jc w:val="both"/>
      </w:pPr>
      <w:r>
        <w:rPr>
          <w:spacing w:val="-2"/>
        </w:rPr>
        <w:t>黄金明，中国国籍，无境外居留权，男，</w:t>
      </w:r>
      <w:r>
        <w:rPr>
          <w:rFonts w:ascii="Times New Roman" w:hAnsi="Times New Roman" w:cs="Times New Roman" w:eastAsia="Times New Roman" w:hint="default"/>
          <w:spacing w:val="-2"/>
        </w:rPr>
        <w:t>1964</w:t>
      </w:r>
      <w:r>
        <w:rPr>
          <w:spacing w:val="-2"/>
        </w:rPr>
        <w:t>年出生，硕士，毕业于中共中央党校研究生院经济学专</w:t>
      </w:r>
      <w:r>
        <w:rPr/>
        <w:t> </w:t>
      </w:r>
      <w:r>
        <w:rPr>
          <w:spacing w:val="-1"/>
        </w:rPr>
        <w:t>业，曾任浙江省政法管理干部学院科研科科长、浙江国信控股集团有限公司法务、监察审计部总经理、浙</w:t>
      </w:r>
      <w:r>
        <w:rPr>
          <w:spacing w:val="-85"/>
        </w:rPr>
        <w:t> </w:t>
      </w:r>
      <w:r>
        <w:rPr>
          <w:spacing w:val="-85"/>
        </w:rPr>
      </w:r>
      <w:r>
        <w:rPr>
          <w:spacing w:val="-1"/>
        </w:rPr>
        <w:t>江国信创业投资有限公司董事长；现任主要职务有浙江华瓯创业投资有限公司董事兼总经理、盈瓯创投董</w:t>
      </w:r>
      <w:r>
        <w:rPr>
          <w:spacing w:val="-81"/>
        </w:rPr>
        <w:t> </w:t>
      </w:r>
      <w:r>
        <w:rPr>
          <w:spacing w:val="-81"/>
        </w:rPr>
      </w:r>
      <w:r>
        <w:rPr/>
        <w:t>事兼总经理、合力创投总经理、浙江华瓯股权投资管理有限公司董事长兼总经理等，本公司董事。</w:t>
      </w:r>
    </w:p>
    <w:p>
      <w:pPr>
        <w:spacing w:line="240" w:lineRule="auto" w:before="12"/>
        <w:rPr>
          <w:rFonts w:ascii="宋体" w:hAnsi="宋体" w:cs="宋体" w:eastAsia="宋体" w:hint="default"/>
          <w:sz w:val="15"/>
          <w:szCs w:val="15"/>
        </w:rPr>
      </w:pPr>
    </w:p>
    <w:p>
      <w:pPr>
        <w:pStyle w:val="BodyText"/>
        <w:spacing w:line="386" w:lineRule="auto" w:before="0"/>
        <w:ind w:right="1024" w:firstLine="480"/>
        <w:jc w:val="left"/>
      </w:pPr>
      <w:r>
        <w:rPr>
          <w:spacing w:val="-2"/>
        </w:rPr>
        <w:t>余锴，中国国籍，无境外居留权，女，</w:t>
      </w:r>
      <w:r>
        <w:rPr>
          <w:rFonts w:ascii="Times New Roman" w:hAnsi="Times New Roman" w:cs="Times New Roman" w:eastAsia="Times New Roman" w:hint="default"/>
          <w:spacing w:val="-2"/>
        </w:rPr>
        <w:t>1986</w:t>
      </w:r>
      <w:r>
        <w:rPr>
          <w:spacing w:val="-2"/>
        </w:rPr>
        <w:t>年出生，硕士，毕业于北京大学物理学院。曾任中信证券</w:t>
      </w:r>
      <w:r>
        <w:rPr/>
        <w:t> </w:t>
      </w:r>
      <w:r>
        <w:rPr>
          <w:spacing w:val="-3"/>
        </w:rPr>
        <w:t>投资银行部高级副总裁，金石投资有限公司高级投资副总裁；现任上海趵朴投资管理有限公司董事总经理。</w:t>
      </w:r>
    </w:p>
    <w:p>
      <w:pPr>
        <w:spacing w:line="240" w:lineRule="auto" w:before="12"/>
        <w:rPr>
          <w:rFonts w:ascii="宋体" w:hAnsi="宋体" w:cs="宋体" w:eastAsia="宋体" w:hint="default"/>
          <w:sz w:val="16"/>
          <w:szCs w:val="16"/>
        </w:rPr>
      </w:pPr>
    </w:p>
    <w:p>
      <w:pPr>
        <w:pStyle w:val="BodyText"/>
        <w:spacing w:line="403" w:lineRule="auto" w:before="0"/>
        <w:ind w:left="1134" w:right="1131" w:firstLine="480"/>
        <w:jc w:val="both"/>
      </w:pPr>
      <w:r>
        <w:rPr>
          <w:spacing w:val="-2"/>
        </w:rPr>
        <w:t>陆卫明，中国国籍，无境外居留权，男，</w:t>
      </w:r>
      <w:r>
        <w:rPr>
          <w:rFonts w:ascii="Times New Roman" w:hAnsi="Times New Roman" w:cs="Times New Roman" w:eastAsia="Times New Roman" w:hint="default"/>
          <w:spacing w:val="-2"/>
        </w:rPr>
        <w:t>1970</w:t>
      </w:r>
      <w:r>
        <w:rPr>
          <w:spacing w:val="-2"/>
        </w:rPr>
        <w:t>年出生，本科，毕业于同济大学管理信息系统专业。曾</w:t>
      </w:r>
      <w:r>
        <w:rPr/>
        <w:t> </w:t>
      </w:r>
      <w:r>
        <w:rPr>
          <w:spacing w:val="-1"/>
        </w:rPr>
        <w:t>任海通证券有限公司投资银行部项目经理、上海鸿仪投资管理有限公司投资部经理、无锡市宝联投资有限</w:t>
      </w:r>
      <w:r>
        <w:rPr>
          <w:spacing w:val="-81"/>
        </w:rPr>
        <w:t> </w:t>
      </w:r>
      <w:r>
        <w:rPr>
          <w:spacing w:val="-81"/>
        </w:rPr>
      </w:r>
      <w:r>
        <w:rPr>
          <w:spacing w:val="-1"/>
        </w:rPr>
        <w:t>公司副总经理；现任上海拉夏贝尔服饰股份有限公司董事、蓝德环保科技集团股份有限公司董事、江苏傲</w:t>
      </w:r>
      <w:r>
        <w:rPr>
          <w:spacing w:val="-83"/>
        </w:rPr>
        <w:t> </w:t>
      </w:r>
      <w:r>
        <w:rPr>
          <w:spacing w:val="-83"/>
        </w:rPr>
      </w:r>
      <w:r>
        <w:rPr>
          <w:spacing w:val="-1"/>
        </w:rPr>
        <w:t>伦达科技实业股份有限公司董事、天津博信鑫元资产管理股份有限公司董事兼副总经理、上海沿锋汽车科</w:t>
      </w:r>
      <w:r>
        <w:rPr>
          <w:spacing w:val="-81"/>
        </w:rPr>
        <w:t> </w:t>
      </w:r>
      <w:r>
        <w:rPr>
          <w:spacing w:val="-81"/>
        </w:rPr>
      </w:r>
      <w:r>
        <w:rPr/>
        <w:t>技股份有限公司董事、上海本诺电子材料有限公司董事，本公司董事。</w:t>
      </w:r>
    </w:p>
    <w:p>
      <w:pPr>
        <w:spacing w:line="240" w:lineRule="auto" w:before="10"/>
        <w:rPr>
          <w:rFonts w:ascii="宋体" w:hAnsi="宋体" w:cs="宋体" w:eastAsia="宋体" w:hint="default"/>
          <w:sz w:val="15"/>
          <w:szCs w:val="15"/>
        </w:rPr>
      </w:pPr>
    </w:p>
    <w:p>
      <w:pPr>
        <w:pStyle w:val="Heading4"/>
        <w:spacing w:line="240" w:lineRule="auto"/>
        <w:ind w:left="1616" w:right="0"/>
        <w:jc w:val="left"/>
        <w:rPr>
          <w:b w:val="0"/>
          <w:bCs w:val="0"/>
        </w:rPr>
      </w:pPr>
      <w:r>
        <w:rPr/>
        <w:t>独立董事成员：</w:t>
      </w:r>
      <w:r>
        <w:rPr>
          <w:b w:val="0"/>
          <w:bCs w:val="0"/>
        </w:rPr>
      </w:r>
    </w:p>
    <w:p>
      <w:pPr>
        <w:spacing w:line="240" w:lineRule="auto" w:before="9"/>
        <w:rPr>
          <w:rFonts w:ascii="宋体" w:hAnsi="宋体" w:cs="宋体" w:eastAsia="宋体" w:hint="default"/>
          <w:b/>
          <w:bCs/>
          <w:sz w:val="26"/>
          <w:szCs w:val="26"/>
        </w:rPr>
      </w:pPr>
    </w:p>
    <w:p>
      <w:pPr>
        <w:pStyle w:val="BodyText"/>
        <w:spacing w:line="398" w:lineRule="auto" w:before="0"/>
        <w:ind w:right="1130" w:firstLine="480"/>
        <w:jc w:val="both"/>
      </w:pPr>
      <w:r>
        <w:rPr>
          <w:spacing w:val="-2"/>
        </w:rPr>
        <w:t>潘利华，中国国籍，无境外居留权，男，</w:t>
      </w:r>
      <w:r>
        <w:rPr>
          <w:rFonts w:ascii="Times New Roman" w:hAnsi="Times New Roman" w:cs="Times New Roman" w:eastAsia="Times New Roman" w:hint="default"/>
          <w:spacing w:val="-2"/>
        </w:rPr>
        <w:t>1944</w:t>
      </w:r>
      <w:r>
        <w:rPr>
          <w:spacing w:val="-2"/>
        </w:rPr>
        <w:t>年出生，毕业于中国科学技术大学电子计算机专业，研</w:t>
      </w:r>
      <w:r>
        <w:rPr/>
        <w:t> </w:t>
      </w:r>
      <w:r>
        <w:rPr>
          <w:spacing w:val="-1"/>
        </w:rPr>
        <w:t>究员，享受国务院政府特殊津贴。曾任中国电子科技集团第</w:t>
      </w:r>
      <w:r>
        <w:rPr>
          <w:rFonts w:ascii="Times New Roman" w:hAnsi="Times New Roman" w:cs="Times New Roman" w:eastAsia="Times New Roman" w:hint="default"/>
          <w:spacing w:val="-1"/>
        </w:rPr>
        <w:t>15</w:t>
      </w:r>
      <w:r>
        <w:rPr>
          <w:spacing w:val="-1"/>
        </w:rPr>
        <w:t>研究所技术员、工程师、高级工程师、研究</w:t>
      </w:r>
      <w:r>
        <w:rPr>
          <w:spacing w:val="-84"/>
        </w:rPr>
        <w:t> </w:t>
      </w:r>
      <w:r>
        <w:rPr>
          <w:spacing w:val="-84"/>
        </w:rPr>
      </w:r>
      <w:r>
        <w:rPr>
          <w:spacing w:val="-1"/>
        </w:rPr>
        <w:t>员、研究室主任、部门主任，华旭金卡公司总经理、总工程师，华民智能卡公司副总经理，中国信息产业</w:t>
      </w:r>
      <w:r>
        <w:rPr>
          <w:spacing w:val="-83"/>
        </w:rPr>
        <w:t> </w:t>
      </w:r>
      <w:r>
        <w:rPr>
          <w:spacing w:val="-83"/>
        </w:rPr>
      </w:r>
      <w:r>
        <w:rPr>
          <w:spacing w:val="-1"/>
        </w:rPr>
        <w:t>商会智能卡专业委员会秘书长、理事长；现任住建部、科技部、工信部、公安部等相关领域专家，飞天诚</w:t>
      </w:r>
      <w:r>
        <w:rPr>
          <w:spacing w:val="-82"/>
        </w:rPr>
        <w:t> </w:t>
      </w:r>
      <w:r>
        <w:rPr>
          <w:spacing w:val="-82"/>
        </w:rPr>
      </w:r>
      <w:r>
        <w:rPr/>
        <w:t>信科技股份有限公司和东信和平科技股份公司独立董事，本公司独立董事。</w:t>
      </w:r>
    </w:p>
    <w:p>
      <w:pPr>
        <w:spacing w:line="240" w:lineRule="auto" w:before="1"/>
        <w:rPr>
          <w:rFonts w:ascii="宋体" w:hAnsi="宋体" w:cs="宋体" w:eastAsia="宋体" w:hint="default"/>
          <w:sz w:val="16"/>
          <w:szCs w:val="16"/>
        </w:rPr>
      </w:pPr>
    </w:p>
    <w:p>
      <w:pPr>
        <w:pStyle w:val="BodyText"/>
        <w:spacing w:line="391" w:lineRule="auto" w:before="0"/>
        <w:ind w:right="1130" w:firstLine="480"/>
        <w:jc w:val="both"/>
      </w:pPr>
      <w:r>
        <w:rPr>
          <w:spacing w:val="-2"/>
        </w:rPr>
        <w:t>朱加宁，中国国籍，无境外居留权，男，</w:t>
      </w:r>
      <w:r>
        <w:rPr>
          <w:rFonts w:ascii="Times New Roman" w:hAnsi="Times New Roman" w:cs="Times New Roman" w:eastAsia="Times New Roman" w:hint="default"/>
          <w:spacing w:val="-2"/>
        </w:rPr>
        <w:t>1957</w:t>
      </w:r>
      <w:r>
        <w:rPr>
          <w:spacing w:val="-2"/>
        </w:rPr>
        <w:t>年出生，华东政法学院法律本科毕业，中国政法大学国</w:t>
      </w:r>
      <w:r>
        <w:rPr/>
        <w:t> </w:t>
      </w:r>
      <w:r>
        <w:rPr>
          <w:spacing w:val="-1"/>
        </w:rPr>
        <w:t>际法学院法学博士生课程班结业，律师。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月任职于北京市国纲华辰（杭州）律师事务</w:t>
      </w:r>
      <w:r>
        <w:rPr>
          <w:spacing w:val="-84"/>
        </w:rPr>
        <w:t> </w:t>
      </w:r>
      <w:r>
        <w:rPr>
          <w:spacing w:val="-84"/>
        </w:rPr>
      </w:r>
      <w:r>
        <w:rPr/>
        <w:t>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月至今任北京浩天信和（杭州）律师事务所主任，曾兼任农夫山泉股份有限公司和山东赛托</w:t>
      </w:r>
      <w:r>
        <w:rPr>
          <w:spacing w:val="-36"/>
        </w:rPr>
        <w:t> </w:t>
      </w:r>
      <w:r>
        <w:rPr>
          <w:spacing w:val="-36"/>
        </w:rPr>
      </w:r>
      <w:r>
        <w:rPr>
          <w:spacing w:val="-1"/>
        </w:rPr>
        <w:t>生物科技股份有限公司独立董事，现兼任浙江天台祥和实业股份有限公司、浙江晨丰科技股份有限公司和</w:t>
      </w:r>
      <w:r>
        <w:rPr>
          <w:spacing w:val="-81"/>
        </w:rPr>
        <w:t> </w:t>
      </w:r>
      <w:r>
        <w:rPr>
          <w:spacing w:val="-81"/>
        </w:rPr>
      </w:r>
      <w:r>
        <w:rPr/>
        <w:t>本公司独立董事。</w:t>
      </w:r>
    </w:p>
    <w:p>
      <w:pPr>
        <w:spacing w:after="0" w:line="391"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right="1131" w:firstLine="480"/>
        <w:jc w:val="both"/>
      </w:pPr>
      <w:r>
        <w:rPr>
          <w:spacing w:val="-2"/>
        </w:rPr>
        <w:t>童本立，中国国籍，无境外居留权，男，</w:t>
      </w:r>
      <w:r>
        <w:rPr>
          <w:rFonts w:ascii="Times New Roman" w:hAnsi="Times New Roman" w:cs="Times New Roman" w:eastAsia="Times New Roman" w:hint="default"/>
          <w:spacing w:val="-2"/>
        </w:rPr>
        <w:t>1950</w:t>
      </w:r>
      <w:r>
        <w:rPr>
          <w:spacing w:val="-2"/>
        </w:rPr>
        <w:t>年出生，硕士，毕业于财政部财政科研所研究生部，教</w:t>
      </w:r>
      <w:r>
        <w:rPr/>
        <w:t> </w:t>
      </w:r>
      <w:r>
        <w:rPr>
          <w:spacing w:val="-1"/>
        </w:rPr>
        <w:t>授、高级会计师职称。曾任浙江省财政厅科长、副处长和处长，浙江财经学院副院长、院长、党委书记和</w:t>
      </w:r>
      <w:r>
        <w:rPr>
          <w:spacing w:val="-83"/>
        </w:rPr>
        <w:t> </w:t>
      </w:r>
      <w:r>
        <w:rPr>
          <w:spacing w:val="-83"/>
        </w:rPr>
      </w:r>
      <w:r>
        <w:rPr/>
        <w:t>教授，浙江省审计学会副会长，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月退休；现任杭州解百股份有限公司、浙江昂利康制药股份有限</w:t>
      </w:r>
      <w:r>
        <w:rPr>
          <w:spacing w:val="-33"/>
        </w:rPr>
        <w:t> </w:t>
      </w:r>
      <w:r>
        <w:rPr>
          <w:spacing w:val="-33"/>
        </w:rPr>
      </w:r>
      <w:r>
        <w:rPr>
          <w:spacing w:val="-1"/>
        </w:rPr>
        <w:t>公司、杭州长乔投资集团股份有限公司、浙商银行股份有限公司和浙江浦江农村商业银行股份有限公司独</w:t>
      </w:r>
      <w:r>
        <w:rPr>
          <w:spacing w:val="-81"/>
        </w:rPr>
        <w:t> </w:t>
      </w:r>
      <w:r>
        <w:rPr>
          <w:spacing w:val="-81"/>
        </w:rPr>
      </w:r>
      <w:r>
        <w:rPr/>
        <w:t>立董事，本公司独立董事。</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现任监事会成员简历" w:id="163"/>
      <w:bookmarkEnd w:id="163"/>
      <w:r>
        <w:rPr>
          <w:b w:val="0"/>
          <w:bCs w:val="0"/>
        </w:rPr>
      </w:r>
      <w:r>
        <w:rPr>
          <w:rFonts w:ascii="Times New Roman" w:hAnsi="Times New Roman" w:cs="Times New Roman" w:eastAsia="Times New Roman" w:hint="default"/>
        </w:rPr>
        <w:t>2</w:t>
      </w:r>
      <w:r>
        <w:rPr/>
        <w:t>、现任监事会成员简历</w:t>
      </w:r>
      <w:r>
        <w:rPr>
          <w:b w:val="0"/>
          <w:bCs w:val="0"/>
        </w:rPr>
      </w:r>
    </w:p>
    <w:p>
      <w:pPr>
        <w:spacing w:line="240" w:lineRule="auto" w:before="7"/>
        <w:rPr>
          <w:rFonts w:ascii="宋体" w:hAnsi="宋体" w:cs="宋体" w:eastAsia="宋体" w:hint="default"/>
          <w:b/>
          <w:bCs/>
          <w:sz w:val="30"/>
          <w:szCs w:val="30"/>
        </w:rPr>
      </w:pPr>
    </w:p>
    <w:p>
      <w:pPr>
        <w:pStyle w:val="BodyText"/>
        <w:spacing w:line="403" w:lineRule="auto" w:before="0"/>
        <w:ind w:right="1131" w:firstLine="480"/>
        <w:jc w:val="both"/>
      </w:pPr>
      <w:r>
        <w:rPr>
          <w:spacing w:val="-2"/>
        </w:rPr>
        <w:t>杨增荣，中国国籍，无境外居留权，男，</w:t>
      </w:r>
      <w:r>
        <w:rPr>
          <w:rFonts w:ascii="Times New Roman" w:hAnsi="Times New Roman" w:cs="Times New Roman" w:eastAsia="Times New Roman" w:hint="default"/>
          <w:spacing w:val="-2"/>
        </w:rPr>
        <w:t>1963</w:t>
      </w:r>
      <w:r>
        <w:rPr>
          <w:spacing w:val="-2"/>
        </w:rPr>
        <w:t>年出生，本科，硕士，毕业于中央财经大学货币银行学</w:t>
      </w:r>
      <w:r>
        <w:rPr/>
        <w:t> </w:t>
      </w:r>
      <w:r>
        <w:rPr>
          <w:spacing w:val="-1"/>
        </w:rPr>
        <w:t>专业，高级经济师。曾任中国人民保险浙江分公司、中国平安保险公司分公司总经理、上海东证投资管理</w:t>
      </w:r>
      <w:r>
        <w:rPr>
          <w:spacing w:val="-86"/>
        </w:rPr>
        <w:t> </w:t>
      </w:r>
      <w:r>
        <w:rPr>
          <w:spacing w:val="-86"/>
        </w:rPr>
      </w:r>
      <w:r>
        <w:rPr>
          <w:spacing w:val="-1"/>
        </w:rPr>
        <w:t>公司副总经理、中国大地财产保险公司部门副总经理；现任主要职务有浙江金永信投资管理有限公司董事</w:t>
      </w:r>
      <w:r>
        <w:rPr>
          <w:spacing w:val="-81"/>
        </w:rPr>
        <w:t> </w:t>
      </w:r>
      <w:r>
        <w:rPr>
          <w:spacing w:val="-81"/>
        </w:rPr>
      </w:r>
      <w:r>
        <w:rPr>
          <w:spacing w:val="-1"/>
        </w:rPr>
        <w:t>长、杭州文广股权投资管理有限公司总经理、杭州文广创业投资有限公司董事长兼总经理、文诚创投董事</w:t>
      </w:r>
      <w:r>
        <w:rPr>
          <w:spacing w:val="-83"/>
        </w:rPr>
        <w:t> </w:t>
      </w:r>
      <w:r>
        <w:rPr>
          <w:spacing w:val="-83"/>
        </w:rPr>
      </w:r>
      <w:r>
        <w:rPr/>
        <w:t>长等，本公司监事会主席。</w:t>
      </w:r>
    </w:p>
    <w:p>
      <w:pPr>
        <w:spacing w:line="240" w:lineRule="auto" w:before="10"/>
        <w:rPr>
          <w:rFonts w:ascii="宋体" w:hAnsi="宋体" w:cs="宋体" w:eastAsia="宋体" w:hint="default"/>
          <w:sz w:val="15"/>
          <w:szCs w:val="15"/>
        </w:rPr>
      </w:pPr>
    </w:p>
    <w:p>
      <w:pPr>
        <w:pStyle w:val="BodyText"/>
        <w:spacing w:line="398" w:lineRule="auto" w:before="0"/>
        <w:ind w:right="1130" w:firstLine="480"/>
        <w:jc w:val="both"/>
      </w:pPr>
      <w:r>
        <w:rPr>
          <w:spacing w:val="-2"/>
        </w:rPr>
        <w:t>李战鹏，中国国籍，无境外居留权，</w:t>
      </w:r>
      <w:r>
        <w:rPr>
          <w:rFonts w:ascii="Times New Roman" w:hAnsi="Times New Roman" w:cs="Times New Roman" w:eastAsia="Times New Roman" w:hint="default"/>
          <w:spacing w:val="-2"/>
        </w:rPr>
        <w:t>1975</w:t>
      </w:r>
      <w:r>
        <w:rPr>
          <w:spacing w:val="-2"/>
        </w:rPr>
        <w:t>年出生，大专学历，历任公司绍兴分公司经理、江西分公司</w:t>
      </w:r>
      <w:r>
        <w:rPr/>
        <w:t> </w:t>
      </w:r>
      <w:r>
        <w:rPr>
          <w:spacing w:val="-1"/>
        </w:rPr>
        <w:t>总经理、客户服务中心总经理、运营事业部总经理、杭州捷卡智慧科技有限公司总经理等职务；现任浙江</w:t>
      </w:r>
      <w:r>
        <w:rPr>
          <w:spacing w:val="-86"/>
        </w:rPr>
        <w:t> </w:t>
      </w:r>
      <w:r>
        <w:rPr>
          <w:spacing w:val="-86"/>
        </w:rPr>
      </w:r>
      <w:r>
        <w:rPr/>
        <w:t>校云董事长，正元曦客及四川正元董事，本公司总经理助理、市场总监、职工代表监事。</w:t>
      </w:r>
    </w:p>
    <w:p>
      <w:pPr>
        <w:spacing w:line="240" w:lineRule="auto" w:before="1"/>
        <w:rPr>
          <w:rFonts w:ascii="宋体" w:hAnsi="宋体" w:cs="宋体" w:eastAsia="宋体" w:hint="default"/>
          <w:sz w:val="16"/>
          <w:szCs w:val="16"/>
        </w:rPr>
      </w:pPr>
    </w:p>
    <w:p>
      <w:pPr>
        <w:pStyle w:val="BodyText"/>
        <w:spacing w:line="386" w:lineRule="auto" w:before="0"/>
        <w:ind w:right="1049" w:firstLine="480"/>
        <w:jc w:val="both"/>
      </w:pPr>
      <w:r>
        <w:rPr/>
        <w:t>刘智海，中国国籍，无境外居留权，</w:t>
      </w:r>
      <w:r>
        <w:rPr>
          <w:rFonts w:ascii="Times New Roman" w:hAnsi="Times New Roman" w:cs="Times New Roman" w:eastAsia="Times New Roman" w:hint="default"/>
        </w:rPr>
        <w:t>1978</w:t>
      </w:r>
      <w:r>
        <w:rPr/>
        <w:t>年出生，硕士，历任公司平台软件部经理、市场部副总监、 品质管理部经理、总工程师助理等职务，现任副总工程师兼软件中心总监。</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bookmarkStart w:name="3、现任高级管理人员简历" w:id="164"/>
      <w:bookmarkEnd w:id="164"/>
      <w:r>
        <w:rPr>
          <w:b w:val="0"/>
          <w:bCs w:val="0"/>
        </w:rPr>
      </w:r>
      <w:r>
        <w:rPr>
          <w:rFonts w:ascii="Times New Roman" w:hAnsi="Times New Roman" w:cs="Times New Roman" w:eastAsia="Times New Roman" w:hint="default"/>
        </w:rPr>
        <w:t>3</w:t>
      </w:r>
      <w:r>
        <w:rPr/>
        <w:t>、现任高级管理人员简历</w:t>
      </w:r>
      <w:r>
        <w:rPr>
          <w:b w:val="0"/>
          <w:bCs w:val="0"/>
        </w:rPr>
      </w:r>
    </w:p>
    <w:p>
      <w:pPr>
        <w:spacing w:line="240" w:lineRule="auto" w:before="7"/>
        <w:rPr>
          <w:rFonts w:ascii="宋体" w:hAnsi="宋体" w:cs="宋体" w:eastAsia="宋体" w:hint="default"/>
          <w:b/>
          <w:bCs/>
          <w:sz w:val="30"/>
          <w:szCs w:val="30"/>
        </w:rPr>
      </w:pPr>
    </w:p>
    <w:p>
      <w:pPr>
        <w:pStyle w:val="BodyText"/>
        <w:spacing w:line="403" w:lineRule="auto" w:before="0"/>
        <w:ind w:right="0" w:firstLine="480"/>
        <w:jc w:val="left"/>
      </w:pPr>
      <w:r>
        <w:rPr>
          <w:spacing w:val="-5"/>
        </w:rPr>
        <w:t>陈根清，中国国籍，无境外居留权，男，</w:t>
      </w:r>
      <w:r>
        <w:rPr>
          <w:rFonts w:ascii="Times New Roman" w:hAnsi="Times New Roman" w:cs="Times New Roman" w:eastAsia="Times New Roman" w:hint="default"/>
          <w:spacing w:val="-5"/>
        </w:rPr>
        <w:t>1969</w:t>
      </w:r>
      <w:r>
        <w:rPr>
          <w:spacing w:val="-5"/>
        </w:rPr>
        <w:t>年出生，硕士，毕业于浙江大学数学专业，注册会计师、</w:t>
      </w:r>
      <w:r>
        <w:rPr/>
        <w:t> 注册税务师、国家高级项目经理、一级建造师，曾任金华市环球计算机工程有限公司开发经理、金华金信 电脑工程有限公司总经理、浙江金信软件有限公司副总经理、金信信托投资股份公司信息中心总经理，历 任公司工程部部长、总经理助理兼工程部部长、副总经理兼客服中心总经理；现任正元曦客、四川正元、 浙江校云董事，浙江云马董事兼经理，本公司副总经理兼财务总监。</w:t>
      </w:r>
    </w:p>
    <w:p>
      <w:pPr>
        <w:spacing w:line="240" w:lineRule="auto" w:before="10"/>
        <w:rPr>
          <w:rFonts w:ascii="宋体" w:hAnsi="宋体" w:cs="宋体" w:eastAsia="宋体" w:hint="default"/>
          <w:sz w:val="15"/>
          <w:szCs w:val="15"/>
        </w:rPr>
      </w:pPr>
    </w:p>
    <w:p>
      <w:pPr>
        <w:pStyle w:val="BodyText"/>
        <w:spacing w:line="386" w:lineRule="auto" w:before="0"/>
        <w:ind w:right="1132" w:firstLine="480"/>
        <w:jc w:val="both"/>
      </w:pPr>
      <w:r>
        <w:rPr>
          <w:spacing w:val="-2"/>
        </w:rPr>
        <w:t>施东圣，中国国籍，无境外居留权，男，</w:t>
      </w:r>
      <w:r>
        <w:rPr>
          <w:rFonts w:ascii="Times New Roman" w:hAnsi="Times New Roman" w:cs="Times New Roman" w:eastAsia="Times New Roman" w:hint="default"/>
          <w:spacing w:val="-2"/>
        </w:rPr>
        <w:t>1962</w:t>
      </w:r>
      <w:r>
        <w:rPr>
          <w:spacing w:val="-2"/>
        </w:rPr>
        <w:t>年出生，本科，毕业于杭州大学，曾任浙江医科大学教</w:t>
      </w:r>
      <w:r>
        <w:rPr/>
        <w:t> 师；现任本公司副总经理。</w:t>
      </w:r>
    </w:p>
    <w:p>
      <w:pPr>
        <w:spacing w:line="240" w:lineRule="auto" w:before="12"/>
        <w:rPr>
          <w:rFonts w:ascii="宋体" w:hAnsi="宋体" w:cs="宋体" w:eastAsia="宋体" w:hint="default"/>
          <w:sz w:val="16"/>
          <w:szCs w:val="16"/>
        </w:rPr>
      </w:pPr>
    </w:p>
    <w:p>
      <w:pPr>
        <w:pStyle w:val="BodyText"/>
        <w:spacing w:line="386" w:lineRule="auto" w:before="0"/>
        <w:ind w:right="1131" w:firstLine="480"/>
        <w:jc w:val="both"/>
      </w:pPr>
      <w:r>
        <w:rPr>
          <w:spacing w:val="-2"/>
        </w:rPr>
        <w:t>朱军，中国国籍，无境外居留权，男，</w:t>
      </w:r>
      <w:r>
        <w:rPr>
          <w:rFonts w:ascii="Times New Roman" w:hAnsi="Times New Roman" w:cs="Times New Roman" w:eastAsia="Times New Roman" w:hint="default"/>
          <w:spacing w:val="-2"/>
        </w:rPr>
        <w:t>1962</w:t>
      </w:r>
      <w:r>
        <w:rPr>
          <w:spacing w:val="-2"/>
        </w:rPr>
        <w:t>年出生，硕士，毕业于南开大学汉语言文学专业、浙江省</w:t>
      </w:r>
      <w:r>
        <w:rPr/>
        <w:t> </w:t>
      </w:r>
      <w:r>
        <w:rPr>
          <w:spacing w:val="-1"/>
        </w:rPr>
        <w:t>委党校经济学硕士研究生，曾任浙江财经学院院长助理、组织部长，奉化市政府副市长（挂职），杭州师</w:t>
      </w:r>
    </w:p>
    <w:p>
      <w:pPr>
        <w:spacing w:after="0" w:line="386"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8"/>
        <w:jc w:val="left"/>
      </w:pPr>
      <w:r>
        <w:rPr>
          <w:spacing w:val="-1"/>
        </w:rPr>
        <w:t>范学院党委副书记，杭州师范大学党委副书记，春和集团有限公司常务副总裁等职务；现任本公司副总经</w:t>
      </w:r>
      <w:r>
        <w:rPr>
          <w:spacing w:val="-82"/>
        </w:rPr>
        <w:t> </w:t>
      </w:r>
      <w:r>
        <w:rPr>
          <w:spacing w:val="-82"/>
        </w:rPr>
      </w:r>
      <w:r>
        <w:rPr/>
        <w:t>理。</w:t>
      </w:r>
    </w:p>
    <w:p>
      <w:pPr>
        <w:spacing w:line="240" w:lineRule="auto" w:before="6"/>
        <w:rPr>
          <w:rFonts w:ascii="宋体" w:hAnsi="宋体" w:cs="宋体" w:eastAsia="宋体" w:hint="default"/>
          <w:sz w:val="15"/>
          <w:szCs w:val="15"/>
        </w:rPr>
      </w:pPr>
    </w:p>
    <w:p>
      <w:pPr>
        <w:pStyle w:val="BodyText"/>
        <w:spacing w:line="398" w:lineRule="auto" w:before="0"/>
        <w:ind w:right="1110" w:firstLine="480"/>
        <w:jc w:val="both"/>
      </w:pPr>
      <w:r>
        <w:rPr>
          <w:spacing w:val="-2"/>
        </w:rPr>
        <w:t>吕晓平，中国国籍，无境外居留权，男，</w:t>
      </w:r>
      <w:r>
        <w:rPr>
          <w:rFonts w:ascii="Times New Roman" w:hAnsi="Times New Roman" w:cs="Times New Roman" w:eastAsia="Times New Roman" w:hint="default"/>
          <w:spacing w:val="-2"/>
        </w:rPr>
        <w:t>1973</w:t>
      </w:r>
      <w:r>
        <w:rPr>
          <w:spacing w:val="-2"/>
        </w:rPr>
        <w:t>年出生，本科，毕业于杭州大学，历任公司杭州分公司</w:t>
      </w:r>
      <w:r>
        <w:rPr/>
        <w:t> 经理、营销部部长、省内营销公司总经理、金卡事业部总经理、总经理助理等职务；现任正浩投资监事， 本公司副总经理。</w:t>
      </w:r>
    </w:p>
    <w:p>
      <w:pPr>
        <w:spacing w:line="240" w:lineRule="auto" w:before="1"/>
        <w:rPr>
          <w:rFonts w:ascii="宋体" w:hAnsi="宋体" w:cs="宋体" w:eastAsia="宋体" w:hint="default"/>
          <w:sz w:val="16"/>
          <w:szCs w:val="16"/>
        </w:rPr>
      </w:pPr>
    </w:p>
    <w:p>
      <w:pPr>
        <w:pStyle w:val="BodyText"/>
        <w:spacing w:line="398" w:lineRule="auto" w:before="0"/>
        <w:ind w:right="1033" w:firstLine="480"/>
        <w:jc w:val="left"/>
        <w:rPr>
          <w:sz w:val="18"/>
          <w:szCs w:val="18"/>
        </w:rPr>
      </w:pPr>
      <w:r>
        <w:rPr/>
        <w:t>周军辉，中国国籍，无境外居留权，</w:t>
      </w:r>
      <w:r>
        <w:rPr>
          <w:rFonts w:ascii="Times New Roman" w:hAnsi="Times New Roman" w:cs="Times New Roman" w:eastAsia="Times New Roman" w:hint="default"/>
        </w:rPr>
        <w:t>1973</w:t>
      </w:r>
      <w:r>
        <w:rPr/>
        <w:t>年出生，本科，毕业于浙江农业大学经济管理系，经济师， 人力资源管理师。历任正元有限总经理办公室副主任、工会委员、公司职工代表监事；现任杭州易康执行 董事兼总经理、浙江校云董事、正元曦客监事，本公司副总经理、董事会秘书、总经理办公室主任。 </w:t>
      </w:r>
      <w:r>
        <w:rPr>
          <w:sz w:val="18"/>
          <w:szCs w:val="18"/>
        </w:rPr>
        <w:t>在股东单位任职情况</w:t>
      </w:r>
    </w:p>
    <w:p>
      <w:pPr>
        <w:spacing w:line="248" w:lineRule="exact"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2342"/>
        <w:gridCol w:w="2268"/>
        <w:gridCol w:w="1560"/>
        <w:gridCol w:w="1134"/>
        <w:gridCol w:w="1062"/>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陈英</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陈英</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黄金明</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盈瓯创投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黄金明</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合力创投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杨增荣</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金础创投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执行事务合伙人委派代表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杨增荣</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文诚创投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吕晓平</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正浩投资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周军辉</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易康投资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830"/>
        <w:gridCol w:w="2188"/>
        <w:gridCol w:w="2106"/>
        <w:gridCol w:w="1469"/>
        <w:gridCol w:w="1076"/>
        <w:gridCol w:w="997"/>
      </w:tblGrid>
      <w:tr>
        <w:trPr>
          <w:trHeight w:val="1025"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2" w:right="83"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 w:right="42"/>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正元投资</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38" w:right="99" w:hanging="540"/>
              <w:jc w:val="left"/>
              <w:rPr>
                <w:rFonts w:ascii="宋体" w:hAnsi="宋体" w:cs="宋体" w:eastAsia="宋体" w:hint="default"/>
                <w:sz w:val="18"/>
                <w:szCs w:val="18"/>
              </w:rPr>
            </w:pPr>
            <w:r>
              <w:rPr>
                <w:rFonts w:ascii="宋体" w:hAnsi="宋体" w:cs="宋体" w:eastAsia="宋体" w:hint="default"/>
                <w:sz w:val="18"/>
                <w:szCs w:val="18"/>
              </w:rPr>
              <w:t>浙江方圆智能技术检测技 术有限公司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重庆汇贤</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无锡汇众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30"/>
        <w:gridCol w:w="2188"/>
        <w:gridCol w:w="2106"/>
        <w:gridCol w:w="1469"/>
        <w:gridCol w:w="1076"/>
        <w:gridCol w:w="997"/>
      </w:tblGrid>
      <w:tr>
        <w:trPr>
          <w:trHeight w:val="362" w:hRule="exact"/>
        </w:trPr>
        <w:tc>
          <w:tcPr>
            <w:tcW w:w="1830"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卓然实业</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正元医疗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正元曦客</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四川正元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浙江云马</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浙江树人大学</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金融系主任</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正元投资</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正元医疗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陈英</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浙江方圆智能技术检测有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浙江华瓯创业投资有限公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董事兼总经理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浙江华瓯股权投资管理有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海口奇力制药股份有限公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杭州美汇贸易有限公司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28" w:right="99" w:hanging="630"/>
              <w:jc w:val="left"/>
              <w:rPr>
                <w:rFonts w:ascii="宋体" w:hAnsi="宋体" w:cs="宋体" w:eastAsia="宋体" w:hint="default"/>
                <w:sz w:val="18"/>
                <w:szCs w:val="18"/>
              </w:rPr>
            </w:pPr>
            <w:r>
              <w:rPr>
                <w:rFonts w:ascii="宋体" w:hAnsi="宋体" w:cs="宋体" w:eastAsia="宋体" w:hint="default"/>
                <w:sz w:val="18"/>
                <w:szCs w:val="18"/>
              </w:rPr>
              <w:t>浙江爱迪亚营养科技开发 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杭州厚邦投资管理有限公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杭州求道网络科技有限公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浙江瓯信创业投资有限公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董事兼总经理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上海钜研股权投资管理有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浙江瓯盛创业投资有限公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30"/>
        <w:gridCol w:w="2188"/>
        <w:gridCol w:w="2106"/>
        <w:gridCol w:w="1469"/>
        <w:gridCol w:w="1076"/>
        <w:gridCol w:w="997"/>
      </w:tblGrid>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浙江瓯联创业投资有限公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杭州泛城科技有限公司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08" w:right="99" w:hanging="810"/>
              <w:jc w:val="left"/>
              <w:rPr>
                <w:rFonts w:ascii="宋体" w:hAnsi="宋体" w:cs="宋体" w:eastAsia="宋体" w:hint="default"/>
                <w:sz w:val="18"/>
                <w:szCs w:val="18"/>
              </w:rPr>
            </w:pPr>
            <w:r>
              <w:rPr>
                <w:rFonts w:ascii="宋体" w:hAnsi="宋体" w:cs="宋体" w:eastAsia="宋体" w:hint="default"/>
                <w:sz w:val="18"/>
                <w:szCs w:val="18"/>
              </w:rPr>
              <w:t>浙江顺达新材料股份有限 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浙江五养堂药业有限公司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8" w:right="99" w:hanging="540"/>
              <w:jc w:val="left"/>
              <w:rPr>
                <w:rFonts w:ascii="宋体" w:hAnsi="宋体" w:cs="宋体" w:eastAsia="宋体" w:hint="default"/>
                <w:sz w:val="18"/>
                <w:szCs w:val="18"/>
              </w:rPr>
            </w:pPr>
            <w:r>
              <w:rPr>
                <w:rFonts w:ascii="宋体" w:hAnsi="宋体" w:cs="宋体" w:eastAsia="宋体" w:hint="default"/>
                <w:sz w:val="18"/>
                <w:szCs w:val="18"/>
              </w:rPr>
              <w:t>厦门华瓯嘉元股权投资管 理有限公司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58" w:right="99" w:hanging="360"/>
              <w:jc w:val="left"/>
              <w:rPr>
                <w:rFonts w:ascii="宋体" w:hAnsi="宋体" w:cs="宋体" w:eastAsia="宋体" w:hint="default"/>
                <w:sz w:val="18"/>
                <w:szCs w:val="18"/>
              </w:rPr>
            </w:pPr>
            <w:r>
              <w:rPr>
                <w:rFonts w:ascii="宋体" w:hAnsi="宋体" w:cs="宋体" w:eastAsia="宋体" w:hint="default"/>
                <w:sz w:val="18"/>
                <w:szCs w:val="18"/>
              </w:rPr>
              <w:t>杭州钜穗创业投资合伙企 业（有限合伙）</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执行事务合伙人委派代表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8" w:right="99" w:hanging="180"/>
              <w:jc w:val="left"/>
              <w:rPr>
                <w:rFonts w:ascii="宋体" w:hAnsi="宋体" w:cs="宋体" w:eastAsia="宋体" w:hint="default"/>
                <w:sz w:val="18"/>
                <w:szCs w:val="18"/>
              </w:rPr>
            </w:pPr>
            <w:r>
              <w:rPr>
                <w:rFonts w:ascii="宋体" w:hAnsi="宋体" w:cs="宋体" w:eastAsia="宋体" w:hint="default"/>
                <w:sz w:val="18"/>
                <w:szCs w:val="18"/>
              </w:rPr>
              <w:t>杭州核研股权投资管理合 伙企业（有限合伙）</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执行事务合伙人委派代表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78" w:right="99" w:hanging="180"/>
              <w:jc w:val="left"/>
              <w:rPr>
                <w:rFonts w:ascii="宋体" w:hAnsi="宋体" w:cs="宋体" w:eastAsia="宋体" w:hint="default"/>
                <w:sz w:val="18"/>
                <w:szCs w:val="18"/>
              </w:rPr>
            </w:pPr>
            <w:r>
              <w:rPr>
                <w:rFonts w:ascii="宋体" w:hAnsi="宋体" w:cs="宋体" w:eastAsia="宋体" w:hint="default"/>
                <w:sz w:val="18"/>
                <w:szCs w:val="18"/>
              </w:rPr>
              <w:t>杭州核智股权投资管理合 伙企业（有限合伙）</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执行事务合伙人委派代表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28" w:right="21" w:hanging="706"/>
              <w:jc w:val="left"/>
              <w:rPr>
                <w:rFonts w:ascii="宋体" w:hAnsi="宋体" w:cs="宋体" w:eastAsia="宋体" w:hint="default"/>
                <w:sz w:val="18"/>
                <w:szCs w:val="18"/>
              </w:rPr>
            </w:pPr>
            <w:r>
              <w:rPr>
                <w:rFonts w:ascii="宋体" w:hAnsi="宋体" w:cs="宋体" w:eastAsia="宋体" w:hint="default"/>
                <w:spacing w:val="-3"/>
                <w:sz w:val="18"/>
                <w:szCs w:val="18"/>
              </w:rPr>
              <w:t>杭州千毓投资合伙企业（有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执行事务合伙人委派代表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余锴</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上海趵朴投资管理有限公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上海沿锋汽车科技股份有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上海拉夏贝尔服饰股份有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蓝德环保科技集团股份有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8" w:right="99" w:hanging="540"/>
              <w:jc w:val="left"/>
              <w:rPr>
                <w:rFonts w:ascii="宋体" w:hAnsi="宋体" w:cs="宋体" w:eastAsia="宋体" w:hint="default"/>
                <w:sz w:val="18"/>
                <w:szCs w:val="18"/>
              </w:rPr>
            </w:pPr>
            <w:r>
              <w:rPr>
                <w:rFonts w:ascii="宋体" w:hAnsi="宋体" w:cs="宋体" w:eastAsia="宋体" w:hint="default"/>
                <w:sz w:val="18"/>
                <w:szCs w:val="18"/>
              </w:rPr>
              <w:t>天津博信鑫元资产管理股 份有限公司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董事兼副总经理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上海本诺电子材料有限公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陆卫明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28" w:right="99" w:hanging="630"/>
              <w:jc w:val="left"/>
              <w:rPr>
                <w:rFonts w:ascii="宋体" w:hAnsi="宋体" w:cs="宋体" w:eastAsia="宋体" w:hint="default"/>
                <w:sz w:val="18"/>
                <w:szCs w:val="18"/>
              </w:rPr>
            </w:pPr>
            <w:r>
              <w:rPr>
                <w:rFonts w:ascii="宋体" w:hAnsi="宋体" w:cs="宋体" w:eastAsia="宋体" w:hint="default"/>
                <w:sz w:val="18"/>
                <w:szCs w:val="18"/>
              </w:rPr>
              <w:t>江苏傲伦达科技实业股份 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2"/>
                <w:sz w:val="18"/>
              </w:rPr>
              <w:t>JAYTSAICHIENCHOU</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杭州汇萃智能科技有限公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2"/>
                <w:sz w:val="18"/>
              </w:rPr>
              <w:t>JAYTSAICHIENCHOU</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广东广源智能科技有限公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潘利华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飞天诚信科技股份有限公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30"/>
        <w:gridCol w:w="2188"/>
        <w:gridCol w:w="2106"/>
        <w:gridCol w:w="1469"/>
        <w:gridCol w:w="1076"/>
        <w:gridCol w:w="997"/>
      </w:tblGrid>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潘利华</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东信和平科技股份有限公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22" w:hanging="796"/>
              <w:jc w:val="left"/>
              <w:rPr>
                <w:rFonts w:ascii="宋体" w:hAnsi="宋体" w:cs="宋体" w:eastAsia="宋体" w:hint="default"/>
                <w:sz w:val="18"/>
                <w:szCs w:val="18"/>
              </w:rPr>
            </w:pPr>
            <w:r>
              <w:rPr>
                <w:rFonts w:ascii="宋体" w:hAnsi="宋体" w:cs="宋体" w:eastAsia="宋体" w:hint="default"/>
                <w:spacing w:val="-3"/>
                <w:sz w:val="18"/>
                <w:szCs w:val="18"/>
              </w:rPr>
              <w:t>北京浩天信和（杭州）律师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事务所</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浙江天台祥和实业股份有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朱加宁</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浙江晨丰科技股份有限公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杭州解百股份有限公司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浙商银行股份有限公司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08" w:right="99" w:hanging="810"/>
              <w:jc w:val="left"/>
              <w:rPr>
                <w:rFonts w:ascii="宋体" w:hAnsi="宋体" w:cs="宋体" w:eastAsia="宋体" w:hint="default"/>
                <w:sz w:val="18"/>
                <w:szCs w:val="18"/>
              </w:rPr>
            </w:pPr>
            <w:r>
              <w:rPr>
                <w:rFonts w:ascii="宋体" w:hAnsi="宋体" w:cs="宋体" w:eastAsia="宋体" w:hint="default"/>
                <w:sz w:val="18"/>
                <w:szCs w:val="18"/>
              </w:rPr>
              <w:t>浙江昂利康制药股份有限 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杭州长乔投资集团股份有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童本立</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8" w:right="99" w:hanging="540"/>
              <w:jc w:val="left"/>
              <w:rPr>
                <w:rFonts w:ascii="宋体" w:hAnsi="宋体" w:cs="宋体" w:eastAsia="宋体" w:hint="default"/>
                <w:sz w:val="18"/>
                <w:szCs w:val="18"/>
              </w:rPr>
            </w:pPr>
            <w:r>
              <w:rPr>
                <w:rFonts w:ascii="宋体" w:hAnsi="宋体" w:cs="宋体" w:eastAsia="宋体" w:hint="default"/>
                <w:sz w:val="18"/>
                <w:szCs w:val="18"/>
              </w:rPr>
              <w:t>浙江浦江农村商业银行股 份有限公司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08" w:right="99" w:hanging="810"/>
              <w:jc w:val="left"/>
              <w:rPr>
                <w:rFonts w:ascii="宋体" w:hAnsi="宋体" w:cs="宋体" w:eastAsia="宋体" w:hint="default"/>
                <w:sz w:val="18"/>
                <w:szCs w:val="18"/>
              </w:rPr>
            </w:pPr>
            <w:r>
              <w:rPr>
                <w:rFonts w:ascii="宋体" w:hAnsi="宋体" w:cs="宋体" w:eastAsia="宋体" w:hint="default"/>
                <w:sz w:val="18"/>
                <w:szCs w:val="18"/>
              </w:rPr>
              <w:t>浙江金永信投资管理有限 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杭州文广股权投资管理有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杭州文广创业投资有限公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文诚创投</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18" w:right="99" w:hanging="720"/>
              <w:jc w:val="left"/>
              <w:rPr>
                <w:rFonts w:ascii="宋体" w:hAnsi="宋体" w:cs="宋体" w:eastAsia="宋体" w:hint="default"/>
                <w:sz w:val="18"/>
                <w:szCs w:val="18"/>
              </w:rPr>
            </w:pPr>
            <w:r>
              <w:rPr>
                <w:rFonts w:ascii="宋体" w:hAnsi="宋体" w:cs="宋体" w:eastAsia="宋体" w:hint="default"/>
                <w:sz w:val="18"/>
                <w:szCs w:val="18"/>
              </w:rPr>
              <w:t>川山甲供应链管理股份有 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大新华捷运有限公司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08" w:right="99" w:hanging="810"/>
              <w:jc w:val="left"/>
              <w:rPr>
                <w:rFonts w:ascii="宋体" w:hAnsi="宋体" w:cs="宋体" w:eastAsia="宋体" w:hint="default"/>
                <w:sz w:val="18"/>
                <w:szCs w:val="18"/>
              </w:rPr>
            </w:pPr>
            <w:r>
              <w:rPr>
                <w:rFonts w:ascii="宋体" w:hAnsi="宋体" w:cs="宋体" w:eastAsia="宋体" w:hint="default"/>
                <w:sz w:val="18"/>
                <w:szCs w:val="18"/>
              </w:rPr>
              <w:t>厦门金永信投资管理有限 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杭州鑫居佳贸易有限公司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08" w:right="99" w:hanging="810"/>
              <w:jc w:val="left"/>
              <w:rPr>
                <w:rFonts w:ascii="宋体" w:hAnsi="宋体" w:cs="宋体" w:eastAsia="宋体" w:hint="default"/>
                <w:sz w:val="18"/>
                <w:szCs w:val="18"/>
              </w:rPr>
            </w:pPr>
            <w:r>
              <w:rPr>
                <w:rFonts w:ascii="宋体" w:hAnsi="宋体" w:cs="宋体" w:eastAsia="宋体" w:hint="default"/>
                <w:sz w:val="18"/>
                <w:szCs w:val="18"/>
              </w:rPr>
              <w:t>上海金永信资产管理有限 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8" w:right="99" w:hanging="540"/>
              <w:jc w:val="left"/>
              <w:rPr>
                <w:rFonts w:ascii="宋体" w:hAnsi="宋体" w:cs="宋体" w:eastAsia="宋体" w:hint="default"/>
                <w:sz w:val="18"/>
                <w:szCs w:val="18"/>
              </w:rPr>
            </w:pPr>
            <w:r>
              <w:rPr>
                <w:rFonts w:ascii="宋体" w:hAnsi="宋体" w:cs="宋体" w:eastAsia="宋体" w:hint="default"/>
                <w:sz w:val="18"/>
                <w:szCs w:val="18"/>
              </w:rPr>
              <w:t>浙江天仁合艺文化艺术股 份有限公司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上海尚福创业投资发展中</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执行事务合伙人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30"/>
        <w:gridCol w:w="2188"/>
        <w:gridCol w:w="2106"/>
        <w:gridCol w:w="1469"/>
        <w:gridCol w:w="1076"/>
        <w:gridCol w:w="997"/>
      </w:tblGrid>
      <w:tr>
        <w:trPr>
          <w:trHeight w:val="362" w:hRule="exact"/>
        </w:trPr>
        <w:tc>
          <w:tcPr>
            <w:tcW w:w="1830"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心（有限合伙）</w:t>
            </w:r>
          </w:p>
        </w:tc>
        <w:tc>
          <w:tcPr>
            <w:tcW w:w="210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58" w:right="99" w:hanging="360"/>
              <w:jc w:val="left"/>
              <w:rPr>
                <w:rFonts w:ascii="宋体" w:hAnsi="宋体" w:cs="宋体" w:eastAsia="宋体" w:hint="default"/>
                <w:sz w:val="18"/>
                <w:szCs w:val="18"/>
              </w:rPr>
            </w:pPr>
            <w:r>
              <w:rPr>
                <w:rFonts w:ascii="宋体" w:hAnsi="宋体" w:cs="宋体" w:eastAsia="宋体" w:hint="default"/>
                <w:sz w:val="18"/>
                <w:szCs w:val="18"/>
              </w:rPr>
              <w:t>上海育杰创业投资发展中 心（有限合伙）</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执行事务合伙人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98" w:right="99" w:hanging="900"/>
              <w:jc w:val="left"/>
              <w:rPr>
                <w:rFonts w:ascii="宋体" w:hAnsi="宋体" w:cs="宋体" w:eastAsia="宋体" w:hint="default"/>
                <w:sz w:val="18"/>
                <w:szCs w:val="18"/>
              </w:rPr>
            </w:pPr>
            <w:r>
              <w:rPr>
                <w:rFonts w:ascii="宋体" w:hAnsi="宋体" w:cs="宋体" w:eastAsia="宋体" w:hint="default"/>
                <w:sz w:val="18"/>
                <w:szCs w:val="18"/>
              </w:rPr>
              <w:t>杭州炬星环保科技有限公 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38" w:right="99" w:hanging="540"/>
              <w:jc w:val="left"/>
              <w:rPr>
                <w:rFonts w:ascii="宋体" w:hAnsi="宋体" w:cs="宋体" w:eastAsia="宋体" w:hint="default"/>
                <w:sz w:val="18"/>
                <w:szCs w:val="18"/>
              </w:rPr>
            </w:pPr>
            <w:r>
              <w:rPr>
                <w:rFonts w:ascii="宋体" w:hAnsi="宋体" w:cs="宋体" w:eastAsia="宋体" w:hint="default"/>
                <w:sz w:val="18"/>
                <w:szCs w:val="18"/>
              </w:rPr>
              <w:t>浙江天海海洋经济科技开 发有限公司</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正元曦客</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四川正元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李战鹏</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浙江校云</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正元曦客</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四川正元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浙江校云</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陈根清</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浙江云马</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董事兼经理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正元曦客</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周军辉</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浙江校云</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65"/>
      <w:bookmarkEnd w:id="16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408" w:lineRule="auto" w:before="0"/>
        <w:ind w:right="1131" w:firstLine="423"/>
        <w:jc w:val="both"/>
      </w:pPr>
      <w:r>
        <w:rPr>
          <w:spacing w:val="-1"/>
        </w:rPr>
        <w:t>公司独立董事津贴由董事会提交股东大会审议通过后实施，在公司任职的其他董事、监事、高级管理</w:t>
      </w:r>
      <w:r>
        <w:rPr/>
        <w:t> </w:t>
      </w:r>
      <w:r>
        <w:rPr>
          <w:spacing w:val="-1"/>
        </w:rPr>
        <w:t>人员根据公司薪酬体系和绩效考核体系综合考评后领取薪酬。公司已向董事、监事及高级管理人员全额支</w:t>
      </w:r>
      <w:r>
        <w:rPr>
          <w:spacing w:val="-81"/>
        </w:rPr>
        <w:t> </w:t>
      </w:r>
      <w:r>
        <w:rPr>
          <w:spacing w:val="-81"/>
        </w:rPr>
      </w:r>
      <w:r>
        <w:rPr/>
        <w:t>付报告期内的薪酬。</w:t>
      </w:r>
    </w:p>
    <w:p>
      <w:pPr>
        <w:spacing w:before="3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44"/>
        <w:gridCol w:w="2553"/>
        <w:gridCol w:w="850"/>
        <w:gridCol w:w="851"/>
        <w:gridCol w:w="993"/>
        <w:gridCol w:w="1276"/>
        <w:gridCol w:w="1207"/>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 w:right="59"/>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bl>
    <w:p>
      <w:pPr>
        <w:spacing w:after="0" w:line="319"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844"/>
        <w:gridCol w:w="2553"/>
        <w:gridCol w:w="850"/>
        <w:gridCol w:w="851"/>
        <w:gridCol w:w="993"/>
        <w:gridCol w:w="1276"/>
        <w:gridCol w:w="1207"/>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陈坚</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陈英</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黄金明</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陆卫明</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余锴</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JAYTSAICHIENCHOU</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董事、副总经理、总工程师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27.23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潘利华</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朱加宁</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童本立</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杨增荣</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李战鹏</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陈根清</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27.49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施东圣</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28.64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朱军</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吕晓平</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周军辉</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20.82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季建华</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范熊熊</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265.59</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66"/>
      <w:bookmarkEnd w:id="16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67"/>
      <w:bookmarkEnd w:id="16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薪酬政策" w:id="168"/>
      <w:bookmarkEnd w:id="16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80"/>
        <w:jc w:val="both"/>
      </w:pPr>
      <w:r>
        <w:rPr>
          <w:spacing w:val="-2"/>
        </w:rPr>
        <w:t>公司按照经董事会薪酬与考核委员会审议通过的薪酬考核方案，制定各岗位薪资待遇。员工薪酬主要</w:t>
      </w:r>
      <w:r>
        <w:rPr/>
        <w:t> </w:t>
      </w:r>
      <w:r>
        <w:rPr>
          <w:spacing w:val="-1"/>
        </w:rPr>
        <w:t>由基本薪酬、绩效薪酬和年终奖组成。公司薪酬政策坚持与岗位价值相匹配的基本原则，同时兼顾技术与</w:t>
      </w:r>
      <w:r>
        <w:rPr>
          <w:spacing w:val="-83"/>
        </w:rPr>
        <w:t> </w:t>
      </w:r>
      <w:r>
        <w:rPr>
          <w:spacing w:val="-83"/>
        </w:rPr>
      </w:r>
      <w:r>
        <w:rPr>
          <w:spacing w:val="-1"/>
        </w:rPr>
        <w:t>专业化能力的差别化对待，根据不同类别岗位职级制定相应的薪酬等级体系，在每个岗位职级内根据其技</w:t>
      </w:r>
      <w:r>
        <w:rPr>
          <w:spacing w:val="-81"/>
        </w:rPr>
        <w:t> </w:t>
      </w:r>
      <w:r>
        <w:rPr>
          <w:spacing w:val="-81"/>
        </w:rPr>
      </w:r>
      <w:r>
        <w:rPr/>
        <w:t>术能力、专业化能力水平确定对应的薪酬。</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3、培训计划" w:id="169"/>
      <w:bookmarkEnd w:id="169"/>
      <w:r>
        <w:rPr>
          <w:b w:val="0"/>
          <w:bCs w:val="0"/>
        </w:rPr>
      </w:r>
      <w:r>
        <w:rPr>
          <w:rFonts w:ascii="宋体" w:hAnsi="宋体" w:cs="宋体" w:eastAsia="宋体" w:hint="default"/>
        </w:rPr>
        <w:t>3</w:t>
      </w:r>
      <w:r>
        <w:rPr/>
        <w:t>、培训计划</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0" w:firstLine="480"/>
        <w:jc w:val="left"/>
      </w:pPr>
      <w:r>
        <w:rPr/>
        <w:t>为提升公司的凝聚力和竞争力，公司一直注重员工的培训发展，建立健全了完善的培训体系。</w:t>
      </w:r>
      <w:r>
        <w:rPr>
          <w:rFonts w:ascii="宋体" w:hAnsi="宋体" w:cs="宋体" w:eastAsia="宋体" w:hint="default"/>
        </w:rPr>
        <w:t>2017 </w:t>
      </w:r>
      <w:r>
        <w:rPr>
          <w:spacing w:val="-1"/>
        </w:rPr>
        <w:t>年起公司开办了“正元学堂”，以一线经理人、技术骨干及新员工为培训重点，根据不同对象制定对应培</w:t>
      </w:r>
      <w:r>
        <w:rPr>
          <w:spacing w:val="-83"/>
        </w:rPr>
        <w:t> </w:t>
      </w:r>
      <w:r>
        <w:rPr>
          <w:spacing w:val="-83"/>
        </w:rPr>
      </w:r>
      <w:r>
        <w:rPr/>
        <w:t>训计划，持续开展各类型岗位培训，提高标准严格要求，加速打造正元智慧人才建设体系。</w:t>
      </w:r>
    </w:p>
    <w:p>
      <w:pPr>
        <w:pStyle w:val="BodyText"/>
        <w:spacing w:line="408" w:lineRule="auto"/>
        <w:ind w:right="1050" w:firstLine="480"/>
        <w:jc w:val="both"/>
      </w:pPr>
      <w:r>
        <w:rPr>
          <w:rFonts w:ascii="宋体" w:hAnsi="宋体" w:cs="宋体" w:eastAsia="宋体" w:hint="default"/>
        </w:rPr>
        <w:t>2018</w:t>
      </w:r>
      <w:r>
        <w:rPr/>
        <w:t>年度公司将继续聘请公司内部及外部专业讲师，面向管理层及销售人员、研发人员、技术人员、 内勤人员以及新员工开展企业管理、专业知识、企业文化等讲座。同时组织新员工、公司骨干进行军训， 以军魂打造团队精神。</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劳务外包情况" w:id="170"/>
      <w:bookmarkEnd w:id="170"/>
      <w:r>
        <w:rPr>
          <w:b w:val="0"/>
          <w:bCs w:val="0"/>
        </w:rPr>
      </w:r>
      <w:r>
        <w:rPr>
          <w:rFonts w:ascii="宋体" w:hAnsi="宋体" w:cs="宋体" w:eastAsia="宋体" w:hint="default"/>
        </w:rPr>
        <w:t>4</w:t>
      </w:r>
      <w:r>
        <w:rPr/>
        <w:t>、劳务外包情况</w:t>
      </w:r>
      <w:r>
        <w:rPr>
          <w:b w:val="0"/>
          <w:bCs w:val="0"/>
        </w:rPr>
      </w:r>
    </w:p>
    <w:p>
      <w:pPr>
        <w:spacing w:line="240" w:lineRule="auto" w:before="11"/>
        <w:rPr>
          <w:rFonts w:ascii="宋体" w:hAnsi="宋体" w:cs="宋体" w:eastAsia="宋体" w:hint="default"/>
          <w:b/>
          <w:bCs/>
          <w:sz w:val="27"/>
          <w:szCs w:val="27"/>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3" w:id="171"/>
      <w:bookmarkStart w:name="第九节公司治理" w:id="172"/>
      <w:r>
        <w:rPr>
          <w:b w:val="0"/>
          <w:bCs w:val="0"/>
        </w:rPr>
      </w:r>
      <w:r>
        <w:rPr/>
        <w:t>第九节公司治理</w:t>
      </w:r>
      <w:bookmarkEnd w:id="17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73"/>
      <w:bookmarkEnd w:id="173"/>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1"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律法规等的要求，不断完善公司的法人治理结构，建立健全公司内部管理和控制制度，持续深入开展公司</w:t>
      </w:r>
      <w:r>
        <w:rPr>
          <w:spacing w:val="-83"/>
        </w:rPr>
        <w:t> </w:t>
      </w:r>
      <w:r>
        <w:rPr>
          <w:spacing w:val="-83"/>
        </w:rPr>
      </w:r>
      <w:r>
        <w:rPr>
          <w:spacing w:val="-1"/>
        </w:rPr>
        <w:t>治理活动，促进了公司规范运作，提高了公司治理水平。截至报告期末，公司治理的实际状况符合《上市</w:t>
      </w:r>
      <w:r>
        <w:rPr>
          <w:spacing w:val="-83"/>
        </w:rPr>
        <w:t> </w:t>
      </w:r>
      <w:r>
        <w:rPr>
          <w:spacing w:val="-83"/>
        </w:rPr>
      </w:r>
      <w:r>
        <w:rPr/>
        <w:t>公司治理准则》和《深圳证券交易所创业板上市公司规范运作指引》等要求。</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股东和股东大会" w:id="174"/>
      <w:bookmarkEnd w:id="174"/>
      <w:r>
        <w:rPr>
          <w:b w:val="0"/>
          <w:bCs w:val="0"/>
        </w:rPr>
      </w:r>
      <w:r>
        <w:rPr>
          <w:rFonts w:ascii="宋体" w:hAnsi="宋体" w:cs="宋体" w:eastAsia="宋体" w:hint="default"/>
        </w:rPr>
        <w:t>1</w:t>
      </w:r>
      <w:r>
        <w:rPr/>
        <w:t>、股东和股东大会</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3" w:firstLine="420"/>
        <w:jc w:val="both"/>
      </w:pPr>
      <w:r>
        <w:rPr>
          <w:spacing w:val="-1"/>
        </w:rPr>
        <w:t>公司严格按照《公司法》、《上市公司股东大会规则》、《公司章程》、《股东大会议事规则》等相</w:t>
      </w:r>
      <w:r>
        <w:rPr/>
        <w:t> </w:t>
      </w:r>
      <w:r>
        <w:rPr>
          <w:spacing w:val="-1"/>
        </w:rPr>
        <w:t>关法律法规、规范性文件和公司规章制度的有关规定和要求，规范地召集、召开股东大会。公司平等对待</w:t>
      </w:r>
      <w:r>
        <w:rPr>
          <w:spacing w:val="-86"/>
        </w:rPr>
        <w:t> </w:t>
      </w:r>
      <w:r>
        <w:rPr>
          <w:spacing w:val="-86"/>
        </w:rPr>
      </w:r>
      <w:r>
        <w:rPr>
          <w:spacing w:val="-1"/>
        </w:rPr>
        <w:t>所有股东，特别是中小股东、公众股东享有平等地位，使其充分行使自己的权利。不存在损害股东利益的</w:t>
      </w:r>
      <w:r>
        <w:rPr>
          <w:spacing w:val="-86"/>
        </w:rPr>
        <w:t> </w:t>
      </w:r>
      <w:r>
        <w:rPr>
          <w:spacing w:val="-86"/>
        </w:rPr>
      </w:r>
      <w:r>
        <w:rPr/>
        <w:t>情形。</w:t>
      </w:r>
    </w:p>
    <w:p>
      <w:pPr>
        <w:pStyle w:val="BodyText"/>
        <w:spacing w:line="408" w:lineRule="auto"/>
        <w:ind w:right="1131" w:firstLine="420"/>
        <w:jc w:val="both"/>
      </w:pPr>
      <w:r>
        <w:rPr>
          <w:spacing w:val="-1"/>
        </w:rPr>
        <w:t>报告期内，公司召开的股东大会均由公司董事会召集召开，由见证律师进行现场见证并出具法律意见</w:t>
      </w:r>
      <w:r>
        <w:rPr/>
        <w:t> </w:t>
      </w:r>
      <w:r>
        <w:rPr>
          <w:spacing w:val="-1"/>
        </w:rPr>
        <w:t>书。在股东大会上充分保证各位股东有充分的发言权，确保股东对公司重大事项的知情权、参与权、表决</w:t>
      </w:r>
      <w:r>
        <w:rPr>
          <w:spacing w:val="-84"/>
        </w:rPr>
        <w:t> </w:t>
      </w:r>
      <w:r>
        <w:rPr>
          <w:spacing w:val="-84"/>
        </w:rPr>
      </w:r>
      <w:r>
        <w:rPr/>
        <w:t>权，使其充分行使股东合法权利。</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公司与控股股东" w:id="175"/>
      <w:bookmarkEnd w:id="175"/>
      <w:r>
        <w:rPr>
          <w:b w:val="0"/>
          <w:bCs w:val="0"/>
        </w:rPr>
      </w:r>
      <w:r>
        <w:rPr>
          <w:rFonts w:ascii="宋体" w:hAnsi="宋体" w:cs="宋体" w:eastAsia="宋体" w:hint="default"/>
        </w:rPr>
        <w:t>2</w:t>
      </w:r>
      <w:r>
        <w:rPr/>
        <w:t>、公司与控股股东</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1" w:firstLine="420"/>
        <w:jc w:val="both"/>
      </w:pPr>
      <w:r>
        <w:rPr>
          <w:spacing w:val="-1"/>
        </w:rPr>
        <w:t>公司控股股东严格按照《上市公司治理准则》、《深圳证券交易所创业板股票上市规则》、《深圳证</w:t>
      </w:r>
      <w:r>
        <w:rPr/>
        <w:t> </w:t>
      </w:r>
      <w:r>
        <w:rPr>
          <w:spacing w:val="-1"/>
        </w:rPr>
        <w:t>券交易所创业板上市公司规范运作指引》、《公司章程》等相关规定和要求，规范自己的行为，没有超越</w:t>
      </w:r>
      <w:r>
        <w:rPr>
          <w:spacing w:val="-83"/>
        </w:rPr>
        <w:t> </w:t>
      </w:r>
      <w:r>
        <w:rPr>
          <w:spacing w:val="-83"/>
        </w:rPr>
      </w:r>
      <w:r>
        <w:rPr>
          <w:spacing w:val="-1"/>
        </w:rPr>
        <w:t>股东大会直接或间接干预公司的决策和经营活动。公司不存在控股股东占用公司资金及为控股股东提供担</w:t>
      </w:r>
      <w:r>
        <w:rPr>
          <w:spacing w:val="-81"/>
        </w:rPr>
        <w:t> </w:t>
      </w:r>
      <w:r>
        <w:rPr>
          <w:spacing w:val="-81"/>
        </w:rPr>
      </w:r>
      <w:r>
        <w:rPr>
          <w:spacing w:val="-1"/>
        </w:rPr>
        <w:t>保的情形。公司拥有独立完整的业务和自主经营能力，在业务、人员、资产、机构、财务上独立于控股股</w:t>
      </w:r>
      <w:r>
        <w:rPr>
          <w:spacing w:val="-83"/>
        </w:rPr>
        <w:t> </w:t>
      </w:r>
      <w:r>
        <w:rPr>
          <w:spacing w:val="-83"/>
        </w:rPr>
      </w:r>
      <w:r>
        <w:rPr/>
        <w:t>东，公司董事会、监事会和内部机构独立运作。</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董事与董事会" w:id="176"/>
      <w:bookmarkEnd w:id="176"/>
      <w:r>
        <w:rPr>
          <w:b w:val="0"/>
          <w:bCs w:val="0"/>
        </w:rPr>
      </w:r>
      <w:r>
        <w:rPr>
          <w:rFonts w:ascii="宋体" w:hAnsi="宋体" w:cs="宋体" w:eastAsia="宋体" w:hint="default"/>
        </w:rPr>
        <w:t>3</w:t>
      </w:r>
      <w:r>
        <w:rPr/>
        <w:t>、董事与董事会</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110" w:firstLine="420"/>
        <w:jc w:val="both"/>
      </w:pPr>
      <w:r>
        <w:rPr/>
        <w:t>公司第二届董事会设董事</w:t>
      </w:r>
      <w:r>
        <w:rPr>
          <w:rFonts w:ascii="宋体" w:hAnsi="宋体" w:cs="宋体" w:eastAsia="宋体" w:hint="default"/>
        </w:rPr>
        <w:t>9</w:t>
      </w:r>
      <w:r>
        <w:rPr/>
        <w:t>名，其中独立董事</w:t>
      </w:r>
      <w:r>
        <w:rPr>
          <w:rFonts w:ascii="宋体" w:hAnsi="宋体" w:cs="宋体" w:eastAsia="宋体" w:hint="default"/>
        </w:rPr>
        <w:t>3</w:t>
      </w:r>
      <w:r>
        <w:rPr/>
        <w:t>名，达到公司董事总数的</w:t>
      </w:r>
      <w:r>
        <w:rPr>
          <w:rFonts w:ascii="宋体" w:hAnsi="宋体" w:cs="宋体" w:eastAsia="宋体" w:hint="default"/>
        </w:rPr>
        <w:t>1/3</w:t>
      </w:r>
      <w:r>
        <w:rPr/>
        <w:t>。董事会的人数及人员构 成符合法律、法规和《公司章程》的要求。各位董事能够依据《董事会议事规则》、《独立董事制度》、</w:t>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3"/>
        </w:rPr>
        <w:t>《深圳证券交易所创业板上市公司规范运作指引》等开展工作，按时出席董事会、专门委员会和股东大会，</w:t>
      </w:r>
      <w:r>
        <w:rPr>
          <w:spacing w:val="-90"/>
        </w:rPr>
        <w:t> </w:t>
      </w:r>
      <w:r>
        <w:rPr>
          <w:spacing w:val="-90"/>
        </w:rPr>
      </w:r>
      <w:r>
        <w:rPr/>
        <w:t>勤勉尽责地履行职责和义务，同时积极参加相关培训，熟悉相关法律法规。</w:t>
      </w:r>
    </w:p>
    <w:p>
      <w:pPr>
        <w:pStyle w:val="BodyText"/>
        <w:spacing w:line="408" w:lineRule="auto"/>
        <w:ind w:right="0" w:firstLine="420"/>
        <w:jc w:val="left"/>
      </w:pPr>
      <w:r>
        <w:rPr/>
        <w:t>董事会下设薪酬与考核委员会、战略委员会、提名委员会和审计委员会，除战略委员会外其他委员会 </w:t>
      </w:r>
      <w:r>
        <w:rPr>
          <w:spacing w:val="-1"/>
        </w:rPr>
        <w:t>中独立董事占比均超过</w:t>
      </w:r>
      <w:r>
        <w:rPr>
          <w:rFonts w:ascii="宋体" w:hAnsi="宋体" w:cs="宋体" w:eastAsia="宋体" w:hint="default"/>
          <w:spacing w:val="-1"/>
        </w:rPr>
        <w:t>1/2</w:t>
      </w:r>
      <w:r>
        <w:rPr>
          <w:spacing w:val="-1"/>
        </w:rPr>
        <w:t>，为董事会的决策提供了科学和专业的意见和参考。各委员会依据《公司章程》</w:t>
      </w:r>
      <w:r>
        <w:rPr>
          <w:spacing w:val="-83"/>
        </w:rPr>
        <w:t> </w:t>
      </w:r>
      <w:r>
        <w:rPr>
          <w:spacing w:val="-83"/>
        </w:rPr>
      </w:r>
      <w:r>
        <w:rPr/>
        <w:t>和各委员会议事细则的规定履行职权，不受公司其他部门和个人的干预。</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监事与监事会" w:id="177"/>
      <w:bookmarkEnd w:id="177"/>
      <w:r>
        <w:rPr>
          <w:b w:val="0"/>
          <w:bCs w:val="0"/>
        </w:rPr>
      </w:r>
      <w:r>
        <w:rPr>
          <w:rFonts w:ascii="宋体" w:hAnsi="宋体" w:cs="宋体" w:eastAsia="宋体" w:hint="default"/>
        </w:rPr>
        <w:t>4</w:t>
      </w:r>
      <w:r>
        <w:rPr/>
        <w:t>、监事与监事会</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1" w:firstLine="420"/>
        <w:jc w:val="both"/>
      </w:pPr>
      <w:r>
        <w:rPr>
          <w:spacing w:val="-1"/>
        </w:rPr>
        <w:t>公司第二届监事会设监事</w:t>
      </w:r>
      <w:r>
        <w:rPr>
          <w:rFonts w:ascii="宋体" w:hAnsi="宋体" w:cs="宋体" w:eastAsia="宋体" w:hint="default"/>
          <w:spacing w:val="-1"/>
        </w:rPr>
        <w:t>3</w:t>
      </w:r>
      <w:r>
        <w:rPr>
          <w:spacing w:val="-1"/>
        </w:rPr>
        <w:t>名，其中职工监事</w:t>
      </w:r>
      <w:r>
        <w:rPr>
          <w:rFonts w:ascii="宋体" w:hAnsi="宋体" w:cs="宋体" w:eastAsia="宋体" w:hint="default"/>
          <w:spacing w:val="-1"/>
        </w:rPr>
        <w:t>2</w:t>
      </w:r>
      <w:r>
        <w:rPr>
          <w:spacing w:val="-1"/>
        </w:rPr>
        <w:t>名，监事会的人数和构成符合法律、法规的要求。各位</w:t>
      </w:r>
      <w:r>
        <w:rPr/>
        <w:t> </w:t>
      </w:r>
      <w:r>
        <w:rPr>
          <w:spacing w:val="-1"/>
        </w:rPr>
        <w:t>监事能够按照《监事会议事规则》的要求，认真履行自己的职责，对公司重大事项、关联交易、财务状况</w:t>
      </w:r>
      <w:r>
        <w:rPr>
          <w:spacing w:val="-83"/>
        </w:rPr>
        <w:t> </w:t>
      </w:r>
      <w:r>
        <w:rPr>
          <w:spacing w:val="-83"/>
        </w:rPr>
      </w:r>
      <w:r>
        <w:rPr/>
        <w:t>以及董事、高管人员履行职责的合法合规性进行监督，维护公司及股东的合法权益。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5、绩效考核与激励机制" w:id="178"/>
      <w:bookmarkEnd w:id="178"/>
      <w:r>
        <w:rPr>
          <w:b w:val="0"/>
          <w:bCs w:val="0"/>
        </w:rPr>
      </w:r>
      <w:r>
        <w:rPr>
          <w:rFonts w:ascii="宋体" w:hAnsi="宋体" w:cs="宋体" w:eastAsia="宋体" w:hint="default"/>
        </w:rPr>
        <w:t>5</w:t>
      </w:r>
      <w:r>
        <w:rPr/>
        <w:t>、绩效考核与激励机制</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1" w:firstLine="420"/>
        <w:jc w:val="both"/>
      </w:pPr>
      <w:r>
        <w:rPr>
          <w:spacing w:val="-1"/>
        </w:rPr>
        <w:t>公司制定了《董事、监事、高级管理人员薪酬管理制度》，并建立了绩效考评体系和薪酬制度，董监</w:t>
      </w:r>
      <w:r>
        <w:rPr/>
        <w:t> </w:t>
      </w:r>
      <w:r>
        <w:rPr>
          <w:spacing w:val="-1"/>
        </w:rPr>
        <w:t>高的工作绩效与其收入直接挂钩。董监高人员的聘任公开、透明，符合法律、法规的规定。公司董事会下</w:t>
      </w:r>
      <w:r>
        <w:rPr>
          <w:spacing w:val="-82"/>
        </w:rPr>
        <w:t> </w:t>
      </w:r>
      <w:r>
        <w:rPr>
          <w:spacing w:val="-82"/>
        </w:rPr>
      </w:r>
      <w:r>
        <w:rPr/>
        <w:t>设的提名委员会、薪酬与考核委员会负责对公司董事及高级管理人员进行绩效考核。</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6、信息披露与透明度" w:id="179"/>
      <w:bookmarkEnd w:id="179"/>
      <w:r>
        <w:rPr>
          <w:b w:val="0"/>
          <w:bCs w:val="0"/>
        </w:rPr>
      </w:r>
      <w:r>
        <w:rPr>
          <w:rFonts w:ascii="宋体" w:hAnsi="宋体" w:cs="宋体" w:eastAsia="宋体" w:hint="default"/>
        </w:rPr>
        <w:t>6</w:t>
      </w:r>
      <w:r>
        <w:rPr/>
        <w:t>、信息披露与透明度</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026" w:firstLine="420"/>
        <w:jc w:val="both"/>
      </w:pPr>
      <w:r>
        <w:rPr>
          <w:spacing w:val="-3"/>
        </w:rPr>
        <w:t>公司严格按照有关法律法规以及《信息披露制度》、《投资者关系管理制度》等的要求，真实、准确、</w:t>
      </w:r>
      <w:r>
        <w:rPr/>
        <w:t> </w:t>
      </w:r>
      <w:r>
        <w:rPr>
          <w:spacing w:val="-3"/>
        </w:rPr>
        <w:t>及时、公平、完整地披露有关信息；并指定公司董事会秘书负责信息披露工作，协调公司与投资者的关系，</w:t>
      </w:r>
      <w:r>
        <w:rPr>
          <w:spacing w:val="-93"/>
        </w:rPr>
        <w:t> </w:t>
      </w:r>
      <w:r>
        <w:rPr>
          <w:spacing w:val="-93"/>
        </w:rPr>
      </w:r>
      <w:r>
        <w:rPr/>
        <w:t>接待股东来访，回答投资者咨询，向投资者提供公司已披露的资料；并指定《证券时报》和巨潮网</w:t>
      </w:r>
    </w:p>
    <w:p>
      <w:pPr>
        <w:pStyle w:val="BodyText"/>
        <w:spacing w:line="408" w:lineRule="auto"/>
        <w:ind w:left="1134" w:right="1197"/>
        <w:jc w:val="left"/>
      </w:pPr>
      <w:r>
        <w:rPr/>
        <w:t>（</w:t>
      </w:r>
      <w:hyperlink r:id="rId12">
        <w:r>
          <w:rPr>
            <w:rFonts w:ascii="宋体" w:hAnsi="宋体" w:cs="宋体" w:eastAsia="宋体" w:hint="default"/>
          </w:rPr>
          <w:t>www.cninfo.com.cn</w:t>
        </w:r>
      </w:hyperlink>
      <w:r>
        <w:rPr/>
        <w:t>）为公司信息披露的指定报纸和网站，确保公司所有股东能够以平等的机会获得信 息。</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7、相关利益者" w:id="180"/>
      <w:bookmarkEnd w:id="180"/>
      <w:r>
        <w:rPr>
          <w:b w:val="0"/>
          <w:bCs w:val="0"/>
        </w:rPr>
      </w:r>
      <w:r>
        <w:rPr>
          <w:rFonts w:ascii="宋体" w:hAnsi="宋体" w:cs="宋体" w:eastAsia="宋体" w:hint="default"/>
        </w:rPr>
        <w:t>7</w:t>
      </w:r>
      <w:r>
        <w:rPr/>
        <w:t>、相关利益者</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33" w:firstLine="420"/>
        <w:jc w:val="both"/>
      </w:pPr>
      <w:r>
        <w:rPr>
          <w:spacing w:val="-1"/>
        </w:rPr>
        <w:t>公司充分尊重和维护相关利益者的合法权益，实现股东、员工、社会等各方利益的协调平衡，共同推</w:t>
      </w:r>
      <w:r>
        <w:rPr/>
        <w:t> 动公司持续、健康的发展。</w:t>
      </w:r>
    </w:p>
    <w:p>
      <w:pPr>
        <w:pStyle w:val="BodyText"/>
        <w:spacing w:line="408" w:lineRule="auto"/>
        <w:ind w:left="1134" w:right="1131" w:firstLine="420"/>
        <w:jc w:val="both"/>
      </w:pPr>
      <w:r>
        <w:rPr>
          <w:spacing w:val="-1"/>
        </w:rPr>
        <w:t>报告期内以及</w:t>
      </w:r>
      <w:r>
        <w:rPr>
          <w:rFonts w:ascii="宋体" w:hAnsi="宋体" w:cs="宋体" w:eastAsia="宋体" w:hint="default"/>
          <w:spacing w:val="-1"/>
        </w:rPr>
        <w:t>2017</w:t>
      </w:r>
      <w:r>
        <w:rPr>
          <w:spacing w:val="-1"/>
        </w:rPr>
        <w:t>年年度报告编制期间，公司不存在向大股东、实际控制人提供未公开信息等公司治</w:t>
      </w:r>
      <w:r>
        <w:rPr/>
        <w:t> 理非规范情况。</w:t>
      </w:r>
    </w:p>
    <w:p>
      <w:pPr>
        <w:pStyle w:val="BodyText"/>
        <w:spacing w:line="408" w:lineRule="auto"/>
        <w:ind w:left="1134" w:right="1110" w:firstLine="420"/>
        <w:jc w:val="both"/>
      </w:pPr>
      <w:r>
        <w:rPr>
          <w:spacing w:val="-1"/>
        </w:rPr>
        <w:t>公司自成立以来，一贯严格按照《公司法》、《证券法》等有关法律、法规的要求规范运作，并将严</w:t>
      </w:r>
      <w:r>
        <w:rPr/>
        <w:t> 格按照《上市公司治理准则》等有关规定的要求，不断完善公司的治理结构，切实维护中小股东的利益。</w:t>
      </w:r>
    </w:p>
    <w:p>
      <w:pPr>
        <w:spacing w:after="0" w:line="408" w:lineRule="auto"/>
        <w:jc w:val="both"/>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内部审计制度的执行" w:id="181"/>
      <w:bookmarkEnd w:id="181"/>
      <w:r>
        <w:rPr>
          <w:b w:val="0"/>
          <w:bCs w:val="0"/>
        </w:rPr>
      </w:r>
      <w:r>
        <w:rPr>
          <w:rFonts w:ascii="宋体" w:hAnsi="宋体" w:cs="宋体" w:eastAsia="宋体" w:hint="default"/>
        </w:rPr>
        <w:t>8</w:t>
      </w:r>
      <w:r>
        <w:rPr/>
        <w:t>、内部审计制度的执行</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31" w:firstLine="420"/>
        <w:jc w:val="both"/>
      </w:pPr>
      <w:r>
        <w:rPr>
          <w:spacing w:val="-1"/>
        </w:rPr>
        <w:t>公司制定了《内部审计制度》、《内部控制规范》，有效地规范了经营管理，控制风险的同时确保经</w:t>
      </w:r>
      <w:r>
        <w:rPr/>
        <w:t> </w:t>
      </w:r>
      <w:r>
        <w:rPr>
          <w:spacing w:val="-1"/>
        </w:rPr>
        <w:t>营活动的正常开展。通过对公司各项治理制度的规范和落实，公司的治理水平不断提高，有效的保证了公</w:t>
      </w:r>
      <w:r>
        <w:rPr>
          <w:spacing w:val="-83"/>
        </w:rPr>
        <w:t> </w:t>
      </w:r>
      <w:r>
        <w:rPr>
          <w:spacing w:val="-83"/>
        </w:rPr>
      </w:r>
      <w:r>
        <w:rPr/>
        <w:t>司各项经营目标的实现。</w:t>
      </w:r>
    </w:p>
    <w:p>
      <w:pPr>
        <w:spacing w:line="405" w:lineRule="auto" w:before="46"/>
        <w:ind w:left="1133" w:right="1024" w:firstLine="420"/>
        <w:jc w:val="left"/>
        <w:rPr>
          <w:rFonts w:ascii="宋体" w:hAnsi="宋体" w:cs="宋体" w:eastAsia="宋体" w:hint="default"/>
          <w:sz w:val="18"/>
          <w:szCs w:val="18"/>
        </w:rPr>
      </w:pPr>
      <w:r>
        <w:rPr>
          <w:rFonts w:ascii="宋体" w:hAnsi="宋体" w:cs="宋体" w:eastAsia="宋体" w:hint="default"/>
          <w:sz w:val="21"/>
          <w:szCs w:val="21"/>
        </w:rPr>
        <w:t>公司董事会下设审计委员会，主要负责公司内部审计与外部审计之间进行沟通，并监督公司内部审计 </w:t>
      </w:r>
      <w:r>
        <w:rPr>
          <w:rFonts w:ascii="宋体" w:hAnsi="宋体" w:cs="宋体" w:eastAsia="宋体" w:hint="default"/>
          <w:spacing w:val="-3"/>
          <w:sz w:val="21"/>
          <w:szCs w:val="21"/>
        </w:rPr>
        <w:t>制度的实施，审查公司内部控制制度的执行情况，审查公司的财务信息等。审计委员会下设独立的内审部，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内审部直接对审计委员会负责及报告工作。 </w:t>
      </w: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0"/>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82"/>
      <w:bookmarkEnd w:id="182"/>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2" w:firstLine="423"/>
        <w:jc w:val="both"/>
      </w:pPr>
      <w:r>
        <w:rPr>
          <w:spacing w:val="-1"/>
        </w:rPr>
        <w:t>公司建立了健全的公司法人治理结构。公司与控股股东在业务、人员、资产、机构、财务等方面完全</w:t>
      </w:r>
      <w:r>
        <w:rPr/>
        <w:t> </w:t>
      </w:r>
      <w:r>
        <w:rPr>
          <w:spacing w:val="-1"/>
        </w:rPr>
        <w:t>分开，均具有独立完整的自主业务能力。公司所有的生产经营或重大事项均根据《公司章程》及相关制度</w:t>
      </w:r>
      <w:r>
        <w:rPr>
          <w:spacing w:val="-86"/>
        </w:rPr>
        <w:t> </w:t>
      </w:r>
      <w:r>
        <w:rPr>
          <w:spacing w:val="-86"/>
        </w:rPr>
      </w:r>
      <w:r>
        <w:rPr/>
        <w:t>的规定按授权权限提交经理层、董事会和股东大会讨论确定。</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业务独立情况" w:id="183"/>
      <w:bookmarkEnd w:id="183"/>
      <w:r>
        <w:rPr>
          <w:b w:val="0"/>
          <w:bCs w:val="0"/>
        </w:rPr>
      </w:r>
      <w:r>
        <w:rPr>
          <w:rFonts w:ascii="宋体" w:hAnsi="宋体" w:cs="宋体" w:eastAsia="宋体" w:hint="default"/>
        </w:rPr>
        <w:t>1</w:t>
      </w:r>
      <w:r>
        <w:rPr/>
        <w:t>、业务独立情况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33" w:firstLine="423"/>
        <w:jc w:val="both"/>
      </w:pPr>
      <w:r>
        <w:rPr>
          <w:spacing w:val="-1"/>
        </w:rPr>
        <w:t>公司在业务方面独立于控股股东，拥有独立完整的业务及独立自主经营能力。同时，公司控股股东出</w:t>
      </w:r>
      <w:r>
        <w:rPr/>
        <w:t> 具了避免同业竞争的承诺，承诺不直接或间接地从事任何与公司构成同业竞争的业务。</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人员独立方面" w:id="184"/>
      <w:bookmarkEnd w:id="184"/>
      <w:r>
        <w:rPr>
          <w:b w:val="0"/>
          <w:bCs w:val="0"/>
        </w:rPr>
      </w:r>
      <w:r>
        <w:rPr>
          <w:rFonts w:ascii="宋体" w:hAnsi="宋体" w:cs="宋体" w:eastAsia="宋体" w:hint="default"/>
        </w:rPr>
        <w:t>2</w:t>
      </w:r>
      <w:r>
        <w:rPr/>
        <w:t>、人员独立方面</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134" w:right="1131" w:firstLine="423"/>
        <w:jc w:val="both"/>
      </w:pPr>
      <w:r>
        <w:rPr>
          <w:spacing w:val="-1"/>
        </w:rPr>
        <w:t>公司有独立的人事管理机构，负责本公司员工招聘等人力资源管理工作。本公司董事、监事、高级管</w:t>
      </w:r>
      <w:r>
        <w:rPr/>
        <w:t> 理人员均严格按照《公司法》、《公司章程》的有关规定经选举产生和聘任。</w:t>
      </w:r>
    </w:p>
    <w:p>
      <w:pPr>
        <w:spacing w:line="240" w:lineRule="auto" w:before="8"/>
        <w:rPr>
          <w:rFonts w:ascii="宋体" w:hAnsi="宋体" w:cs="宋体" w:eastAsia="宋体" w:hint="default"/>
          <w:sz w:val="20"/>
          <w:szCs w:val="20"/>
        </w:rPr>
      </w:pPr>
    </w:p>
    <w:p>
      <w:pPr>
        <w:pStyle w:val="BodyText"/>
        <w:spacing w:line="602" w:lineRule="auto" w:before="0"/>
        <w:ind w:left="1557" w:right="1014" w:hanging="424"/>
        <w:jc w:val="left"/>
      </w:pPr>
      <w:bookmarkStart w:name="3、资产独立情况" w:id="185"/>
      <w:bookmarkEnd w:id="185"/>
      <w:r>
        <w:rPr/>
      </w:r>
      <w:r>
        <w:rPr>
          <w:rFonts w:ascii="宋体" w:hAnsi="宋体" w:cs="宋体" w:eastAsia="宋体" w:hint="default"/>
          <w:b/>
          <w:bCs/>
        </w:rPr>
        <w:t>3</w:t>
      </w:r>
      <w:r>
        <w:rPr>
          <w:rFonts w:ascii="宋体" w:hAnsi="宋体" w:cs="宋体" w:eastAsia="宋体" w:hint="default"/>
          <w:b/>
          <w:bCs/>
        </w:rPr>
        <w:t>、资产独立情况</w:t>
      </w:r>
      <w:r>
        <w:rPr>
          <w:rFonts w:ascii="宋体" w:hAnsi="宋体" w:cs="宋体" w:eastAsia="宋体" w:hint="default"/>
          <w:b/>
          <w:bCs/>
          <w:w w:val="99"/>
        </w:rPr>
        <w:t> </w:t>
      </w:r>
      <w:r>
        <w:rPr>
          <w:spacing w:val="-3"/>
        </w:rPr>
        <w:t>公司资产独立、完整，公司对其所有的资产具有完全的控制支配权，控股股东未占用、支配公司资产。</w:t>
      </w:r>
    </w:p>
    <w:p>
      <w:pPr>
        <w:pStyle w:val="Heading4"/>
        <w:spacing w:line="240" w:lineRule="auto" w:before="99"/>
        <w:ind w:left="1134" w:right="0"/>
        <w:jc w:val="left"/>
        <w:rPr>
          <w:b w:val="0"/>
          <w:bCs w:val="0"/>
        </w:rPr>
      </w:pPr>
      <w:bookmarkStart w:name="4、机构独立情况" w:id="186"/>
      <w:bookmarkEnd w:id="186"/>
      <w:r>
        <w:rPr>
          <w:b w:val="0"/>
          <w:bCs w:val="0"/>
        </w:rPr>
      </w:r>
      <w:r>
        <w:rPr>
          <w:rFonts w:ascii="宋体" w:hAnsi="宋体" w:cs="宋体" w:eastAsia="宋体" w:hint="default"/>
        </w:rPr>
        <w:t>4</w:t>
      </w:r>
      <w:r>
        <w:rPr/>
        <w:t>、机构独立情况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left="1134" w:right="1133" w:firstLine="423"/>
        <w:jc w:val="both"/>
      </w:pPr>
      <w:r>
        <w:rPr>
          <w:spacing w:val="-1"/>
        </w:rPr>
        <w:t>公司董事会、监事会和内部机构均独立运作，与控股股东完全分开，公司控股股东依法定程序参与公</w:t>
      </w:r>
      <w:r>
        <w:rPr/>
        <w:t> 司决策。</w:t>
      </w:r>
    </w:p>
    <w:p>
      <w:pPr>
        <w:spacing w:after="0" w:line="408" w:lineRule="auto"/>
        <w:jc w:val="both"/>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财务独立情况" w:id="187"/>
      <w:bookmarkEnd w:id="187"/>
      <w:r>
        <w:rPr>
          <w:b w:val="0"/>
          <w:bCs w:val="0"/>
        </w:rPr>
      </w:r>
      <w:r>
        <w:rPr>
          <w:rFonts w:ascii="宋体" w:hAnsi="宋体" w:cs="宋体" w:eastAsia="宋体" w:hint="default"/>
        </w:rPr>
        <w:t>5</w:t>
      </w:r>
      <w:r>
        <w:rPr/>
        <w:t>、财务独立情况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109" w:firstLine="423"/>
        <w:jc w:val="both"/>
      </w:pPr>
      <w:r>
        <w:rPr>
          <w:spacing w:val="-1"/>
        </w:rPr>
        <w:t>公司设有独立的财务部门和专职财务人员，独立核算、独立财务决策、单独纳税，有独立会计体系和</w:t>
      </w:r>
      <w:r>
        <w:rPr/>
        <w:t> 独立银行账户，独立纳税，公司的资金使用按照公司《章程》及相关制度的规定在授权范围内独立决策， 不存在股东单位干预公司资金使用的情形。</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88"/>
      <w:bookmarkEnd w:id="18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89"/>
      <w:bookmarkEnd w:id="18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90"/>
      <w:bookmarkEnd w:id="19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3"/>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91"/>
      <w:bookmarkEnd w:id="19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92"/>
      <w:bookmarkEnd w:id="19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93"/>
      <w:bookmarkEnd w:id="19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朱加宁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童本立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独立董事对公司有关事项提出异议的情况" w:id="194"/>
      <w:bookmarkEnd w:id="19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 报告期内独立董事对公司有关事项未提出异议。</w:t>
      </w:r>
    </w:p>
    <w:p>
      <w:pPr>
        <w:spacing w:after="0" w:line="338"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独立董事履行职责的其他说明" w:id="195"/>
      <w:bookmarkEnd w:id="19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 独立董事对公司有关建议被采纳或未被采纳的说明</w:t>
      </w:r>
    </w:p>
    <w:p>
      <w:pPr>
        <w:pStyle w:val="BodyText"/>
        <w:spacing w:line="408" w:lineRule="auto" w:before="92"/>
        <w:ind w:right="1131" w:firstLine="423"/>
        <w:jc w:val="both"/>
      </w:pPr>
      <w:r>
        <w:rPr>
          <w:spacing w:val="-6"/>
        </w:rPr>
        <w:t>公司独立董事勤勉尽责，严格按照中国证监会的相关规定及《公司章程》、《董事会议事规则》和《独</w:t>
      </w:r>
      <w:r>
        <w:rPr/>
        <w:t> </w:t>
      </w:r>
      <w:r>
        <w:rPr>
          <w:spacing w:val="-1"/>
        </w:rPr>
        <w:t>立董事制度》开展工作，关注公司运作，独立履行职责，对公司内部控制建设、管理体系建设和重大决策</w:t>
      </w:r>
      <w:r>
        <w:rPr>
          <w:spacing w:val="-83"/>
        </w:rPr>
        <w:t> </w:t>
      </w:r>
      <w:r>
        <w:rPr>
          <w:spacing w:val="-83"/>
        </w:rPr>
      </w:r>
      <w:r>
        <w:rPr>
          <w:spacing w:val="-1"/>
        </w:rPr>
        <w:t>等方面提出了很多宝贵的专业性建议，对公司财务及生产经营活动进行了有效监督，提高了公司决策的科</w:t>
      </w:r>
      <w:r>
        <w:rPr>
          <w:spacing w:val="-81"/>
        </w:rPr>
        <w:t> </w:t>
      </w:r>
      <w:r>
        <w:rPr>
          <w:spacing w:val="-81"/>
        </w:rPr>
      </w:r>
      <w:r>
        <w:rPr/>
        <w:t>学性，为完善公司监督机制，维护公司和全体股东的合法权益发挥了应有的作用。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96"/>
      <w:bookmarkEnd w:id="19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2" w:firstLine="423"/>
        <w:jc w:val="both"/>
      </w:pPr>
      <w:r>
        <w:rPr>
          <w:spacing w:val="-1"/>
        </w:rPr>
        <w:t>公司第二届董事会下设战略、审计、提名、薪酬与考核四个专门委员会，并制定了《战略委员会工作</w:t>
      </w:r>
      <w:r>
        <w:rPr/>
        <w:t> </w:t>
      </w:r>
      <w:r>
        <w:rPr>
          <w:spacing w:val="-1"/>
        </w:rPr>
        <w:t>细则》《审计委员会工作细则》《提名委员会工作细则》《薪酬和考核委员会工作细则》。董事会各专门</w:t>
      </w:r>
      <w:r>
        <w:rPr>
          <w:spacing w:val="-85"/>
        </w:rPr>
        <w:t> </w:t>
      </w:r>
      <w:r>
        <w:rPr>
          <w:spacing w:val="-85"/>
        </w:rPr>
      </w:r>
      <w:r>
        <w:rPr>
          <w:spacing w:val="-1"/>
        </w:rPr>
        <w:t>委员会按照相关议事规则及《公司章程》的规定积极开展相关工作，切实履行工作职责，分别对公司的战</w:t>
      </w:r>
      <w:r>
        <w:rPr>
          <w:spacing w:val="-86"/>
        </w:rPr>
        <w:t> </w:t>
      </w:r>
      <w:r>
        <w:rPr>
          <w:spacing w:val="-86"/>
        </w:rPr>
      </w:r>
      <w:r>
        <w:rPr/>
        <w:t>略投资、人才选拔、薪酬管理、内部审计等方面发表合理意见和建议。</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监事会工作情况" w:id="197"/>
      <w:bookmarkEnd w:id="197"/>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98"/>
      <w:bookmarkEnd w:id="198"/>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4" w:firstLine="482"/>
        <w:jc w:val="left"/>
      </w:pPr>
      <w:r>
        <w:rPr>
          <w:spacing w:val="-3"/>
        </w:rPr>
        <w:t>报告期内，公司制定了《董事、监事、高级管理人员薪酬管理制度》。公司薪酬与考核委员会制定高</w:t>
      </w:r>
      <w:r>
        <w:rPr/>
        <w:t> </w:t>
      </w:r>
      <w:r>
        <w:rPr>
          <w:spacing w:val="-3"/>
        </w:rPr>
        <w:t>级管理人员的薪酬考核方案，制定考核方案遵循：收入水平与公司规模和效益相适应的原则；与绩效挂钩，</w:t>
      </w:r>
      <w:r>
        <w:rPr>
          <w:spacing w:val="-90"/>
        </w:rPr>
        <w:t> </w:t>
      </w:r>
      <w:r>
        <w:rPr>
          <w:spacing w:val="-90"/>
        </w:rPr>
      </w:r>
      <w:r>
        <w:rPr/>
        <w:t>激励和约束相结合的原则；薪酬标准公开、公正、透明的原则。根据公司经营计划和分管工作的职责、目</w:t>
      </w:r>
      <w:r>
        <w:rPr/>
        <w:t> 标进行综合考量确定。薪酬与考核委员会负责成立考核小组，对上述高级管理人员进行年度考核，确定年 度效益工资或经营责任奖。</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99"/>
      <w:bookmarkEnd w:id="19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200"/>
      <w:bookmarkEnd w:id="20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内控自我评价报告" w:id="201"/>
      <w:bookmarkEnd w:id="20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44"/>
        <w:ind w:left="0" w:right="1139" w:firstLine="0"/>
        <w:jc w:val="right"/>
        <w:rPr>
          <w:rFonts w:ascii="宋体" w:hAnsi="宋体" w:cs="宋体" w:eastAsia="宋体" w:hint="default"/>
          <w:sz w:val="18"/>
          <w:szCs w:val="18"/>
        </w:rPr>
      </w:pPr>
      <w:r>
        <w:rPr/>
        <w:pict>
          <v:shape style="position:absolute;margin-left:56.459999pt;margin-top:-215.068268pt;width:479.2pt;height:491.3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3550"/>
                    <w:gridCol w:w="3189"/>
                  </w:tblGrid>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披露</w:t>
                        </w:r>
                      </w:p>
                    </w:tc>
                  </w:tr>
                  <w:tr>
                    <w:trPr>
                      <w:trHeight w:val="71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0" w:type="dxa"/>
                        <w:vMerge w:val="restart"/>
                        <w:tcBorders>
                          <w:top w:val="single" w:sz="4" w:space="0" w:color="000000"/>
                          <w:left w:val="single" w:sz="9" w:space="0" w:color="D2D2D2"/>
                          <w:right w:val="single" w:sz="4" w:space="0" w:color="000000"/>
                        </w:tcBorders>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重大缺陷：发生涉及财务信息披露的重大舞 弊行为；公司财务报告存在重大错报被外部 监管机构或审计机构发现，公司对应的控制 活动未能识别相关错报；公司财务报告编报 控制程序存在重大漏洞，可能导致公司报表 出现重大错报。重要缺陷：公司财务报告编 报控制程序存在控制漏洞，虽然不会导致公 司报表出现重大错报，但仍应引起公司董事 会及管理层重视并改进的缺陷。一般缺陷： 除重大缺陷和重要缺陷之外的财务报告内部 控制缺陷。</w:t>
                        </w:r>
                      </w:p>
                    </w:tc>
                    <w:tc>
                      <w:tcPr>
                        <w:tcW w:w="31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4"/>
                          <w:jc w:val="both"/>
                          <w:rPr>
                            <w:rFonts w:ascii="宋体" w:hAnsi="宋体" w:cs="宋体" w:eastAsia="宋体" w:hint="default"/>
                            <w:sz w:val="18"/>
                            <w:szCs w:val="18"/>
                          </w:rPr>
                        </w:pPr>
                        <w:r>
                          <w:rPr>
                            <w:rFonts w:ascii="宋体" w:hAnsi="宋体" w:cs="宋体" w:eastAsia="宋体" w:hint="default"/>
                            <w:sz w:val="18"/>
                            <w:szCs w:val="18"/>
                          </w:rPr>
                          <w:t>重大缺陷：缺陷发生的可能性高，会严 重降低工作效率或效果、或严重加大效 果的不确定性、或使之严重偏离预期目 标；重要缺陷：缺陷发生的可能性较高 会显著降低工作效率或效果、或显著加 大效果的不确定性、或使之显著偏离预 期目标；一般缺陷：缺陷发生的可能性 较小，会降低工作效率或效果、或加大 效果的不确定性、或使之偏离预期目标</w:t>
                        </w:r>
                      </w:p>
                    </w:tc>
                  </w:tr>
                  <w:tr>
                    <w:trPr>
                      <w:trHeight w:val="392"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50" w:type="dxa"/>
                        <w:vMerge/>
                        <w:tcBorders>
                          <w:left w:val="single" w:sz="9" w:space="0" w:color="D2D2D2"/>
                          <w:right w:val="single" w:sz="4" w:space="0" w:color="000000"/>
                        </w:tcBorders>
                      </w:tcPr>
                      <w:p>
                        <w:pPr/>
                      </w:p>
                    </w:tc>
                    <w:tc>
                      <w:tcPr>
                        <w:tcW w:w="3189" w:type="dxa"/>
                        <w:vMerge/>
                        <w:tcBorders>
                          <w:left w:val="single" w:sz="4" w:space="0" w:color="000000"/>
                          <w:right w:val="single" w:sz="4" w:space="0" w:color="000000"/>
                        </w:tcBorders>
                      </w:tcPr>
                      <w:p>
                        <w:pPr/>
                      </w:p>
                    </w:tc>
                  </w:tr>
                  <w:tr>
                    <w:trPr>
                      <w:trHeight w:val="1565"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0" w:type="dxa"/>
                        <w:vMerge/>
                        <w:tcBorders>
                          <w:left w:val="single" w:sz="9" w:space="0" w:color="D2D2D2"/>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r>
                    <w:trPr>
                      <w:trHeight w:val="629"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0" w:type="dxa"/>
                        <w:vMerge w:val="restart"/>
                        <w:tcBorders>
                          <w:top w:val="single" w:sz="4" w:space="0" w:color="000000"/>
                          <w:left w:val="single" w:sz="9" w:space="0" w:color="D2D2D2"/>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重大缺陷：错报金额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合并财务报表营业收入</w:t>
                        </w:r>
                        <w:r>
                          <w:rPr>
                            <w:rFonts w:ascii="宋体" w:hAnsi="宋体" w:cs="宋体" w:eastAsia="宋体" w:hint="default"/>
                            <w:spacing w:val="-83"/>
                            <w:sz w:val="18"/>
                            <w:szCs w:val="18"/>
                          </w:rPr>
                          <w:t> </w:t>
                        </w:r>
                        <w:r>
                          <w:rPr>
                            <w:rFonts w:ascii="宋体" w:hAnsi="宋体" w:cs="宋体" w:eastAsia="宋体" w:hint="default"/>
                            <w:sz w:val="18"/>
                            <w:szCs w:val="18"/>
                          </w:rPr>
                          <w:t>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；重要缺陷：合并财务报表营业收入的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错报金额＜合并财务报表营业收入的</w:t>
                        </w:r>
                      </w:p>
                      <w:p>
                        <w:pPr>
                          <w:pStyle w:val="TableParagraph"/>
                          <w:spacing w:line="302" w:lineRule="auto" w:before="13"/>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；一般缺陷：错报金额＜合并财务报表营</w:t>
                        </w:r>
                        <w:r>
                          <w:rPr>
                            <w:rFonts w:ascii="宋体" w:hAnsi="宋体" w:cs="宋体" w:eastAsia="宋体" w:hint="default"/>
                            <w:w w:val="99"/>
                            <w:sz w:val="18"/>
                            <w:szCs w:val="18"/>
                          </w:rPr>
                          <w:t> </w:t>
                        </w:r>
                        <w:r>
                          <w:rPr>
                            <w:rFonts w:ascii="宋体" w:hAnsi="宋体" w:cs="宋体" w:eastAsia="宋体" w:hint="default"/>
                            <w:sz w:val="18"/>
                            <w:szCs w:val="18"/>
                          </w:rPr>
                          <w:t>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89"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重大缺陷：错报金额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合并财务报表营业</w:t>
                        </w:r>
                        <w:r>
                          <w:rPr>
                            <w:rFonts w:ascii="宋体" w:hAnsi="宋体" w:cs="宋体" w:eastAsia="宋体" w:hint="default"/>
                            <w:spacing w:val="-83"/>
                            <w:sz w:val="18"/>
                            <w:szCs w:val="18"/>
                          </w:rPr>
                          <w:t> </w:t>
                        </w:r>
                        <w:r>
                          <w:rPr>
                            <w:rFonts w:ascii="宋体" w:hAnsi="宋体" w:cs="宋体" w:eastAsia="宋体" w:hint="default"/>
                            <w:sz w:val="18"/>
                            <w:szCs w:val="18"/>
                          </w:rPr>
                          <w:t>收入的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；重要缺陷：合并财务报表营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错报金额＜合并财务报表 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；一般缺陷：错报金额＜</w:t>
                        </w:r>
                        <w:r>
                          <w:rPr>
                            <w:rFonts w:ascii="宋体" w:hAnsi="宋体" w:cs="宋体" w:eastAsia="宋体" w:hint="default"/>
                            <w:sz w:val="18"/>
                            <w:szCs w:val="18"/>
                          </w:rPr>
                          <w:t> 合并财务报表营业收入的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2"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50" w:type="dxa"/>
                        <w:vMerge/>
                        <w:tcBorders>
                          <w:left w:val="single" w:sz="9" w:space="0" w:color="D2D2D2"/>
                          <w:right w:val="single" w:sz="4" w:space="0" w:color="000000"/>
                        </w:tcBorders>
                      </w:tcPr>
                      <w:p>
                        <w:pPr/>
                      </w:p>
                    </w:tc>
                    <w:tc>
                      <w:tcPr>
                        <w:tcW w:w="3189" w:type="dxa"/>
                        <w:vMerge/>
                        <w:tcBorders>
                          <w:left w:val="single" w:sz="4" w:space="0" w:color="000000"/>
                          <w:right w:val="single" w:sz="4" w:space="0" w:color="000000"/>
                        </w:tcBorders>
                      </w:tcPr>
                      <w:p>
                        <w:pPr/>
                      </w:p>
                    </w:tc>
                  </w:tr>
                  <w:tr>
                    <w:trPr>
                      <w:trHeight w:val="629"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0" w:type="dxa"/>
                        <w:vMerge/>
                        <w:tcBorders>
                          <w:left w:val="single" w:sz="9" w:space="0" w:color="D2D2D2"/>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2"/>
        <w:spacing w:line="240" w:lineRule="auto" w:before="26"/>
        <w:ind w:left="1134" w:right="0"/>
        <w:jc w:val="left"/>
        <w:rPr>
          <w:b w:val="0"/>
          <w:bCs w:val="0"/>
        </w:rPr>
      </w:pPr>
      <w:bookmarkStart w:name="十、内部控制审计报告或鉴证报告" w:id="202"/>
      <w:bookmarkEnd w:id="20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3" w:right="3403"/>
        <w:jc w:val="center"/>
        <w:rPr>
          <w:b w:val="0"/>
          <w:bCs w:val="0"/>
        </w:rPr>
      </w:pPr>
      <w:bookmarkStart w:name="_TOC_250002" w:id="203"/>
      <w:bookmarkStart w:name="第十节公司债券相关情况" w:id="204"/>
      <w:r>
        <w:rPr>
          <w:b w:val="0"/>
          <w:bCs w:val="0"/>
        </w:rPr>
      </w:r>
      <w:r>
        <w:rPr/>
        <w:t>第十节公司债券相关情况</w:t>
      </w:r>
      <w:bookmarkEnd w:id="203"/>
      <w:r>
        <w:rPr>
          <w:b w:val="0"/>
          <w:bCs w:val="0"/>
        </w:rPr>
      </w:r>
    </w:p>
    <w:p>
      <w:pPr>
        <w:spacing w:line="240" w:lineRule="auto" w:before="8"/>
        <w:rPr>
          <w:rFonts w:ascii="宋体" w:hAnsi="宋体" w:cs="宋体" w:eastAsia="宋体" w:hint="default"/>
          <w:b/>
          <w:bCs/>
          <w:sz w:val="42"/>
          <w:szCs w:val="42"/>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1" w:id="205"/>
      <w:bookmarkStart w:name="第十一节财务报告" w:id="206"/>
      <w:r>
        <w:rPr>
          <w:b w:val="0"/>
          <w:bCs w:val="0"/>
        </w:rPr>
      </w:r>
      <w:r>
        <w:rPr/>
        <w:t>第十一节财务报告</w:t>
      </w:r>
      <w:bookmarkEnd w:id="20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207"/>
      <w:bookmarkEnd w:id="20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2868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胡燕华罗衡</w:t>
            </w:r>
          </w:p>
        </w:tc>
      </w:tr>
    </w:tbl>
    <w:p>
      <w:pPr>
        <w:spacing w:before="51"/>
        <w:ind w:left="3403" w:right="340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before="142"/>
        <w:ind w:left="3403" w:right="3402" w:firstLine="0"/>
        <w:jc w:val="center"/>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2868</w:t>
      </w:r>
      <w:r>
        <w:rPr>
          <w:rFonts w:ascii="宋体" w:hAnsi="宋体" w:cs="宋体" w:eastAsia="宋体" w:hint="default"/>
          <w:sz w:val="18"/>
          <w:szCs w:val="18"/>
        </w:rPr>
        <w:t>号</w:t>
      </w:r>
    </w:p>
    <w:p>
      <w:pPr>
        <w:spacing w:line="620" w:lineRule="atLeast" w:before="19"/>
        <w:ind w:left="1616" w:right="6193" w:hanging="483"/>
        <w:jc w:val="left"/>
        <w:rPr>
          <w:rFonts w:ascii="宋体" w:hAnsi="宋体" w:cs="宋体" w:eastAsia="宋体" w:hint="default"/>
          <w:sz w:val="24"/>
          <w:szCs w:val="24"/>
        </w:rPr>
      </w:pPr>
      <w:r>
        <w:rPr>
          <w:rFonts w:ascii="宋体" w:hAnsi="宋体" w:cs="宋体" w:eastAsia="宋体" w:hint="default"/>
          <w:sz w:val="24"/>
          <w:szCs w:val="24"/>
        </w:rPr>
        <w:t>浙江正元智慧科技股份有限公司全体股东：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pStyle w:val="BodyText"/>
        <w:spacing w:line="408" w:lineRule="auto" w:before="100"/>
        <w:ind w:right="1132" w:firstLine="482"/>
        <w:jc w:val="both"/>
      </w:pPr>
      <w:r>
        <w:rPr>
          <w:spacing w:val="-2"/>
        </w:rPr>
        <w:t>我们审计了浙江正元智慧科技股份有限公司（以下简称正元智慧公司）财务报表，包括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1"/>
        </w:rPr>
        <w:t> </w:t>
      </w:r>
      <w:r>
        <w:rPr>
          <w:spacing w:val="-1"/>
        </w:rPr>
        <w:t>日的合并及母公司资产负债表，</w:t>
      </w:r>
      <w:r>
        <w:rPr>
          <w:rFonts w:ascii="宋体" w:hAnsi="宋体" w:cs="宋体" w:eastAsia="宋体" w:hint="default"/>
          <w:spacing w:val="-1"/>
        </w:rPr>
        <w:t>2017</w:t>
      </w:r>
      <w:r>
        <w:rPr>
          <w:spacing w:val="-1"/>
        </w:rPr>
        <w:t>年度的合并及母公司利润表、合并及母公司现金流量表、合并及母公</w:t>
      </w:r>
      <w:r>
        <w:rPr>
          <w:spacing w:val="-82"/>
        </w:rPr>
        <w:t> </w:t>
      </w:r>
      <w:r>
        <w:rPr>
          <w:spacing w:val="-82"/>
        </w:rPr>
      </w:r>
      <w:r>
        <w:rPr/>
        <w:t>司所有者权益变动表，以及相关财务报表附注。</w:t>
      </w:r>
    </w:p>
    <w:p>
      <w:pPr>
        <w:pStyle w:val="BodyText"/>
        <w:spacing w:line="408" w:lineRule="auto"/>
        <w:ind w:left="1134" w:right="1130" w:firstLine="482"/>
        <w:jc w:val="both"/>
      </w:pPr>
      <w:r>
        <w:rPr>
          <w:spacing w:val="-2"/>
        </w:rPr>
        <w:t>我们认为，后附的财务报表在所有重大方面按照企业会计准则的规定编制，公允反映了正元智慧公司</w:t>
      </w:r>
      <w:r>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w:t>
      </w:r>
      <w:r>
        <w:rPr>
          <w:rFonts w:ascii="宋体" w:hAnsi="宋体" w:cs="宋体" w:eastAsia="宋体" w:hint="default"/>
        </w:rPr>
        <w:t>,</w:t>
      </w:r>
      <w:r>
        <w:rPr/>
        <w:t>以及</w:t>
      </w:r>
      <w:r>
        <w:rPr>
          <w:rFonts w:ascii="宋体" w:hAnsi="宋体" w:cs="宋体" w:eastAsia="宋体" w:hint="default"/>
        </w:rPr>
        <w:t>2017</w:t>
      </w:r>
      <w:r>
        <w:rPr/>
        <w:t>年度的合并及母公司经营成果和现金流量。</w:t>
      </w:r>
    </w:p>
    <w:p>
      <w:pPr>
        <w:spacing w:line="240" w:lineRule="auto" w:before="7"/>
        <w:rPr>
          <w:rFonts w:ascii="宋体" w:hAnsi="宋体" w:cs="宋体" w:eastAsia="宋体" w:hint="default"/>
          <w:sz w:val="19"/>
          <w:szCs w:val="19"/>
        </w:rPr>
      </w:pPr>
    </w:p>
    <w:p>
      <w:pPr>
        <w:pStyle w:val="Heading2"/>
        <w:spacing w:line="240" w:lineRule="auto"/>
        <w:ind w:left="1616" w:right="0"/>
        <w:jc w:val="left"/>
        <w:rPr>
          <w:b w:val="0"/>
          <w:bCs w:val="0"/>
        </w:rPr>
      </w:pPr>
      <w:r>
        <w:rPr/>
        <w:t>二、形成审计意见的基础</w:t>
      </w:r>
      <w:r>
        <w:rPr>
          <w:b w:val="0"/>
          <w:bCs w:val="0"/>
        </w:rPr>
      </w:r>
    </w:p>
    <w:p>
      <w:pPr>
        <w:pStyle w:val="BodyText"/>
        <w:spacing w:line="408" w:lineRule="auto" w:before="100"/>
        <w:ind w:right="1130" w:firstLine="482"/>
        <w:jc w:val="both"/>
      </w:pPr>
      <w:r>
        <w:rPr>
          <w:spacing w:val="-2"/>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的责任”部分进一步阐述了我们在这些准则下的责任。按照中国注册会计师职业道德守则，我们独立于正</w:t>
      </w:r>
      <w:r>
        <w:rPr>
          <w:spacing w:val="-82"/>
        </w:rPr>
        <w:t> </w:t>
      </w:r>
      <w:r>
        <w:rPr>
          <w:spacing w:val="-82"/>
        </w:rPr>
      </w:r>
      <w:r>
        <w:rPr>
          <w:spacing w:val="-1"/>
        </w:rPr>
        <w:t>元智慧公司，并履行了职业道德方面的其他责任。我们相信，我们获取的审计证据是充分、适当的，为发</w:t>
      </w:r>
      <w:r>
        <w:rPr>
          <w:spacing w:val="-83"/>
        </w:rPr>
        <w:t> </w:t>
      </w:r>
      <w:r>
        <w:rPr>
          <w:spacing w:val="-83"/>
        </w:rPr>
      </w:r>
      <w:r>
        <w:rPr/>
        <w:t>表审计意见提供了基础。</w:t>
      </w:r>
    </w:p>
    <w:p>
      <w:pPr>
        <w:spacing w:line="240" w:lineRule="auto" w:before="7"/>
        <w:rPr>
          <w:rFonts w:ascii="宋体" w:hAnsi="宋体" w:cs="宋体" w:eastAsia="宋体" w:hint="default"/>
          <w:sz w:val="19"/>
          <w:szCs w:val="19"/>
        </w:rPr>
      </w:pPr>
    </w:p>
    <w:p>
      <w:pPr>
        <w:pStyle w:val="Heading2"/>
        <w:spacing w:line="240" w:lineRule="auto"/>
        <w:ind w:left="1616" w:right="0"/>
        <w:jc w:val="left"/>
        <w:rPr>
          <w:b w:val="0"/>
          <w:bCs w:val="0"/>
        </w:rPr>
      </w:pPr>
      <w:r>
        <w:rPr/>
        <w:t>三、关键审计事项</w:t>
      </w:r>
      <w:r>
        <w:rPr>
          <w:b w:val="0"/>
          <w:bCs w:val="0"/>
        </w:rPr>
      </w:r>
    </w:p>
    <w:p>
      <w:pPr>
        <w:pStyle w:val="BodyText"/>
        <w:spacing w:line="408" w:lineRule="auto" w:before="100"/>
        <w:ind w:right="1131" w:firstLine="482"/>
        <w:jc w:val="both"/>
      </w:pPr>
      <w:r>
        <w:rPr>
          <w:spacing w:val="-2"/>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BodyText"/>
        <w:spacing w:line="240" w:lineRule="auto"/>
        <w:ind w:left="1616" w:right="0"/>
        <w:jc w:val="left"/>
      </w:pPr>
      <w:r>
        <w:rPr>
          <w:rFonts w:ascii="宋体" w:hAnsi="宋体" w:cs="宋体" w:eastAsia="宋体" w:hint="default"/>
        </w:rPr>
        <w:t>(</w:t>
      </w:r>
      <w:r>
        <w:rPr/>
        <w:t>一</w:t>
      </w:r>
      <w:r>
        <w:rPr>
          <w:rFonts w:ascii="宋体" w:hAnsi="宋体" w:cs="宋体" w:eastAsia="宋体" w:hint="default"/>
        </w:rPr>
        <w:t>)</w:t>
      </w:r>
      <w:r>
        <w:rPr/>
        <w:t>收入确认</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616" w:right="1118"/>
        <w:jc w:val="left"/>
      </w:pPr>
      <w:r>
        <w:rPr>
          <w:rFonts w:ascii="宋体" w:hAnsi="宋体" w:cs="宋体" w:eastAsia="宋体" w:hint="default"/>
        </w:rPr>
        <w:t>1.</w:t>
      </w:r>
      <w:r>
        <w:rPr/>
        <w:t>关键审计事项 </w:t>
      </w:r>
      <w:r>
        <w:rPr>
          <w:spacing w:val="-2"/>
        </w:rPr>
        <w:t>正元智慧公司的主要收入为一卡通系统建设收入，如附注三（二十二）所述，正元智慧公司一卡通系</w:t>
      </w:r>
    </w:p>
    <w:p>
      <w:pPr>
        <w:pStyle w:val="BodyText"/>
        <w:spacing w:line="408" w:lineRule="auto"/>
        <w:ind w:right="1131"/>
        <w:jc w:val="both"/>
      </w:pPr>
      <w:r>
        <w:rPr>
          <w:spacing w:val="-1"/>
        </w:rPr>
        <w:t>统建设收入需要在项目已实际完工并取得项目调试验收报告时确认收入。收入确认的完整性依赖于验收报</w:t>
      </w:r>
      <w:r>
        <w:rPr>
          <w:spacing w:val="-81"/>
        </w:rPr>
        <w:t> </w:t>
      </w:r>
      <w:r>
        <w:rPr>
          <w:spacing w:val="-81"/>
        </w:rPr>
      </w:r>
      <w:r>
        <w:rPr>
          <w:spacing w:val="-1"/>
        </w:rPr>
        <w:t>告的获取，且收入是正元智慧公司的关键绩效指标之一，而当中涉及因收入计入错误的会计期间或遭到操</w:t>
      </w:r>
      <w:r>
        <w:rPr>
          <w:spacing w:val="-81"/>
        </w:rPr>
        <w:t> </w:t>
      </w:r>
      <w:r>
        <w:rPr>
          <w:spacing w:val="-81"/>
        </w:rPr>
      </w:r>
      <w:r>
        <w:rPr/>
        <w:t>控而产生固有风险，故此，我们把收入是否计入恰当的会计期间及是否有重大错报列为关键审计事项。</w:t>
      </w:r>
    </w:p>
    <w:p>
      <w:pPr>
        <w:pStyle w:val="BodyText"/>
        <w:spacing w:line="408" w:lineRule="auto"/>
        <w:ind w:left="1616" w:right="3760"/>
        <w:jc w:val="left"/>
      </w:pPr>
      <w:r>
        <w:rPr>
          <w:rFonts w:ascii="宋体" w:hAnsi="宋体" w:cs="宋体" w:eastAsia="宋体" w:hint="default"/>
        </w:rPr>
        <w:t>2.</w:t>
      </w:r>
      <w:r>
        <w:rPr/>
        <w:t>审计中的应对 我们对正元智慧公司收入确认关键审计事项实施的主要审计程序包括：</w:t>
      </w:r>
    </w:p>
    <w:p>
      <w:pPr>
        <w:pStyle w:val="BodyText"/>
        <w:spacing w:line="408" w:lineRule="auto"/>
        <w:ind w:right="1018" w:firstLine="482"/>
        <w:jc w:val="left"/>
      </w:pPr>
      <w:r>
        <w:rPr>
          <w:rFonts w:ascii="宋体" w:hAnsi="宋体" w:cs="宋体" w:eastAsia="宋体" w:hint="default"/>
          <w:spacing w:val="-2"/>
        </w:rPr>
        <w:t>(1)</w:t>
      </w:r>
      <w:r>
        <w:rPr>
          <w:spacing w:val="-2"/>
        </w:rPr>
        <w:t>向正元智慧公司管理层（以下简称管理层）、正元智慧公司治理层（以下简称治理层）进行询问，</w:t>
      </w:r>
      <w:r>
        <w:rPr/>
        <w:t> 评价管理层诚信及舞弊风险；</w:t>
      </w:r>
    </w:p>
    <w:p>
      <w:pPr>
        <w:pStyle w:val="BodyText"/>
        <w:spacing w:line="408" w:lineRule="auto"/>
        <w:ind w:right="0" w:firstLine="482"/>
        <w:jc w:val="left"/>
      </w:pPr>
      <w:r>
        <w:rPr>
          <w:rFonts w:ascii="宋体" w:hAnsi="宋体" w:cs="宋体" w:eastAsia="宋体" w:hint="default"/>
        </w:rPr>
        <w:t>(2)</w:t>
      </w:r>
      <w:r>
        <w:rPr/>
        <w:t>通过审阅销售台账、合同、验收单及与管理层的访谈，了解正元智慧公司的收入确认政策；评价 管理层对收入确认内部控制制度的设计和运行的有效性；</w:t>
      </w:r>
    </w:p>
    <w:p>
      <w:pPr>
        <w:pStyle w:val="BodyText"/>
        <w:spacing w:line="408" w:lineRule="auto"/>
        <w:ind w:left="1616" w:right="0"/>
        <w:jc w:val="left"/>
      </w:pPr>
      <w:r>
        <w:rPr>
          <w:rFonts w:ascii="宋体" w:hAnsi="宋体" w:cs="宋体" w:eastAsia="宋体" w:hint="default"/>
        </w:rPr>
        <w:t>(3)</w:t>
      </w:r>
      <w:r>
        <w:rPr/>
        <w:t>对收入与成本实施分析性程序，按项目分析收入变动、毛利变动情况合理性； </w:t>
      </w:r>
      <w:r>
        <w:rPr>
          <w:rFonts w:ascii="宋体" w:hAnsi="宋体" w:cs="宋体" w:eastAsia="宋体" w:hint="default"/>
        </w:rPr>
        <w:t>(4)</w:t>
      </w:r>
      <w:r>
        <w:rPr/>
        <w:t>对重大合同及相关的验收报告进行检查，并与管理层讨论，评估管理层对收入确认是否有重大偏</w:t>
      </w:r>
    </w:p>
    <w:p>
      <w:pPr>
        <w:pStyle w:val="BodyText"/>
        <w:spacing w:line="408" w:lineRule="auto"/>
        <w:ind w:left="1616" w:right="5545" w:hanging="483"/>
        <w:jc w:val="left"/>
      </w:pPr>
      <w:r>
        <w:rPr/>
        <w:t>颇和错报的迹象； </w:t>
      </w:r>
      <w:r>
        <w:rPr>
          <w:rFonts w:ascii="宋体" w:hAnsi="宋体" w:cs="宋体" w:eastAsia="宋体" w:hint="default"/>
        </w:rPr>
        <w:t>(5)</w:t>
      </w:r>
      <w:r>
        <w:rPr/>
        <w:t>对重大客户本期收入发生实施函证、访谈程序；</w:t>
      </w:r>
    </w:p>
    <w:p>
      <w:pPr>
        <w:pStyle w:val="BodyText"/>
        <w:spacing w:line="408" w:lineRule="auto"/>
        <w:ind w:left="1616" w:right="2185"/>
        <w:jc w:val="left"/>
      </w:pPr>
      <w:r>
        <w:rPr>
          <w:rFonts w:ascii="宋体" w:hAnsi="宋体" w:cs="宋体" w:eastAsia="宋体" w:hint="default"/>
        </w:rPr>
        <w:t>(6)</w:t>
      </w:r>
      <w:r>
        <w:rPr/>
        <w:t>对资产负债日前后的收入确认情况实施截止性测试，检查其收入确认时点的准确性。 </w:t>
      </w:r>
      <w:r>
        <w:rPr>
          <w:rFonts w:ascii="宋体" w:hAnsi="宋体" w:cs="宋体" w:eastAsia="宋体" w:hint="default"/>
        </w:rPr>
        <w:t>(</w:t>
      </w:r>
      <w:r>
        <w:rPr/>
        <w:t>二</w:t>
      </w:r>
      <w:r>
        <w:rPr>
          <w:rFonts w:ascii="宋体" w:hAnsi="宋体" w:cs="宋体" w:eastAsia="宋体" w:hint="default"/>
        </w:rPr>
        <w:t>)</w:t>
      </w:r>
      <w:r>
        <w:rPr/>
        <w:t>应收账款的坏账计提</w:t>
      </w:r>
    </w:p>
    <w:p>
      <w:pPr>
        <w:pStyle w:val="BodyText"/>
        <w:spacing w:line="408" w:lineRule="auto"/>
        <w:ind w:left="1616" w:right="0"/>
        <w:jc w:val="left"/>
      </w:pPr>
      <w:r>
        <w:rPr>
          <w:rFonts w:ascii="宋体" w:hAnsi="宋体" w:cs="宋体" w:eastAsia="宋体" w:hint="default"/>
        </w:rPr>
        <w:t>1.</w:t>
      </w:r>
      <w:r>
        <w:rPr/>
        <w:t>关键审计事项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日，正元智慧公司应收账款余额</w:t>
      </w:r>
      <w:r>
        <w:rPr>
          <w:rFonts w:ascii="宋体" w:hAnsi="宋体" w:cs="宋体" w:eastAsia="宋体" w:hint="default"/>
        </w:rPr>
        <w:t>31,237.65</w:t>
      </w:r>
      <w:r>
        <w:rPr/>
        <w:t>万元，坏账准备金额</w:t>
      </w:r>
      <w:r>
        <w:rPr>
          <w:rFonts w:ascii="宋体" w:hAnsi="宋体" w:cs="宋体" w:eastAsia="宋体" w:hint="default"/>
        </w:rPr>
        <w:t>3,844.20</w:t>
      </w:r>
      <w:r>
        <w:rPr/>
        <w:t>万元，净</w:t>
      </w:r>
    </w:p>
    <w:p>
      <w:pPr>
        <w:pStyle w:val="BodyText"/>
        <w:spacing w:line="408" w:lineRule="auto"/>
        <w:ind w:left="1616" w:right="1118" w:hanging="483"/>
        <w:jc w:val="left"/>
      </w:pPr>
      <w:r>
        <w:rPr/>
        <w:t>额为</w:t>
      </w:r>
      <w:r>
        <w:rPr>
          <w:rFonts w:ascii="宋体" w:hAnsi="宋体" w:cs="宋体" w:eastAsia="宋体" w:hint="default"/>
        </w:rPr>
        <w:t>27,393.46</w:t>
      </w:r>
      <w:r>
        <w:rPr/>
        <w:t>万元，占期末资产总额的</w:t>
      </w:r>
      <w:r>
        <w:rPr>
          <w:rFonts w:ascii="宋体" w:hAnsi="宋体" w:cs="宋体" w:eastAsia="宋体" w:hint="default"/>
        </w:rPr>
        <w:t>33.47%</w:t>
      </w:r>
      <w:r>
        <w:rPr/>
        <w:t>，详见财务报表附注五</w:t>
      </w:r>
      <w:r>
        <w:rPr>
          <w:rFonts w:ascii="宋体" w:hAnsi="宋体" w:cs="宋体" w:eastAsia="宋体" w:hint="default"/>
        </w:rPr>
        <w:t>(</w:t>
      </w:r>
      <w:r>
        <w:rPr/>
        <w:t>一</w:t>
      </w:r>
      <w:r>
        <w:rPr>
          <w:rFonts w:ascii="宋体" w:hAnsi="宋体" w:cs="宋体" w:eastAsia="宋体" w:hint="default"/>
        </w:rPr>
        <w:t>)3</w:t>
      </w:r>
      <w:r>
        <w:rPr/>
        <w:t>。 </w:t>
      </w:r>
      <w:r>
        <w:rPr>
          <w:spacing w:val="-2"/>
        </w:rPr>
        <w:t>如财务报表附注三（十）所述，由于应收账款的可回收性的确定需要管理层获取客观证据，并在评估</w:t>
      </w:r>
    </w:p>
    <w:p>
      <w:pPr>
        <w:pStyle w:val="BodyText"/>
        <w:spacing w:line="408" w:lineRule="auto"/>
        <w:ind w:right="1131"/>
        <w:jc w:val="both"/>
      </w:pPr>
      <w:r>
        <w:rPr>
          <w:spacing w:val="3"/>
        </w:rPr>
        <w:t>应收账款的可回收金额方面涉及管理层运用重大会计估计和判断，并且管理层的估计和假设具有不确定</w:t>
      </w:r>
      <w:r>
        <w:rPr>
          <w:spacing w:val="-77"/>
        </w:rPr>
        <w:t> </w:t>
      </w:r>
      <w:r>
        <w:rPr>
          <w:spacing w:val="-77"/>
        </w:rPr>
      </w:r>
      <w:r>
        <w:rPr>
          <w:spacing w:val="-1"/>
        </w:rPr>
        <w:t>性，基于应收账款坏账准备的计提对于财务报表具有重要性，因此，我们把应收账款的坏账计提列为关键</w:t>
      </w:r>
      <w:r>
        <w:rPr>
          <w:spacing w:val="-83"/>
        </w:rPr>
        <w:t> </w:t>
      </w:r>
      <w:r>
        <w:rPr>
          <w:spacing w:val="-83"/>
        </w:rPr>
      </w:r>
      <w:r>
        <w:rPr/>
        <w:t>审计事项。</w:t>
      </w:r>
    </w:p>
    <w:p>
      <w:pPr>
        <w:pStyle w:val="BodyText"/>
        <w:spacing w:line="408" w:lineRule="auto"/>
        <w:ind w:left="1616" w:right="2710"/>
        <w:jc w:val="left"/>
      </w:pPr>
      <w:r>
        <w:rPr>
          <w:rFonts w:ascii="宋体" w:hAnsi="宋体" w:cs="宋体" w:eastAsia="宋体" w:hint="default"/>
        </w:rPr>
        <w:t>2.</w:t>
      </w:r>
      <w:r>
        <w:rPr/>
        <w:t>审计中的应对 我们对正元智慧公司应收账款的坏账计提关键审计事项实施的主要审计程序如下：</w:t>
      </w:r>
    </w:p>
    <w:p>
      <w:pPr>
        <w:pStyle w:val="BodyText"/>
        <w:spacing w:line="408" w:lineRule="auto"/>
        <w:ind w:right="1018" w:firstLine="482"/>
        <w:jc w:val="left"/>
      </w:pPr>
      <w:r>
        <w:rPr>
          <w:rFonts w:ascii="宋体" w:hAnsi="宋体" w:cs="宋体" w:eastAsia="宋体" w:hint="default"/>
          <w:spacing w:val="-2"/>
        </w:rPr>
        <w:t>(1)</w:t>
      </w:r>
      <w:r>
        <w:rPr>
          <w:spacing w:val="-2"/>
        </w:rPr>
        <w:t>通过审阅销售合同及与对管理层的访谈，了解和评估了管理层有关应收账款坏账准备的会计政策；</w:t>
      </w:r>
      <w:r>
        <w:rPr/>
        <w:t> 了解并测试了与应收账款坏账准备计提的内部控制，确定其可依赖；</w:t>
      </w:r>
    </w:p>
    <w:p>
      <w:pPr>
        <w:pStyle w:val="BodyText"/>
        <w:spacing w:line="408" w:lineRule="auto"/>
        <w:ind w:right="0" w:firstLine="482"/>
        <w:jc w:val="left"/>
      </w:pPr>
      <w:r>
        <w:rPr>
          <w:rFonts w:ascii="宋体" w:hAnsi="宋体" w:cs="宋体" w:eastAsia="宋体" w:hint="default"/>
        </w:rPr>
        <w:t>(2)</w:t>
      </w:r>
      <w:r>
        <w:rPr/>
        <w:t>对于按账龄分析法计提坏账准备的应收账款，根据历史回款记录，分析应收账款坏账准备会计估 计的合理性，并选取样本对账龄准确性进行测试；</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82"/>
        <w:jc w:val="left"/>
      </w:pPr>
      <w:r>
        <w:rPr>
          <w:rFonts w:ascii="宋体" w:hAnsi="宋体" w:cs="宋体" w:eastAsia="宋体" w:hint="default"/>
        </w:rPr>
        <w:t>(3)</w:t>
      </w:r>
      <w:r>
        <w:rPr/>
        <w:t>获取正元智慧公司坏账准备计提表，检查计提方法是否按照坏账政策实施，重新计算坏账计提金 额是否准确；</w:t>
      </w:r>
    </w:p>
    <w:p>
      <w:pPr>
        <w:pStyle w:val="BodyText"/>
        <w:spacing w:line="408" w:lineRule="auto"/>
        <w:ind w:right="0" w:firstLine="482"/>
        <w:jc w:val="left"/>
      </w:pPr>
      <w:r>
        <w:rPr>
          <w:rFonts w:ascii="宋体" w:hAnsi="宋体" w:cs="宋体" w:eastAsia="宋体" w:hint="default"/>
        </w:rPr>
        <w:t>(4)</w:t>
      </w:r>
      <w:r>
        <w:rPr/>
        <w:t>抽查了期后应收账款回款的银行回单、银行对账单、记账凭证等资料；并以抽样方式对年末部分 应收账款余额进行了函证，与管理层讨论应收账款回收情况及可能存在的回收风险。</w:t>
      </w:r>
    </w:p>
    <w:p>
      <w:pPr>
        <w:spacing w:line="240" w:lineRule="auto" w:before="7"/>
        <w:rPr>
          <w:rFonts w:ascii="宋体" w:hAnsi="宋体" w:cs="宋体" w:eastAsia="宋体" w:hint="default"/>
          <w:sz w:val="19"/>
          <w:szCs w:val="19"/>
        </w:rPr>
      </w:pPr>
    </w:p>
    <w:p>
      <w:pPr>
        <w:pStyle w:val="Heading2"/>
        <w:spacing w:line="240" w:lineRule="auto"/>
        <w:ind w:left="1616" w:right="0"/>
        <w:jc w:val="left"/>
        <w:rPr>
          <w:b w:val="0"/>
          <w:bCs w:val="0"/>
        </w:rPr>
      </w:pPr>
      <w:r>
        <w:rPr/>
        <w:t>四、其他信息</w:t>
      </w:r>
      <w:r>
        <w:rPr>
          <w:b w:val="0"/>
          <w:bCs w:val="0"/>
        </w:rPr>
      </w:r>
    </w:p>
    <w:p>
      <w:pPr>
        <w:pStyle w:val="BodyText"/>
        <w:spacing w:line="408" w:lineRule="auto" w:before="100"/>
        <w:ind w:left="1616" w:right="0"/>
        <w:jc w:val="left"/>
      </w:pPr>
      <w:r>
        <w:rPr>
          <w:spacing w:val="-5"/>
        </w:rPr>
        <w:t>管理层对其他信息负责。其他信息包括年度报告中涵盖的信息，但不包括财务报表和我们的审计报告。</w:t>
      </w:r>
      <w:r>
        <w:rPr>
          <w:spacing w:val="-70"/>
        </w:rPr>
        <w:t> </w:t>
      </w:r>
      <w:r>
        <w:rPr>
          <w:spacing w:val="-70"/>
        </w:rPr>
      </w: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w:t>
      </w:r>
    </w:p>
    <w:p>
      <w:pPr>
        <w:pStyle w:val="BodyText"/>
        <w:spacing w:line="408" w:lineRule="auto"/>
        <w:ind w:left="1616" w:right="1118" w:hanging="483"/>
        <w:jc w:val="left"/>
      </w:pPr>
      <w:r>
        <w:rPr/>
        <w:t>表或我们在审计过程中了解到的情况存在重大不一致或者似乎存在重大错报。 </w:t>
      </w:r>
      <w:r>
        <w:rPr>
          <w:spacing w:val="-2"/>
        </w:rPr>
        <w:t>基于我们已执行的工作，如果我们确定其他信息存在重大错报，我们应当报告该事实。在这方面，我</w:t>
      </w:r>
    </w:p>
    <w:p>
      <w:pPr>
        <w:pStyle w:val="BodyText"/>
        <w:spacing w:line="240" w:lineRule="auto"/>
        <w:ind w:right="0"/>
        <w:jc w:val="left"/>
      </w:pPr>
      <w:r>
        <w:rPr/>
        <w:t>们无任何事项需要报告。</w:t>
      </w:r>
    </w:p>
    <w:p>
      <w:pPr>
        <w:spacing w:line="240" w:lineRule="auto" w:before="0"/>
        <w:rPr>
          <w:rFonts w:ascii="宋体" w:hAnsi="宋体" w:cs="宋体" w:eastAsia="宋体" w:hint="default"/>
          <w:sz w:val="20"/>
          <w:szCs w:val="20"/>
        </w:rPr>
      </w:pPr>
    </w:p>
    <w:p>
      <w:pPr>
        <w:pStyle w:val="Heading2"/>
        <w:spacing w:line="240" w:lineRule="auto" w:before="141"/>
        <w:ind w:left="1616" w:right="0"/>
        <w:jc w:val="left"/>
        <w:rPr>
          <w:b w:val="0"/>
          <w:bCs w:val="0"/>
        </w:rPr>
      </w:pPr>
      <w:r>
        <w:rPr/>
        <w:t>五、管理层和治理层对财务报表的责任</w:t>
      </w:r>
      <w:r>
        <w:rPr>
          <w:b w:val="0"/>
          <w:bCs w:val="0"/>
        </w:rPr>
      </w:r>
    </w:p>
    <w:p>
      <w:pPr>
        <w:pStyle w:val="BodyText"/>
        <w:spacing w:line="408" w:lineRule="auto" w:before="100"/>
        <w:ind w:right="1119" w:firstLine="482"/>
        <w:jc w:val="left"/>
      </w:pPr>
      <w:r>
        <w:rPr>
          <w:spacing w:val="-2"/>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408" w:lineRule="auto"/>
        <w:ind w:right="1119" w:firstLine="482"/>
        <w:jc w:val="left"/>
      </w:pPr>
      <w:r>
        <w:rPr>
          <w:spacing w:val="-2"/>
        </w:rPr>
        <w:t>在编制财务报表时，管理层负责评估正元智慧公司的持续经营能力，披露与持续经营相关的事项（如</w:t>
      </w:r>
      <w:r>
        <w:rPr/>
        <w:t> 适用），并运用持续经营假设，除非计划进行清算、终止运营或别无其他现实的选择。</w:t>
      </w:r>
    </w:p>
    <w:p>
      <w:pPr>
        <w:pStyle w:val="BodyText"/>
        <w:spacing w:line="240" w:lineRule="auto"/>
        <w:ind w:left="1616" w:right="0"/>
        <w:jc w:val="left"/>
      </w:pPr>
      <w:r>
        <w:rPr/>
        <w:t>治理层负责监督正元智慧公司的财务报告过程。</w:t>
      </w:r>
    </w:p>
    <w:p>
      <w:pPr>
        <w:spacing w:line="240" w:lineRule="auto" w:before="0"/>
        <w:rPr>
          <w:rFonts w:ascii="宋体" w:hAnsi="宋体" w:cs="宋体" w:eastAsia="宋体" w:hint="default"/>
          <w:sz w:val="20"/>
          <w:szCs w:val="20"/>
        </w:rPr>
      </w:pPr>
    </w:p>
    <w:p>
      <w:pPr>
        <w:pStyle w:val="Heading2"/>
        <w:spacing w:line="240" w:lineRule="auto" w:before="141"/>
        <w:ind w:left="1616" w:right="0"/>
        <w:jc w:val="left"/>
        <w:rPr>
          <w:b w:val="0"/>
          <w:bCs w:val="0"/>
        </w:rPr>
      </w:pPr>
      <w:r>
        <w:rPr/>
        <w:t>六、注册会计师对财务报表审计的责任</w:t>
      </w:r>
      <w:r>
        <w:rPr>
          <w:b w:val="0"/>
          <w:bCs w:val="0"/>
        </w:rPr>
      </w:r>
    </w:p>
    <w:p>
      <w:pPr>
        <w:pStyle w:val="BodyText"/>
        <w:spacing w:line="408" w:lineRule="auto" w:before="100"/>
        <w:ind w:right="1131" w:firstLine="482"/>
        <w:jc w:val="both"/>
      </w:pPr>
      <w:r>
        <w:rPr>
          <w:spacing w:val="-2"/>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8" w:lineRule="auto"/>
        <w:ind w:right="1119" w:firstLine="482"/>
        <w:jc w:val="left"/>
      </w:pPr>
      <w:r>
        <w:rPr>
          <w:spacing w:val="-2"/>
        </w:rPr>
        <w:t>在按照审计准则执行审计工作的过程中，我们运用职业判断，并保持职业怀疑。同时，我们也执行以</w:t>
      </w:r>
      <w:r>
        <w:rPr/>
        <w:t> 下工作：</w:t>
      </w:r>
    </w:p>
    <w:p>
      <w:pPr>
        <w:pStyle w:val="BodyText"/>
        <w:spacing w:line="408" w:lineRule="auto"/>
        <w:ind w:left="1134" w:right="1023" w:firstLine="482"/>
        <w:jc w:val="left"/>
      </w:pP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识别和评估由于舞弊或错误导致的财务报表重大错报风险，设计和实施审计程序以应对这些风</w:t>
      </w:r>
      <w:r>
        <w:rPr/>
        <w:t>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ind w:left="1616" w:right="0"/>
        <w:jc w:val="left"/>
      </w:pPr>
      <w:r>
        <w:rPr>
          <w:rFonts w:ascii="宋体" w:hAnsi="宋体" w:cs="宋体" w:eastAsia="宋体" w:hint="default"/>
          <w:spacing w:val="1"/>
        </w:rPr>
        <w:t>(</w:t>
      </w:r>
      <w:r>
        <w:rPr/>
        <w:t>二</w:t>
      </w:r>
      <w:r>
        <w:rPr>
          <w:rFonts w:ascii="宋体" w:hAnsi="宋体" w:cs="宋体" w:eastAsia="宋体" w:hint="default"/>
        </w:rPr>
        <w:t>)</w:t>
      </w:r>
      <w:r>
        <w:rPr/>
        <w:t>了解</w:t>
      </w:r>
      <w:r>
        <w:rPr>
          <w:spacing w:val="-2"/>
        </w:rPr>
        <w:t>与</w:t>
      </w:r>
      <w:r>
        <w:rPr/>
        <w:t>审计相关的内部控制</w:t>
      </w:r>
      <w:r>
        <w:rPr>
          <w:spacing w:val="-95"/>
        </w:rPr>
        <w:t>，</w:t>
      </w:r>
      <w:r>
        <w:rPr/>
        <w:t>以设计恰当的审计程序</w:t>
      </w:r>
      <w:r>
        <w:rPr>
          <w:spacing w:val="-95"/>
        </w:rPr>
        <w:t>，</w:t>
      </w:r>
      <w:r>
        <w:rPr/>
        <w:t>但目的并非对内部控制的有效性发表意见。</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616" w:right="1120"/>
        <w:jc w:val="left"/>
      </w:pPr>
      <w:r>
        <w:rPr>
          <w:rFonts w:ascii="宋体" w:hAnsi="宋体" w:cs="宋体" w:eastAsia="宋体" w:hint="default"/>
        </w:rPr>
        <w:t>(</w:t>
      </w:r>
      <w:r>
        <w:rPr/>
        <w:t>三</w:t>
      </w:r>
      <w:r>
        <w:rPr>
          <w:rFonts w:ascii="宋体" w:hAnsi="宋体" w:cs="宋体" w:eastAsia="宋体" w:hint="default"/>
        </w:rPr>
        <w:t>)</w:t>
      </w:r>
      <w:r>
        <w:rPr/>
        <w:t>评价管理层选用会计政策的恰当性和作出会计估计及相关披露的合理性。 </w:t>
      </w:r>
      <w:r>
        <w:rPr>
          <w:rFonts w:ascii="宋体" w:hAnsi="宋体" w:cs="宋体" w:eastAsia="宋体" w:hint="default"/>
          <w:spacing w:val="-2"/>
        </w:rPr>
        <w:t>(</w:t>
      </w:r>
      <w:r>
        <w:rPr>
          <w:spacing w:val="-2"/>
        </w:rPr>
        <w:t>四</w:t>
      </w:r>
      <w:r>
        <w:rPr>
          <w:rFonts w:ascii="宋体" w:hAnsi="宋体" w:cs="宋体" w:eastAsia="宋体" w:hint="default"/>
          <w:spacing w:val="-2"/>
        </w:rPr>
        <w:t>)</w:t>
      </w:r>
      <w:r>
        <w:rPr>
          <w:spacing w:val="-2"/>
        </w:rPr>
        <w:t>对管理层使用持续经营假设的恰当性得出结论。同时，根据获取的审计证据，就可能导致对正元</w:t>
      </w:r>
    </w:p>
    <w:p>
      <w:pPr>
        <w:pStyle w:val="BodyText"/>
        <w:spacing w:line="408" w:lineRule="auto"/>
        <w:ind w:left="1134" w:right="1131"/>
        <w:jc w:val="both"/>
      </w:pPr>
      <w:r>
        <w:rPr>
          <w:spacing w:val="-1"/>
        </w:rPr>
        <w:t>智慧公司持续经营能力产生重大疑虑的事项或情况是否存在重大不确定性得出结论。如果我们得出结论认</w:t>
      </w:r>
      <w:r>
        <w:rPr>
          <w:spacing w:val="-81"/>
        </w:rPr>
        <w:t> </w:t>
      </w:r>
      <w:r>
        <w:rPr>
          <w:spacing w:val="-81"/>
        </w:rPr>
      </w:r>
      <w:r>
        <w:rPr>
          <w:spacing w:val="-1"/>
        </w:rPr>
        <w:t>为存在重大不确定性，审计准则要求我们在审计报告中提请报表使用者注意财务报表中的相关披露；如果</w:t>
      </w:r>
      <w:r>
        <w:rPr>
          <w:spacing w:val="-81"/>
        </w:rPr>
        <w:t> </w:t>
      </w:r>
      <w:r>
        <w:rPr>
          <w:spacing w:val="-81"/>
        </w:rPr>
      </w:r>
      <w:r>
        <w:rPr>
          <w:spacing w:val="-1"/>
        </w:rPr>
        <w:t>披露不充分，我们应当发表非无保留意见。我们的结论基于截至审计报告日可获得的信息。然而，未来的</w:t>
      </w:r>
      <w:r>
        <w:rPr>
          <w:spacing w:val="-86"/>
        </w:rPr>
        <w:t> </w:t>
      </w:r>
      <w:r>
        <w:rPr>
          <w:spacing w:val="-86"/>
        </w:rPr>
      </w:r>
      <w:r>
        <w:rPr/>
        <w:t>事项或情况可能导致正元智慧公司不能持续经营。</w:t>
      </w:r>
    </w:p>
    <w:p>
      <w:pPr>
        <w:pStyle w:val="BodyText"/>
        <w:spacing w:line="408" w:lineRule="auto"/>
        <w:ind w:left="1134" w:right="1132" w:firstLine="482"/>
        <w:jc w:val="both"/>
      </w:pPr>
      <w:r>
        <w:rPr>
          <w:rFonts w:ascii="宋体" w:hAnsi="宋体" w:cs="宋体" w:eastAsia="宋体" w:hint="default"/>
          <w:spacing w:val="-2"/>
        </w:rPr>
        <w:t>(</w:t>
      </w:r>
      <w:r>
        <w:rPr>
          <w:spacing w:val="-2"/>
        </w:rPr>
        <w:t>五</w:t>
      </w:r>
      <w:r>
        <w:rPr>
          <w:rFonts w:ascii="宋体" w:hAnsi="宋体" w:cs="宋体" w:eastAsia="宋体" w:hint="default"/>
          <w:spacing w:val="-2"/>
        </w:rPr>
        <w:t>)</w:t>
      </w:r>
      <w:r>
        <w:rPr>
          <w:spacing w:val="-2"/>
        </w:rPr>
        <w:t>评价财务报表的总体列报、结构和内容（包括披露），并评价财务报表是否公允反映相关交易和</w:t>
      </w:r>
      <w:r>
        <w:rPr/>
        <w:t> 事项。</w:t>
      </w:r>
    </w:p>
    <w:p>
      <w:pPr>
        <w:pStyle w:val="BodyText"/>
        <w:spacing w:line="408" w:lineRule="auto"/>
        <w:ind w:left="1134" w:right="1131" w:firstLine="482"/>
        <w:jc w:val="both"/>
      </w:pPr>
      <w:r>
        <w:rPr>
          <w:rFonts w:ascii="宋体" w:hAnsi="宋体" w:cs="宋体" w:eastAsia="宋体" w:hint="default"/>
          <w:spacing w:val="-2"/>
        </w:rPr>
        <w:t>(</w:t>
      </w:r>
      <w:r>
        <w:rPr>
          <w:spacing w:val="-2"/>
        </w:rPr>
        <w:t>六</w:t>
      </w:r>
      <w:r>
        <w:rPr>
          <w:rFonts w:ascii="宋体" w:hAnsi="宋体" w:cs="宋体" w:eastAsia="宋体" w:hint="default"/>
          <w:spacing w:val="-2"/>
        </w:rPr>
        <w:t>)</w:t>
      </w:r>
      <w:r>
        <w:rPr>
          <w:spacing w:val="-2"/>
        </w:rPr>
        <w:t>就正元智慧公司中实体或业务活动的财务信息获取充分、适当的审计证据，以对财务报表发表审</w:t>
      </w:r>
      <w:r>
        <w:rPr/>
        <w:t> 计意见。我们负责指导、监督和执行集团审计，并对审计意见承担全部责任。</w:t>
      </w:r>
    </w:p>
    <w:p>
      <w:pPr>
        <w:pStyle w:val="BodyText"/>
        <w:spacing w:line="408" w:lineRule="auto"/>
        <w:ind w:right="1133" w:firstLine="482"/>
        <w:jc w:val="both"/>
      </w:pPr>
      <w:r>
        <w:rPr>
          <w:spacing w:val="-2"/>
        </w:rPr>
        <w:t>我们与治理层就计划的审计范围、时间安排和重大审计发现等事项进行沟通，包括沟通我们在审计中</w:t>
      </w:r>
      <w:r>
        <w:rPr/>
        <w:t> 识别出的值得关注的内部控制缺陷。</w:t>
      </w:r>
    </w:p>
    <w:p>
      <w:pPr>
        <w:pStyle w:val="BodyText"/>
        <w:spacing w:line="408" w:lineRule="auto"/>
        <w:ind w:right="1133" w:firstLine="482"/>
        <w:jc w:val="both"/>
      </w:pPr>
      <w:r>
        <w:rPr>
          <w:spacing w:val="-2"/>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408" w:lineRule="auto"/>
        <w:ind w:right="1131" w:firstLine="482"/>
        <w:jc w:val="both"/>
      </w:pPr>
      <w:r>
        <w:rPr>
          <w:spacing w:val="-2"/>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tabs>
          <w:tab w:pos="3780" w:val="left" w:leader="none"/>
        </w:tabs>
        <w:spacing w:line="240" w:lineRule="auto" w:before="0"/>
        <w:ind w:left="0" w:right="1130"/>
        <w:jc w:val="right"/>
      </w:pPr>
      <w:r>
        <w:rPr/>
        <w:t>天健会计师事务所（特殊普通合伙）</w:t>
        <w:tab/>
        <w:t>中国注册会计师：胡燕华</w:t>
      </w:r>
    </w:p>
    <w:p>
      <w:pPr>
        <w:pStyle w:val="BodyText"/>
        <w:tabs>
          <w:tab w:pos="8673" w:val="left" w:leader="none"/>
        </w:tabs>
        <w:spacing w:line="544" w:lineRule="auto" w:before="37"/>
        <w:ind w:left="7413" w:right="1130" w:firstLine="1890"/>
        <w:jc w:val="right"/>
      </w:pPr>
      <w:r>
        <w:rPr/>
        <w:t>（项目合伙人） </w:t>
      </w:r>
      <w:r>
        <w:rPr>
          <w:spacing w:val="-1"/>
        </w:rPr>
        <w:t>中国</w:t>
      </w:r>
      <w:r>
        <w:rPr>
          <w:rFonts w:ascii="Times New Roman" w:hAnsi="Times New Roman" w:cs="Times New Roman" w:eastAsia="Times New Roman" w:hint="default"/>
          <w:spacing w:val="-1"/>
        </w:rPr>
        <w:t>·</w:t>
      </w:r>
      <w:r>
        <w:rPr>
          <w:spacing w:val="-1"/>
        </w:rPr>
        <w:t>杭州</w:t>
        <w:tab/>
      </w:r>
      <w:r>
        <w:rPr/>
        <w:t>中国注册会计师：罗衡</w:t>
      </w:r>
    </w:p>
    <w:p>
      <w:pPr>
        <w:pStyle w:val="BodyText"/>
        <w:spacing w:line="240" w:lineRule="auto" w:before="38"/>
        <w:ind w:left="0" w:right="1130"/>
        <w:jc w:val="right"/>
      </w:pPr>
      <w:r>
        <w:rPr/>
        <w:t>二〇一八年四月十九日</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二、财务报表" w:id="208"/>
      <w:bookmarkEnd w:id="20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209"/>
      <w:bookmarkEnd w:id="20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编制单位：浙江正元智慧科技股份有限公司</w:t>
      </w:r>
    </w:p>
    <w:p>
      <w:pPr>
        <w:spacing w:after="0"/>
        <w:jc w:val="both"/>
        <w:rPr>
          <w:rFonts w:ascii="宋体" w:hAnsi="宋体" w:cs="宋体" w:eastAsia="宋体"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before="44"/>
        <w:ind w:left="3403" w:right="3403"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207,192,191.79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162,894,922.12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3,307,836.32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2,643,093.69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273,934,565.11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210,314,609.98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14,561,237.38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6,454,772.33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3,714,760.27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2,931,010.27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31,796,123.27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18,800,358.89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112,985,384.23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76,130,996.09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51,896,257.27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3,242,924.19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699,388,355.64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483,412,687.56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77,048,765.82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52,649,938.45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6,514,702.13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7,514,386.63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6,605,727.36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11,230,818.21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10,952,104.64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2,610,372.23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2,610,372.23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89,759.19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7,610,094.86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5,802,312.07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7,174,342.72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8,337,423.32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119,100,582.52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87,866,537.34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818,488,938.16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571,279,224.90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64,000,000.00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25,672,417.96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22,330,270.15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88,150,437.17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73,872,831.78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47,093,262.91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28,410,701.81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10,276,886.61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9,476,003.30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6,219,741.52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6,566,611.54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81,420.33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63,191.13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3,831,528.07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11,659,246.40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260,325,694.57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216,378,856.11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260,325,694.57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216,378,856.11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66,666,667.00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278,118,619.65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135,484,699.44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20,073,387.01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15,683,121.11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179,547,380.38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141,968,789.54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544,406,054.04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343,136,610.09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13,757,189.55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11,763,758.70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558,163,243.59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354,900,368.79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818,488,938.16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571,279,224.90</w:t>
            </w:r>
          </w:p>
        </w:tc>
      </w:tr>
    </w:tbl>
    <w:p>
      <w:pPr>
        <w:spacing w:line="240" w:lineRule="auto" w:before="3"/>
        <w:rPr>
          <w:rFonts w:ascii="Times New Roman" w:hAnsi="Times New Roman" w:cs="Times New Roman" w:eastAsia="Times New Roman" w:hint="default"/>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法定代表人：陈坚主管会计工作负责人：陈根清会计机构负责人：包建军</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母公司资产负债表" w:id="210"/>
      <w:bookmarkEnd w:id="21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5081"/>
        <w:gridCol w:w="2280"/>
        <w:gridCol w:w="2196"/>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153,376,386.27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135,397,907.23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3,307,836.32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2,643,093.69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260,758,291.42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195,013,146.28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13,748,648.24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5,920,831.91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3,714,760.27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2,931,010.27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57,956,026.39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35,301,542.59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82,116,898.34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53,513,795.63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51,506,458.77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3,239,755.82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626,485,306.02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433,961,083.42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100,398,765.82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71,409,938.45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4,818,250.35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4,911,251.67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6,605,727.36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9,651,984.94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8,867,271.33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4,792,582.96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3,315,175.12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450,769.24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1,440,170.00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126,718,080.67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89,943,806.57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753,203,386.69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523,904,889.99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25,672,417.96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22,330,270.15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75,779,317.11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65,763,356.65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35,742,378.98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23,716,603.60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6,792,290.57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6,206,092.34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2,695,688.79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3,188,188.45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75,970.33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58,272.38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3,136,484.65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5,536,514.30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204,894,548.39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178,799,297.87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204,894,548.39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178,799,297.87</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66,666,667.00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280,908,301.23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138,274,381.02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20,073,387.01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15,683,121.11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180,660,483.06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141,148,089.99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548,308,838.30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345,105,592.12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753,203,386.69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523,904,889.99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合并利润表" w:id="211"/>
      <w:bookmarkEnd w:id="21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448,922,268.58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363,371,772.32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448,922,268.58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363,371,772.32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425,239,634.18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336,108,723.05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271,544,248.30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216,758,007.36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3,584,681.54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3,109,077.56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38,108,991.73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30,465,592.94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97,797,494.87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80,480,936.05</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104"/>
        <w:gridCol w:w="2269"/>
        <w:gridCol w:w="2196"/>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2,387,054.94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2,537,825.52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11,817,162.80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2,757,283.62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2,136,696.27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-1,059,811.99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398,827.37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-1,059,811.99</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1,085.49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50,570.43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16,748,920.67</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42,569,336.83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26,253,807.71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14,388.74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22,919,127.51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65,916.40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830,204.68</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42,517,809.17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48,342,730.54</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1,254,021.58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851,168.33</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41,263,787.59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47,491,562.21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41,263,787.59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47,491,562.21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41,968,856.74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45,750,858.31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-705,069.15</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1,740,703.90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41,263,787.59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47,491,562.21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41,968,856.74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45,750,858.31</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-705,069.15</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1,740,703.90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0.920</w:t>
            </w:r>
          </w:p>
        </w:tc>
      </w:tr>
    </w:tbl>
    <w:p>
      <w:pPr>
        <w:spacing w:line="624" w:lineRule="auto" w:before="51"/>
        <w:ind w:left="1133" w:right="193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法定代表人：陈坚主管会计工作负责人：陈根清会计机构负责人：包建军</w:t>
      </w:r>
    </w:p>
    <w:p>
      <w:pPr>
        <w:pStyle w:val="Heading4"/>
        <w:spacing w:line="240" w:lineRule="auto" w:before="63"/>
        <w:ind w:right="0"/>
        <w:jc w:val="left"/>
        <w:rPr>
          <w:b w:val="0"/>
          <w:bCs w:val="0"/>
        </w:rPr>
      </w:pPr>
      <w:bookmarkStart w:name="4、母公司利润表" w:id="212"/>
      <w:bookmarkEnd w:id="21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5081"/>
        <w:gridCol w:w="2280"/>
        <w:gridCol w:w="219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355,615,883.70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277,990,953.31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217,053,313.72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166,684,102.47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2,617,619.63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2,328,862.65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27,287,968.08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21,487,813.32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69,399,975.51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54,657,166.71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1,493,785.81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1,593,351.20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9,867,942.99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1,958,607.33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3,918,096.27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1,337,188.01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398,827.37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-1,059,811.99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-2,614.51</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12,916,335.06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44,727,094.78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30,618,371.99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13,535.09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19,423,821.97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758,256.36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44,739,761.27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49,283,937.60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837,102.30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1,142,839.49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43,902,658.97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48,141,098.11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43,902,658.97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48,141,098.11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5081"/>
        <w:gridCol w:w="2280"/>
        <w:gridCol w:w="2196"/>
      </w:tblGrid>
      <w:tr>
        <w:trPr>
          <w:trHeight w:val="36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合收益中享有的份额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99" w:right="0"/>
              <w:jc w:val="left"/>
              <w:rPr>
                <w:rFonts w:ascii="Times New Roman" w:hAnsi="Times New Roman" w:cs="Times New Roman" w:eastAsia="Times New Roman" w:hint="default"/>
                <w:sz w:val="18"/>
                <w:szCs w:val="18"/>
              </w:rPr>
            </w:pPr>
            <w:r>
              <w:rPr>
                <w:rFonts w:ascii="Times New Roman"/>
                <w:sz w:val="18"/>
              </w:rPr>
              <w:t>43,902,658.97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5" w:right="0"/>
              <w:jc w:val="left"/>
              <w:rPr>
                <w:rFonts w:ascii="Times New Roman" w:hAnsi="Times New Roman" w:cs="Times New Roman" w:eastAsia="Times New Roman" w:hint="default"/>
                <w:sz w:val="18"/>
                <w:szCs w:val="18"/>
              </w:rPr>
            </w:pPr>
            <w:r>
              <w:rPr>
                <w:rFonts w:ascii="Times New Roman"/>
                <w:sz w:val="18"/>
              </w:rPr>
              <w:t>48,141,098.11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合并现金流量表" w:id="213"/>
      <w:bookmarkEnd w:id="21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5223"/>
        <w:gridCol w:w="2139"/>
        <w:gridCol w:w="2196"/>
      </w:tblGrid>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459,672,872.08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385,640,089.51</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139"/>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139"/>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 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17,206,181.99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14,194,979.84</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72,221,377.81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53,825,466.98</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549,100,431.88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453,660,536.33</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334,231,910.65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229,334,246.07</w:t>
            </w:r>
          </w:p>
        </w:tc>
      </w:tr>
      <w:tr>
        <w:trPr>
          <w:trHeight w:val="403"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5223"/>
        <w:gridCol w:w="2139"/>
        <w:gridCol w:w="2196"/>
      </w:tblGrid>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83,127,108.67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63,665,429.35</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33,757,185.03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30,017,339.89</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138,004,968.92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115,244,549.75</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589,121,173.27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438,261,565.06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-40,020,741.39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15,398,971.27</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1,737,868.90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35,378.99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183,715.06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146,773,247.89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306,215.06</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10,103,469.99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12,643,183.10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24,216,000.00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229,319,469.99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28,643,183.10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-82,546,222.10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-28,336,968.04</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176,743,337.45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290,743,337.45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61,500,000.00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5,040,821.61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5,450,542.57</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1,711,500.00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2,303,000.00</w:t>
            </w:r>
          </w:p>
        </w:tc>
      </w:tr>
      <w:tr>
        <w:trPr>
          <w:trHeight w:val="402" w:hRule="exact"/>
        </w:trPr>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14,113,337.45</w:t>
            </w: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246"/>
        <w:gridCol w:w="2127"/>
        <w:gridCol w:w="2196"/>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118,154,159.06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66,950,542.57</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172,589,178.39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13,049,457.43</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50,022,214.90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111,460.66</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125,564,651.97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125,453,191.31</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175,586,866.87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125,564,651.97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214"/>
      <w:bookmarkEnd w:id="21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5365"/>
        <w:gridCol w:w="1997"/>
        <w:gridCol w:w="2196"/>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337,921,632.97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276,420,184.99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13,787,304.45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11,370,676.96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73,434,923.64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52,662,724.22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425,143,861.06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340,453,586.17</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261,793,908.15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165,939,653.20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54,943,299.64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42,752,602.18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24,082,013.05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23,192,524.50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128,964,349.10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103,634,757.38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469,783,569.94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335,519,537.26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-44,639,708.88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4,934,048.91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3,519,268.90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2,519,500.00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13,517.00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148,523,905.90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2,533,017.00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9,620,158.57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3,679,688.82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233,210,158.57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19,679,688.82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-84,686,252.67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-17,146,671.82</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5365"/>
        <w:gridCol w:w="1997"/>
        <w:gridCol w:w="2196"/>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172,333,337.45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259,333,337.45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2,428,718.17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2,192,742.15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14,113,337.45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100,542,055.62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45,692,742.15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158,791,281.83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16,307,257.85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7"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29,465,320.28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4,094,634.94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98,067,637.08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93,973,002.14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127,532,957.36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98,067,637.08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合并所有者权益变动表" w:id="215"/>
      <w:bookmarkEnd w:id="21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88"/>
        <w:gridCol w:w="1091"/>
        <w:gridCol w:w="287"/>
        <w:gridCol w:w="265"/>
        <w:gridCol w:w="265"/>
        <w:gridCol w:w="1181"/>
        <w:gridCol w:w="418"/>
        <w:gridCol w:w="264"/>
        <w:gridCol w:w="289"/>
        <w:gridCol w:w="1091"/>
        <w:gridCol w:w="276"/>
        <w:gridCol w:w="1181"/>
        <w:gridCol w:w="1091"/>
        <w:gridCol w:w="1181"/>
      </w:tblGrid>
      <w:tr>
        <w:trPr>
          <w:trHeight w:val="402" w:hRule="exact"/>
        </w:trPr>
        <w:tc>
          <w:tcPr>
            <w:tcW w:w="788" w:type="dxa"/>
            <w:vMerge w:val="restart"/>
            <w:tcBorders>
              <w:top w:val="single" w:sz="4" w:space="0" w:color="000000"/>
              <w:left w:val="single" w:sz="4" w:space="0" w:color="000000"/>
              <w:right w:val="single" w:sz="4" w:space="0" w:color="000000"/>
            </w:tcBorders>
            <w:shd w:val="clear" w:color="auto" w:fill="D2D2D2"/>
          </w:tcPr>
          <w:p>
            <w:pPr/>
          </w:p>
        </w:tc>
        <w:tc>
          <w:tcPr>
            <w:tcW w:w="888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788" w:type="dxa"/>
            <w:vMerge/>
            <w:tcBorders>
              <w:left w:val="single" w:sz="4" w:space="0" w:color="000000"/>
              <w:right w:val="single" w:sz="4" w:space="0" w:color="000000"/>
            </w:tcBorders>
            <w:shd w:val="clear" w:color="auto" w:fill="D2D2D2"/>
          </w:tcPr>
          <w:p>
            <w:pPr/>
          </w:p>
        </w:tc>
        <w:tc>
          <w:tcPr>
            <w:tcW w:w="66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r>
      <w:tr>
        <w:trPr>
          <w:trHeight w:val="350" w:hRule="exact"/>
        </w:trPr>
        <w:tc>
          <w:tcPr>
            <w:tcW w:w="78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8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3" w:right="42"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7" w:right="35"/>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2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 w:right="41"/>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351"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1" w:type="dxa"/>
            <w:vMerge/>
            <w:tcBorders>
              <w:left w:val="single" w:sz="4" w:space="0" w:color="000000"/>
              <w:bottom w:val="nil" w:sz="6" w:space="0" w:color="auto"/>
              <w:right w:val="single" w:sz="4" w:space="0" w:color="000000"/>
            </w:tcBorders>
            <w:shd w:val="clear" w:color="auto" w:fill="D2D2D2"/>
          </w:tcPr>
          <w:p>
            <w:pPr/>
          </w:p>
        </w:tc>
        <w:tc>
          <w:tcPr>
            <w:tcW w:w="817"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93"/>
              <w:ind w:left="22" w:right="2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264" w:type="dxa"/>
            <w:vMerge/>
            <w:tcBorders>
              <w:left w:val="single" w:sz="4" w:space="0" w:color="000000"/>
              <w:right w:val="single" w:sz="4" w:space="0" w:color="000000"/>
            </w:tcBorders>
            <w:shd w:val="clear" w:color="auto" w:fill="D2D2D2"/>
          </w:tcPr>
          <w:p>
            <w:pPr/>
          </w:p>
        </w:tc>
        <w:tc>
          <w:tcPr>
            <w:tcW w:w="28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18"/>
              <w:ind w:left="50" w:right="4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tcBorders>
              <w:left w:val="single" w:sz="4" w:space="0" w:color="000000"/>
              <w:bottom w:val="nil" w:sz="6" w:space="0" w:color="auto"/>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3" w:hRule="exact"/>
        </w:trPr>
        <w:tc>
          <w:tcPr>
            <w:tcW w:w="788"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7" w:right="4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7" w:right="3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18"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69" w:hRule="exact"/>
        </w:trPr>
        <w:tc>
          <w:tcPr>
            <w:tcW w:w="78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287" w:type="dxa"/>
            <w:vMerge/>
            <w:tcBorders>
              <w:left w:val="single" w:sz="4" w:space="0" w:color="000000"/>
              <w:right w:val="single" w:sz="4" w:space="0" w:color="000000"/>
            </w:tcBorders>
            <w:shd w:val="clear" w:color="auto" w:fill="D2D2D2"/>
          </w:tcPr>
          <w:p>
            <w:pPr/>
          </w:p>
        </w:tc>
        <w:tc>
          <w:tcPr>
            <w:tcW w:w="265" w:type="dxa"/>
            <w:vMerge/>
            <w:tcBorders>
              <w:left w:val="single" w:sz="4" w:space="0" w:color="000000"/>
              <w:right w:val="single" w:sz="4" w:space="0" w:color="000000"/>
            </w:tcBorders>
            <w:shd w:val="clear" w:color="auto" w:fill="D2D2D2"/>
          </w:tcPr>
          <w:p>
            <w:pPr/>
          </w:p>
        </w:tc>
        <w:tc>
          <w:tcPr>
            <w:tcW w:w="2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7" w:right="36"/>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318" w:hRule="exact"/>
        </w:trPr>
        <w:tc>
          <w:tcPr>
            <w:tcW w:w="788"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287" w:type="dxa"/>
            <w:vMerge/>
            <w:tcBorders>
              <w:left w:val="single" w:sz="4" w:space="0" w:color="000000"/>
              <w:right w:val="single" w:sz="4" w:space="0" w:color="000000"/>
            </w:tcBorders>
            <w:shd w:val="clear" w:color="auto" w:fill="D2D2D2"/>
          </w:tcPr>
          <w:p>
            <w:pPr/>
          </w:p>
        </w:tc>
        <w:tc>
          <w:tcPr>
            <w:tcW w:w="265" w:type="dxa"/>
            <w:vMerge/>
            <w:tcBorders>
              <w:left w:val="single" w:sz="4" w:space="0" w:color="000000"/>
              <w:right w:val="single" w:sz="4" w:space="0" w:color="000000"/>
            </w:tcBorders>
            <w:shd w:val="clear" w:color="auto" w:fill="D2D2D2"/>
          </w:tcPr>
          <w:p>
            <w:pPr/>
          </w:p>
        </w:tc>
        <w:tc>
          <w:tcPr>
            <w:tcW w:w="26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418" w:type="dxa"/>
            <w:vMerge/>
            <w:tcBorders>
              <w:left w:val="single" w:sz="4" w:space="0" w:color="000000"/>
              <w:bottom w:val="nil" w:sz="6" w:space="0" w:color="auto"/>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89"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78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287" w:type="dxa"/>
            <w:vMerge/>
            <w:tcBorders>
              <w:left w:val="single" w:sz="4" w:space="0" w:color="000000"/>
              <w:right w:val="single" w:sz="4" w:space="0" w:color="000000"/>
            </w:tcBorders>
            <w:shd w:val="clear" w:color="auto" w:fill="D2D2D2"/>
          </w:tcPr>
          <w:p>
            <w:pPr/>
          </w:p>
        </w:tc>
        <w:tc>
          <w:tcPr>
            <w:tcW w:w="265" w:type="dxa"/>
            <w:vMerge/>
            <w:tcBorders>
              <w:left w:val="single" w:sz="4" w:space="0" w:color="000000"/>
              <w:right w:val="single" w:sz="4" w:space="0" w:color="000000"/>
            </w:tcBorders>
            <w:shd w:val="clear" w:color="auto" w:fill="D2D2D2"/>
          </w:tcPr>
          <w:p>
            <w:pPr/>
          </w:p>
        </w:tc>
        <w:tc>
          <w:tcPr>
            <w:tcW w:w="26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18" w:type="dxa"/>
            <w:vMerge w:val="restart"/>
            <w:tcBorders>
              <w:top w:val="nil" w:sz="6" w:space="0" w:color="auto"/>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89"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27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294" w:hRule="exact"/>
        </w:trPr>
        <w:tc>
          <w:tcPr>
            <w:tcW w:w="788"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287" w:type="dxa"/>
            <w:vMerge/>
            <w:tcBorders>
              <w:left w:val="single" w:sz="4" w:space="0" w:color="000000"/>
              <w:bottom w:val="single" w:sz="4" w:space="0" w:color="000000"/>
              <w:right w:val="single" w:sz="4" w:space="0" w:color="000000"/>
            </w:tcBorders>
            <w:shd w:val="clear" w:color="auto" w:fill="D2D2D2"/>
          </w:tcPr>
          <w:p>
            <w:pPr/>
          </w:p>
        </w:tc>
        <w:tc>
          <w:tcPr>
            <w:tcW w:w="265" w:type="dxa"/>
            <w:vMerge/>
            <w:tcBorders>
              <w:left w:val="single" w:sz="4" w:space="0" w:color="000000"/>
              <w:bottom w:val="single" w:sz="4" w:space="0" w:color="000000"/>
              <w:right w:val="single" w:sz="4" w:space="0" w:color="000000"/>
            </w:tcBorders>
            <w:shd w:val="clear" w:color="auto" w:fill="D2D2D2"/>
          </w:tcPr>
          <w:p>
            <w:pPr/>
          </w:p>
        </w:tc>
        <w:tc>
          <w:tcPr>
            <w:tcW w:w="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264" w:type="dxa"/>
            <w:vMerge/>
            <w:tcBorders>
              <w:left w:val="single" w:sz="4" w:space="0" w:color="000000"/>
              <w:bottom w:val="single" w:sz="4" w:space="0" w:color="000000"/>
              <w:right w:val="single" w:sz="4" w:space="0" w:color="000000"/>
            </w:tcBorders>
            <w:shd w:val="clear" w:color="auto" w:fill="D2D2D2"/>
          </w:tcPr>
          <w:p>
            <w:pPr/>
          </w:p>
        </w:tc>
        <w:tc>
          <w:tcPr>
            <w:tcW w:w="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27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0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50,000,000.00</w:t>
            </w:r>
          </w:p>
        </w:tc>
        <w:tc>
          <w:tcPr>
            <w:tcW w:w="287" w:type="dxa"/>
            <w:tcBorders>
              <w:top w:val="single" w:sz="44" w:space="0" w:color="D2D2D2"/>
              <w:left w:val="single" w:sz="4" w:space="0" w:color="000000"/>
              <w:bottom w:val="single" w:sz="4" w:space="0" w:color="000000"/>
              <w:right w:val="single" w:sz="4" w:space="0" w:color="000000"/>
            </w:tcBorders>
          </w:tcPr>
          <w:p>
            <w:pPr/>
          </w:p>
        </w:tc>
        <w:tc>
          <w:tcPr>
            <w:tcW w:w="265" w:type="dxa"/>
            <w:tcBorders>
              <w:top w:val="single" w:sz="44" w:space="0" w:color="D2D2D2"/>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135,484,699.44</w:t>
            </w: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15,683,121.11</w:t>
            </w: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141,968,789.54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11,763,758.70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354,900,368.79</w:t>
            </w:r>
          </w:p>
        </w:tc>
      </w:tr>
      <w:tr>
        <w:trPr>
          <w:trHeight w:val="1026"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091"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3"/>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091"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同一控制</w:t>
            </w:r>
          </w:p>
        </w:tc>
        <w:tc>
          <w:tcPr>
            <w:tcW w:w="1091"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76"/>
        <w:gridCol w:w="1103"/>
        <w:gridCol w:w="287"/>
        <w:gridCol w:w="265"/>
        <w:gridCol w:w="265"/>
        <w:gridCol w:w="1181"/>
        <w:gridCol w:w="418"/>
        <w:gridCol w:w="264"/>
        <w:gridCol w:w="289"/>
        <w:gridCol w:w="1091"/>
        <w:gridCol w:w="276"/>
        <w:gridCol w:w="1181"/>
        <w:gridCol w:w="1091"/>
        <w:gridCol w:w="1181"/>
      </w:tblGrid>
      <w:tr>
        <w:trPr>
          <w:trHeight w:val="67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下企业合 并</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135,484,699.44</w:t>
            </w: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15,683,121.11</w:t>
            </w: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141,968,789.54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11,763,758.70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354,900,368.79</w:t>
            </w:r>
          </w:p>
        </w:tc>
      </w:tr>
      <w:tr>
        <w:trPr>
          <w:trHeight w:val="1650"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三、本期 增减变动 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16,666,667.00</w:t>
            </w: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142,633,920.21</w:t>
            </w: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4,390,265.90</w:t>
            </w: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37,578,590.84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1,993,430.85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203,262,874.80</w:t>
            </w:r>
          </w:p>
        </w:tc>
      </w:tr>
      <w:tr>
        <w:trPr>
          <w:trHeight w:val="1026"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41,968,856.74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-705,069.15</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41,263,787.59</w:t>
            </w:r>
          </w:p>
        </w:tc>
      </w:tr>
      <w:tr>
        <w:trPr>
          <w:trHeight w:val="1338"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16,666,667.00</w:t>
            </w: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142,633,920.21</w:t>
            </w: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4,410,000.00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163,710,587.21</w:t>
            </w:r>
          </w:p>
        </w:tc>
      </w:tr>
      <w:tr>
        <w:trPr>
          <w:trHeight w:val="1026"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．股东投</w:t>
            </w:r>
            <w:r>
              <w:rPr>
                <w:rFonts w:ascii="宋体" w:hAnsi="宋体" w:cs="宋体" w:eastAsia="宋体" w:hint="default"/>
                <w:sz w:val="18"/>
                <w:szCs w:val="18"/>
              </w:rPr>
              <w:t> 入的普通 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16,666,667.00</w:t>
            </w: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141,553,333.00</w:t>
            </w: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162,630,000.00</w:t>
            </w:r>
          </w:p>
        </w:tc>
      </w:tr>
      <w:tr>
        <w:trPr>
          <w:trHeight w:val="1338"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．其他权</w:t>
            </w:r>
            <w:r>
              <w:rPr>
                <w:rFonts w:ascii="宋体" w:hAnsi="宋体" w:cs="宋体" w:eastAsia="宋体" w:hint="default"/>
                <w:sz w:val="18"/>
                <w:szCs w:val="18"/>
              </w:rPr>
              <w:t> 益工具持 有者投入 资本</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．股份支</w:t>
            </w:r>
            <w:r>
              <w:rPr>
                <w:rFonts w:ascii="宋体" w:hAnsi="宋体" w:cs="宋体" w:eastAsia="宋体" w:hint="default"/>
                <w:sz w:val="18"/>
                <w:szCs w:val="18"/>
              </w:rPr>
              <w:t> 付计入所 有者权益 的金额</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1,080,587.21</w:t>
            </w: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1,080,587.21</w:t>
            </w: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4,390,265.90</w:t>
            </w: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-4,390,265.90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-1,711,500.00</w:t>
            </w: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．提取盈</w:t>
            </w:r>
            <w:r>
              <w:rPr>
                <w:rFonts w:ascii="宋体" w:hAnsi="宋体" w:cs="宋体" w:eastAsia="宋体" w:hint="default"/>
                <w:sz w:val="18"/>
                <w:szCs w:val="18"/>
              </w:rPr>
              <w:t> 余公积</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4,390,265.90</w:t>
            </w: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-4,390,265.90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．提取一</w:t>
            </w:r>
            <w:r>
              <w:rPr>
                <w:rFonts w:ascii="宋体" w:hAnsi="宋体" w:cs="宋体" w:eastAsia="宋体" w:hint="default"/>
                <w:sz w:val="18"/>
                <w:szCs w:val="18"/>
              </w:rPr>
              <w:t> 般风险准 备</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w:t>
            </w:r>
            <w:r>
              <w:rPr>
                <w:rFonts w:ascii="宋体" w:hAnsi="宋体" w:cs="宋体" w:eastAsia="宋体" w:hint="default"/>
                <w:sz w:val="18"/>
                <w:szCs w:val="18"/>
              </w:rPr>
              <w:t> 者（或股 东）的分</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-1,711,500.00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76"/>
        <w:gridCol w:w="1103"/>
        <w:gridCol w:w="287"/>
        <w:gridCol w:w="265"/>
        <w:gridCol w:w="265"/>
        <w:gridCol w:w="1181"/>
        <w:gridCol w:w="418"/>
        <w:gridCol w:w="264"/>
        <w:gridCol w:w="289"/>
        <w:gridCol w:w="1091"/>
        <w:gridCol w:w="276"/>
        <w:gridCol w:w="1181"/>
        <w:gridCol w:w="1091"/>
        <w:gridCol w:w="1181"/>
      </w:tblGrid>
      <w:tr>
        <w:trPr>
          <w:trHeight w:val="362"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．资本公</w:t>
            </w:r>
            <w:r>
              <w:rPr>
                <w:rFonts w:ascii="宋体" w:hAnsi="宋体" w:cs="宋体" w:eastAsia="宋体" w:hint="default"/>
                <w:sz w:val="18"/>
                <w:szCs w:val="18"/>
              </w:rPr>
              <w:t> 积转增资 本（或股 本）</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．盈余公</w:t>
            </w:r>
            <w:r>
              <w:rPr>
                <w:rFonts w:ascii="宋体" w:hAnsi="宋体" w:cs="宋体" w:eastAsia="宋体" w:hint="default"/>
                <w:sz w:val="18"/>
                <w:szCs w:val="18"/>
              </w:rPr>
              <w:t> 积转增资 本（或股 本）</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
              <w:jc w:val="both"/>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．盈余公</w:t>
            </w:r>
            <w:r>
              <w:rPr>
                <w:rFonts w:ascii="宋体" w:hAnsi="宋体" w:cs="宋体" w:eastAsia="宋体" w:hint="default"/>
                <w:sz w:val="18"/>
                <w:szCs w:val="18"/>
              </w:rPr>
              <w:t> 积弥补亏 损</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．本期提</w:t>
            </w:r>
            <w:r>
              <w:rPr>
                <w:rFonts w:ascii="宋体" w:hAnsi="宋体" w:cs="宋体" w:eastAsia="宋体" w:hint="default"/>
                <w:sz w:val="18"/>
                <w:szCs w:val="18"/>
              </w:rPr>
              <w:t> 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．本期使</w:t>
            </w:r>
            <w:r>
              <w:rPr>
                <w:rFonts w:ascii="宋体" w:hAnsi="宋体" w:cs="宋体" w:eastAsia="宋体" w:hint="default"/>
                <w:sz w:val="18"/>
                <w:szCs w:val="18"/>
              </w:rPr>
              <w:t> 用</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（六）其 他</w:t>
            </w:r>
          </w:p>
        </w:tc>
        <w:tc>
          <w:tcPr>
            <w:tcW w:w="1103" w:type="dxa"/>
            <w:tcBorders>
              <w:top w:val="single" w:sz="4" w:space="0" w:color="000000"/>
              <w:left w:val="single" w:sz="13" w:space="0" w:color="D2D2D2"/>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66,666,667.00</w:t>
            </w:r>
          </w:p>
        </w:tc>
        <w:tc>
          <w:tcPr>
            <w:tcW w:w="287"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278,118,619.65</w:t>
            </w:r>
          </w:p>
        </w:tc>
        <w:tc>
          <w:tcPr>
            <w:tcW w:w="4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20,073,387.01</w:t>
            </w:r>
          </w:p>
        </w:tc>
        <w:tc>
          <w:tcPr>
            <w:tcW w:w="2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179,547,380.38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13,757,189.55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558,163,243.59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87"/>
        <w:gridCol w:w="1114"/>
        <w:gridCol w:w="251"/>
        <w:gridCol w:w="264"/>
        <w:gridCol w:w="263"/>
        <w:gridCol w:w="1181"/>
        <w:gridCol w:w="428"/>
        <w:gridCol w:w="272"/>
        <w:gridCol w:w="284"/>
        <w:gridCol w:w="1096"/>
        <w:gridCol w:w="261"/>
        <w:gridCol w:w="1193"/>
        <w:gridCol w:w="1091"/>
        <w:gridCol w:w="1181"/>
      </w:tblGrid>
      <w:tr>
        <w:trPr>
          <w:trHeight w:val="402" w:hRule="exact"/>
        </w:trPr>
        <w:tc>
          <w:tcPr>
            <w:tcW w:w="787" w:type="dxa"/>
            <w:vMerge w:val="restart"/>
            <w:tcBorders>
              <w:top w:val="single" w:sz="4" w:space="0" w:color="000000"/>
              <w:left w:val="single" w:sz="4" w:space="0" w:color="000000"/>
              <w:right w:val="single" w:sz="4" w:space="0" w:color="000000"/>
            </w:tcBorders>
            <w:shd w:val="clear" w:color="auto" w:fill="D2D2D2"/>
          </w:tcPr>
          <w:p>
            <w:pPr/>
          </w:p>
        </w:tc>
        <w:tc>
          <w:tcPr>
            <w:tcW w:w="888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787" w:type="dxa"/>
            <w:vMerge/>
            <w:tcBorders>
              <w:left w:val="single" w:sz="4" w:space="0" w:color="000000"/>
              <w:right w:val="single" w:sz="4" w:space="0" w:color="000000"/>
            </w:tcBorders>
            <w:shd w:val="clear" w:color="auto" w:fill="D2D2D2"/>
          </w:tcPr>
          <w:p>
            <w:pPr/>
          </w:p>
        </w:tc>
        <w:tc>
          <w:tcPr>
            <w:tcW w:w="66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r>
      <w:tr>
        <w:trPr>
          <w:trHeight w:val="350" w:hRule="exact"/>
        </w:trPr>
        <w:tc>
          <w:tcPr>
            <w:tcW w:w="787" w:type="dxa"/>
            <w:vMerge/>
            <w:tcBorders>
              <w:left w:val="single" w:sz="4" w:space="0" w:color="000000"/>
              <w:bottom w:val="nil" w:sz="6" w:space="0" w:color="auto"/>
              <w:right w:val="single" w:sz="4" w:space="0" w:color="000000"/>
            </w:tcBorders>
            <w:shd w:val="clear" w:color="auto" w:fill="D2D2D2"/>
          </w:tcPr>
          <w:p>
            <w:pPr/>
          </w:p>
        </w:tc>
        <w:tc>
          <w:tcPr>
            <w:tcW w:w="1114" w:type="dxa"/>
            <w:vMerge w:val="restart"/>
            <w:tcBorders>
              <w:top w:val="single" w:sz="4" w:space="0" w:color="000000"/>
              <w:left w:val="single" w:sz="4" w:space="0" w:color="000000"/>
              <w:right w:val="single" w:sz="4" w:space="0" w:color="000000"/>
            </w:tcBorders>
            <w:shd w:val="clear" w:color="auto" w:fill="D2D2D2"/>
          </w:tcPr>
          <w:p>
            <w:pPr/>
          </w:p>
        </w:tc>
        <w:tc>
          <w:tcPr>
            <w:tcW w:w="7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97" w:right="29"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6" w:right="44"/>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6" w:type="dxa"/>
            <w:vMerge w:val="restart"/>
            <w:tcBorders>
              <w:top w:val="single" w:sz="4" w:space="0" w:color="000000"/>
              <w:left w:val="single" w:sz="4" w:space="0" w:color="000000"/>
              <w:right w:val="single" w:sz="4" w:space="0" w:color="000000"/>
            </w:tcBorders>
            <w:shd w:val="clear" w:color="auto" w:fill="D2D2D2"/>
          </w:tcPr>
          <w:p>
            <w:pPr/>
          </w:p>
        </w:tc>
        <w:tc>
          <w:tcPr>
            <w:tcW w:w="2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5" w:right="3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351" w:hRule="exact"/>
        </w:trPr>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5"/>
              <w:ind w:left="2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14" w:type="dxa"/>
            <w:vMerge/>
            <w:tcBorders>
              <w:left w:val="single" w:sz="4" w:space="0" w:color="000000"/>
              <w:bottom w:val="nil" w:sz="6" w:space="0" w:color="auto"/>
              <w:right w:val="single" w:sz="4" w:space="0" w:color="000000"/>
            </w:tcBorders>
            <w:shd w:val="clear" w:color="auto" w:fill="D2D2D2"/>
          </w:tcPr>
          <w:p>
            <w:pPr/>
          </w:p>
        </w:tc>
        <w:tc>
          <w:tcPr>
            <w:tcW w:w="778"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93"/>
              <w:ind w:left="22" w:right="3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272" w:type="dxa"/>
            <w:vMerge/>
            <w:tcBorders>
              <w:left w:val="single" w:sz="4" w:space="0" w:color="000000"/>
              <w:right w:val="single" w:sz="4" w:space="0" w:color="000000"/>
            </w:tcBorders>
            <w:shd w:val="clear" w:color="auto" w:fill="D2D2D2"/>
          </w:tcPr>
          <w:p>
            <w:pPr/>
          </w:p>
        </w:tc>
        <w:tc>
          <w:tcPr>
            <w:tcW w:w="2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18"/>
              <w:ind w:left="46" w:right="4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6" w:type="dxa"/>
            <w:vMerge/>
            <w:tcBorders>
              <w:left w:val="single" w:sz="4" w:space="0" w:color="000000"/>
              <w:bottom w:val="nil" w:sz="6" w:space="0" w:color="auto"/>
              <w:right w:val="single" w:sz="4" w:space="0" w:color="000000"/>
            </w:tcBorders>
            <w:shd w:val="clear" w:color="auto" w:fill="D2D2D2"/>
          </w:tcPr>
          <w:p>
            <w:pPr/>
          </w:p>
        </w:tc>
        <w:tc>
          <w:tcPr>
            <w:tcW w:w="26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3" w:hRule="exact"/>
        </w:trPr>
        <w:tc>
          <w:tcPr>
            <w:tcW w:w="787" w:type="dxa"/>
            <w:vMerge w:val="restart"/>
            <w:tcBorders>
              <w:top w:val="nil" w:sz="6" w:space="0" w:color="auto"/>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4" w:right="3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37" w:right="3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8" w:type="dxa"/>
            <w:vMerge/>
            <w:tcBorders>
              <w:left w:val="single" w:sz="4" w:space="0" w:color="000000"/>
              <w:right w:val="single" w:sz="4" w:space="0" w:color="000000"/>
            </w:tcBorders>
            <w:shd w:val="clear" w:color="auto" w:fill="D2D2D2"/>
          </w:tcPr>
          <w:p>
            <w:pPr/>
          </w:p>
        </w:tc>
        <w:tc>
          <w:tcPr>
            <w:tcW w:w="27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1"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68" w:hRule="exact"/>
        </w:trPr>
        <w:tc>
          <w:tcPr>
            <w:tcW w:w="787"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251"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27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26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318" w:hRule="exact"/>
        </w:trPr>
        <w:tc>
          <w:tcPr>
            <w:tcW w:w="787" w:type="dxa"/>
            <w:vMerge/>
            <w:tcBorders>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
        </w:tc>
        <w:tc>
          <w:tcPr>
            <w:tcW w:w="251"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3"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27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
        </w:tc>
        <w:tc>
          <w:tcPr>
            <w:tcW w:w="261"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787"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251"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3"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
        </w:tc>
        <w:tc>
          <w:tcPr>
            <w:tcW w:w="272" w:type="dxa"/>
            <w:vMerge/>
            <w:tcBorders>
              <w:left w:val="single" w:sz="4" w:space="0" w:color="000000"/>
              <w:right w:val="single" w:sz="4" w:space="0" w:color="000000"/>
            </w:tcBorders>
            <w:shd w:val="clear" w:color="auto" w:fill="D2D2D2"/>
          </w:tcPr>
          <w:p>
            <w:pPr/>
          </w:p>
        </w:tc>
        <w:tc>
          <w:tcPr>
            <w:tcW w:w="284" w:type="dxa"/>
            <w:vMerge/>
            <w:tcBorders>
              <w:left w:val="single" w:sz="4" w:space="0" w:color="000000"/>
              <w:bottom w:val="nil" w:sz="6" w:space="0" w:color="auto"/>
              <w:right w:val="single" w:sz="4" w:space="0" w:color="000000"/>
            </w:tcBorders>
            <w:shd w:val="clear" w:color="auto" w:fill="D2D2D2"/>
          </w:tcPr>
          <w:p>
            <w:pPr/>
          </w:p>
        </w:tc>
        <w:tc>
          <w:tcPr>
            <w:tcW w:w="1096" w:type="dxa"/>
            <w:vMerge/>
            <w:tcBorders>
              <w:left w:val="single" w:sz="4" w:space="0" w:color="000000"/>
              <w:right w:val="single" w:sz="4" w:space="0" w:color="000000"/>
            </w:tcBorders>
            <w:shd w:val="clear" w:color="auto" w:fill="D2D2D2"/>
          </w:tcPr>
          <w:p>
            <w:pPr/>
          </w:p>
        </w:tc>
        <w:tc>
          <w:tcPr>
            <w:tcW w:w="26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295" w:hRule="exact"/>
        </w:trPr>
        <w:tc>
          <w:tcPr>
            <w:tcW w:w="787"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251" w:type="dxa"/>
            <w:vMerge/>
            <w:tcBorders>
              <w:left w:val="single" w:sz="4" w:space="0" w:color="000000"/>
              <w:bottom w:val="single" w:sz="4" w:space="0" w:color="000000"/>
              <w:right w:val="single" w:sz="4" w:space="0" w:color="000000"/>
            </w:tcBorders>
            <w:shd w:val="clear" w:color="auto" w:fill="D2D2D2"/>
          </w:tcPr>
          <w:p>
            <w:pPr/>
          </w:p>
        </w:tc>
        <w:tc>
          <w:tcPr>
            <w:tcW w:w="264" w:type="dxa"/>
            <w:vMerge/>
            <w:tcBorders>
              <w:left w:val="single" w:sz="4" w:space="0" w:color="000000"/>
              <w:bottom w:val="single" w:sz="4" w:space="0" w:color="000000"/>
              <w:right w:val="single" w:sz="4" w:space="0" w:color="000000"/>
            </w:tcBorders>
            <w:shd w:val="clear" w:color="auto" w:fill="D2D2D2"/>
          </w:tcPr>
          <w:p>
            <w:pPr/>
          </w:p>
        </w:tc>
        <w:tc>
          <w:tcPr>
            <w:tcW w:w="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272" w:type="dxa"/>
            <w:vMerge/>
            <w:tcBorders>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2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251" w:type="dxa"/>
            <w:tcBorders>
              <w:top w:val="single" w:sz="45" w:space="0" w:color="D2D2D2"/>
              <w:left w:val="single" w:sz="4" w:space="0" w:color="000000"/>
              <w:bottom w:val="single" w:sz="4" w:space="0" w:color="000000"/>
              <w:right w:val="single" w:sz="4" w:space="0" w:color="000000"/>
            </w:tcBorders>
          </w:tcPr>
          <w:p>
            <w:pPr/>
          </w:p>
        </w:tc>
        <w:tc>
          <w:tcPr>
            <w:tcW w:w="264" w:type="dxa"/>
            <w:tcBorders>
              <w:top w:val="single" w:sz="45" w:space="0" w:color="D2D2D2"/>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133,886,058.36</w:t>
            </w:r>
          </w:p>
        </w:tc>
        <w:tc>
          <w:tcPr>
            <w:tcW w:w="428"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10,869,011.30</w:t>
            </w:r>
          </w:p>
        </w:tc>
        <w:tc>
          <w:tcPr>
            <w:tcW w:w="26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101,032,041.04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12,326,054.80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308,113,165.50</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87"/>
        <w:gridCol w:w="1102"/>
        <w:gridCol w:w="263"/>
        <w:gridCol w:w="264"/>
        <w:gridCol w:w="263"/>
        <w:gridCol w:w="1181"/>
        <w:gridCol w:w="416"/>
        <w:gridCol w:w="284"/>
        <w:gridCol w:w="284"/>
        <w:gridCol w:w="1085"/>
        <w:gridCol w:w="284"/>
        <w:gridCol w:w="1181"/>
        <w:gridCol w:w="1091"/>
        <w:gridCol w:w="1181"/>
      </w:tblGrid>
      <w:tr>
        <w:trPr>
          <w:trHeight w:val="1026"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2"/>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2"/>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133,886,058.36</w:t>
            </w: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10,869,011.30</w:t>
            </w: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101,032,041.04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12,326,054.80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308,113,165.50</w:t>
            </w:r>
          </w:p>
        </w:tc>
      </w:tr>
      <w:tr>
        <w:trPr>
          <w:trHeight w:val="1650"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三、本期 增减变动 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1,598,641.08</w:t>
            </w: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4,814,109.81</w:t>
            </w: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40,936,748.50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-562,296.10</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46,787,203.29</w:t>
            </w:r>
          </w:p>
        </w:tc>
      </w:tr>
      <w:tr>
        <w:trPr>
          <w:trHeight w:val="1026"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45,750,858.31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1,740,703.90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47,491,562.21</w:t>
            </w: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1,598,641.08</w:t>
            </w: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1,598,641.08</w:t>
            </w:r>
          </w:p>
        </w:tc>
      </w:tr>
      <w:tr>
        <w:trPr>
          <w:trHeight w:val="1026"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．股东投</w:t>
            </w:r>
            <w:r>
              <w:rPr>
                <w:rFonts w:ascii="宋体" w:hAnsi="宋体" w:cs="宋体" w:eastAsia="宋体" w:hint="default"/>
                <w:sz w:val="18"/>
                <w:szCs w:val="18"/>
              </w:rPr>
              <w:t> 入的普通 股</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．其他权</w:t>
            </w:r>
            <w:r>
              <w:rPr>
                <w:rFonts w:ascii="宋体" w:hAnsi="宋体" w:cs="宋体" w:eastAsia="宋体" w:hint="default"/>
                <w:sz w:val="18"/>
                <w:szCs w:val="18"/>
              </w:rPr>
              <w:t> 益工具持 有者投入 资本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．股份支</w:t>
            </w:r>
            <w:r>
              <w:rPr>
                <w:rFonts w:ascii="宋体" w:hAnsi="宋体" w:cs="宋体" w:eastAsia="宋体" w:hint="default"/>
                <w:sz w:val="18"/>
                <w:szCs w:val="18"/>
              </w:rPr>
              <w:t> 付计入所 有者权益 的金额</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1,598,641.08</w:t>
            </w: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1,598,641.08</w:t>
            </w:r>
          </w:p>
        </w:tc>
      </w:tr>
      <w:tr>
        <w:trPr>
          <w:trHeight w:val="402"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4,814,109.81</w:t>
            </w: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-4,814,109.81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-2,303,000.00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-2,303,000.00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87"/>
        <w:gridCol w:w="1102"/>
        <w:gridCol w:w="263"/>
        <w:gridCol w:w="264"/>
        <w:gridCol w:w="263"/>
        <w:gridCol w:w="1181"/>
        <w:gridCol w:w="416"/>
        <w:gridCol w:w="284"/>
        <w:gridCol w:w="284"/>
        <w:gridCol w:w="1085"/>
        <w:gridCol w:w="284"/>
        <w:gridCol w:w="1181"/>
        <w:gridCol w:w="1091"/>
        <w:gridCol w:w="1181"/>
      </w:tblGrid>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．提取盈</w:t>
            </w:r>
            <w:r>
              <w:rPr>
                <w:rFonts w:ascii="宋体" w:hAnsi="宋体" w:cs="宋体" w:eastAsia="宋体" w:hint="default"/>
                <w:sz w:val="18"/>
                <w:szCs w:val="18"/>
              </w:rPr>
              <w:t> 余公积</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4,814,109.81</w:t>
            </w: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-4,814,109.81</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．提取一</w:t>
            </w:r>
            <w:r>
              <w:rPr>
                <w:rFonts w:ascii="宋体" w:hAnsi="宋体" w:cs="宋体" w:eastAsia="宋体" w:hint="default"/>
                <w:sz w:val="18"/>
                <w:szCs w:val="18"/>
              </w:rPr>
              <w:t> 般风险准 备</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．对所有</w:t>
            </w:r>
            <w:r>
              <w:rPr>
                <w:rFonts w:ascii="宋体" w:hAnsi="宋体" w:cs="宋体" w:eastAsia="宋体" w:hint="default"/>
                <w:sz w:val="18"/>
                <w:szCs w:val="18"/>
              </w:rPr>
              <w:t> 者（或股 东）的分 配</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1" w:right="0"/>
              <w:jc w:val="center"/>
              <w:rPr>
                <w:rFonts w:ascii="Times New Roman" w:hAnsi="Times New Roman" w:cs="Times New Roman" w:eastAsia="Times New Roman" w:hint="default"/>
                <w:sz w:val="18"/>
                <w:szCs w:val="18"/>
              </w:rPr>
            </w:pPr>
            <w:r>
              <w:rPr>
                <w:rFonts w:ascii="Times New Roman"/>
                <w:sz w:val="18"/>
              </w:rPr>
              <w:t>-2,303,000.00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-2,303,000.00</w:t>
            </w:r>
          </w:p>
        </w:tc>
      </w:tr>
      <w:tr>
        <w:trPr>
          <w:trHeight w:val="402"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．资本公</w:t>
            </w:r>
            <w:r>
              <w:rPr>
                <w:rFonts w:ascii="宋体" w:hAnsi="宋体" w:cs="宋体" w:eastAsia="宋体" w:hint="default"/>
                <w:sz w:val="18"/>
                <w:szCs w:val="18"/>
              </w:rPr>
              <w:t> 积转增资 本（或股 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．盈余公</w:t>
            </w:r>
            <w:r>
              <w:rPr>
                <w:rFonts w:ascii="宋体" w:hAnsi="宋体" w:cs="宋体" w:eastAsia="宋体" w:hint="default"/>
                <w:sz w:val="18"/>
                <w:szCs w:val="18"/>
              </w:rPr>
              <w:t> 积转增资 本（或股 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．盈余公</w:t>
            </w:r>
            <w:r>
              <w:rPr>
                <w:rFonts w:ascii="宋体" w:hAnsi="宋体" w:cs="宋体" w:eastAsia="宋体" w:hint="default"/>
                <w:sz w:val="18"/>
                <w:szCs w:val="18"/>
              </w:rPr>
              <w:t> 积弥补亏 损</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．本期提</w:t>
            </w:r>
            <w:r>
              <w:rPr>
                <w:rFonts w:ascii="宋体" w:hAnsi="宋体" w:cs="宋体" w:eastAsia="宋体" w:hint="default"/>
                <w:sz w:val="18"/>
                <w:szCs w:val="18"/>
              </w:rPr>
              <w:t> 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．本期使</w:t>
            </w:r>
            <w:r>
              <w:rPr>
                <w:rFonts w:ascii="宋体" w:hAnsi="宋体" w:cs="宋体" w:eastAsia="宋体" w:hint="default"/>
                <w:sz w:val="18"/>
                <w:szCs w:val="18"/>
              </w:rPr>
              <w:t> 用</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（六）其 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263"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135,484,699.44</w:t>
            </w:r>
          </w:p>
        </w:tc>
        <w:tc>
          <w:tcPr>
            <w:tcW w:w="41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15,683,121.11</w:t>
            </w:r>
          </w:p>
        </w:tc>
        <w:tc>
          <w:tcPr>
            <w:tcW w:w="28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141,968,789.54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11,763,758.70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354,900,368.79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8、母公司所有者权益变动表" w:id="216"/>
      <w:bookmarkEnd w:id="21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49"/>
        <w:gridCol w:w="1103"/>
        <w:gridCol w:w="374"/>
        <w:gridCol w:w="373"/>
        <w:gridCol w:w="435"/>
        <w:gridCol w:w="1181"/>
        <w:gridCol w:w="420"/>
        <w:gridCol w:w="552"/>
        <w:gridCol w:w="316"/>
        <w:gridCol w:w="1091"/>
        <w:gridCol w:w="1181"/>
        <w:gridCol w:w="1181"/>
      </w:tblGrid>
      <w:tr>
        <w:trPr>
          <w:trHeight w:val="397"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20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9" w:type="dxa"/>
            <w:vMerge/>
            <w:tcBorders>
              <w:left w:val="single" w:sz="4" w:space="0" w:color="000000"/>
              <w:right w:val="single" w:sz="4" w:space="0" w:color="000000"/>
            </w:tcBorders>
            <w:shd w:val="clear" w:color="auto" w:fill="D2D2D2"/>
          </w:tcPr>
          <w:p>
            <w:pPr/>
          </w:p>
        </w:tc>
        <w:tc>
          <w:tcPr>
            <w:tcW w:w="1103" w:type="dxa"/>
            <w:vMerge w:val="restart"/>
            <w:tcBorders>
              <w:top w:val="single" w:sz="4" w:space="0" w:color="000000"/>
              <w:left w:val="single" w:sz="4" w:space="0" w:color="000000"/>
              <w:right w:val="single" w:sz="4" w:space="0" w:color="000000"/>
            </w:tcBorders>
            <w:shd w:val="clear" w:color="auto" w:fill="D2D2D2"/>
          </w:tcPr>
          <w:p>
            <w:pPr/>
          </w:p>
        </w:tc>
        <w:tc>
          <w:tcPr>
            <w:tcW w:w="1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4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62" w:right="6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r>
      <w:tr>
        <w:trPr>
          <w:trHeight w:val="133"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118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2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9" w:right="90"/>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150"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vMerge/>
            <w:tcBorders>
              <w:left w:val="single" w:sz="4" w:space="0" w:color="000000"/>
              <w:bottom w:val="nil" w:sz="6" w:space="0" w:color="auto"/>
              <w:right w:val="single" w:sz="4" w:space="0" w:color="000000"/>
            </w:tcBorders>
            <w:shd w:val="clear" w:color="auto" w:fill="D2D2D2"/>
          </w:tcPr>
          <w:p>
            <w:pPr/>
          </w:p>
        </w:tc>
        <w:tc>
          <w:tcPr>
            <w:tcW w:w="37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5"/>
              <w:ind w:left="91" w:right="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7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5"/>
              <w:ind w:left="91" w:right="9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35"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5"/>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6"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74" w:type="dxa"/>
            <w:vMerge/>
            <w:tcBorders>
              <w:left w:val="single" w:sz="4" w:space="0" w:color="000000"/>
              <w:right w:val="single" w:sz="4" w:space="0" w:color="000000"/>
            </w:tcBorders>
            <w:shd w:val="clear" w:color="auto" w:fill="D2D2D2"/>
          </w:tcPr>
          <w:p>
            <w:pPr/>
          </w:p>
        </w:tc>
        <w:tc>
          <w:tcPr>
            <w:tcW w:w="373" w:type="dxa"/>
            <w:vMerge/>
            <w:tcBorders>
              <w:left w:val="single" w:sz="4" w:space="0" w:color="000000"/>
              <w:right w:val="single" w:sz="4" w:space="0" w:color="000000"/>
            </w:tcBorders>
            <w:shd w:val="clear" w:color="auto" w:fill="D2D2D2"/>
          </w:tcPr>
          <w:p>
            <w:pPr/>
          </w:p>
        </w:tc>
        <w:tc>
          <w:tcPr>
            <w:tcW w:w="4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0"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31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2D2D2"/>
          </w:tcPr>
          <w:p>
            <w:pPr/>
          </w:p>
        </w:tc>
      </w:tr>
      <w:tr>
        <w:trPr>
          <w:trHeight w:val="196"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1103" w:type="dxa"/>
            <w:vMerge/>
            <w:tcBorders>
              <w:left w:val="single" w:sz="4" w:space="0" w:color="000000"/>
              <w:bottom w:val="nil" w:sz="6" w:space="0" w:color="auto"/>
              <w:right w:val="single" w:sz="4" w:space="0" w:color="000000"/>
            </w:tcBorders>
            <w:shd w:val="clear" w:color="auto" w:fill="D2D2D2"/>
          </w:tcPr>
          <w:p>
            <w:pPr/>
          </w:p>
        </w:tc>
        <w:tc>
          <w:tcPr>
            <w:tcW w:w="374" w:type="dxa"/>
            <w:vMerge/>
            <w:tcBorders>
              <w:left w:val="single" w:sz="4" w:space="0" w:color="000000"/>
              <w:right w:val="single" w:sz="4" w:space="0" w:color="000000"/>
            </w:tcBorders>
            <w:shd w:val="clear" w:color="auto" w:fill="D2D2D2"/>
          </w:tcPr>
          <w:p>
            <w:pPr/>
          </w:p>
        </w:tc>
        <w:tc>
          <w:tcPr>
            <w:tcW w:w="373" w:type="dxa"/>
            <w:vMerge/>
            <w:tcBorders>
              <w:left w:val="single" w:sz="4" w:space="0" w:color="000000"/>
              <w:right w:val="single" w:sz="4" w:space="0" w:color="000000"/>
            </w:tcBorders>
            <w:shd w:val="clear" w:color="auto" w:fill="D2D2D2"/>
          </w:tcPr>
          <w:p>
            <w:pPr/>
          </w:p>
        </w:tc>
        <w:tc>
          <w:tcPr>
            <w:tcW w:w="4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79" w:hRule="exact"/>
        </w:trPr>
        <w:tc>
          <w:tcPr>
            <w:tcW w:w="1449" w:type="dxa"/>
            <w:vMerge/>
            <w:tcBorders>
              <w:left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
        </w:tc>
        <w:tc>
          <w:tcPr>
            <w:tcW w:w="374" w:type="dxa"/>
            <w:vMerge/>
            <w:tcBorders>
              <w:left w:val="single" w:sz="4" w:space="0" w:color="000000"/>
              <w:right w:val="single" w:sz="4" w:space="0" w:color="000000"/>
            </w:tcBorders>
            <w:shd w:val="clear" w:color="auto" w:fill="D2D2D2"/>
          </w:tcPr>
          <w:p>
            <w:pPr/>
          </w:p>
        </w:tc>
        <w:tc>
          <w:tcPr>
            <w:tcW w:w="373" w:type="dxa"/>
            <w:vMerge/>
            <w:tcBorders>
              <w:left w:val="single" w:sz="4" w:space="0" w:color="000000"/>
              <w:right w:val="single" w:sz="4" w:space="0" w:color="000000"/>
            </w:tcBorders>
            <w:shd w:val="clear" w:color="auto" w:fill="D2D2D2"/>
          </w:tcPr>
          <w:p>
            <w:pPr/>
          </w:p>
        </w:tc>
        <w:tc>
          <w:tcPr>
            <w:tcW w:w="435"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31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449" w:type="dxa"/>
            <w:vMerge/>
            <w:tcBorders>
              <w:left w:val="single" w:sz="4" w:space="0" w:color="000000"/>
              <w:right w:val="single" w:sz="4" w:space="0" w:color="000000"/>
            </w:tcBorders>
            <w:shd w:val="clear" w:color="auto" w:fill="D2D2D2"/>
          </w:tcPr>
          <w:p>
            <w:pPr/>
          </w:p>
        </w:tc>
        <w:tc>
          <w:tcPr>
            <w:tcW w:w="1103" w:type="dxa"/>
            <w:vMerge/>
            <w:tcBorders>
              <w:left w:val="single" w:sz="4" w:space="0" w:color="000000"/>
              <w:right w:val="single" w:sz="4" w:space="0" w:color="000000"/>
            </w:tcBorders>
            <w:shd w:val="clear" w:color="auto" w:fill="D2D2D2"/>
          </w:tcPr>
          <w:p>
            <w:pPr/>
          </w:p>
        </w:tc>
        <w:tc>
          <w:tcPr>
            <w:tcW w:w="374" w:type="dxa"/>
            <w:vMerge/>
            <w:tcBorders>
              <w:left w:val="single" w:sz="4" w:space="0" w:color="000000"/>
              <w:right w:val="single" w:sz="4" w:space="0" w:color="000000"/>
            </w:tcBorders>
            <w:shd w:val="clear" w:color="auto" w:fill="D2D2D2"/>
          </w:tcPr>
          <w:p>
            <w:pPr/>
          </w:p>
        </w:tc>
        <w:tc>
          <w:tcPr>
            <w:tcW w:w="373" w:type="dxa"/>
            <w:vMerge/>
            <w:tcBorders>
              <w:left w:val="single" w:sz="4" w:space="0" w:color="000000"/>
              <w:right w:val="single" w:sz="4" w:space="0" w:color="000000"/>
            </w:tcBorders>
            <w:shd w:val="clear" w:color="auto" w:fill="D2D2D2"/>
          </w:tcPr>
          <w:p>
            <w:pPr/>
          </w:p>
        </w:tc>
        <w:tc>
          <w:tcPr>
            <w:tcW w:w="435"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20"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31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374" w:type="dxa"/>
            <w:vMerge/>
            <w:tcBorders>
              <w:left w:val="single" w:sz="4" w:space="0" w:color="000000"/>
              <w:bottom w:val="single" w:sz="4" w:space="0" w:color="000000"/>
              <w:right w:val="single" w:sz="4" w:space="0" w:color="000000"/>
            </w:tcBorders>
            <w:shd w:val="clear" w:color="auto" w:fill="D2D2D2"/>
          </w:tcPr>
          <w:p>
            <w:pPr/>
          </w:p>
        </w:tc>
        <w:tc>
          <w:tcPr>
            <w:tcW w:w="373" w:type="dxa"/>
            <w:vMerge/>
            <w:tcBorders>
              <w:left w:val="single" w:sz="4" w:space="0" w:color="000000"/>
              <w:bottom w:val="single" w:sz="4" w:space="0" w:color="000000"/>
              <w:right w:val="single" w:sz="4" w:space="0" w:color="000000"/>
            </w:tcBorders>
            <w:shd w:val="clear" w:color="auto" w:fill="D2D2D2"/>
          </w:tcPr>
          <w:p>
            <w:pPr/>
          </w:p>
        </w:tc>
        <w:tc>
          <w:tcPr>
            <w:tcW w:w="43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一、上年期末余额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138,274,381.02</w:t>
            </w: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22"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15,683,121.11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141,148,089.99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345,105,592.12</w:t>
            </w: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4"/>
                <w:sz w:val="18"/>
                <w:szCs w:val="18"/>
              </w:rPr>
              <w:t>加：会计政策</w:t>
            </w:r>
            <w:r>
              <w:rPr>
                <w:rFonts w:ascii="宋体" w:hAnsi="宋体" w:cs="宋体" w:eastAsia="宋体" w:hint="default"/>
                <w:sz w:val="18"/>
                <w:szCs w:val="18"/>
              </w:rPr>
              <w:t> 变更</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二、本年期初余额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138,274,381.02</w:t>
            </w: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15,683,121.11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141,148,089.99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345,105,592.12</w:t>
            </w:r>
          </w:p>
        </w:tc>
      </w:tr>
      <w:tr>
        <w:trPr>
          <w:trHeight w:val="1026"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3"/>
                <w:sz w:val="18"/>
                <w:szCs w:val="18"/>
              </w:rPr>
              <w:t>三、本期增减变动</w:t>
            </w:r>
            <w:r>
              <w:rPr>
                <w:rFonts w:ascii="宋体" w:hAnsi="宋体" w:cs="宋体" w:eastAsia="宋体" w:hint="default"/>
                <w:sz w:val="18"/>
                <w:szCs w:val="18"/>
              </w:rPr>
              <w:t>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16,666,667.00</w:t>
            </w: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142,633,920.21</w:t>
            </w: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4,390,265.90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39,512,393.07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203,203,246.18</w:t>
            </w: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（一）综合收益总</w:t>
            </w:r>
            <w:r>
              <w:rPr>
                <w:rFonts w:ascii="宋体" w:hAnsi="宋体" w:cs="宋体" w:eastAsia="宋体" w:hint="default"/>
                <w:sz w:val="18"/>
                <w:szCs w:val="18"/>
              </w:rPr>
              <w:t> 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43,902,658.97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43,902,658.97</w:t>
            </w: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（二）所有者投入</w:t>
            </w:r>
            <w:r>
              <w:rPr>
                <w:rFonts w:ascii="宋体" w:hAnsi="宋体" w:cs="宋体" w:eastAsia="宋体" w:hint="default"/>
                <w:sz w:val="18"/>
                <w:szCs w:val="18"/>
              </w:rPr>
              <w:t> 和减少资本</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16,666,667.00</w:t>
            </w: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142,633,920.21</w:t>
            </w: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159,300,587.21</w:t>
            </w: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16,666,667.00</w:t>
            </w: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141,553,333.00</w:t>
            </w: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158,220,000.00</w:t>
            </w: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1,080,587.21</w:t>
            </w: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1,080,587.21</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4,390,265.90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-4,390,265.90</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4,390,265.90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-4,390,265.90</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（四）所有者权益</w:t>
            </w:r>
            <w:r>
              <w:rPr>
                <w:rFonts w:ascii="宋体" w:hAnsi="宋体" w:cs="宋体" w:eastAsia="宋体" w:hint="default"/>
                <w:sz w:val="18"/>
                <w:szCs w:val="18"/>
              </w:rPr>
              <w:t> 内部结转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1"/>
        <w:gridCol w:w="1103"/>
        <w:gridCol w:w="374"/>
        <w:gridCol w:w="373"/>
        <w:gridCol w:w="435"/>
        <w:gridCol w:w="1181"/>
        <w:gridCol w:w="420"/>
        <w:gridCol w:w="552"/>
        <w:gridCol w:w="316"/>
        <w:gridCol w:w="1091"/>
        <w:gridCol w:w="1181"/>
        <w:gridCol w:w="1181"/>
      </w:tblGrid>
      <w:tr>
        <w:trPr>
          <w:trHeight w:val="714" w:hRule="exact"/>
        </w:trPr>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03" w:type="dxa"/>
            <w:tcBorders>
              <w:top w:val="single" w:sz="4" w:space="0" w:color="000000"/>
              <w:left w:val="single" w:sz="10" w:space="0" w:color="D2D2D2"/>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四、本期期末余额</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66,666,667.00</w:t>
            </w:r>
          </w:p>
        </w:tc>
        <w:tc>
          <w:tcPr>
            <w:tcW w:w="37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280,908,301.23</w:t>
            </w:r>
          </w:p>
        </w:tc>
        <w:tc>
          <w:tcPr>
            <w:tcW w:w="4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20,073,387.01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180,660,483.06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548,308,838.30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92"/>
        <w:gridCol w:w="1102"/>
        <w:gridCol w:w="396"/>
        <w:gridCol w:w="396"/>
        <w:gridCol w:w="396"/>
        <w:gridCol w:w="1181"/>
        <w:gridCol w:w="421"/>
        <w:gridCol w:w="329"/>
        <w:gridCol w:w="396"/>
        <w:gridCol w:w="1085"/>
        <w:gridCol w:w="1181"/>
        <w:gridCol w:w="1181"/>
      </w:tblGrid>
      <w:tr>
        <w:trPr>
          <w:trHeight w:val="402" w:hRule="exact"/>
        </w:trPr>
        <w:tc>
          <w:tcPr>
            <w:tcW w:w="1592" w:type="dxa"/>
            <w:vMerge w:val="restart"/>
            <w:tcBorders>
              <w:top w:val="single" w:sz="4" w:space="0" w:color="000000"/>
              <w:left w:val="single" w:sz="4" w:space="0" w:color="000000"/>
              <w:right w:val="single" w:sz="4" w:space="0" w:color="000000"/>
            </w:tcBorders>
            <w:shd w:val="clear" w:color="auto" w:fill="D2D2D2"/>
          </w:tcPr>
          <w:p>
            <w:pPr/>
          </w:p>
        </w:tc>
        <w:tc>
          <w:tcPr>
            <w:tcW w:w="80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102" w:type="dxa"/>
            <w:vMerge w:val="restart"/>
            <w:tcBorders>
              <w:top w:val="single" w:sz="4" w:space="0" w:color="000000"/>
              <w:left w:val="single" w:sz="4" w:space="0" w:color="000000"/>
              <w:right w:val="single" w:sz="4" w:space="0" w:color="000000"/>
            </w:tcBorders>
            <w:shd w:val="clear" w:color="auto" w:fill="D2D2D2"/>
          </w:tcPr>
          <w:p>
            <w:pPr/>
          </w:p>
        </w:tc>
        <w:tc>
          <w:tcPr>
            <w:tcW w:w="1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421" w:type="dxa"/>
            <w:vMerge w:val="restart"/>
            <w:tcBorders>
              <w:top w:val="single" w:sz="4" w:space="0" w:color="000000"/>
              <w:left w:val="single" w:sz="4" w:space="0" w:color="000000"/>
              <w:right w:val="single" w:sz="4" w:space="0" w:color="000000"/>
            </w:tcBorders>
            <w:shd w:val="clear" w:color="auto" w:fill="D2D2D2"/>
          </w:tcPr>
          <w:p>
            <w:pPr/>
          </w:p>
        </w:tc>
        <w:tc>
          <w:tcPr>
            <w:tcW w:w="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r>
      <w:tr>
        <w:trPr>
          <w:trHeight w:val="114" w:hRule="exact"/>
        </w:trPr>
        <w:tc>
          <w:tcPr>
            <w:tcW w:w="1592"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396" w:type="dxa"/>
            <w:vMerge w:val="restart"/>
            <w:tcBorders>
              <w:top w:val="single" w:sz="4" w:space="0" w:color="000000"/>
              <w:left w:val="single" w:sz="4" w:space="0" w:color="000000"/>
              <w:right w:val="single" w:sz="4" w:space="0" w:color="000000"/>
            </w:tcBorders>
            <w:shd w:val="clear" w:color="auto" w:fill="D2D2D2"/>
          </w:tcPr>
          <w:p>
            <w:pPr/>
          </w:p>
        </w:tc>
        <w:tc>
          <w:tcPr>
            <w:tcW w:w="396" w:type="dxa"/>
            <w:vMerge w:val="restart"/>
            <w:tcBorders>
              <w:top w:val="single" w:sz="4" w:space="0" w:color="000000"/>
              <w:left w:val="single" w:sz="4" w:space="0" w:color="000000"/>
              <w:right w:val="single" w:sz="4" w:space="0" w:color="000000"/>
            </w:tcBorders>
            <w:shd w:val="clear" w:color="auto" w:fill="D2D2D2"/>
          </w:tcPr>
          <w:p>
            <w:pPr/>
          </w:p>
        </w:tc>
        <w:tc>
          <w:tcPr>
            <w:tcW w:w="396"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21" w:type="dxa"/>
            <w:vMerge/>
            <w:tcBorders>
              <w:left w:val="single" w:sz="4" w:space="0" w:color="000000"/>
              <w:bottom w:val="nil" w:sz="6" w:space="0" w:color="auto"/>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3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
              <w:ind w:left="101" w:right="10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8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33" w:hRule="exact"/>
        </w:trPr>
        <w:tc>
          <w:tcPr>
            <w:tcW w:w="1592" w:type="dxa"/>
            <w:vMerge/>
            <w:tcBorders>
              <w:left w:val="single" w:sz="4" w:space="0" w:color="000000"/>
              <w:bottom w:val="nil" w:sz="6" w:space="0" w:color="auto"/>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396" w:type="dxa"/>
            <w:vMerge/>
            <w:tcBorders>
              <w:left w:val="single" w:sz="4" w:space="0" w:color="000000"/>
              <w:bottom w:val="nil" w:sz="6" w:space="0" w:color="auto"/>
              <w:right w:val="single" w:sz="4" w:space="0" w:color="000000"/>
            </w:tcBorders>
            <w:shd w:val="clear" w:color="auto" w:fill="D2D2D2"/>
          </w:tcPr>
          <w:p>
            <w:pPr/>
          </w:p>
        </w:tc>
        <w:tc>
          <w:tcPr>
            <w:tcW w:w="396" w:type="dxa"/>
            <w:vMerge/>
            <w:tcBorders>
              <w:left w:val="single" w:sz="4" w:space="0" w:color="000000"/>
              <w:bottom w:val="nil" w:sz="6" w:space="0" w:color="auto"/>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2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6" w:right="2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29"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5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 w:type="dxa"/>
            <w:vMerge/>
            <w:tcBorders>
              <w:left w:val="single" w:sz="4" w:space="0" w:color="000000"/>
              <w:bottom w:val="nil" w:sz="6" w:space="0" w:color="auto"/>
              <w:right w:val="single" w:sz="4" w:space="0" w:color="000000"/>
            </w:tcBorders>
            <w:shd w:val="clear" w:color="auto" w:fill="D2D2D2"/>
          </w:tcPr>
          <w:p>
            <w:pPr/>
          </w:p>
        </w:tc>
        <w:tc>
          <w:tcPr>
            <w:tcW w:w="3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5"/>
              <w:ind w:left="102" w:right="10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5"/>
              <w:ind w:left="101" w:right="10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21"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0"/>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1592" w:type="dxa"/>
            <w:vMerge/>
            <w:tcBorders>
              <w:left w:val="single" w:sz="4" w:space="0" w:color="000000"/>
              <w:bottom w:val="nil" w:sz="6" w:space="0" w:color="auto"/>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96"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3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5"/>
              <w:ind w:left="101" w:right="102"/>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1"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2D2D2"/>
          </w:tcPr>
          <w:p>
            <w:pPr/>
          </w:p>
        </w:tc>
      </w:tr>
      <w:tr>
        <w:trPr>
          <w:trHeight w:val="200" w:hRule="exact"/>
        </w:trPr>
        <w:tc>
          <w:tcPr>
            <w:tcW w:w="1592" w:type="dxa"/>
            <w:vMerge w:val="restart"/>
            <w:tcBorders>
              <w:top w:val="nil" w:sz="6" w:space="0" w:color="auto"/>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421"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56" w:hRule="exact"/>
        </w:trPr>
        <w:tc>
          <w:tcPr>
            <w:tcW w:w="1592" w:type="dxa"/>
            <w:vMerge/>
            <w:tcBorders>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421"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592"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39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21" w:type="dxa"/>
            <w:vMerge/>
            <w:tcBorders>
              <w:left w:val="single" w:sz="4" w:space="0" w:color="000000"/>
              <w:bottom w:val="nil" w:sz="6" w:space="0" w:color="auto"/>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396"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592"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right w:val="single" w:sz="4" w:space="0" w:color="000000"/>
            </w:tcBorders>
            <w:shd w:val="clear" w:color="auto" w:fill="D2D2D2"/>
          </w:tcPr>
          <w:p>
            <w:pPr/>
          </w:p>
        </w:tc>
        <w:tc>
          <w:tcPr>
            <w:tcW w:w="396" w:type="dxa"/>
            <w:vMerge/>
            <w:tcBorders>
              <w:left w:val="single" w:sz="4" w:space="0" w:color="000000"/>
              <w:bottom w:val="nil" w:sz="6" w:space="0" w:color="auto"/>
              <w:right w:val="single" w:sz="4" w:space="0" w:color="000000"/>
            </w:tcBorders>
            <w:shd w:val="clear" w:color="auto" w:fill="D2D2D2"/>
          </w:tcPr>
          <w:p>
            <w:pPr/>
          </w:p>
        </w:tc>
        <w:tc>
          <w:tcPr>
            <w:tcW w:w="396" w:type="dxa"/>
            <w:vMerge/>
            <w:tcBorders>
              <w:left w:val="single" w:sz="4" w:space="0" w:color="000000"/>
              <w:bottom w:val="nil" w:sz="6" w:space="0" w:color="auto"/>
              <w:right w:val="single" w:sz="4" w:space="0" w:color="000000"/>
            </w:tcBorders>
            <w:shd w:val="clear" w:color="auto" w:fill="D2D2D2"/>
          </w:tcPr>
          <w:p>
            <w:pPr/>
          </w:p>
        </w:tc>
        <w:tc>
          <w:tcPr>
            <w:tcW w:w="396"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421" w:type="dxa"/>
            <w:vMerge w:val="restart"/>
            <w:tcBorders>
              <w:top w:val="nil" w:sz="6" w:space="0" w:color="auto"/>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396"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29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21" w:type="dxa"/>
            <w:vMerge/>
            <w:tcBorders>
              <w:left w:val="single" w:sz="4" w:space="0" w:color="000000"/>
              <w:bottom w:val="single" w:sz="4" w:space="0" w:color="000000"/>
              <w:right w:val="single" w:sz="4" w:space="0" w:color="000000"/>
            </w:tcBorders>
            <w:shd w:val="clear" w:color="auto" w:fill="D2D2D2"/>
          </w:tcPr>
          <w:p>
            <w:pPr/>
          </w:p>
        </w:tc>
        <w:tc>
          <w:tcPr>
            <w:tcW w:w="329" w:type="dxa"/>
            <w:vMerge/>
            <w:tcBorders>
              <w:left w:val="single" w:sz="4" w:space="0" w:color="000000"/>
              <w:bottom w:val="single" w:sz="4" w:space="0" w:color="000000"/>
              <w:right w:val="single" w:sz="4" w:space="0" w:color="000000"/>
            </w:tcBorders>
            <w:shd w:val="clear" w:color="auto" w:fill="D2D2D2"/>
          </w:tcPr>
          <w:p>
            <w:pPr/>
          </w:p>
        </w:tc>
        <w:tc>
          <w:tcPr>
            <w:tcW w:w="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136,675,739.94</w:t>
            </w: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10,869,011.30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97,821,101.69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295,365,852.93</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pacing w:val="-9"/>
                <w:sz w:val="18"/>
                <w:szCs w:val="18"/>
              </w:rPr>
              <w:t>加：会计政策变</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136,675,739.94</w:t>
            </w: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10,869,011.30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97,821,101.69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295,365,852.93</w:t>
            </w:r>
          </w:p>
        </w:tc>
      </w:tr>
      <w:tr>
        <w:trPr>
          <w:trHeight w:val="1026"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
              <w:jc w:val="both"/>
              <w:rPr>
                <w:rFonts w:ascii="宋体" w:hAnsi="宋体" w:cs="宋体" w:eastAsia="宋体" w:hint="default"/>
                <w:sz w:val="18"/>
                <w:szCs w:val="18"/>
              </w:rPr>
            </w:pPr>
            <w:r>
              <w:rPr>
                <w:rFonts w:ascii="宋体" w:hAnsi="宋体" w:cs="宋体" w:eastAsia="宋体" w:hint="default"/>
                <w:spacing w:val="-7"/>
                <w:sz w:val="18"/>
                <w:szCs w:val="18"/>
              </w:rPr>
              <w:t>三、本期增减变动金</w:t>
            </w:r>
            <w:r>
              <w:rPr>
                <w:rFonts w:ascii="宋体" w:hAnsi="宋体" w:cs="宋体" w:eastAsia="宋体" w:hint="default"/>
                <w:sz w:val="18"/>
                <w:szCs w:val="18"/>
              </w:rPr>
              <w:t> </w:t>
            </w:r>
            <w:r>
              <w:rPr>
                <w:rFonts w:ascii="宋体" w:hAnsi="宋体" w:cs="宋体" w:eastAsia="宋体" w:hint="default"/>
                <w:spacing w:val="-5"/>
                <w:sz w:val="18"/>
                <w:szCs w:val="18"/>
              </w:rPr>
              <w:t>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1,598,641.08</w:t>
            </w: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4,814,109.81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43,326,988.30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49,739,739.19</w:t>
            </w: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7"/>
                <w:sz w:val="18"/>
                <w:szCs w:val="18"/>
              </w:rPr>
              <w:t>（一）综合收益总额</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48,141,098.11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48,141,098.11</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7"/>
                <w:sz w:val="18"/>
                <w:szCs w:val="18"/>
              </w:rPr>
              <w:t>（二）所有者投入和</w:t>
            </w:r>
            <w:r>
              <w:rPr>
                <w:rFonts w:ascii="宋体" w:hAnsi="宋体" w:cs="宋体" w:eastAsia="宋体" w:hint="default"/>
                <w:sz w:val="18"/>
                <w:szCs w:val="18"/>
              </w:rPr>
              <w:t> 减少资本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1,598,641.08</w:t>
            </w: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1,598,641.08</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 股</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1,598,641.08</w:t>
            </w: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1,598,641.08</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86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14"/>
        <w:gridCol w:w="1091"/>
        <w:gridCol w:w="396"/>
        <w:gridCol w:w="396"/>
        <w:gridCol w:w="396"/>
        <w:gridCol w:w="1181"/>
        <w:gridCol w:w="421"/>
        <w:gridCol w:w="329"/>
        <w:gridCol w:w="396"/>
        <w:gridCol w:w="1085"/>
        <w:gridCol w:w="1181"/>
        <w:gridCol w:w="1181"/>
      </w:tblGrid>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4,814,109.81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-4,814,109.81</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4,814,109.81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-4,814,109.81</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（四）所有者权益内</w:t>
            </w:r>
            <w:r>
              <w:rPr>
                <w:rFonts w:ascii="宋体" w:hAnsi="宋体" w:cs="宋体" w:eastAsia="宋体" w:hint="default"/>
                <w:sz w:val="18"/>
                <w:szCs w:val="18"/>
              </w:rPr>
              <w:t> 部结转</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138,274,381.02</w:t>
            </w:r>
          </w:p>
        </w:tc>
        <w:tc>
          <w:tcPr>
            <w:tcW w:w="42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15,683,121.11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141,148,089.99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345,105,592.12</w:t>
            </w:r>
          </w:p>
        </w:tc>
      </w:tr>
    </w:tbl>
    <w:p>
      <w:pPr>
        <w:spacing w:line="240" w:lineRule="auto" w:before="0"/>
        <w:rPr>
          <w:rFonts w:ascii="宋体" w:hAnsi="宋体" w:cs="宋体" w:eastAsia="宋体" w:hint="default"/>
          <w:sz w:val="24"/>
          <w:szCs w:val="24"/>
        </w:rPr>
      </w:pPr>
    </w:p>
    <w:p>
      <w:pPr>
        <w:spacing w:before="26"/>
        <w:ind w:left="1134" w:right="0" w:firstLine="0"/>
        <w:jc w:val="left"/>
        <w:rPr>
          <w:rFonts w:ascii="宋体" w:hAnsi="宋体" w:cs="宋体" w:eastAsia="宋体" w:hint="default"/>
          <w:sz w:val="21"/>
          <w:szCs w:val="21"/>
        </w:rPr>
      </w:pPr>
      <w:bookmarkStart w:name="三、公司基本情况" w:id="217"/>
      <w:bookmarkEnd w:id="217"/>
      <w:r>
        <w:rPr/>
      </w:r>
      <w:r>
        <w:rPr>
          <w:rFonts w:ascii="宋体" w:hAnsi="宋体" w:cs="宋体" w:eastAsia="宋体" w:hint="default"/>
          <w:b/>
          <w:bCs/>
          <w:sz w:val="24"/>
          <w:szCs w:val="24"/>
        </w:rPr>
        <w:t>三、</w:t>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408" w:lineRule="auto" w:before="163"/>
        <w:ind w:right="1130" w:firstLine="420"/>
        <w:jc w:val="both"/>
      </w:pPr>
      <w:r>
        <w:rPr/>
        <w:t>浙江正元智慧科技股份有限公司（以下简称公司或本公司）前身为浙江金信软件有限公司</w:t>
      </w:r>
      <w:r>
        <w:rPr>
          <w:rFonts w:ascii="宋体" w:hAnsi="宋体" w:cs="宋体" w:eastAsia="宋体" w:hint="default"/>
        </w:rPr>
        <w:t>,</w:t>
      </w:r>
      <w:r>
        <w:rPr/>
        <w:t>系由浙江 三川物业股份有限公司、浙江金信经贸有限公司共同出资组建，于</w:t>
      </w:r>
      <w:r>
        <w:rPr>
          <w:rFonts w:ascii="宋体" w:hAnsi="宋体" w:cs="宋体" w:eastAsia="宋体" w:hint="default"/>
        </w:rPr>
        <w:t>2000</w:t>
      </w:r>
      <w:r>
        <w:rPr/>
        <w:t>年</w:t>
      </w:r>
      <w:r>
        <w:rPr>
          <w:rFonts w:ascii="宋体" w:hAnsi="宋体" w:cs="宋体" w:eastAsia="宋体" w:hint="default"/>
        </w:rPr>
        <w:t>3</w:t>
      </w:r>
      <w:r>
        <w:rPr/>
        <w:t>月</w:t>
      </w:r>
      <w:r>
        <w:rPr>
          <w:rFonts w:ascii="宋体" w:hAnsi="宋体" w:cs="宋体" w:eastAsia="宋体" w:hint="default"/>
        </w:rPr>
        <w:t>13</w:t>
      </w:r>
      <w:r>
        <w:rPr/>
        <w:t>日在浙江省工商行政管理</w:t>
      </w:r>
      <w:r>
        <w:rPr>
          <w:spacing w:val="-30"/>
        </w:rPr>
        <w:t> </w:t>
      </w:r>
      <w:r>
        <w:rPr>
          <w:spacing w:val="-30"/>
        </w:rPr>
      </w:r>
      <w:r>
        <w:rPr>
          <w:spacing w:val="-1"/>
        </w:rPr>
        <w:t>局登记注册，取得注册号为</w:t>
      </w:r>
      <w:r>
        <w:rPr>
          <w:rFonts w:ascii="宋体" w:hAnsi="宋体" w:cs="宋体" w:eastAsia="宋体" w:hint="default"/>
          <w:spacing w:val="-1"/>
        </w:rPr>
        <w:t>3300001006513</w:t>
      </w:r>
      <w:r>
        <w:rPr>
          <w:spacing w:val="-1"/>
        </w:rPr>
        <w:t>的企业法人营业执照，设立时注册资本</w:t>
      </w:r>
      <w:r>
        <w:rPr>
          <w:rFonts w:ascii="宋体" w:hAnsi="宋体" w:cs="宋体" w:eastAsia="宋体" w:hint="default"/>
          <w:spacing w:val="-1"/>
        </w:rPr>
        <w:t>1,000</w:t>
      </w:r>
      <w:r>
        <w:rPr>
          <w:spacing w:val="-1"/>
        </w:rPr>
        <w:t>万元。</w:t>
      </w:r>
      <w:r>
        <w:rPr>
          <w:rFonts w:ascii="宋体" w:hAnsi="宋体" w:cs="宋体" w:eastAsia="宋体" w:hint="default"/>
          <w:spacing w:val="-1"/>
        </w:rPr>
        <w:t>2002</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7</w:t>
      </w:r>
      <w:r>
        <w:rPr>
          <w:rFonts w:ascii="宋体" w:hAnsi="宋体" w:cs="宋体" w:eastAsia="宋体" w:hint="default"/>
          <w:spacing w:val="-73"/>
        </w:rPr>
        <w:t> </w:t>
      </w:r>
      <w:r>
        <w:rPr/>
        <w:t>日更名为浙江正元智慧科技有限公司（以下简称正元智慧有限公司）。正元智慧有限公司以</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31</w:t>
      </w:r>
      <w:r>
        <w:rPr>
          <w:rFonts w:ascii="宋体" w:hAnsi="宋体" w:cs="宋体" w:eastAsia="宋体" w:hint="default"/>
          <w:spacing w:val="-27"/>
        </w:rPr>
        <w:t> </w:t>
      </w:r>
      <w:r>
        <w:rPr>
          <w:rFonts w:ascii="宋体" w:hAnsi="宋体" w:cs="宋体" w:eastAsia="宋体" w:hint="default"/>
          <w:spacing w:val="-27"/>
        </w:rPr>
      </w:r>
      <w:r>
        <w:rPr/>
        <w:t>日为基准日，整体变更为股份有限公司，于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9</w:t>
      </w:r>
      <w:r>
        <w:rPr/>
        <w:t>日在浙江省工商行政管理局登记注册，总部位于</w:t>
      </w:r>
      <w:r>
        <w:rPr>
          <w:spacing w:val="-31"/>
        </w:rPr>
        <w:t> </w:t>
      </w:r>
      <w:r>
        <w:rPr>
          <w:spacing w:val="-31"/>
        </w:rPr>
      </w:r>
      <w:r>
        <w:rPr>
          <w:spacing w:val="-3"/>
        </w:rPr>
        <w:t>浙江省杭州市。公司现持有统一社会信用代码为</w:t>
      </w:r>
      <w:r>
        <w:rPr>
          <w:rFonts w:ascii="宋体" w:hAnsi="宋体" w:cs="宋体" w:eastAsia="宋体" w:hint="default"/>
          <w:spacing w:val="-3"/>
        </w:rPr>
        <w:t>913300007200827022</w:t>
      </w:r>
      <w:r>
        <w:rPr>
          <w:spacing w:val="-3"/>
        </w:rPr>
        <w:t>的营业执照，注册资本</w:t>
      </w:r>
      <w:r>
        <w:rPr>
          <w:rFonts w:ascii="宋体" w:hAnsi="宋体" w:cs="宋体" w:eastAsia="宋体" w:hint="default"/>
          <w:spacing w:val="-3"/>
        </w:rPr>
        <w:t>66,666,667.00</w:t>
      </w:r>
      <w:r>
        <w:rPr>
          <w:rFonts w:ascii="宋体" w:hAnsi="宋体" w:cs="宋体" w:eastAsia="宋体" w:hint="default"/>
          <w:spacing w:val="-49"/>
        </w:rPr>
        <w:t> </w:t>
      </w:r>
      <w:r>
        <w:rPr>
          <w:rFonts w:ascii="宋体" w:hAnsi="宋体" w:cs="宋体" w:eastAsia="宋体" w:hint="default"/>
          <w:spacing w:val="-49"/>
        </w:rPr>
      </w:r>
      <w:r>
        <w:rPr>
          <w:spacing w:val="-1"/>
        </w:rPr>
        <w:t>元，股份总数</w:t>
      </w:r>
      <w:r>
        <w:rPr>
          <w:rFonts w:ascii="宋体" w:hAnsi="宋体" w:cs="宋体" w:eastAsia="宋体" w:hint="default"/>
          <w:spacing w:val="-1"/>
        </w:rPr>
        <w:t>66,666,667</w:t>
      </w:r>
      <w:r>
        <w:rPr>
          <w:spacing w:val="-1"/>
        </w:rPr>
        <w:t>股（每股面值</w:t>
      </w:r>
      <w:r>
        <w:rPr>
          <w:rFonts w:ascii="宋体" w:hAnsi="宋体" w:cs="宋体" w:eastAsia="宋体" w:hint="default"/>
          <w:spacing w:val="-1"/>
        </w:rPr>
        <w:t>1</w:t>
      </w:r>
      <w:r>
        <w:rPr>
          <w:spacing w:val="-1"/>
        </w:rPr>
        <w:t>元）。其中，有限售条件的流通股份：</w:t>
      </w:r>
      <w:r>
        <w:rPr>
          <w:rFonts w:ascii="宋体" w:hAnsi="宋体" w:cs="宋体" w:eastAsia="宋体" w:hint="default"/>
          <w:spacing w:val="-1"/>
        </w:rPr>
        <w:t>A</w:t>
      </w:r>
      <w:r>
        <w:rPr>
          <w:spacing w:val="-1"/>
        </w:rPr>
        <w:t>股</w:t>
      </w:r>
      <w:r>
        <w:rPr>
          <w:rFonts w:ascii="宋体" w:hAnsi="宋体" w:cs="宋体" w:eastAsia="宋体" w:hint="default"/>
          <w:spacing w:val="-1"/>
        </w:rPr>
        <w:t>50,000,000</w:t>
      </w:r>
      <w:r>
        <w:rPr>
          <w:spacing w:val="-1"/>
        </w:rPr>
        <w:t>股；无限售</w:t>
      </w:r>
      <w:r>
        <w:rPr>
          <w:spacing w:val="-75"/>
        </w:rPr>
        <w:t> </w:t>
      </w:r>
      <w:r>
        <w:rPr>
          <w:spacing w:val="-75"/>
        </w:rPr>
      </w:r>
      <w:r>
        <w:rPr/>
        <w:t>条件的流通股份</w:t>
      </w:r>
      <w:r>
        <w:rPr>
          <w:rFonts w:ascii="宋体" w:hAnsi="宋体" w:cs="宋体" w:eastAsia="宋体" w:hint="default"/>
        </w:rPr>
        <w:t>:A</w:t>
      </w:r>
      <w:r>
        <w:rPr/>
        <w:t>股</w:t>
      </w:r>
      <w:r>
        <w:rPr>
          <w:rFonts w:ascii="宋体" w:hAnsi="宋体" w:cs="宋体" w:eastAsia="宋体" w:hint="default"/>
        </w:rPr>
        <w:t>16,666,667</w:t>
      </w:r>
      <w:r>
        <w:rPr/>
        <w:t>股。公司股票已于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日在深圳证券交易所挂牌交易。</w:t>
      </w:r>
    </w:p>
    <w:p>
      <w:pPr>
        <w:pStyle w:val="BodyText"/>
        <w:spacing w:line="408" w:lineRule="auto"/>
        <w:ind w:right="1024" w:firstLine="420"/>
        <w:jc w:val="left"/>
      </w:pPr>
      <w:r>
        <w:rPr/>
        <w:t>本公司属软件及信息技术服务行业。主要经营活动：第二类增值电信业务中的信息服务业务；计算机 </w:t>
      </w:r>
      <w:r>
        <w:rPr>
          <w:spacing w:val="-3"/>
        </w:rPr>
        <w:t>软件产品开发、技术服务与咨询及成果转让服务，电子产品、计算机软硬件销售，建筑智能化工程施工等。</w:t>
      </w:r>
      <w:r>
        <w:rPr>
          <w:spacing w:val="-95"/>
        </w:rPr>
        <w:t> </w:t>
      </w:r>
      <w:r>
        <w:rPr>
          <w:spacing w:val="-95"/>
        </w:rPr>
      </w:r>
      <w:r>
        <w:rPr/>
        <w:t>产品或提供的劳务主要有：一卡通系统平台、软硬件产品销售及项目实施，以及一卡通用户的综合服务和</w:t>
      </w:r>
      <w:r>
        <w:rPr/>
        <w:t> 增值运营服务。</w:t>
      </w:r>
    </w:p>
    <w:p>
      <w:pPr>
        <w:spacing w:after="0" w:line="408" w:lineRule="auto"/>
        <w:jc w:val="left"/>
        <w:sectPr>
          <w:footerReference w:type="default" r:id="rId15"/>
          <w:pgSz w:w="11910" w:h="16840"/>
          <w:pgMar w:footer="979" w:header="867" w:top="1060" w:bottom="1160" w:left="0" w:right="0"/>
          <w:pgNumType w:start="101"/>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t>本财务报表业经公司</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19</w:t>
      </w:r>
      <w:r>
        <w:rPr/>
        <w:t>日第二届第十九次董事会批准对外报出。</w:t>
      </w:r>
    </w:p>
    <w:p>
      <w:pPr>
        <w:spacing w:line="240" w:lineRule="auto" w:before="12"/>
        <w:rPr>
          <w:rFonts w:ascii="宋体" w:hAnsi="宋体" w:cs="宋体" w:eastAsia="宋体" w:hint="default"/>
          <w:sz w:val="9"/>
          <w:szCs w:val="9"/>
        </w:rPr>
      </w:pPr>
    </w:p>
    <w:tbl>
      <w:tblPr>
        <w:tblW w:w="0" w:type="auto"/>
        <w:jc w:val="left"/>
        <w:tblInd w:w="1676" w:type="dxa"/>
        <w:tblLayout w:type="fixed"/>
        <w:tblCellMar>
          <w:top w:w="0" w:type="dxa"/>
          <w:left w:w="0" w:type="dxa"/>
          <w:bottom w:w="0" w:type="dxa"/>
          <w:right w:w="0" w:type="dxa"/>
        </w:tblCellMar>
        <w:tblLook w:val="01E0"/>
      </w:tblPr>
      <w:tblGrid>
        <w:gridCol w:w="4260"/>
        <w:gridCol w:w="4262"/>
      </w:tblGrid>
      <w:tr>
        <w:trPr>
          <w:trHeight w:val="347"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b/>
                <w:bCs/>
                <w:sz w:val="21"/>
                <w:szCs w:val="21"/>
              </w:rPr>
              <w:t>简称</w:t>
            </w:r>
            <w:r>
              <w:rPr>
                <w:rFonts w:ascii="宋体" w:hAnsi="宋体" w:cs="宋体" w:eastAsia="宋体" w:hint="default"/>
                <w:sz w:val="21"/>
                <w:szCs w:val="21"/>
              </w:rPr>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青岛天高智慧科技有限公司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青岛天高公司</w:t>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广西筑波智慧科技有限公司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广西筑波公司</w:t>
            </w:r>
          </w:p>
        </w:tc>
      </w:tr>
      <w:tr>
        <w:trPr>
          <w:trHeight w:val="504"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南昌正元智慧科技有限公司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南昌正元公司</w:t>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浙江正元数据系统工程有限公司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4"/>
              <w:jc w:val="center"/>
              <w:rPr>
                <w:rFonts w:ascii="宋体" w:hAnsi="宋体" w:cs="宋体" w:eastAsia="宋体" w:hint="default"/>
                <w:sz w:val="21"/>
                <w:szCs w:val="21"/>
              </w:rPr>
            </w:pPr>
            <w:r>
              <w:rPr>
                <w:rFonts w:ascii="宋体" w:hAnsi="宋体" w:cs="宋体" w:eastAsia="宋体" w:hint="default"/>
                <w:sz w:val="21"/>
                <w:szCs w:val="21"/>
              </w:rPr>
              <w:t>正元数据公司</w:t>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杭州捷卡智慧科技有限公司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杭州捷卡公司</w:t>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杭州容博教育科技有限公司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杭州容博公司</w:t>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福建正元智慧信息科技有限公司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福建正元公司</w:t>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四川正元智慧科技有限公司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四川正元公司</w:t>
            </w:r>
          </w:p>
        </w:tc>
      </w:tr>
      <w:tr>
        <w:trPr>
          <w:trHeight w:val="504"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浙江正元曦客科技有限公司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4"/>
              <w:jc w:val="center"/>
              <w:rPr>
                <w:rFonts w:ascii="宋体" w:hAnsi="宋体" w:cs="宋体" w:eastAsia="宋体" w:hint="default"/>
                <w:sz w:val="21"/>
                <w:szCs w:val="21"/>
              </w:rPr>
            </w:pPr>
            <w:r>
              <w:rPr>
                <w:rFonts w:ascii="宋体" w:hAnsi="宋体" w:cs="宋体" w:eastAsia="宋体" w:hint="default"/>
                <w:sz w:val="21"/>
                <w:szCs w:val="21"/>
              </w:rPr>
              <w:t>正元曦客公司</w:t>
            </w:r>
          </w:p>
        </w:tc>
      </w:tr>
      <w:tr>
        <w:trPr>
          <w:trHeight w:val="503"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浙江校云智慧科技有限公司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4"/>
              <w:jc w:val="center"/>
              <w:rPr>
                <w:rFonts w:ascii="宋体" w:hAnsi="宋体" w:cs="宋体" w:eastAsia="宋体" w:hint="default"/>
                <w:sz w:val="21"/>
                <w:szCs w:val="21"/>
              </w:rPr>
            </w:pPr>
            <w:r>
              <w:rPr>
                <w:rFonts w:ascii="宋体" w:hAnsi="宋体" w:cs="宋体" w:eastAsia="宋体" w:hint="default"/>
                <w:sz w:val="21"/>
                <w:szCs w:val="21"/>
              </w:rPr>
              <w:t>浙江校云公司</w:t>
            </w:r>
          </w:p>
        </w:tc>
      </w:tr>
    </w:tbl>
    <w:p>
      <w:pPr>
        <w:pStyle w:val="BodyText"/>
        <w:spacing w:line="386" w:lineRule="auto" w:before="63"/>
        <w:ind w:right="1129" w:firstLine="420"/>
        <w:jc w:val="both"/>
      </w:pPr>
      <w:r>
        <w:rPr>
          <w:spacing w:val="-4"/>
        </w:rPr>
        <w:t>注：根据杭州捷卡公司</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24</w:t>
      </w:r>
      <w:r>
        <w:rPr>
          <w:spacing w:val="-4"/>
        </w:rPr>
        <w:t>日股东会决议，杭州捷卡公司注册资本由</w:t>
      </w:r>
      <w:r>
        <w:rPr>
          <w:rFonts w:ascii="Times New Roman" w:hAnsi="Times New Roman" w:cs="Times New Roman" w:eastAsia="Times New Roman" w:hint="default"/>
          <w:spacing w:val="-4"/>
        </w:rPr>
        <w:t>222.00</w:t>
      </w:r>
      <w:r>
        <w:rPr>
          <w:spacing w:val="-4"/>
        </w:rPr>
        <w:t>万元增加至</w:t>
      </w:r>
      <w:r>
        <w:rPr>
          <w:rFonts w:ascii="Times New Roman" w:hAnsi="Times New Roman" w:cs="Times New Roman" w:eastAsia="Times New Roman" w:hint="default"/>
          <w:spacing w:val="-4"/>
        </w:rPr>
        <w:t>3,000.00</w:t>
      </w:r>
      <w:r>
        <w:rPr>
          <w:rFonts w:ascii="Times New Roman" w:hAnsi="Times New Roman" w:cs="Times New Roman" w:eastAsia="Times New Roman" w:hint="default"/>
        </w:rPr>
        <w:t> </w:t>
      </w:r>
      <w:r>
        <w:rPr>
          <w:spacing w:val="-1"/>
        </w:rPr>
        <w:t>万元，其中公司认缴新增注册资本</w:t>
      </w:r>
      <w:r>
        <w:rPr>
          <w:rFonts w:ascii="Times New Roman" w:hAnsi="Times New Roman" w:cs="Times New Roman" w:eastAsia="Times New Roman" w:hint="default"/>
          <w:spacing w:val="-1"/>
        </w:rPr>
        <w:t>1,398.78</w:t>
      </w:r>
      <w:r>
        <w:rPr>
          <w:spacing w:val="-1"/>
        </w:rPr>
        <w:t>万元，增资后公司共认缴出资额</w:t>
      </w:r>
      <w:r>
        <w:rPr>
          <w:rFonts w:ascii="Times New Roman" w:hAnsi="Times New Roman" w:cs="Times New Roman" w:eastAsia="Times New Roman" w:hint="default"/>
          <w:spacing w:val="-1"/>
        </w:rPr>
        <w:t>1,530.00</w:t>
      </w:r>
      <w:r>
        <w:rPr>
          <w:spacing w:val="-1"/>
        </w:rPr>
        <w:t>万元，公司持股比例由</w:t>
      </w:r>
      <w:r>
        <w:rPr>
          <w:spacing w:val="-76"/>
        </w:rPr>
        <w:t> </w:t>
      </w:r>
      <w:r>
        <w:rPr>
          <w:spacing w:val="-76"/>
        </w:rPr>
      </w:r>
      <w:r>
        <w:rPr>
          <w:rFonts w:ascii="Times New Roman" w:hAnsi="Times New Roman" w:cs="Times New Roman" w:eastAsia="Times New Roman" w:hint="default"/>
          <w:spacing w:val="-2"/>
        </w:rPr>
        <w:t>59.11%</w:t>
      </w:r>
      <w:r>
        <w:rPr>
          <w:spacing w:val="-2"/>
        </w:rPr>
        <w:t>下降为</w:t>
      </w:r>
      <w:r>
        <w:rPr>
          <w:rFonts w:ascii="Times New Roman" w:hAnsi="Times New Roman" w:cs="Times New Roman" w:eastAsia="Times New Roman" w:hint="default"/>
          <w:spacing w:val="-2"/>
        </w:rPr>
        <w:t>51.00%</w:t>
      </w:r>
      <w:r>
        <w:rPr>
          <w:spacing w:val="-2"/>
        </w:rPr>
        <w:t>。本次增资完成后，杭州捷卡公司仍为公司控股子公司，不会导致公司合并报表范围</w:t>
      </w:r>
      <w:r>
        <w:rPr>
          <w:spacing w:val="-63"/>
        </w:rPr>
        <w:t> </w:t>
      </w:r>
      <w:r>
        <w:rPr>
          <w:spacing w:val="-63"/>
        </w:rPr>
      </w:r>
      <w:r>
        <w:rPr/>
        <w:t>发生变化。杭州捷卡公司增资后变更公司名称为浙江云马智慧科技有限公司，杭州捷卡公司已于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月</w:t>
      </w:r>
      <w:r>
        <w:rPr>
          <w:rFonts w:ascii="Times New Roman" w:hAnsi="Times New Roman" w:cs="Times New Roman" w:eastAsia="Times New Roman" w:hint="default"/>
        </w:rPr>
        <w:t>30</w:t>
      </w:r>
      <w:r>
        <w:rPr/>
        <w:t>日办妥工商变更手续。</w:t>
      </w:r>
    </w:p>
    <w:p>
      <w:pPr>
        <w:pStyle w:val="BodyText"/>
        <w:spacing w:line="386" w:lineRule="auto" w:before="35"/>
        <w:ind w:right="1129" w:firstLine="420"/>
        <w:jc w:val="both"/>
      </w:pPr>
      <w:r>
        <w:rPr>
          <w:spacing w:val="-3"/>
        </w:rPr>
        <w:t>本期的合并财务报表范围及变化情况详见</w:t>
      </w:r>
      <w:r>
        <w:rPr>
          <w:rFonts w:ascii="Times New Roman" w:hAnsi="Times New Roman" w:cs="Times New Roman" w:eastAsia="Times New Roman" w:hint="default"/>
          <w:spacing w:val="-3"/>
        </w:rPr>
        <w:t>“</w:t>
      </w:r>
      <w:r>
        <w:rPr>
          <w:spacing w:val="-3"/>
        </w:rPr>
        <w:t>本附注八、合并范围的变更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本附注九、在其他主体中的</w:t>
      </w:r>
      <w:r>
        <w:rPr/>
        <w:t> 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496" w:lineRule="auto" w:before="0"/>
        <w:ind w:left="1133" w:right="6973" w:firstLine="0"/>
        <w:jc w:val="left"/>
        <w:rPr>
          <w:rFonts w:ascii="宋体" w:hAnsi="宋体" w:cs="宋体" w:eastAsia="宋体" w:hint="default"/>
          <w:sz w:val="21"/>
          <w:szCs w:val="21"/>
        </w:rPr>
      </w:pPr>
      <w:bookmarkStart w:name="四、财务报表的编制基础" w:id="218"/>
      <w:bookmarkEnd w:id="218"/>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219"/>
      <w:bookmarkEnd w:id="2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spacing w:line="496" w:lineRule="auto" w:before="113"/>
        <w:ind w:left="1133" w:right="2773" w:firstLine="0"/>
        <w:jc w:val="left"/>
        <w:rPr>
          <w:rFonts w:ascii="宋体" w:hAnsi="宋体" w:cs="宋体" w:eastAsia="宋体" w:hint="default"/>
          <w:sz w:val="24"/>
          <w:szCs w:val="24"/>
        </w:rPr>
      </w:pPr>
      <w:bookmarkStart w:name="2、持续经营" w:id="220"/>
      <w:bookmarkEnd w:id="2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本公司不存在导致对报告期末起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个月内的持续经营假设产生重大疑虑的事项或情况。 </w:t>
      </w:r>
      <w:bookmarkStart w:name="五、重要会计政策及会计估计" w:id="221"/>
      <w:bookmarkEnd w:id="221"/>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357" w:lineRule="auto" w:before="92"/>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after="0" w:line="357"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408" w:lineRule="auto" w:before="0"/>
        <w:ind w:right="1015" w:firstLine="423"/>
        <w:jc w:val="left"/>
      </w:pPr>
      <w:r>
        <w:rPr>
          <w:spacing w:val="-3"/>
        </w:rPr>
        <w:t>重要提示：本公司根据实际生产经营特点针对应收款项坏账准备计提、固定资产折旧、无形资产摊销、</w:t>
      </w:r>
      <w:r>
        <w:rPr/>
        <w:t> 收入确认等交易或事项制定了具体会计政策和会计估计。</w:t>
      </w:r>
    </w:p>
    <w:p>
      <w:pPr>
        <w:spacing w:line="240" w:lineRule="auto" w:before="6"/>
        <w:rPr>
          <w:rFonts w:ascii="宋体" w:hAnsi="宋体" w:cs="宋体" w:eastAsia="宋体" w:hint="default"/>
          <w:sz w:val="15"/>
          <w:szCs w:val="15"/>
        </w:rPr>
      </w:pPr>
    </w:p>
    <w:p>
      <w:pPr>
        <w:spacing w:line="670" w:lineRule="atLeast" w:before="0"/>
        <w:ind w:left="1557" w:right="0" w:hanging="424"/>
        <w:jc w:val="left"/>
        <w:rPr>
          <w:rFonts w:ascii="宋体" w:hAnsi="宋体" w:cs="宋体" w:eastAsia="宋体" w:hint="default"/>
          <w:sz w:val="21"/>
          <w:szCs w:val="21"/>
        </w:rPr>
      </w:pPr>
      <w:bookmarkStart w:name="1、遵循企业会计准则的声明" w:id="222"/>
      <w:bookmarkEnd w:id="22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和现金流量等有关信息。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0"/>
        <w:jc w:val="both"/>
        <w:rPr>
          <w:b w:val="0"/>
          <w:bCs w:val="0"/>
        </w:rPr>
      </w:pPr>
      <w:bookmarkStart w:name="2、会计期间" w:id="223"/>
      <w:bookmarkEnd w:id="22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7" w:right="0"/>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0"/>
          <w:szCs w:val="20"/>
        </w:rPr>
      </w:pPr>
    </w:p>
    <w:p>
      <w:pPr>
        <w:pStyle w:val="Heading4"/>
        <w:spacing w:line="240" w:lineRule="auto" w:before="154"/>
        <w:ind w:left="1134" w:right="0"/>
        <w:jc w:val="both"/>
        <w:rPr>
          <w:b w:val="0"/>
          <w:bCs w:val="0"/>
        </w:rPr>
      </w:pPr>
      <w:bookmarkStart w:name="3、营业周期" w:id="224"/>
      <w:bookmarkEnd w:id="22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3"/>
          <w:szCs w:val="23"/>
        </w:rPr>
      </w:pPr>
    </w:p>
    <w:p>
      <w:pPr>
        <w:pStyle w:val="Heading3"/>
        <w:spacing w:line="240" w:lineRule="auto"/>
        <w:ind w:right="0"/>
        <w:jc w:val="both"/>
        <w:rPr>
          <w:i w:val="0"/>
        </w:rPr>
      </w:pPr>
      <w:r>
        <w:rPr/>
        <w:t>公司经营业务的营业周期较短，以</w:t>
      </w:r>
      <w:r>
        <w:rPr>
          <w:rFonts w:ascii="Times New Roman" w:hAnsi="Times New Roman" w:cs="Times New Roman" w:eastAsia="Times New Roman" w:hint="default"/>
          <w:i/>
          <w:sz w:val="21"/>
          <w:szCs w:val="21"/>
        </w:rPr>
        <w:t>12</w:t>
      </w:r>
      <w:r>
        <w:rPr/>
        <w:t>个月作为资产和负债的流动性划分标准。</w:t>
      </w:r>
      <w:r>
        <w:rPr>
          <w:i w:val="0"/>
        </w:rPr>
      </w:r>
    </w:p>
    <w:p>
      <w:pPr>
        <w:spacing w:line="240" w:lineRule="auto" w:before="0"/>
        <w:rPr>
          <w:rFonts w:ascii="宋体" w:hAnsi="宋体" w:cs="宋体" w:eastAsia="宋体" w:hint="default"/>
          <w:i/>
          <w:sz w:val="22"/>
          <w:szCs w:val="22"/>
        </w:rPr>
      </w:pPr>
    </w:p>
    <w:p>
      <w:pPr>
        <w:spacing w:line="240" w:lineRule="auto" w:before="7"/>
        <w:rPr>
          <w:rFonts w:ascii="宋体" w:hAnsi="宋体" w:cs="宋体" w:eastAsia="宋体" w:hint="default"/>
          <w:i/>
          <w:sz w:val="26"/>
          <w:szCs w:val="26"/>
        </w:rPr>
      </w:pPr>
    </w:p>
    <w:p>
      <w:pPr>
        <w:pStyle w:val="Heading4"/>
        <w:spacing w:line="240" w:lineRule="auto"/>
        <w:ind w:right="0"/>
        <w:jc w:val="both"/>
        <w:rPr>
          <w:b w:val="0"/>
          <w:bCs w:val="0"/>
        </w:rPr>
      </w:pPr>
      <w:bookmarkStart w:name="4、记账本位币" w:id="225"/>
      <w:bookmarkEnd w:id="22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7" w:right="0"/>
        <w:jc w:val="left"/>
      </w:pPr>
      <w:r>
        <w:rPr/>
        <w:t>采用人民币为记账本位币。</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5、同一控制下和非同一控制下企业合并的会计处理方法" w:id="226"/>
      <w:bookmarkEnd w:id="22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7" w:right="0"/>
        <w:jc w:val="left"/>
      </w:pPr>
      <w:r>
        <w:rPr>
          <w:rFonts w:ascii="宋体" w:hAnsi="宋体" w:cs="宋体" w:eastAsia="宋体" w:hint="default"/>
        </w:rPr>
        <w:t>1.</w:t>
      </w:r>
      <w:r>
        <w:rPr/>
        <w:t>同一控制下企业合并的会计处理方法 </w:t>
      </w:r>
      <w:r>
        <w:rPr>
          <w:spacing w:val="-1"/>
        </w:rPr>
        <w:t>公司在企业合并中取得的资产和负债，按照合并日被合并方在最终控制方合并财务报表中的账面价值</w:t>
      </w:r>
    </w:p>
    <w:p>
      <w:pPr>
        <w:pStyle w:val="BodyText"/>
        <w:spacing w:line="408" w:lineRule="auto"/>
        <w:ind w:left="1134" w:right="0"/>
        <w:jc w:val="left"/>
      </w:pP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408" w:lineRule="auto"/>
        <w:ind w:left="1557" w:right="0"/>
        <w:jc w:val="left"/>
      </w:pPr>
      <w:r>
        <w:rPr>
          <w:rFonts w:ascii="宋体" w:hAnsi="宋体" w:cs="宋体" w:eastAsia="宋体" w:hint="default"/>
        </w:rPr>
        <w:t>2.</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408" w:lineRule="auto"/>
        <w:ind w:left="1134"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after="0" w:line="408" w:lineRule="auto"/>
        <w:jc w:val="both"/>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合并财务报表的编制方法" w:id="227"/>
      <w:bookmarkEnd w:id="22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3" w:firstLine="423"/>
        <w:jc w:val="both"/>
      </w:pPr>
      <w:r>
        <w:rPr>
          <w:spacing w:val="-1"/>
        </w:rPr>
        <w:t>母公司将其控制的所有子公司纳入合并财务报表的合并范围。合并财务报表以母公司及其子公司的财</w:t>
      </w:r>
      <w:r>
        <w:rPr/>
        <w:t> 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7、现金及现金等价物的确定标准" w:id="228"/>
      <w:bookmarkEnd w:id="228"/>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3" w:firstLine="423"/>
        <w:jc w:val="both"/>
      </w:pPr>
      <w:r>
        <w:rPr>
          <w:spacing w:val="-1"/>
        </w:rPr>
        <w:t>列示于现金流量表中的现金是指库存现金以及可以随时用于支付的存款。现金等价物是指企业持有的</w:t>
      </w:r>
      <w:r>
        <w:rPr/>
        <w:t> 期限短、流动性强、易于转换为已知金额现金、价值变动风险很小的投资。</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8、外币业务和外币报表折算" w:id="229"/>
      <w:bookmarkEnd w:id="229"/>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3"/>
        <w:jc w:val="both"/>
      </w:pPr>
      <w:r>
        <w:rPr>
          <w:spacing w:val="-1"/>
        </w:rPr>
        <w:t>外币交易在初始确认时，采用交易发生日的即期汇率折算为人民币金额。资产负债表日，外币货币性</w:t>
      </w:r>
      <w:r>
        <w:rPr/>
        <w:t> </w:t>
      </w: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9、金融工具" w:id="230"/>
      <w:bookmarkEnd w:id="230"/>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7" w:right="0"/>
        <w:jc w:val="left"/>
      </w:pPr>
      <w:r>
        <w:rPr>
          <w:rFonts w:ascii="宋体" w:hAnsi="宋体" w:cs="宋体" w:eastAsia="宋体" w:hint="default"/>
        </w:rPr>
        <w:t>1.</w:t>
      </w:r>
      <w:r>
        <w:rPr/>
        <w:t>金融资产和金融负债的分类 </w:t>
      </w:r>
      <w:r>
        <w:rPr>
          <w:spacing w:val="-1"/>
        </w:rPr>
        <w:t>金融资产在初始确认时划分为以下四类：以公允价值计量且其变动计入当期损益的金融资产（包括交</w:t>
      </w:r>
    </w:p>
    <w:p>
      <w:pPr>
        <w:pStyle w:val="BodyText"/>
        <w:spacing w:line="408" w:lineRule="auto"/>
        <w:ind w:right="0"/>
        <w:jc w:val="left"/>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w:t>
      </w:r>
    </w:p>
    <w:p>
      <w:pPr>
        <w:pStyle w:val="BodyText"/>
        <w:spacing w:line="408" w:lineRule="auto"/>
        <w:ind w:right="1024" w:firstLine="423"/>
        <w:jc w:val="left"/>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BodyText"/>
        <w:spacing w:line="408" w:lineRule="auto"/>
        <w:ind w:left="1557" w:right="1089"/>
        <w:jc w:val="left"/>
      </w:pPr>
      <w:r>
        <w:rPr>
          <w:rFonts w:ascii="宋体" w:hAnsi="宋体" w:cs="宋体" w:eastAsia="宋体" w:hint="default"/>
        </w:rPr>
        <w:t>2.</w:t>
      </w:r>
      <w:r>
        <w:rPr/>
        <w:t>金融资产和金融负债的确认依据、计量方法和终止确认条件 公司成为金融工具合同的一方时，确认一项金融资产或金融负债。初始确认金融资产或金融负债时，</w:t>
      </w:r>
    </w:p>
    <w:p>
      <w:pPr>
        <w:pStyle w:val="BodyText"/>
        <w:spacing w:line="408" w:lineRule="auto"/>
        <w:ind w:right="0"/>
        <w:jc w:val="left"/>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408" w:lineRule="auto"/>
        <w:ind w:right="1106" w:firstLine="423"/>
        <w:jc w:val="both"/>
      </w:pPr>
      <w:r>
        <w:rPr/>
        <w:t>公司按照公允价值对金融资产进行后续计量，且不扣除将来处置该金融资产时可能发生的交易费用， </w:t>
      </w:r>
      <w:r>
        <w:rPr>
          <w:spacing w:val="-1"/>
        </w:rPr>
        <w:t>但下列情况除外：</w:t>
      </w:r>
      <w:r>
        <w:rPr>
          <w:rFonts w:ascii="宋体" w:hAnsi="宋体" w:cs="宋体" w:eastAsia="宋体" w:hint="default"/>
          <w:spacing w:val="-1"/>
        </w:rPr>
        <w:t>(1)</w:t>
      </w:r>
      <w:r>
        <w:rPr>
          <w:spacing w:val="-1"/>
        </w:rPr>
        <w:t>持有至到期投资以及贷款和应收款项采用实际利率法，按摊余成本计量；</w:t>
      </w:r>
      <w:r>
        <w:rPr>
          <w:rFonts w:ascii="宋体" w:hAnsi="宋体" w:cs="宋体" w:eastAsia="宋体" w:hint="default"/>
          <w:spacing w:val="-1"/>
        </w:rPr>
        <w:t>(2)</w:t>
      </w:r>
      <w:r>
        <w:rPr>
          <w:spacing w:val="-1"/>
        </w:rPr>
        <w:t>在活跃</w:t>
      </w:r>
      <w:r>
        <w:rPr>
          <w:spacing w:val="-80"/>
        </w:rPr>
        <w:t> </w:t>
      </w:r>
      <w:r>
        <w:rPr/>
        <w:t>市场中没有报价且其公允价值不能可靠计量的权益工具投资，以及与该权益工具挂钩并须通过交付该权益</w:t>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7" w:right="1194" w:hanging="424"/>
        <w:jc w:val="left"/>
      </w:pPr>
      <w:r>
        <w:rPr/>
        <w:t>工具结算的衍生金融资产，按照成本计量。 公司采用实际利率法，按摊余成本对金融负债进行后续计量，但下列情况除外：</w:t>
      </w:r>
      <w:r>
        <w:rPr>
          <w:rFonts w:ascii="宋体" w:hAnsi="宋体" w:cs="宋体" w:eastAsia="宋体" w:hint="default"/>
        </w:rPr>
        <w:t>(1)</w:t>
      </w:r>
      <w:r>
        <w:rPr/>
        <w:t>以公允价值计量</w:t>
      </w:r>
    </w:p>
    <w:p>
      <w:pPr>
        <w:pStyle w:val="BodyText"/>
        <w:spacing w:line="408" w:lineRule="auto"/>
        <w:ind w:right="1118"/>
        <w:jc w:val="left"/>
      </w:pP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宋体" w:hAnsi="宋体" w:cs="宋体" w:eastAsia="宋体" w:hint="default"/>
        </w:rPr>
        <w:t>(2)</w:t>
      </w:r>
      <w:r>
        <w:rPr/>
        <w:t>与在活跃市场中没有报价、公允价值不能可靠计量的权益工具挂钩并须通过交付该权益工具结算 的衍生金融负债，按照成本计量；</w:t>
      </w:r>
      <w:r>
        <w:rPr>
          <w:rFonts w:ascii="宋体" w:hAnsi="宋体" w:cs="宋体" w:eastAsia="宋体" w:hint="default"/>
        </w:rPr>
        <w:t>(3)</w:t>
      </w:r>
      <w:r>
        <w:rPr/>
        <w:t>不属于指定为以公允价值计量且其变动计入当期损益的金融负债的 财务担保合同，或没有指定为以公允价值计量且其变动计入当期损益并将以低于市场利率贷款的贷款承 </w:t>
      </w:r>
      <w:r>
        <w:rPr>
          <w:spacing w:val="-1"/>
        </w:rPr>
        <w:t>诺，在初始确认后按照下列两项金额之中的较高者进行后续计量：</w:t>
      </w:r>
      <w:r>
        <w:rPr>
          <w:rFonts w:ascii="宋体" w:hAnsi="宋体" w:cs="宋体" w:eastAsia="宋体" w:hint="default"/>
          <w:spacing w:val="-1"/>
        </w:rPr>
        <w:t>1)</w:t>
      </w:r>
      <w:r>
        <w:rPr>
          <w:spacing w:val="-1"/>
        </w:rPr>
        <w:t>按照《企业会计准则第</w:t>
      </w:r>
      <w:r>
        <w:rPr>
          <w:rFonts w:ascii="宋体" w:hAnsi="宋体" w:cs="宋体" w:eastAsia="宋体" w:hint="default"/>
          <w:spacing w:val="-1"/>
        </w:rPr>
        <w:t>13</w:t>
      </w:r>
      <w:r>
        <w:rPr>
          <w:spacing w:val="-1"/>
        </w:rPr>
        <w:t>号——或有</w:t>
      </w:r>
      <w:r>
        <w:rPr>
          <w:spacing w:val="-82"/>
        </w:rPr>
        <w:t> </w:t>
      </w:r>
      <w:r>
        <w:rPr>
          <w:spacing w:val="-1"/>
        </w:rPr>
        <w:t>事项》确定的金额；</w:t>
      </w:r>
      <w:r>
        <w:rPr>
          <w:rFonts w:ascii="宋体" w:hAnsi="宋体" w:cs="宋体" w:eastAsia="宋体" w:hint="default"/>
          <w:spacing w:val="-1"/>
        </w:rPr>
        <w:t>2)</w:t>
      </w:r>
      <w:r>
        <w:rPr>
          <w:spacing w:val="-1"/>
        </w:rPr>
        <w:t>初始确认金额扣除按照《企业会计准则第</w:t>
      </w:r>
      <w:r>
        <w:rPr>
          <w:rFonts w:ascii="宋体" w:hAnsi="宋体" w:cs="宋体" w:eastAsia="宋体" w:hint="default"/>
          <w:spacing w:val="-1"/>
        </w:rPr>
        <w:t>14</w:t>
      </w:r>
      <w:r>
        <w:rPr>
          <w:spacing w:val="-1"/>
        </w:rPr>
        <w:t>号——收入》的原则确定的累积摊销额</w:t>
      </w:r>
      <w:r>
        <w:rPr>
          <w:spacing w:val="-86"/>
        </w:rPr>
        <w:t> </w:t>
      </w:r>
      <w:r>
        <w:rPr>
          <w:spacing w:val="-86"/>
        </w:rPr>
      </w:r>
      <w:r>
        <w:rPr/>
        <w:t>后的余额。</w:t>
      </w:r>
    </w:p>
    <w:p>
      <w:pPr>
        <w:pStyle w:val="BodyText"/>
        <w:spacing w:line="408" w:lineRule="auto"/>
        <w:ind w:left="1134" w:right="1122" w:firstLine="423"/>
        <w:jc w:val="left"/>
      </w:pPr>
      <w:r>
        <w:rPr>
          <w:spacing w:val="-3"/>
        </w:rPr>
        <w:t>金融资产或金融负债公允价值变动形成的利得或损失，除与套期保值有关外，按照如下方法处理：</w:t>
      </w:r>
      <w:r>
        <w:rPr>
          <w:rFonts w:ascii="宋体" w:hAnsi="宋体" w:cs="宋体" w:eastAsia="宋体" w:hint="default"/>
          <w:spacing w:val="-3"/>
        </w:rPr>
        <w:t>(1)</w:t>
      </w:r>
      <w:r>
        <w:rPr>
          <w:rFonts w:ascii="宋体" w:hAnsi="宋体" w:cs="宋体" w:eastAsia="宋体"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5"/>
        </w:rPr>
        <w:t> </w:t>
      </w:r>
      <w:r>
        <w:rPr>
          <w:spacing w:val="-85"/>
        </w:rPr>
      </w:r>
      <w:r>
        <w:rPr/>
        <w:t>与初始入账金额之间的差额确认为投资收益，同时调整公允价值变动收益。</w:t>
      </w:r>
      <w:r>
        <w:rPr>
          <w:rFonts w:ascii="宋体" w:hAnsi="宋体" w:cs="宋体" w:eastAsia="宋体" w:hint="default"/>
        </w:rPr>
        <w:t>(2)</w:t>
      </w:r>
      <w:r>
        <w:rPr/>
        <w:t>可供出售金融资产的公允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408" w:lineRule="auto"/>
        <w:ind w:left="1134" w:right="1118" w:firstLine="423"/>
        <w:jc w:val="left"/>
      </w:pPr>
      <w:r>
        <w:rPr/>
        <w:t>当收取某项金融资产现金流量的合同权利已终止或该金融资产所有权上几乎所有的风险和报酬已转 </w:t>
      </w:r>
      <w:r>
        <w:rPr>
          <w:spacing w:val="-1"/>
        </w:rPr>
        <w:t>移时，终止确认该金融资产；当金融负债的现时义务全部或部分解除时，相应终止确认该金融负债或其一</w:t>
      </w:r>
      <w:r>
        <w:rPr>
          <w:spacing w:val="-82"/>
        </w:rPr>
        <w:t> </w:t>
      </w:r>
      <w:r>
        <w:rPr>
          <w:spacing w:val="-82"/>
        </w:rPr>
      </w:r>
      <w:r>
        <w:rPr/>
        <w:t>部分。</w:t>
      </w:r>
    </w:p>
    <w:p>
      <w:pPr>
        <w:pStyle w:val="BodyText"/>
        <w:spacing w:line="408" w:lineRule="auto"/>
        <w:ind w:left="1557" w:right="0"/>
        <w:jc w:val="left"/>
      </w:pPr>
      <w:r>
        <w:rPr>
          <w:rFonts w:ascii="宋体" w:hAnsi="宋体" w:cs="宋体" w:eastAsia="宋体" w:hint="default"/>
        </w:rPr>
        <w:t>3.</w:t>
      </w:r>
      <w:r>
        <w:rPr/>
        <w:t>金融资产转移的确认依据和计量方法 </w:t>
      </w:r>
      <w:r>
        <w:rPr>
          <w:spacing w:val="-1"/>
        </w:rPr>
        <w:t>公司已将金融资产所有权上几乎所有的风险和报酬转移给了转入方的，终止确认该金融资产；保留了</w:t>
      </w:r>
    </w:p>
    <w:p>
      <w:pPr>
        <w:pStyle w:val="BodyText"/>
        <w:spacing w:line="408" w:lineRule="auto"/>
        <w:ind w:left="1134" w:right="0"/>
        <w:jc w:val="left"/>
      </w:pPr>
      <w:r>
        <w:rPr>
          <w:spacing w:val="-1"/>
        </w:rPr>
        <w:t>金融资产所有权上几乎所有的风险和报酬的，继续确认所转移的金融资产，并将收到的对价确认为一项金</w:t>
      </w:r>
      <w:r>
        <w:rPr>
          <w:spacing w:val="-81"/>
        </w:rPr>
        <w:t> </w:t>
      </w:r>
      <w:r>
        <w:rPr>
          <w:spacing w:val="-81"/>
        </w:rPr>
      </w:r>
      <w:r>
        <w:rPr>
          <w:spacing w:val="-3"/>
        </w:rPr>
        <w:t>融负债。公司既没有转移也没有保留金融资产所有权上几乎所有的风险和报酬的，分别下列情况处理：</w:t>
      </w:r>
      <w:r>
        <w:rPr>
          <w:rFonts w:ascii="宋体" w:hAnsi="宋体" w:cs="宋体" w:eastAsia="宋体" w:hint="default"/>
          <w:spacing w:val="-3"/>
        </w:rPr>
        <w:t>(1)</w:t>
      </w:r>
      <w:r>
        <w:rPr>
          <w:rFonts w:ascii="宋体" w:hAnsi="宋体" w:cs="宋体" w:eastAsia="宋体" w:hint="default"/>
          <w:spacing w:val="-86"/>
        </w:rPr>
        <w:t> </w:t>
      </w:r>
      <w:r>
        <w:rPr/>
        <w:t>放弃了对该金融资产控制的，终止确认该金融资产；</w:t>
      </w:r>
      <w:r>
        <w:rPr>
          <w:rFonts w:ascii="宋体" w:hAnsi="宋体" w:cs="宋体" w:eastAsia="宋体" w:hint="default"/>
        </w:rPr>
        <w:t>(2)</w:t>
      </w:r>
      <w:r>
        <w:rPr/>
        <w:t>未放弃对该金融资产控制的，按照继续涉入所转 移金融资产的程度确认有关金融资产，并相应确认有关负债。</w:t>
      </w:r>
    </w:p>
    <w:p>
      <w:pPr>
        <w:pStyle w:val="BodyText"/>
        <w:spacing w:line="408" w:lineRule="auto"/>
        <w:ind w:left="1134" w:right="0" w:firstLine="423"/>
        <w:jc w:val="left"/>
      </w:pPr>
      <w:r>
        <w:rPr/>
        <w:t>金融资产整体转移满足终止确认条件的，将下列两项金额的差额计入当期损益：</w:t>
      </w:r>
      <w:r>
        <w:rPr>
          <w:rFonts w:ascii="宋体" w:hAnsi="宋体" w:cs="宋体" w:eastAsia="宋体" w:hint="default"/>
        </w:rPr>
        <w:t>(1)</w:t>
      </w:r>
      <w:r>
        <w:rPr/>
        <w:t>所转移金融资产 的账面价值；</w:t>
      </w:r>
      <w:r>
        <w:rPr>
          <w:rFonts w:ascii="宋体" w:hAnsi="宋体" w:cs="宋体" w:eastAsia="宋体" w:hint="default"/>
        </w:rPr>
        <w:t>(2)</w:t>
      </w:r>
      <w:r>
        <w:rPr/>
        <w:t>因转移而收到的对价，与原直接计入所有者权益的公允价值变动累计额之和。金融资产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宋体" w:hAnsi="宋体" w:cs="宋体" w:eastAsia="宋体" w:hint="default"/>
        </w:rPr>
        <w:t>(1)</w:t>
      </w:r>
      <w:r>
        <w:rPr/>
        <w:t>终止确认部分的账 面价值；</w:t>
      </w:r>
      <w:r>
        <w:rPr>
          <w:rFonts w:ascii="宋体" w:hAnsi="宋体" w:cs="宋体" w:eastAsia="宋体" w:hint="default"/>
        </w:rPr>
        <w:t>(2)</w:t>
      </w:r>
      <w:r>
        <w:rPr/>
        <w:t>终止确认部分的对价，与原直接计入所有者权益的公允价值变动累计额中对应终止确认部分</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的金额之和。</w:t>
      </w:r>
    </w:p>
    <w:p>
      <w:pPr>
        <w:spacing w:line="240" w:lineRule="auto" w:before="10"/>
        <w:rPr>
          <w:rFonts w:ascii="宋体" w:hAnsi="宋体" w:cs="宋体" w:eastAsia="宋体" w:hint="default"/>
          <w:sz w:val="14"/>
          <w:szCs w:val="14"/>
        </w:rPr>
      </w:pPr>
    </w:p>
    <w:p>
      <w:pPr>
        <w:pStyle w:val="BodyText"/>
        <w:spacing w:line="408" w:lineRule="auto" w:before="0"/>
        <w:ind w:left="1557" w:right="1299"/>
        <w:jc w:val="left"/>
      </w:pPr>
      <w:r>
        <w:rPr>
          <w:rFonts w:ascii="宋体" w:hAnsi="宋体" w:cs="宋体" w:eastAsia="宋体" w:hint="default"/>
        </w:rPr>
        <w:t>4.</w:t>
      </w:r>
      <w:r>
        <w:rPr/>
        <w:t>金融资产和金融负债的公允价值确定方法 公司采用在当前情况下适用并且有足够可利用数据和其他信息支持的估值技术确定相关金融资产和</w:t>
      </w:r>
    </w:p>
    <w:p>
      <w:pPr>
        <w:pStyle w:val="BodyText"/>
        <w:spacing w:line="408" w:lineRule="auto"/>
        <w:ind w:left="1557" w:right="1194" w:hanging="424"/>
        <w:jc w:val="left"/>
      </w:pPr>
      <w:r>
        <w:rPr/>
        <w:t>金融负债的公允价值。公司将估值技术使用的输入值分以下层级，并依次使用： </w:t>
      </w:r>
      <w:r>
        <w:rPr>
          <w:rFonts w:ascii="宋体" w:hAnsi="宋体" w:cs="宋体" w:eastAsia="宋体" w:hint="default"/>
        </w:rPr>
        <w:t>(1)</w:t>
      </w:r>
      <w:r>
        <w:rPr/>
        <w:t>第一层次输入值是在计量日能够取得的相同资产或负债在活跃市场上未经调整的报价； </w:t>
      </w:r>
      <w:r>
        <w:rPr>
          <w:rFonts w:ascii="宋体" w:hAnsi="宋体" w:cs="宋体" w:eastAsia="宋体" w:hint="default"/>
        </w:rPr>
        <w:t>(2)</w:t>
      </w:r>
      <w:r>
        <w:rPr/>
        <w:t>第二层次输入值是除第一层次输入值外相关资产或负债直接或间接可观察的输入值，包括：活跃</w:t>
      </w:r>
    </w:p>
    <w:p>
      <w:pPr>
        <w:pStyle w:val="BodyText"/>
        <w:spacing w:line="408" w:lineRule="auto"/>
        <w:ind w:left="1134" w:right="1131"/>
        <w:jc w:val="both"/>
      </w:pP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w:t>
      </w:r>
    </w:p>
    <w:p>
      <w:pPr>
        <w:pStyle w:val="BodyText"/>
        <w:spacing w:line="408" w:lineRule="auto"/>
        <w:ind w:left="1134" w:right="1118" w:firstLine="423"/>
        <w:jc w:val="left"/>
      </w:pPr>
      <w:r>
        <w:rPr>
          <w:rFonts w:ascii="宋体" w:hAnsi="宋体" w:cs="宋体" w:eastAsia="宋体" w:hint="default"/>
        </w:rPr>
        <w:t>(3)</w:t>
      </w:r>
      <w:r>
        <w:rPr/>
        <w:t>第三层次输入值是相关资产或负债的不可观察输入值，包括不能直接观察或无法由可观察市场数 </w:t>
      </w:r>
      <w:r>
        <w:rPr>
          <w:spacing w:val="-1"/>
        </w:rPr>
        <w:t>据验证的利率、股票波动率、企业合并中承担的弃置义务的未来现金流量、使用自身数据作出的财务预测</w:t>
      </w:r>
      <w:r>
        <w:rPr>
          <w:spacing w:val="-83"/>
        </w:rPr>
        <w:t> </w:t>
      </w:r>
      <w:r>
        <w:rPr>
          <w:spacing w:val="-83"/>
        </w:rPr>
      </w:r>
      <w:r>
        <w:rPr/>
        <w:t>等。</w:t>
      </w:r>
    </w:p>
    <w:p>
      <w:pPr>
        <w:pStyle w:val="BodyText"/>
        <w:spacing w:line="408" w:lineRule="auto"/>
        <w:ind w:left="1557" w:right="1194"/>
        <w:jc w:val="left"/>
      </w:pPr>
      <w:r>
        <w:rPr>
          <w:rFonts w:ascii="宋体" w:hAnsi="宋体" w:cs="宋体" w:eastAsia="宋体" w:hint="default"/>
        </w:rPr>
        <w:t>5.</w:t>
      </w:r>
      <w:r>
        <w:rPr/>
        <w:t>金融资产的减值测试和减值准备计提方法 </w:t>
      </w:r>
      <w:r>
        <w:rPr>
          <w:rFonts w:ascii="宋体" w:hAnsi="宋体" w:cs="宋体" w:eastAsia="宋体" w:hint="default"/>
        </w:rPr>
        <w:t>(1)</w:t>
      </w:r>
      <w:r>
        <w:rPr/>
        <w:t>资产负债表日对以公允价值计量且其变动计入当期损益的金融资产以外的金融资产的账面价值进</w:t>
      </w:r>
    </w:p>
    <w:p>
      <w:pPr>
        <w:pStyle w:val="BodyText"/>
        <w:spacing w:line="408" w:lineRule="auto"/>
        <w:ind w:left="1557" w:right="1194" w:hanging="424"/>
        <w:jc w:val="left"/>
      </w:pPr>
      <w:r>
        <w:rPr/>
        <w:t>行检查，如有客观证据表明该金融资产发生减值的，计提减值准备。 </w:t>
      </w:r>
      <w:r>
        <w:rPr>
          <w:rFonts w:ascii="宋体" w:hAnsi="宋体" w:cs="宋体" w:eastAsia="宋体" w:hint="default"/>
        </w:rPr>
        <w:t>(2)</w:t>
      </w:r>
      <w:r>
        <w:rPr/>
        <w:t>对于持有至到期投资、贷款和应收款，先将单项金额重大的金融资产区分开来，单独进行减值测</w:t>
      </w:r>
    </w:p>
    <w:p>
      <w:pPr>
        <w:pStyle w:val="BodyText"/>
        <w:spacing w:line="408" w:lineRule="auto"/>
        <w:ind w:left="1134" w:right="1130"/>
        <w:jc w:val="both"/>
      </w:pPr>
      <w:r>
        <w:rPr>
          <w:spacing w:val="-1"/>
        </w:rPr>
        <w:t>试；对单项金额不重大的金融资产，可以单独进行减值测试，或包括在具有类似信用风险特征的金融资产</w:t>
      </w:r>
      <w:r>
        <w:rPr>
          <w:spacing w:val="-82"/>
        </w:rPr>
        <w:t> </w:t>
      </w:r>
      <w:r>
        <w:rPr>
          <w:spacing w:val="-82"/>
        </w:rPr>
      </w:r>
      <w:r>
        <w:rPr>
          <w:spacing w:val="-1"/>
        </w:rPr>
        <w:t>组合中进行减值测试；单独测试未发生减值的金融资产（包括单项金额重大和不重大的金融资产），包括</w:t>
      </w:r>
      <w:r>
        <w:rPr>
          <w:spacing w:val="-86"/>
        </w:rPr>
        <w:t> </w:t>
      </w:r>
      <w:r>
        <w:rPr>
          <w:spacing w:val="-86"/>
        </w:rPr>
      </w:r>
      <w:r>
        <w:rPr>
          <w:spacing w:val="-1"/>
        </w:rPr>
        <w:t>在具有类似信用风险特征的金融资产组合中再进行减值测试。测试结果表明其发生了减值的，根据其账面</w:t>
      </w:r>
      <w:r>
        <w:rPr>
          <w:spacing w:val="-81"/>
        </w:rPr>
        <w:t> </w:t>
      </w:r>
      <w:r>
        <w:rPr>
          <w:spacing w:val="-81"/>
        </w:rPr>
      </w:r>
      <w:r>
        <w:rPr/>
        <w:t>价值高于预计未来现金流量现值的差额确认减值损失。</w:t>
      </w:r>
    </w:p>
    <w:p>
      <w:pPr>
        <w:pStyle w:val="BodyText"/>
        <w:spacing w:line="408" w:lineRule="auto"/>
        <w:ind w:left="1557" w:right="5079"/>
        <w:jc w:val="left"/>
      </w:pPr>
      <w:r>
        <w:rPr>
          <w:rFonts w:ascii="宋体" w:hAnsi="宋体" w:cs="宋体" w:eastAsia="宋体" w:hint="default"/>
        </w:rPr>
        <w:t>(3)</w:t>
      </w:r>
      <w:r>
        <w:rPr/>
        <w:t>可供出售金融资产 </w:t>
      </w:r>
      <w:r>
        <w:rPr>
          <w:rFonts w:ascii="宋体" w:hAnsi="宋体" w:cs="宋体" w:eastAsia="宋体" w:hint="default"/>
        </w:rPr>
        <w:t>1)</w:t>
      </w:r>
      <w:r>
        <w:rPr/>
        <w:t>表明可供出售债务工具投资发生减值的客观证据包括：</w:t>
      </w:r>
    </w:p>
    <w:p>
      <w:pPr>
        <w:pStyle w:val="BodyText"/>
        <w:spacing w:line="240" w:lineRule="auto"/>
        <w:ind w:left="1557" w:right="0"/>
        <w:jc w:val="left"/>
      </w:pPr>
      <w:r>
        <w:rPr/>
        <w:t>①债务人发生严重财务困难；</w:t>
      </w:r>
    </w:p>
    <w:p>
      <w:pPr>
        <w:spacing w:line="240" w:lineRule="auto" w:before="10"/>
        <w:rPr>
          <w:rFonts w:ascii="宋体" w:hAnsi="宋体" w:cs="宋体" w:eastAsia="宋体" w:hint="default"/>
          <w:sz w:val="14"/>
          <w:szCs w:val="14"/>
        </w:rPr>
      </w:pPr>
    </w:p>
    <w:p>
      <w:pPr>
        <w:pStyle w:val="BodyText"/>
        <w:spacing w:line="240" w:lineRule="auto" w:before="0"/>
        <w:ind w:left="1557" w:right="0"/>
        <w:jc w:val="left"/>
      </w:pPr>
      <w:r>
        <w:rPr/>
        <w:t>②债务人违反了合同条款，如偿付利息或本金发生违约或逾期；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240" w:lineRule="auto" w:before="0"/>
        <w:ind w:left="1557" w:right="0"/>
        <w:jc w:val="left"/>
      </w:pPr>
      <w:r>
        <w:rPr/>
        <w:t>③公司出于经济或法律等方面因素的考虑，对发生财务困难的债务人作出让步；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before="0"/>
        <w:ind w:left="1557" w:right="0"/>
        <w:jc w:val="left"/>
      </w:pPr>
      <w:r>
        <w:rPr/>
        <w:t>④债务人很可能倒闭或进行其他财务重组；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before="0"/>
        <w:ind w:left="1557" w:right="0"/>
        <w:jc w:val="left"/>
      </w:pPr>
      <w:r>
        <w:rPr/>
        <w:t>⑤因债务人发生重大财务困难，该债务工具无法在活跃市场继续交易；</w:t>
      </w:r>
    </w:p>
    <w:p>
      <w:pPr>
        <w:spacing w:line="240" w:lineRule="auto" w:before="10"/>
        <w:rPr>
          <w:rFonts w:ascii="宋体" w:hAnsi="宋体" w:cs="宋体" w:eastAsia="宋体" w:hint="default"/>
          <w:sz w:val="14"/>
          <w:szCs w:val="14"/>
        </w:rPr>
      </w:pPr>
    </w:p>
    <w:p>
      <w:pPr>
        <w:pStyle w:val="BodyText"/>
        <w:spacing w:line="408" w:lineRule="auto" w:before="0"/>
        <w:ind w:left="1557" w:right="1299"/>
        <w:jc w:val="left"/>
      </w:pPr>
      <w:r>
        <w:rPr/>
        <w:t>⑥其他表明可供出售债务工具已经发生减值的情况。 </w:t>
      </w:r>
      <w:r>
        <w:rPr>
          <w:rFonts w:ascii="宋体" w:hAnsi="宋体" w:cs="宋体" w:eastAsia="宋体" w:hint="default"/>
        </w:rPr>
        <w:t>2)</w:t>
      </w:r>
      <w:r>
        <w:rPr/>
        <w:t>表明可供出售权益工具投资发生减值的客观证据包括权益工具投资的公允价值发生严重或非暂时</w:t>
      </w:r>
    </w:p>
    <w:p>
      <w:pPr>
        <w:pStyle w:val="BodyText"/>
        <w:spacing w:line="408" w:lineRule="auto"/>
        <w:ind w:left="1134" w:right="1131"/>
        <w:jc w:val="both"/>
      </w:pPr>
      <w:r>
        <w:rPr>
          <w:spacing w:val="-1"/>
        </w:rPr>
        <w:t>性下跌，以及被投资单位经营所处的技术、市场、经济或法律环境等发生重大不利变化使公司可能无法收</w:t>
      </w:r>
      <w:r>
        <w:rPr>
          <w:spacing w:val="-83"/>
        </w:rPr>
        <w:t> </w:t>
      </w:r>
      <w:r>
        <w:rPr>
          <w:spacing w:val="-83"/>
        </w:rPr>
      </w:r>
      <w:r>
        <w:rPr/>
        <w:t>回投资成本。</w:t>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3"/>
        <w:jc w:val="left"/>
      </w:pPr>
      <w:r>
        <w:rPr>
          <w:spacing w:val="-1"/>
        </w:rPr>
        <w:t>本公司于资产负债表日对各项可供出售权益工具投资单独进行检查。对于以公允价值计量的权益工具</w:t>
      </w:r>
      <w:r>
        <w:rPr/>
        <w:t> </w:t>
      </w:r>
      <w:r>
        <w:rPr>
          <w:spacing w:val="-5"/>
        </w:rPr>
        <w:t>投资，若其于资产负债表日的公允价值低于其成本超过</w:t>
      </w:r>
      <w:r>
        <w:rPr>
          <w:rFonts w:ascii="宋体" w:hAnsi="宋体" w:cs="宋体" w:eastAsia="宋体" w:hint="default"/>
          <w:spacing w:val="-5"/>
        </w:rPr>
        <w:t>50%</w:t>
      </w:r>
      <w:r>
        <w:rPr>
          <w:spacing w:val="-5"/>
        </w:rPr>
        <w:t>（含</w:t>
      </w:r>
      <w:r>
        <w:rPr>
          <w:rFonts w:ascii="宋体" w:hAnsi="宋体" w:cs="宋体" w:eastAsia="宋体" w:hint="default"/>
          <w:spacing w:val="-5"/>
        </w:rPr>
        <w:t>50%</w:t>
      </w:r>
      <w:r>
        <w:rPr>
          <w:spacing w:val="-5"/>
        </w:rPr>
        <w:t>）或低于其成本持续时间超过</w:t>
      </w:r>
      <w:r>
        <w:rPr>
          <w:rFonts w:ascii="宋体" w:hAnsi="宋体" w:cs="宋体" w:eastAsia="宋体" w:hint="default"/>
          <w:spacing w:val="-5"/>
        </w:rPr>
        <w:t>12</w:t>
      </w:r>
      <w:r>
        <w:rPr>
          <w:spacing w:val="-5"/>
        </w:rPr>
        <w:t>个月（含</w:t>
      </w:r>
      <w:r>
        <w:rPr>
          <w:spacing w:val="-86"/>
        </w:rPr>
        <w:t> </w:t>
      </w:r>
      <w:r>
        <w:rPr>
          <w:spacing w:val="-86"/>
        </w:rPr>
      </w:r>
      <w:r>
        <w:rPr>
          <w:rFonts w:ascii="宋体" w:hAnsi="宋体" w:cs="宋体" w:eastAsia="宋体" w:hint="default"/>
          <w:spacing w:val="-1"/>
        </w:rPr>
        <w:t>12</w:t>
      </w:r>
      <w:r>
        <w:rPr>
          <w:spacing w:val="-1"/>
        </w:rPr>
        <w:t>个月）的，则表明其发生减值；若其于资产负债表日的公允价值低于其成本超过</w:t>
      </w:r>
      <w:r>
        <w:rPr>
          <w:rFonts w:ascii="宋体" w:hAnsi="宋体" w:cs="宋体" w:eastAsia="宋体" w:hint="default"/>
          <w:spacing w:val="-1"/>
        </w:rPr>
        <w:t>20%</w:t>
      </w:r>
      <w:r>
        <w:rPr>
          <w:spacing w:val="-1"/>
        </w:rPr>
        <w:t>（含</w:t>
      </w:r>
      <w:r>
        <w:rPr>
          <w:rFonts w:ascii="宋体" w:hAnsi="宋体" w:cs="宋体" w:eastAsia="宋体" w:hint="default"/>
          <w:spacing w:val="-1"/>
        </w:rPr>
        <w:t>20%</w:t>
      </w:r>
      <w:r>
        <w:rPr>
          <w:spacing w:val="-1"/>
        </w:rPr>
        <w:t>）但尚未达</w:t>
      </w:r>
      <w:r>
        <w:rPr>
          <w:spacing w:val="-81"/>
        </w:rPr>
        <w:t> </w:t>
      </w:r>
      <w:r>
        <w:rPr>
          <w:spacing w:val="-81"/>
        </w:rPr>
      </w:r>
      <w:r>
        <w:rPr/>
        <w:t>到</w:t>
      </w:r>
      <w:r>
        <w:rPr>
          <w:rFonts w:ascii="宋体" w:hAnsi="宋体" w:cs="宋体" w:eastAsia="宋体" w:hint="default"/>
        </w:rPr>
        <w:t>50%</w:t>
      </w:r>
      <w:r>
        <w:rPr/>
        <w:t>的，或低于其成本持续时间超过</w:t>
      </w:r>
      <w:r>
        <w:rPr>
          <w:rFonts w:ascii="宋体" w:hAnsi="宋体" w:cs="宋体" w:eastAsia="宋体" w:hint="default"/>
        </w:rPr>
        <w:t>6</w:t>
      </w:r>
      <w:r>
        <w:rPr/>
        <w:t>个月（含</w:t>
      </w:r>
      <w:r>
        <w:rPr>
          <w:rFonts w:ascii="宋体" w:hAnsi="宋体" w:cs="宋体" w:eastAsia="宋体" w:hint="default"/>
        </w:rPr>
        <w:t>6</w:t>
      </w:r>
      <w:r>
        <w:rPr/>
        <w:t>个月）但未超过</w:t>
      </w:r>
      <w:r>
        <w:rPr>
          <w:rFonts w:ascii="宋体" w:hAnsi="宋体" w:cs="宋体" w:eastAsia="宋体" w:hint="default"/>
        </w:rPr>
        <w:t>12</w:t>
      </w:r>
      <w:r>
        <w:rPr/>
        <w:t>个月的，本公司会综合考虑其他相关 </w:t>
      </w:r>
      <w:r>
        <w:rPr>
          <w:spacing w:val="-1"/>
        </w:rPr>
        <w:t>因素，诸如价格波动率等，判断该权益工具投资是否发生减值。对于以成本计量的权益工具投资，公司综</w:t>
      </w:r>
      <w:r>
        <w:rPr>
          <w:spacing w:val="-86"/>
        </w:rPr>
        <w:t> </w:t>
      </w:r>
      <w:r>
        <w:rPr>
          <w:spacing w:val="-86"/>
        </w:rPr>
      </w:r>
      <w:r>
        <w:rPr>
          <w:spacing w:val="-1"/>
        </w:rPr>
        <w:t>合考虑被投资单位经营所处的技术、市场、经济或法律环境等是否发生重大不利变化，判断该权益工具是</w:t>
      </w:r>
      <w:r>
        <w:rPr>
          <w:spacing w:val="-83"/>
        </w:rPr>
        <w:t> </w:t>
      </w:r>
      <w:r>
        <w:rPr>
          <w:spacing w:val="-83"/>
        </w:rPr>
      </w:r>
      <w:r>
        <w:rPr/>
        <w:t>否发生减值。</w:t>
      </w:r>
    </w:p>
    <w:p>
      <w:pPr>
        <w:pStyle w:val="BodyText"/>
        <w:spacing w:line="408" w:lineRule="auto"/>
        <w:ind w:right="1131" w:firstLine="423"/>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408" w:lineRule="auto"/>
        <w:ind w:right="1131" w:firstLine="568"/>
        <w:jc w:val="both"/>
      </w:pPr>
      <w:r>
        <w:rPr/>
        <w:t>以成本计量的可供出售权益工具发生减值时，将该权益工具投资的账面价值，与按照类似金融资产 </w:t>
      </w:r>
      <w:r>
        <w:rPr>
          <w:spacing w:val="-1"/>
        </w:rPr>
        <w:t>当时市场收益率对未来现金流量折现确定的现值之间的差额，确认为减值损失，计入当期损益，发生的减</w:t>
      </w:r>
      <w:r>
        <w:rPr>
          <w:spacing w:val="-83"/>
        </w:rPr>
        <w:t> </w:t>
      </w:r>
      <w:r>
        <w:rPr>
          <w:spacing w:val="-83"/>
        </w:rPr>
      </w:r>
      <w:r>
        <w:rPr/>
        <w:t>值损失一经确认，不予转回。</w:t>
      </w:r>
    </w:p>
    <w:p>
      <w:pPr>
        <w:spacing w:before="71"/>
        <w:ind w:left="149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、应收款项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left="1134" w:right="0"/>
        <w:jc w:val="left"/>
        <w:rPr>
          <w:b w:val="0"/>
          <w:bCs w:val="0"/>
        </w:rPr>
      </w:pPr>
      <w:bookmarkStart w:name="（1）单项金额重大并单独计提坏账准备的应收款项" w:id="231"/>
      <w:bookmarkEnd w:id="23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万元以上（含）或占应收款项账面余额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值的差额计提坏账准备；经单独测试未发生减值的，包括在 以账龄为信用风险特征的应收款项组合计提坏账准备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232"/>
      <w:bookmarkEnd w:id="23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233"/>
      <w:bookmarkEnd w:id="23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收款项组合中的未来现金流量现值存在显著差异</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值的差额计提坏账准备；经单独测试未发生减值的，包括在 以账龄为信用风险特征的应收款项组合计提坏账准备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11、存货" w:id="234"/>
      <w:bookmarkEnd w:id="234"/>
      <w:r>
        <w:rPr>
          <w:b w:val="0"/>
          <w:bCs w:val="0"/>
        </w:rPr>
      </w: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1557" w:right="0"/>
        <w:jc w:val="left"/>
      </w:pPr>
      <w:r>
        <w:rPr>
          <w:rFonts w:ascii="宋体" w:hAnsi="宋体" w:cs="宋体" w:eastAsia="宋体" w:hint="default"/>
        </w:rPr>
        <w:t>1.</w:t>
      </w:r>
      <w:r>
        <w:rPr/>
        <w:t>存货的分类 </w:t>
      </w:r>
      <w:r>
        <w:rPr>
          <w:spacing w:val="-1"/>
        </w:rPr>
        <w:t>存货包括在日常活动中持有以备出售的产成品或商品、处在生产过程中的在产品、在生产过程或提供</w:t>
      </w:r>
    </w:p>
    <w:p>
      <w:pPr>
        <w:pStyle w:val="BodyText"/>
        <w:spacing w:line="408" w:lineRule="auto"/>
        <w:ind w:left="1557" w:right="5709" w:hanging="424"/>
        <w:jc w:val="left"/>
      </w:pPr>
      <w:r>
        <w:rPr/>
        <w:t>劳务过程中耗用的材料和物料等。 </w:t>
      </w:r>
      <w:r>
        <w:rPr>
          <w:rFonts w:ascii="宋体" w:hAnsi="宋体" w:cs="宋体" w:eastAsia="宋体" w:hint="default"/>
        </w:rPr>
        <w:t>2.</w:t>
      </w:r>
      <w:r>
        <w:rPr/>
        <w:t>发出存货的计价方法 发出存货采用月末一次加权平均法与个别计价法。 </w:t>
      </w:r>
      <w:r>
        <w:rPr>
          <w:rFonts w:ascii="宋体" w:hAnsi="宋体" w:cs="宋体" w:eastAsia="宋体" w:hint="default"/>
        </w:rPr>
        <w:t>3.</w:t>
      </w:r>
      <w:r>
        <w:rPr/>
        <w:t>存货可变现净值的确定依据</w:t>
      </w:r>
    </w:p>
    <w:p>
      <w:pPr>
        <w:pStyle w:val="BodyText"/>
        <w:spacing w:line="408" w:lineRule="auto"/>
        <w:ind w:right="1024" w:firstLine="423"/>
        <w:jc w:val="left"/>
      </w:pPr>
      <w:r>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BodyText"/>
        <w:spacing w:line="408" w:lineRule="auto"/>
        <w:ind w:left="1557" w:right="7389"/>
        <w:jc w:val="left"/>
      </w:pPr>
      <w:r>
        <w:rPr>
          <w:rFonts w:ascii="宋体" w:hAnsi="宋体" w:cs="宋体" w:eastAsia="宋体" w:hint="default"/>
        </w:rPr>
        <w:t>4.</w:t>
      </w:r>
      <w:r>
        <w:rPr/>
        <w:t>存货的盘存制度 存货的盘存制度为永续盘存制。</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7" w:right="7179"/>
        <w:jc w:val="left"/>
      </w:pPr>
      <w:r>
        <w:rPr>
          <w:rFonts w:ascii="宋体" w:hAnsi="宋体" w:cs="宋体" w:eastAsia="宋体" w:hint="default"/>
        </w:rPr>
        <w:t>5.</w:t>
      </w:r>
      <w:r>
        <w:rPr/>
        <w:t>低值易耗品和包装物的摊销方法 按照一次转销法进行摊销。</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2、长期股权投资" w:id="235"/>
      <w:bookmarkEnd w:id="235"/>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54" w:right="0"/>
        <w:jc w:val="left"/>
      </w:pPr>
      <w:r>
        <w:rPr>
          <w:rFonts w:ascii="Times New Roman" w:hAnsi="Times New Roman" w:cs="Times New Roman" w:eastAsia="Times New Roman" w:hint="default"/>
        </w:rPr>
        <w:t>1.</w:t>
      </w:r>
      <w:r>
        <w:rPr/>
        <w:t>共同控制、重要影响的判断 </w:t>
      </w:r>
      <w:r>
        <w:rPr>
          <w:spacing w:val="-1"/>
        </w:rPr>
        <w:t>按照相关约定对某项安排存在共有的控制，并且该安排的相关活动必须经过分享控制权的参与方一致</w:t>
      </w:r>
    </w:p>
    <w:p>
      <w:pPr>
        <w:pStyle w:val="BodyText"/>
        <w:spacing w:line="408" w:lineRule="auto" w:before="65"/>
        <w:ind w:left="1134" w:right="1131"/>
        <w:jc w:val="both"/>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w:t>
      </w:r>
    </w:p>
    <w:p>
      <w:pPr>
        <w:pStyle w:val="BodyText"/>
        <w:spacing w:line="386" w:lineRule="auto"/>
        <w:ind w:left="1553" w:right="0"/>
        <w:jc w:val="left"/>
      </w:pPr>
      <w:r>
        <w:rPr>
          <w:rFonts w:ascii="Times New Roman" w:hAnsi="Times New Roman" w:cs="Times New Roman" w:eastAsia="Times New Roman" w:hint="default"/>
        </w:rPr>
        <w:t>2.</w:t>
      </w:r>
      <w:r>
        <w:rPr/>
        <w:t>投资成本的确定 </w:t>
      </w:r>
      <w:r>
        <w:rPr>
          <w:rFonts w:ascii="Times New Roman" w:hAnsi="Times New Roman" w:cs="Times New Roman" w:eastAsia="Times New Roman" w:hint="default"/>
          <w:spacing w:val="-2"/>
        </w:rPr>
        <w:t>(1)</w:t>
      </w:r>
      <w:r>
        <w:rPr>
          <w:spacing w:val="-2"/>
        </w:rPr>
        <w:t>同一控制下的企业合并形成的，合并方以支付现金、转让非现金资产、承担债务或发行权益性证券</w:t>
      </w:r>
    </w:p>
    <w:p>
      <w:pPr>
        <w:pStyle w:val="BodyText"/>
        <w:spacing w:line="408" w:lineRule="auto" w:before="35"/>
        <w:ind w:right="1131"/>
        <w:jc w:val="both"/>
      </w:pPr>
      <w:r>
        <w:rPr>
          <w:spacing w:val="-1"/>
        </w:rPr>
        <w:t>作为合并对价的，在合并日按照取得被合并方所有者权益在最终控制方合并财务报表中的账面价值的份额</w:t>
      </w:r>
      <w:r>
        <w:rPr>
          <w:spacing w:val="-81"/>
        </w:rPr>
        <w:t> </w:t>
      </w:r>
      <w:r>
        <w:rPr>
          <w:spacing w:val="-81"/>
        </w:rPr>
      </w:r>
      <w:r>
        <w:rPr>
          <w:spacing w:val="-1"/>
        </w:rPr>
        <w:t>作为其初始投资成本。长期股权投资初始投资成本与支付的合并对价的账面价值或发行股份的面值总额之</w:t>
      </w:r>
      <w:r>
        <w:rPr>
          <w:spacing w:val="-81"/>
        </w:rPr>
        <w:t> </w:t>
      </w:r>
      <w:r>
        <w:rPr>
          <w:spacing w:val="-81"/>
        </w:rPr>
      </w:r>
      <w:r>
        <w:rPr/>
        <w:t>间的差额调整资本公积；资本公积不足冲减的，调整留存收益。</w:t>
      </w:r>
    </w:p>
    <w:p>
      <w:pPr>
        <w:pStyle w:val="BodyText"/>
        <w:spacing w:line="398" w:lineRule="auto"/>
        <w:ind w:right="1130"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4"/>
        </w:rPr>
        <w:t> </w:t>
      </w:r>
      <w:r>
        <w:rPr>
          <w:spacing w:val="-1"/>
        </w:rPr>
        <w:t>合并日，根据合并后应享有被合并方净资产在最终控制方合并财务报表中的账面价值的份额确定初始投资</w:t>
      </w:r>
      <w:r>
        <w:rPr>
          <w:spacing w:val="-80"/>
        </w:rPr>
        <w:t> </w:t>
      </w:r>
      <w:r>
        <w:rPr>
          <w:spacing w:val="-80"/>
        </w:rPr>
      </w:r>
      <w:r>
        <w:rPr>
          <w:spacing w:val="-1"/>
        </w:rPr>
        <w:t>成本。合并日长期股权投资的初始投资成本，与达到合并前的长期股权投资账面价值加上合并日进一步取</w:t>
      </w:r>
      <w:r>
        <w:rPr>
          <w:spacing w:val="-81"/>
        </w:rPr>
        <w:t> </w:t>
      </w:r>
      <w:r>
        <w:rPr>
          <w:spacing w:val="-81"/>
        </w:rPr>
      </w:r>
      <w:r>
        <w:rPr/>
        <w:t>得股份新支付对价的账面价值之和的差额，调整资本公积；资本公积不足冲减的，调整留存收益。</w:t>
      </w:r>
    </w:p>
    <w:p>
      <w:pPr>
        <w:pStyle w:val="BodyText"/>
        <w:spacing w:line="386" w:lineRule="auto" w:before="54"/>
        <w:ind w:left="1554" w:right="1057"/>
        <w:jc w:val="left"/>
      </w:pPr>
      <w:r>
        <w:rPr>
          <w:rFonts w:ascii="Times New Roman" w:hAnsi="Times New Roman" w:cs="Times New Roman" w:eastAsia="Times New Roman" w:hint="default"/>
        </w:rPr>
        <w:t>(2)</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BodyText"/>
        <w:spacing w:line="240" w:lineRule="auto" w:before="65"/>
        <w:ind w:left="1134" w:right="0"/>
        <w:jc w:val="both"/>
      </w:pPr>
      <w:r>
        <w:rPr/>
        <w:t>务报表进行相关会计处理：</w:t>
      </w:r>
    </w:p>
    <w:p>
      <w:pPr>
        <w:spacing w:line="240" w:lineRule="auto" w:before="10"/>
        <w:rPr>
          <w:rFonts w:ascii="宋体" w:hAnsi="宋体" w:cs="宋体" w:eastAsia="宋体" w:hint="default"/>
          <w:sz w:val="14"/>
          <w:szCs w:val="14"/>
        </w:rPr>
      </w:pPr>
    </w:p>
    <w:p>
      <w:pPr>
        <w:pStyle w:val="BodyText"/>
        <w:spacing w:line="386" w:lineRule="auto" w:before="0"/>
        <w:ind w:left="1134" w:right="1134" w:firstLine="420"/>
        <w:jc w:val="both"/>
      </w:pPr>
      <w:r>
        <w:rPr>
          <w:rFonts w:ascii="Times New Roman" w:hAnsi="Times New Roman" w:cs="Times New Roman" w:eastAsia="Times New Roman" w:hint="default"/>
        </w:rPr>
        <w:t>1)</w:t>
      </w:r>
      <w:r>
        <w:rPr/>
        <w:t>在个别财务报表中，按照原持有的股权投资的账面价值加上新增投资成本之和，作为改按成本法核</w:t>
      </w:r>
      <w:r>
        <w:rPr>
          <w:w w:val="99"/>
        </w:rPr>
        <w:t> </w:t>
      </w:r>
      <w:r>
        <w:rPr/>
        <w:t>算的初始投资成本。</w:t>
      </w:r>
    </w:p>
    <w:p>
      <w:pPr>
        <w:pStyle w:val="BodyText"/>
        <w:spacing w:line="398" w:lineRule="auto" w:before="65"/>
        <w:ind w:left="1134" w:right="1131" w:firstLine="420"/>
        <w:jc w:val="both"/>
      </w:pPr>
      <w:r>
        <w:rPr>
          <w:rFonts w:ascii="Times New Roman" w:hAnsi="Times New Roman" w:cs="Times New Roman" w:eastAsia="Times New Roman" w:hint="default"/>
        </w:rPr>
        <w:t>2)</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81"/>
        </w:rPr>
        <w:t> </w:t>
      </w:r>
      <w:r>
        <w:rPr>
          <w:spacing w:val="-81"/>
        </w:rPr>
      </w:r>
      <w:r>
        <w:rPr>
          <w:spacing w:val="-1"/>
        </w:rPr>
        <w:t>的被购买方的股权涉及权益法核算下的其他综合收益等的，与其相关的其他综合收益等转为购买日所属当</w:t>
      </w:r>
      <w:r>
        <w:rPr>
          <w:spacing w:val="-81"/>
        </w:rPr>
        <w:t> </w:t>
      </w:r>
      <w:r>
        <w:rPr>
          <w:spacing w:val="-81"/>
        </w:rPr>
      </w:r>
      <w:r>
        <w:rPr/>
        <w:t>期收益。但由于被投资方重新计量设定受益计划净负债或净资产变动而产生的其他综合收益除外。</w:t>
      </w:r>
    </w:p>
    <w:p>
      <w:pPr>
        <w:pStyle w:val="BodyText"/>
        <w:spacing w:line="386" w:lineRule="auto" w:before="54"/>
        <w:ind w:left="1134" w:right="1131" w:firstLine="420"/>
        <w:jc w:val="both"/>
      </w:pPr>
      <w:r>
        <w:rPr>
          <w:rFonts w:ascii="Times New Roman" w:hAnsi="Times New Roman" w:cs="Times New Roman" w:eastAsia="Times New Roman" w:hint="default"/>
          <w:spacing w:val="-2"/>
        </w:rPr>
        <w:t>(3)</w:t>
      </w:r>
      <w:r>
        <w:rPr>
          <w:spacing w:val="-2"/>
        </w:rPr>
        <w:t>除企业合并形成以外的：以支付现金取得的，按照实际支付的购买价款作为其初始投资成本；以发</w:t>
      </w:r>
      <w:r>
        <w:rPr>
          <w:w w:val="99"/>
        </w:rPr>
        <w:t> </w:t>
      </w:r>
      <w:r>
        <w:rPr>
          <w:spacing w:val="-1"/>
        </w:rPr>
        <w:t>行权益性证券取得的，按照发行权益性证券的公允价值作为其初始投资成本；以债务重组方式取得的，按</w:t>
      </w:r>
    </w:p>
    <w:p>
      <w:pPr>
        <w:spacing w:after="0" w:line="386"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left="1134" w:right="0"/>
        <w:jc w:val="left"/>
      </w:pPr>
      <w:r>
        <w:rPr>
          <w:spacing w:val="-1"/>
        </w:rPr>
        <w:t>《企业会计准则第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债务重组》确定其初始投资成本；以非货币性资产交换取得的，按《企业会计</w:t>
      </w:r>
      <w:r>
        <w:rPr>
          <w:spacing w:val="-87"/>
        </w:rPr>
        <w:t> </w:t>
      </w:r>
      <w:r>
        <w:rPr>
          <w:spacing w:val="-87"/>
        </w:rPr>
      </w:r>
      <w:r>
        <w:rPr/>
        <w:t>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386" w:lineRule="auto" w:before="35"/>
        <w:ind w:left="1554" w:right="0"/>
        <w:jc w:val="left"/>
      </w:pPr>
      <w:r>
        <w:rPr>
          <w:rFonts w:ascii="Times New Roman" w:hAnsi="Times New Roman" w:cs="Times New Roman" w:eastAsia="Times New Roman" w:hint="default"/>
        </w:rPr>
        <w:t>3.</w:t>
      </w:r>
      <w:r>
        <w:rPr/>
        <w:t>后续计量及损益确认方法 </w:t>
      </w:r>
      <w:r>
        <w:rPr>
          <w:spacing w:val="-1"/>
        </w:rPr>
        <w:t>对被投资单位实施控制的长期股权投资采用成本法核算；对联营企业和合营企业的长期股权投资，采</w:t>
      </w:r>
    </w:p>
    <w:p>
      <w:pPr>
        <w:pStyle w:val="BodyText"/>
        <w:spacing w:line="398" w:lineRule="auto" w:before="65"/>
        <w:ind w:left="1554" w:right="4504" w:hanging="420"/>
        <w:jc w:val="left"/>
      </w:pPr>
      <w:r>
        <w:rPr/>
        <w:t>用权益法核算。 </w:t>
      </w:r>
      <w:r>
        <w:rPr>
          <w:rFonts w:ascii="Times New Roman" w:hAnsi="Times New Roman" w:cs="Times New Roman" w:eastAsia="Times New Roman" w:hint="default"/>
        </w:rPr>
        <w:t>4.</w:t>
      </w:r>
      <w:r>
        <w:rPr/>
        <w:t>通过多次交易分步处置对子公司投资至丧失控制权的处理方法 </w:t>
      </w:r>
      <w:r>
        <w:rPr>
          <w:rFonts w:ascii="Times New Roman" w:hAnsi="Times New Roman" w:cs="Times New Roman" w:eastAsia="Times New Roman" w:hint="default"/>
        </w:rPr>
        <w:t>(1)</w:t>
      </w:r>
      <w:r>
        <w:rPr/>
        <w:t>个别财务报表</w:t>
      </w:r>
    </w:p>
    <w:p>
      <w:pPr>
        <w:pStyle w:val="BodyText"/>
        <w:spacing w:line="400" w:lineRule="auto" w:before="24"/>
        <w:ind w:right="1110" w:firstLine="420"/>
        <w:jc w:val="both"/>
      </w:pPr>
      <w:r>
        <w:rPr>
          <w:spacing w:val="-1"/>
        </w:rPr>
        <w:t>对处置的股权，其账面价值与实际取得价款之间的差额，计入当期损益。对于剩余股权，对被投资单</w:t>
      </w:r>
      <w:r>
        <w:rPr/>
        <w:t> 位仍具有重大影响或者与其他方一起实施共同控制的，转为权益法核算；不能再对被投资单位实施控制、 </w:t>
      </w:r>
      <w:r>
        <w:rPr>
          <w:spacing w:val="-1"/>
        </w:rPr>
        <w:t>共同控制或重大影响的，确认为金融资产，按照《企业会计准则第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金融工具确认和计量》的相关</w:t>
      </w:r>
      <w:r>
        <w:rPr>
          <w:spacing w:val="-85"/>
        </w:rPr>
        <w:t> </w:t>
      </w:r>
      <w:r>
        <w:rPr>
          <w:spacing w:val="-85"/>
        </w:rPr>
      </w:r>
      <w:r>
        <w:rPr/>
        <w:t>规定进行核算。</w:t>
      </w:r>
    </w:p>
    <w:p>
      <w:pPr>
        <w:pStyle w:val="BodyText"/>
        <w:spacing w:line="386" w:lineRule="auto" w:before="52"/>
        <w:ind w:left="1554" w:right="3041"/>
        <w:jc w:val="left"/>
      </w:pPr>
      <w:r>
        <w:rPr>
          <w:rFonts w:ascii="Times New Roman" w:hAnsi="Times New Roman" w:cs="Times New Roman" w:eastAsia="Times New Roman" w:hint="default"/>
        </w:rPr>
        <w:t>(2)</w:t>
      </w:r>
      <w:r>
        <w:rPr/>
        <w:t>合并财务报表</w:t>
      </w:r>
      <w:r>
        <w:rPr>
          <w:w w:val="99"/>
        </w:rPr>
        <w:t> </w:t>
      </w:r>
      <w:r>
        <w:rPr>
          <w:rFonts w:ascii="Times New Roman" w:hAnsi="Times New Roman" w:cs="Times New Roman" w:eastAsia="Times New Roman" w:hint="default"/>
        </w:rPr>
        <w:t>1)</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p>
    <w:p>
      <w:pPr>
        <w:pStyle w:val="BodyText"/>
        <w:spacing w:line="408" w:lineRule="auto" w:before="35"/>
        <w:ind w:right="1132" w:firstLine="420"/>
        <w:jc w:val="both"/>
      </w:pPr>
      <w:r>
        <w:rPr>
          <w:spacing w:val="-1"/>
        </w:rPr>
        <w:t>在丧失控制权之前，处置价款与处置长期股权投资相对应享有子公司自购买日或合并日开始持续计算</w:t>
      </w:r>
      <w:r>
        <w:rPr/>
        <w:t> 的净资产份额之间的差额，调整资本公积（资本溢价），资本溢价不足冲减的，冲减留存收益。</w:t>
      </w:r>
    </w:p>
    <w:p>
      <w:pPr>
        <w:pStyle w:val="BodyText"/>
        <w:spacing w:line="408" w:lineRule="auto"/>
        <w:ind w:right="1131" w:firstLine="420"/>
        <w:jc w:val="both"/>
      </w:pPr>
      <w:r>
        <w:rPr>
          <w:spacing w:val="-1"/>
        </w:rPr>
        <w:t>丧失对原子公司控制权时，对于剩余股权，按照其在丧失控制权日的公允价值进行重新计量。处置股</w:t>
      </w:r>
      <w:r>
        <w:rPr/>
        <w:t> </w:t>
      </w: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BodyText"/>
        <w:spacing w:line="386" w:lineRule="auto"/>
        <w:ind w:left="1553" w:right="0"/>
        <w:jc w:val="left"/>
      </w:pPr>
      <w:r>
        <w:rPr>
          <w:rFonts w:ascii="Times New Roman" w:hAnsi="Times New Roman" w:cs="Times New Roman" w:eastAsia="Times New Roman" w:hint="default"/>
        </w:rPr>
        <w:t>2)</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w:t>
      </w:r>
    </w:p>
    <w:p>
      <w:pPr>
        <w:pStyle w:val="BodyText"/>
        <w:spacing w:line="408" w:lineRule="auto" w:before="65"/>
        <w:ind w:right="0"/>
        <w:jc w:val="left"/>
      </w:pP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left="1134" w:right="0"/>
        <w:jc w:val="left"/>
        <w:rPr>
          <w:b w:val="0"/>
          <w:bCs w:val="0"/>
        </w:rPr>
      </w:pPr>
      <w:bookmarkStart w:name="13、固定资产" w:id="236"/>
      <w:bookmarkEnd w:id="236"/>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确认条件" w:id="237"/>
      <w:bookmarkEnd w:id="23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13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固定资产是指为生产商品、提供劳务、出租或经营管理而持有的，使用年限超过一个会计年度的有形资产。固定资产在同时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满足经济利益很可能流入、成本能够可靠计量时予以确认。</w:t>
      </w:r>
    </w:p>
    <w:p>
      <w:pPr>
        <w:spacing w:after="0" w:line="319"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left="1134" w:right="0"/>
        <w:jc w:val="left"/>
        <w:rPr>
          <w:b w:val="0"/>
          <w:bCs w:val="0"/>
        </w:rPr>
      </w:pPr>
      <w:bookmarkStart w:name="（2）折旧方法" w:id="238"/>
      <w:bookmarkEnd w:id="23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14、在建工程" w:id="239"/>
      <w:bookmarkEnd w:id="239"/>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77"/>
        <w:ind w:left="1134" w:right="1134" w:firstLine="420"/>
        <w:jc w:val="both"/>
      </w:pPr>
      <w:r>
        <w:rPr>
          <w:rFonts w:ascii="Times New Roman" w:hAnsi="Times New Roman" w:cs="Times New Roman" w:eastAsia="Times New Roman" w:hint="default"/>
        </w:rPr>
        <w:t>1.</w:t>
      </w:r>
      <w:r>
        <w:rPr/>
        <w:t>在建工程同时满足经济利益很可能流入、成本能够可靠计量则予以确认。在建工程按建造该项资产 达到预定可使用状态前所发生的实际成本计量。</w:t>
      </w:r>
    </w:p>
    <w:p>
      <w:pPr>
        <w:pStyle w:val="BodyText"/>
        <w:spacing w:line="398" w:lineRule="auto" w:before="65"/>
        <w:ind w:left="1134" w:right="1131" w:firstLine="420"/>
        <w:jc w:val="both"/>
      </w:pPr>
      <w:r>
        <w:rPr>
          <w:rFonts w:ascii="Times New Roman" w:hAnsi="Times New Roman" w:cs="Times New Roman" w:eastAsia="Times New Roman" w:hint="default"/>
        </w:rPr>
        <w:t>2.</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3"/>
        <w:rPr>
          <w:rFonts w:ascii="宋体" w:hAnsi="宋体" w:cs="宋体" w:eastAsia="宋体" w:hint="default"/>
          <w:sz w:val="21"/>
          <w:szCs w:val="21"/>
        </w:rPr>
      </w:pPr>
    </w:p>
    <w:p>
      <w:pPr>
        <w:pStyle w:val="Heading4"/>
        <w:spacing w:line="240" w:lineRule="auto"/>
        <w:ind w:left="1134" w:right="0"/>
        <w:jc w:val="left"/>
        <w:rPr>
          <w:b w:val="0"/>
          <w:bCs w:val="0"/>
        </w:rPr>
      </w:pPr>
      <w:bookmarkStart w:name="15、借款费用" w:id="240"/>
      <w:bookmarkEnd w:id="240"/>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554" w:right="0"/>
        <w:jc w:val="left"/>
      </w:pPr>
      <w:r>
        <w:rPr>
          <w:rFonts w:ascii="Times New Roman" w:hAnsi="Times New Roman" w:cs="Times New Roman" w:eastAsia="Times New Roman" w:hint="default"/>
        </w:rPr>
        <w:t>1.</w:t>
      </w:r>
      <w:r>
        <w:rPr/>
        <w:t>借款费用资本化的确认原则 </w:t>
      </w:r>
      <w:r>
        <w:rPr>
          <w:spacing w:val="-1"/>
        </w:rPr>
        <w:t>公司发生的借款费用，可直接归属于符合资本化条件的资产的购建或者生产的，予以资本化，计入相</w:t>
      </w:r>
    </w:p>
    <w:p>
      <w:pPr>
        <w:pStyle w:val="BodyText"/>
        <w:spacing w:line="240" w:lineRule="auto" w:before="65"/>
        <w:ind w:left="1134" w:right="0"/>
        <w:jc w:val="left"/>
      </w:pPr>
      <w:r>
        <w:rPr/>
        <w:t>关资产成本；其他借款费用，在发生时确认为费用，计入当期损益。</w:t>
      </w:r>
    </w:p>
    <w:p>
      <w:pPr>
        <w:spacing w:line="240" w:lineRule="auto" w:before="10"/>
        <w:rPr>
          <w:rFonts w:ascii="宋体" w:hAnsi="宋体" w:cs="宋体" w:eastAsia="宋体" w:hint="default"/>
          <w:sz w:val="14"/>
          <w:szCs w:val="14"/>
        </w:rPr>
      </w:pPr>
    </w:p>
    <w:p>
      <w:pPr>
        <w:pStyle w:val="BodyText"/>
        <w:spacing w:line="386" w:lineRule="auto" w:before="0"/>
        <w:ind w:left="1553" w:right="0"/>
        <w:jc w:val="left"/>
      </w:pPr>
      <w:r>
        <w:rPr>
          <w:rFonts w:ascii="Times New Roman" w:hAnsi="Times New Roman" w:cs="Times New Roman" w:eastAsia="Times New Roman" w:hint="default"/>
        </w:rPr>
        <w:t>2.</w:t>
      </w:r>
      <w:r>
        <w:rPr/>
        <w:t>借款费用资本化期间 </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r>
        <w:rPr>
          <w:rFonts w:ascii="Times New Roman" w:hAnsi="Times New Roman" w:cs="Times New Roman" w:eastAsia="Times New Roman" w:hint="default"/>
        </w:rPr>
        <w:t>3)</w:t>
      </w:r>
      <w:r>
        <w:rPr/>
        <w:t>为</w:t>
      </w:r>
    </w:p>
    <w:p>
      <w:pPr>
        <w:pStyle w:val="BodyText"/>
        <w:spacing w:line="240" w:lineRule="auto" w:before="35"/>
        <w:ind w:right="0"/>
        <w:jc w:val="left"/>
      </w:pPr>
      <w:r>
        <w:rPr/>
        <w:t>使资产达到预定可使用或可销售状态所必要的购建或者生产活动已经开始。</w:t>
      </w:r>
    </w:p>
    <w:p>
      <w:pPr>
        <w:spacing w:line="240" w:lineRule="auto" w:before="10"/>
        <w:rPr>
          <w:rFonts w:ascii="宋体" w:hAnsi="宋体" w:cs="宋体" w:eastAsia="宋体" w:hint="default"/>
          <w:sz w:val="14"/>
          <w:szCs w:val="14"/>
        </w:rPr>
      </w:pPr>
    </w:p>
    <w:p>
      <w:pPr>
        <w:pStyle w:val="BodyText"/>
        <w:spacing w:line="398" w:lineRule="auto" w:before="0"/>
        <w:ind w:right="1129" w:firstLine="420"/>
        <w:jc w:val="both"/>
      </w:pPr>
      <w:r>
        <w:rPr>
          <w:rFonts w:ascii="Times New Roman" w:hAnsi="Times New Roman" w:cs="Times New Roman" w:eastAsia="Times New Roman" w:hint="default"/>
        </w:rPr>
        <w:t>(2)</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spacing w:val="-1"/>
        </w:rPr>
        <w:t>暂停借款费用的资本化；中断期间发生的借款费用确认为当期费用，直至资产的购建或者生产活动重新开</w:t>
      </w:r>
      <w:r>
        <w:rPr>
          <w:spacing w:val="-82"/>
        </w:rPr>
        <w:t> </w:t>
      </w:r>
      <w:r>
        <w:rPr>
          <w:spacing w:val="-82"/>
        </w:rPr>
      </w:r>
      <w:r>
        <w:rPr/>
        <w:t>始。</w:t>
      </w:r>
    </w:p>
    <w:p>
      <w:pPr>
        <w:pStyle w:val="BodyText"/>
        <w:spacing w:line="386" w:lineRule="auto" w:before="54"/>
        <w:ind w:left="1554" w:right="1057"/>
        <w:jc w:val="left"/>
      </w:pPr>
      <w:r>
        <w:rPr>
          <w:rFonts w:ascii="Times New Roman" w:hAnsi="Times New Roman" w:cs="Times New Roman" w:eastAsia="Times New Roman" w:hint="default"/>
        </w:rPr>
        <w:t>(3)</w:t>
      </w:r>
      <w:r>
        <w:rPr/>
        <w:t>当所购建或者生产符合资本化条件的资产达到预定可使用或可销售状态时，借款费用停止资本化。</w:t>
      </w:r>
      <w:r>
        <w:rPr>
          <w:w w:val="99"/>
        </w:rPr>
        <w:t> </w:t>
      </w:r>
      <w:r>
        <w:rPr>
          <w:rFonts w:ascii="Times New Roman" w:hAnsi="Times New Roman" w:cs="Times New Roman" w:eastAsia="Times New Roman" w:hint="default"/>
        </w:rPr>
        <w:t>3.</w:t>
      </w:r>
      <w:r>
        <w:rPr/>
        <w:t>借款费用资本化率以及资本化金额</w:t>
      </w:r>
      <w:r>
        <w:rPr>
          <w:w w:val="99"/>
        </w:rPr>
        <w:t> </w:t>
      </w:r>
      <w:r>
        <w:rPr/>
        <w:t>为购建或者生产符合资本化条件的资产而借入专门借款的，以专门借款当期实际发生的利息费用（包</w:t>
      </w:r>
    </w:p>
    <w:p>
      <w:pPr>
        <w:pStyle w:val="BodyText"/>
        <w:spacing w:line="408" w:lineRule="auto" w:before="65"/>
        <w:ind w:left="1134" w:right="0"/>
        <w:jc w:val="left"/>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16、无形资产" w:id="241"/>
      <w:bookmarkEnd w:id="241"/>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计价方法、使用寿命、减值测试" w:id="242"/>
      <w:bookmarkEnd w:id="24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3"/>
        <w:spacing w:line="293" w:lineRule="exact"/>
        <w:ind w:left="1554" w:right="0"/>
        <w:jc w:val="left"/>
        <w:rPr>
          <w:i w:val="0"/>
        </w:rPr>
      </w:pPr>
      <w:r>
        <w:rPr>
          <w:rFonts w:ascii="Times New Roman" w:hAnsi="Times New Roman" w:cs="Times New Roman" w:eastAsia="Times New Roman" w:hint="default"/>
          <w:i/>
          <w:sz w:val="21"/>
          <w:szCs w:val="21"/>
        </w:rPr>
        <w:t>1.</w:t>
      </w:r>
      <w:r>
        <w:rPr/>
        <w:t>无形资产包括土地使用权、专利权及非专利技术等，按成本进行初始计量。</w:t>
      </w:r>
      <w:r>
        <w:rPr>
          <w:i w:val="0"/>
        </w:rPr>
      </w:r>
    </w:p>
    <w:p>
      <w:pPr>
        <w:pStyle w:val="BodyText"/>
        <w:spacing w:line="256" w:lineRule="auto" w:before="21"/>
        <w:ind w:right="0" w:firstLine="42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1486" w:type="dxa"/>
        <w:tblLayout w:type="fixed"/>
        <w:tblCellMar>
          <w:top w:w="0" w:type="dxa"/>
          <w:left w:w="0" w:type="dxa"/>
          <w:bottom w:w="0" w:type="dxa"/>
          <w:right w:w="0" w:type="dxa"/>
        </w:tblCellMar>
        <w:tblLook w:val="01E0"/>
      </w:tblPr>
      <w:tblGrid>
        <w:gridCol w:w="2160"/>
        <w:gridCol w:w="2160"/>
      </w:tblGrid>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right="8"/>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center"/>
              <w:rPr>
                <w:rFonts w:ascii="Times New Roman" w:hAnsi="Times New Roman" w:cs="Times New Roman" w:eastAsia="Times New Roman" w:hint="default"/>
                <w:sz w:val="21"/>
                <w:szCs w:val="21"/>
              </w:rPr>
            </w:pPr>
            <w:r>
              <w:rPr>
                <w:rFonts w:ascii="Times New Roman"/>
                <w:sz w:val="21"/>
              </w:rPr>
              <w:t>5-10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2）内部研究开发支出会计政策" w:id="243"/>
      <w:bookmarkEnd w:id="24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pStyle w:val="BodyText"/>
        <w:spacing w:line="391" w:lineRule="auto" w:before="0"/>
        <w:ind w:left="1134" w:right="1130" w:firstLine="420"/>
        <w:jc w:val="both"/>
      </w:pPr>
      <w:r>
        <w:rPr>
          <w:spacing w:val="-1"/>
        </w:rPr>
        <w:t>内部研究开发项目研究阶段的支出，于发生时计入当期损益。内部研究开发项目开发阶段的支出，同</w:t>
      </w:r>
      <w:r>
        <w:rPr/>
        <w:t> </w:t>
      </w:r>
      <w:r>
        <w:rPr>
          <w:spacing w:val="-2"/>
        </w:rPr>
        <w:t>时满足下列条件的，确认为无形资产：</w:t>
      </w:r>
      <w:r>
        <w:rPr>
          <w:rFonts w:ascii="Times New Roman" w:hAnsi="Times New Roman" w:cs="Times New Roman" w:eastAsia="Times New Roman" w:hint="default"/>
          <w:spacing w:val="-2"/>
        </w:rPr>
        <w:t>(1)</w:t>
      </w:r>
      <w:r>
        <w:rPr>
          <w:spacing w:val="-2"/>
        </w:rPr>
        <w:t>完成该无形资产以使其能够使用或出售在技术上具有可行性；</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spacing w:val="-2"/>
        </w:rPr>
        <w:t>具有完成该无形资产并使用或出售的意图；</w:t>
      </w:r>
      <w:r>
        <w:rPr>
          <w:rFonts w:ascii="Times New Roman" w:hAnsi="Times New Roman" w:cs="Times New Roman" w:eastAsia="Times New Roman" w:hint="default"/>
          <w:spacing w:val="-2"/>
        </w:rPr>
        <w:t>(3)</w:t>
      </w:r>
      <w:r>
        <w:rPr>
          <w:spacing w:val="-2"/>
        </w:rPr>
        <w:t>无形资产产生经济利益的方式，包括能够证明运用该无形资</w:t>
      </w:r>
      <w:r>
        <w:rPr>
          <w:spacing w:val="-66"/>
        </w:rPr>
        <w:t> </w:t>
      </w:r>
      <w:r>
        <w:rPr>
          <w:spacing w:val="-66"/>
        </w:rPr>
      </w:r>
      <w:r>
        <w:rPr>
          <w:spacing w:val="-2"/>
        </w:rPr>
        <w:t>产生产的产品存在市场或无形资产自身存在市场，无形资产将在内部使用的，能证明其有用性；</w:t>
      </w:r>
      <w:r>
        <w:rPr>
          <w:rFonts w:ascii="Times New Roman" w:hAnsi="Times New Roman" w:cs="Times New Roman" w:eastAsia="Times New Roman" w:hint="default"/>
          <w:spacing w:val="-2"/>
        </w:rPr>
        <w:t>(4)</w:t>
      </w:r>
      <w:r>
        <w:rPr>
          <w:spacing w:val="-2"/>
        </w:rPr>
        <w:t>有足够</w:t>
      </w:r>
      <w:r>
        <w:rPr>
          <w:spacing w:val="-68"/>
        </w:rPr>
        <w:t> </w:t>
      </w:r>
      <w:r>
        <w:rPr>
          <w:spacing w:val="-2"/>
        </w:rPr>
        <w:t>的技术、财务资源和其他资源支持，以完成该无形资产的开发，并有能力使用或出售该无形资产；</w:t>
      </w:r>
      <w:r>
        <w:rPr>
          <w:rFonts w:ascii="Times New Roman" w:hAnsi="Times New Roman" w:cs="Times New Roman" w:eastAsia="Times New Roman" w:hint="default"/>
          <w:spacing w:val="-2"/>
        </w:rPr>
        <w:t>(5)</w:t>
      </w:r>
      <w:r>
        <w:rPr>
          <w:spacing w:val="-2"/>
        </w:rPr>
        <w:t>归属</w:t>
      </w:r>
      <w:r>
        <w:rPr>
          <w:spacing w:val="-67"/>
        </w:rPr>
        <w:t> </w:t>
      </w:r>
      <w:r>
        <w:rPr/>
        <w:t>于该无形资产开发阶段的支出能够可靠地计量。</w:t>
      </w:r>
    </w:p>
    <w:p>
      <w:pPr>
        <w:spacing w:line="240" w:lineRule="auto" w:before="9"/>
        <w:rPr>
          <w:rFonts w:ascii="宋体" w:hAnsi="宋体" w:cs="宋体" w:eastAsia="宋体" w:hint="default"/>
          <w:sz w:val="21"/>
          <w:szCs w:val="21"/>
        </w:rPr>
      </w:pPr>
    </w:p>
    <w:p>
      <w:pPr>
        <w:pStyle w:val="Heading4"/>
        <w:spacing w:line="240" w:lineRule="auto"/>
        <w:ind w:left="1134" w:right="0"/>
        <w:jc w:val="left"/>
        <w:rPr>
          <w:b w:val="0"/>
          <w:bCs w:val="0"/>
        </w:rPr>
      </w:pPr>
      <w:bookmarkStart w:name="17、长期资产减值" w:id="244"/>
      <w:bookmarkEnd w:id="244"/>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t>对长期股权投资、固定资产、在建工程、使用寿命有限的无形资产等长期资产</w:t>
      </w:r>
      <w:r>
        <w:rPr>
          <w:rFonts w:ascii="宋体" w:hAnsi="宋体" w:cs="宋体" w:eastAsia="宋体" w:hint="default"/>
        </w:rPr>
        <w:t>,</w:t>
      </w:r>
      <w:r>
        <w:rPr/>
        <w:t>在资产负债表日有迹 </w:t>
      </w:r>
      <w:r>
        <w:rPr>
          <w:spacing w:val="-1"/>
        </w:rPr>
        <w:t>象表明发生减值的，估计其可收回金额。对因企业合并所形成的商誉和使用寿命不确定的无形资产，无论</w:t>
      </w:r>
      <w:r>
        <w:rPr>
          <w:spacing w:val="-83"/>
        </w:rPr>
        <w:t> </w:t>
      </w:r>
      <w:r>
        <w:rPr>
          <w:spacing w:val="-83"/>
        </w:rPr>
      </w:r>
      <w:r>
        <w:rPr/>
        <w:t>是否存在减值迹象，每年都进行减值测试。商誉结合与其相关的资产组或者资产组组合进行减值测试。</w:t>
      </w:r>
    </w:p>
    <w:p>
      <w:pPr>
        <w:pStyle w:val="BodyText"/>
        <w:spacing w:line="240" w:lineRule="auto"/>
        <w:ind w:left="1553" w:right="0"/>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568" w:lineRule="auto" w:before="0"/>
        <w:ind w:left="1554" w:right="0" w:hanging="420"/>
        <w:jc w:val="left"/>
      </w:pPr>
      <w:bookmarkStart w:name="18、长期待摊费用" w:id="245"/>
      <w:bookmarkEnd w:id="245"/>
      <w:r>
        <w:rPr/>
      </w: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长期待摊费用核算已经支出，摊销期限在</w:t>
      </w:r>
      <w:r>
        <w:rPr>
          <w:rFonts w:ascii="宋体" w:hAnsi="宋体" w:cs="宋体" w:eastAsia="宋体" w:hint="default"/>
          <w:spacing w:val="-1"/>
        </w:rPr>
        <w:t>1</w:t>
      </w:r>
      <w:r>
        <w:rPr>
          <w:spacing w:val="-1"/>
        </w:rPr>
        <w:t>年以上（不含</w:t>
      </w:r>
      <w:r>
        <w:rPr>
          <w:rFonts w:ascii="宋体" w:hAnsi="宋体" w:cs="宋体" w:eastAsia="宋体" w:hint="default"/>
          <w:spacing w:val="-1"/>
        </w:rPr>
        <w:t>1</w:t>
      </w:r>
      <w:r>
        <w:rPr>
          <w:spacing w:val="-1"/>
        </w:rPr>
        <w:t>年）的各项费用。长期待摊费用按实际发生</w:t>
      </w:r>
    </w:p>
    <w:p>
      <w:pPr>
        <w:spacing w:after="0" w:line="56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额入账，在受益期或规定的期限内分期平均摊销。如果长期待摊的费用项目不能使以后会计期间受益则将</w:t>
      </w:r>
      <w:r>
        <w:rPr>
          <w:spacing w:val="-81"/>
        </w:rPr>
        <w:t> </w:t>
      </w:r>
      <w:r>
        <w:rPr>
          <w:spacing w:val="-81"/>
        </w:rPr>
      </w:r>
      <w:r>
        <w:rPr/>
        <w:t>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ind w:right="0"/>
        <w:jc w:val="left"/>
        <w:rPr>
          <w:b w:val="0"/>
          <w:bCs w:val="0"/>
        </w:rPr>
      </w:pPr>
      <w:bookmarkStart w:name="19、职工薪酬" w:id="246"/>
      <w:bookmarkEnd w:id="246"/>
      <w:r>
        <w:rPr>
          <w:b w:val="0"/>
          <w:bCs w:val="0"/>
        </w:rPr>
      </w:r>
      <w:r>
        <w:rPr>
          <w:rFonts w:ascii="Times New Roman" w:hAnsi="Times New Roman" w:cs="Times New Roman" w:eastAsia="Times New Roman" w:hint="default"/>
        </w:rPr>
        <w:t>19</w:t>
      </w:r>
      <w:r>
        <w:rPr/>
        <w:t>、职工薪酬</w:t>
      </w:r>
      <w:r>
        <w:rPr>
          <w:b w:val="0"/>
          <w:bCs w:val="0"/>
        </w:rPr>
      </w:r>
    </w:p>
    <w:p>
      <w:pPr>
        <w:spacing w:line="690" w:lineRule="exact" w:before="15"/>
        <w:ind w:left="1554" w:right="0" w:hanging="420"/>
        <w:jc w:val="left"/>
        <w:rPr>
          <w:rFonts w:ascii="宋体" w:hAnsi="宋体" w:cs="宋体" w:eastAsia="宋体" w:hint="default"/>
          <w:sz w:val="21"/>
          <w:szCs w:val="21"/>
        </w:rPr>
      </w:pPr>
      <w:bookmarkStart w:name="（1）短期薪酬的会计处理方法"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84"/>
        <w:ind w:left="1134" w:right="0"/>
        <w:jc w:val="left"/>
      </w:pPr>
      <w:r>
        <w:rPr/>
        <w:t>成本。</w:t>
      </w:r>
    </w:p>
    <w:p>
      <w:pPr>
        <w:spacing w:line="240" w:lineRule="auto" w:before="9"/>
        <w:rPr>
          <w:rFonts w:ascii="宋体" w:hAnsi="宋体" w:cs="宋体" w:eastAsia="宋体" w:hint="default"/>
          <w:sz w:val="26"/>
          <w:szCs w:val="26"/>
        </w:rPr>
      </w:pPr>
    </w:p>
    <w:p>
      <w:pPr>
        <w:spacing w:line="670" w:lineRule="atLeast" w:before="0"/>
        <w:ind w:left="1554" w:right="5922" w:hanging="420"/>
        <w:jc w:val="left"/>
        <w:rPr>
          <w:rFonts w:ascii="宋体" w:hAnsi="宋体" w:cs="宋体" w:eastAsia="宋体" w:hint="default"/>
          <w:sz w:val="21"/>
          <w:szCs w:val="21"/>
        </w:rPr>
      </w:pPr>
      <w:bookmarkStart w:name="（2）离职后福利的会计处理方法"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spacing w:line="240" w:lineRule="auto" w:before="10"/>
        <w:rPr>
          <w:rFonts w:ascii="宋体" w:hAnsi="宋体" w:cs="宋体" w:eastAsia="宋体" w:hint="default"/>
          <w:sz w:val="14"/>
          <w:szCs w:val="14"/>
        </w:rPr>
      </w:pPr>
    </w:p>
    <w:p>
      <w:pPr>
        <w:pStyle w:val="BodyText"/>
        <w:spacing w:line="408" w:lineRule="auto" w:before="0"/>
        <w:ind w:left="1134" w:right="1141" w:firstLine="420"/>
        <w:jc w:val="both"/>
      </w:pPr>
      <w:r>
        <w:rPr>
          <w:rFonts w:ascii="宋体" w:hAnsi="宋体" w:cs="宋体" w:eastAsia="宋体" w:hint="default"/>
        </w:rPr>
        <w:t>(1)</w:t>
      </w:r>
      <w:r>
        <w:rPr/>
        <w:t>在职工为公司提供服务的会计期间，根据设定提存计划计算的应缴存金额确认为负债，并计入当 期损益或相关资产成本。</w:t>
      </w:r>
    </w:p>
    <w:p>
      <w:pPr>
        <w:pStyle w:val="BodyText"/>
        <w:spacing w:line="408" w:lineRule="auto"/>
        <w:ind w:left="1554" w:right="0"/>
        <w:jc w:val="left"/>
      </w:pPr>
      <w:r>
        <w:rPr>
          <w:rFonts w:ascii="宋体" w:hAnsi="宋体" w:cs="宋体" w:eastAsia="宋体" w:hint="default"/>
        </w:rPr>
        <w:t>(2)</w:t>
      </w:r>
      <w:r>
        <w:rPr/>
        <w:t>对设定受益计划的会计处理通常包括下列步骤： </w:t>
      </w:r>
      <w:r>
        <w:rPr>
          <w:rFonts w:ascii="宋体" w:hAnsi="宋体" w:cs="宋体" w:eastAsia="宋体" w:hint="default"/>
          <w:spacing w:val="-1"/>
        </w:rPr>
        <w:t>1)</w:t>
      </w:r>
      <w:r>
        <w:rPr>
          <w:spacing w:val="-1"/>
        </w:rPr>
        <w:t>根据预期累计福利单位法，采用无偏且相互一致的精算假设对有关人口统计变量和财务变量等作出</w:t>
      </w:r>
    </w:p>
    <w:p>
      <w:pPr>
        <w:pStyle w:val="BodyText"/>
        <w:spacing w:line="408" w:lineRule="auto"/>
        <w:ind w:left="1134" w:right="0"/>
        <w:jc w:val="left"/>
      </w:pPr>
      <w:r>
        <w:rPr>
          <w:spacing w:val="-1"/>
        </w:rPr>
        <w:t>估计，计量设定受益计划所产生的义务，并确定相关义务的所属期间。同时，对设定受益计划所产生的义</w:t>
      </w:r>
      <w:r>
        <w:rPr>
          <w:spacing w:val="-86"/>
        </w:rPr>
        <w:t> </w:t>
      </w:r>
      <w:r>
        <w:rPr>
          <w:spacing w:val="-86"/>
        </w:rPr>
      </w:r>
      <w:r>
        <w:rPr/>
        <w:t>务予以折现，以确定设定受益计划义务的现值和当期服务成本；</w:t>
      </w:r>
    </w:p>
    <w:p>
      <w:pPr>
        <w:pStyle w:val="BodyText"/>
        <w:spacing w:line="408" w:lineRule="auto"/>
        <w:ind w:left="1134" w:right="1131" w:firstLine="420"/>
        <w:jc w:val="both"/>
      </w:pPr>
      <w:r>
        <w:rPr>
          <w:rFonts w:ascii="宋体" w:hAnsi="宋体" w:cs="宋体" w:eastAsia="宋体" w:hint="default"/>
          <w:spacing w:val="-1"/>
        </w:rPr>
        <w:t>2)</w:t>
      </w:r>
      <w:r>
        <w:rPr>
          <w:spacing w:val="-1"/>
        </w:rPr>
        <w:t>设定受益计划存在资产的，将设定受益计划义务现值减去设定受益计划资产公允价值所形成的赤字</w:t>
      </w:r>
      <w:r>
        <w:rPr/>
        <w:t> </w:t>
      </w:r>
      <w:r>
        <w:rPr>
          <w:spacing w:val="-1"/>
        </w:rPr>
        <w:t>或盈余确认为一项设定受益计划净负债或净资产。设定受益计划存在盈余的，以设定受益计划的盈余和资</w:t>
      </w:r>
      <w:r>
        <w:rPr>
          <w:spacing w:val="-81"/>
        </w:rPr>
        <w:t> </w:t>
      </w:r>
      <w:r>
        <w:rPr>
          <w:spacing w:val="-81"/>
        </w:rPr>
      </w:r>
      <w:r>
        <w:rPr/>
        <w:t>产上限两项的孰低者计量设定受益计划净资产；</w:t>
      </w:r>
    </w:p>
    <w:p>
      <w:pPr>
        <w:pStyle w:val="BodyText"/>
        <w:spacing w:line="408" w:lineRule="auto"/>
        <w:ind w:left="1134" w:right="1131" w:firstLine="420"/>
        <w:jc w:val="both"/>
      </w:pPr>
      <w:r>
        <w:rPr>
          <w:rFonts w:ascii="宋体" w:hAnsi="宋体" w:cs="宋体" w:eastAsia="宋体" w:hint="default"/>
          <w:spacing w:val="-1"/>
        </w:rPr>
        <w:t>3)</w:t>
      </w:r>
      <w:r>
        <w:rPr>
          <w:spacing w:val="-1"/>
        </w:rPr>
        <w:t>期末，将设定受益计划产生的职工薪酬成本确认为服务成本、设定受益计划净负债或净资产的利息</w:t>
      </w:r>
      <w:r>
        <w:rPr/>
        <w:t> </w:t>
      </w:r>
      <w:r>
        <w:rPr>
          <w:spacing w:val="-1"/>
        </w:rPr>
        <w:t>净额以及重新计量设定受益计划净负债或净资产所产生的变动等三部分，其中服务成本和设定受益计划净</w:t>
      </w:r>
      <w:r>
        <w:rPr>
          <w:spacing w:val="-81"/>
        </w:rPr>
        <w:t> </w:t>
      </w:r>
      <w:r>
        <w:rPr>
          <w:spacing w:val="-81"/>
        </w:rPr>
      </w:r>
      <w:r>
        <w:rPr>
          <w:spacing w:val="-1"/>
        </w:rPr>
        <w:t>负债或净资产的利息净额计入当期损益或相关资产成本，重新计量设定受益计划净负债或净资产所产生的</w:t>
      </w:r>
      <w:r>
        <w:rPr>
          <w:spacing w:val="-81"/>
        </w:rPr>
        <w:t> </w:t>
      </w:r>
      <w:r>
        <w:rPr>
          <w:spacing w:val="-81"/>
        </w:rPr>
      </w:r>
      <w:r>
        <w:rPr>
          <w:spacing w:val="-1"/>
        </w:rPr>
        <w:t>变动计入其他综合收益，并且在后续会计期间不允许转回至损益，但可以在权益范围内转移这些在其他综</w:t>
      </w:r>
      <w:r>
        <w:rPr>
          <w:spacing w:val="-81"/>
        </w:rPr>
        <w:t> </w:t>
      </w:r>
      <w:r>
        <w:rPr>
          <w:spacing w:val="-81"/>
        </w:rPr>
      </w:r>
      <w:r>
        <w:rPr/>
        <w:t>合收益确认的金额。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568" w:lineRule="auto" w:before="0"/>
        <w:ind w:left="1554" w:right="1125" w:hanging="420"/>
        <w:jc w:val="left"/>
        <w:rPr>
          <w:rFonts w:ascii="宋体" w:hAnsi="宋体" w:cs="宋体" w:eastAsia="宋体" w:hint="default"/>
          <w:sz w:val="21"/>
          <w:szCs w:val="21"/>
        </w:rPr>
      </w:pPr>
      <w:bookmarkStart w:name="（3）辞退福利的会计处理方法"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向职工提供的辞退福利，在下列两者孰早日确认辞退福利产生的职工薪酬负债，并计入当期损益：</w:t>
      </w:r>
      <w:r>
        <w:rPr>
          <w:rFonts w:ascii="宋体" w:hAnsi="宋体" w:cs="宋体" w:eastAsia="宋体" w:hint="default"/>
          <w:spacing w:val="-3"/>
          <w:sz w:val="21"/>
          <w:szCs w:val="21"/>
        </w:rPr>
        <w:t>(1)</w:t>
      </w:r>
    </w:p>
    <w:p>
      <w:pPr>
        <w:spacing w:after="0" w:line="568" w:lineRule="auto"/>
        <w:jc w:val="left"/>
        <w:rPr>
          <w:rFonts w:ascii="宋体" w:hAnsi="宋体" w:cs="宋体" w:eastAsia="宋体" w:hint="default"/>
          <w:sz w:val="21"/>
          <w:szCs w:val="21"/>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公司不能单方面撤回因解除劳动关系计划或裁减建议所提供的辞退福利时；</w:t>
      </w:r>
      <w:r>
        <w:rPr>
          <w:rFonts w:ascii="宋体" w:hAnsi="宋体" w:cs="宋体" w:eastAsia="宋体" w:hint="default"/>
        </w:rPr>
        <w:t>(2)</w:t>
      </w:r>
      <w:r>
        <w:rPr/>
        <w:t>公司确认与涉及支付辞退</w:t>
      </w:r>
      <w:r>
        <w:rPr>
          <w:spacing w:val="-27"/>
        </w:rPr>
        <w:t> </w:t>
      </w:r>
      <w:r>
        <w:rPr>
          <w:spacing w:val="-27"/>
        </w:rPr>
      </w:r>
      <w:r>
        <w:rPr/>
        <w:t>福利的重组相关的成本或费用时。</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其他长期职工福利的会计处理方法" w:id="250"/>
      <w:bookmarkEnd w:id="25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18" w:firstLine="420"/>
        <w:jc w:val="left"/>
      </w:pPr>
      <w:r>
        <w:rPr>
          <w:spacing w:val="-3"/>
        </w:rPr>
        <w:t>向职工提供的其他长期福利，符合设定提存计划条件的，按照设定提存计划的有关规定进行会计处理；</w:t>
      </w:r>
      <w:r>
        <w:rPr/>
        <w:t>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0、预计负债" w:id="251"/>
      <w:bookmarkEnd w:id="251"/>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rFonts w:ascii="宋体" w:hAnsi="宋体" w:cs="宋体" w:eastAsia="宋体" w:hint="default"/>
          <w:spacing w:val="-1"/>
        </w:rPr>
        <w:t>1.</w:t>
      </w:r>
      <w:r>
        <w:rPr>
          <w:spacing w:val="-1"/>
        </w:rPr>
        <w:t>因对外提供担保、诉讼事项、产品质量保证、亏损合同等或有事项形成的义务成为公司承担的现时</w:t>
      </w:r>
      <w:r>
        <w:rPr/>
        <w:t> </w:t>
      </w:r>
      <w:r>
        <w:rPr>
          <w:spacing w:val="-1"/>
        </w:rPr>
        <w:t>义务，履行该义务很可能导致经济利益流出公司，且该义务的金额能够可靠的计量时，公司将该项义务确</w:t>
      </w:r>
      <w:r>
        <w:rPr>
          <w:spacing w:val="-83"/>
        </w:rPr>
        <w:t> </w:t>
      </w:r>
      <w:r>
        <w:rPr>
          <w:spacing w:val="-83"/>
        </w:rPr>
      </w:r>
      <w:r>
        <w:rPr/>
        <w:t>认为预计负债。</w:t>
      </w:r>
    </w:p>
    <w:p>
      <w:pPr>
        <w:pStyle w:val="BodyText"/>
        <w:spacing w:line="408" w:lineRule="auto"/>
        <w:ind w:left="1134" w:right="0" w:firstLine="420"/>
        <w:jc w:val="left"/>
      </w:pPr>
      <w:r>
        <w:rPr>
          <w:rFonts w:ascii="宋体" w:hAnsi="宋体" w:cs="宋体" w:eastAsia="宋体" w:hint="default"/>
          <w:spacing w:val="-1"/>
        </w:rPr>
        <w:t>2.</w:t>
      </w:r>
      <w:r>
        <w:rPr>
          <w:spacing w:val="-1"/>
        </w:rPr>
        <w:t>公司按照履行相关现时义务所需支出的最佳估计数对预计负债进行初始计量，并在资产负债表日对</w:t>
      </w:r>
      <w:r>
        <w:rPr/>
        <w:t> 预计负债的账面价值进行复核。</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21、股份支付" w:id="252"/>
      <w:bookmarkEnd w:id="252"/>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5292"/>
        <w:jc w:val="left"/>
      </w:pPr>
      <w:r>
        <w:rPr>
          <w:rFonts w:ascii="宋体" w:hAnsi="宋体" w:cs="宋体" w:eastAsia="宋体" w:hint="default"/>
        </w:rPr>
        <w:t>1.</w:t>
      </w:r>
      <w:r>
        <w:rPr/>
        <w:t>股份支付的种类 包括以权益结算的股份支付和以现金结算的股份支付。 </w:t>
      </w:r>
      <w:r>
        <w:rPr>
          <w:rFonts w:ascii="宋体" w:hAnsi="宋体" w:cs="宋体" w:eastAsia="宋体" w:hint="default"/>
        </w:rPr>
        <w:t>2.</w:t>
      </w:r>
      <w:r>
        <w:rPr/>
        <w:t>实施、修改、终止股份支付计划的相关会计处理 </w:t>
      </w:r>
      <w:r>
        <w:rPr>
          <w:rFonts w:ascii="宋体" w:hAnsi="宋体" w:cs="宋体" w:eastAsia="宋体" w:hint="default"/>
        </w:rPr>
        <w:t>(1)</w:t>
      </w:r>
      <w:r>
        <w:rPr/>
        <w:t>以权益结算的股份支付</w:t>
      </w:r>
    </w:p>
    <w:p>
      <w:pPr>
        <w:pStyle w:val="BodyText"/>
        <w:spacing w:line="408" w:lineRule="auto"/>
        <w:ind w:left="1134" w:right="1023" w:firstLine="420"/>
        <w:jc w:val="left"/>
      </w:pPr>
      <w:r>
        <w:rPr/>
        <w:t>授予后立即可行权的换取职工服务的以权益结算的股份支付，在授予日按照权益工具的公允价值计入 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BodyText"/>
        <w:spacing w:line="408" w:lineRule="auto"/>
        <w:ind w:right="1131"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BodyText"/>
        <w:spacing w:line="408" w:lineRule="auto"/>
        <w:ind w:left="1553" w:right="0"/>
        <w:jc w:val="left"/>
      </w:pPr>
      <w:r>
        <w:rPr>
          <w:rFonts w:ascii="宋体" w:hAnsi="宋体" w:cs="宋体" w:eastAsia="宋体" w:hint="default"/>
        </w:rPr>
        <w:t>(2)</w:t>
      </w:r>
      <w:r>
        <w:rPr/>
        <w:t>以现金结算的股份支付 </w:t>
      </w:r>
      <w:r>
        <w:rPr>
          <w:spacing w:val="-1"/>
        </w:rPr>
        <w:t>授予后立即可行权的换取职工服务的以现金结算的股份支付，在授予日按公司承担负债的公允价值计</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r>
        <w:rPr>
          <w:spacing w:val="-83"/>
        </w:rPr>
        <w:t> </w:t>
      </w:r>
      <w:r>
        <w:rPr>
          <w:spacing w:val="-83"/>
        </w:rPr>
      </w:r>
      <w:r>
        <w:rPr/>
        <w:t>担负债的公允价值，将当期取得的服务计入相关成本或费用和相应的负债。</w:t>
      </w:r>
    </w:p>
    <w:p>
      <w:pPr>
        <w:pStyle w:val="BodyText"/>
        <w:spacing w:line="408" w:lineRule="auto"/>
        <w:ind w:left="1553" w:right="0"/>
        <w:jc w:val="left"/>
      </w:pPr>
      <w:r>
        <w:rPr>
          <w:rFonts w:ascii="宋体" w:hAnsi="宋体" w:cs="宋体" w:eastAsia="宋体" w:hint="default"/>
        </w:rPr>
        <w:t>(3)</w:t>
      </w:r>
      <w:r>
        <w:rPr/>
        <w:t>修改、终止股份支付计划 </w:t>
      </w:r>
      <w:r>
        <w:rPr>
          <w:spacing w:val="-1"/>
        </w:rPr>
        <w:t>如果修改增加了所授予的权益工具的公允价值，公司按照权益工具公允价值的增加相应地确认取得服</w:t>
      </w:r>
    </w:p>
    <w:p>
      <w:pPr>
        <w:pStyle w:val="BodyText"/>
        <w:spacing w:line="408" w:lineRule="auto"/>
        <w:ind w:right="1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408" w:lineRule="auto"/>
        <w:ind w:right="1131"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408" w:lineRule="auto"/>
        <w:ind w:right="1131" w:firstLine="420"/>
        <w:jc w:val="both"/>
      </w:pPr>
      <w:r>
        <w:rPr>
          <w:spacing w:val="-1"/>
        </w:rPr>
        <w:t>如果公司在等待期内取消了所授予的权益工具或结算了所授予的权益工具（因未满足可行权条件而被</w:t>
      </w:r>
      <w:r>
        <w:rPr/>
        <w:t> 取消的除外），则将取消或结算作为加速可行权处理，立即确认原本在剩余等待期内确认的金额。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both"/>
        <w:rPr>
          <w:b w:val="0"/>
          <w:bCs w:val="0"/>
        </w:rPr>
      </w:pPr>
      <w:bookmarkStart w:name="22、收入" w:id="253"/>
      <w:bookmarkEnd w:id="253"/>
      <w:r>
        <w:rPr>
          <w:b w:val="0"/>
          <w:bCs w:val="0"/>
        </w:rPr>
      </w:r>
      <w:r>
        <w:rPr>
          <w:rFonts w:ascii="Times New Roman" w:hAnsi="Times New Roman" w:cs="Times New Roman" w:eastAsia="Times New Roman" w:hint="default"/>
        </w:rPr>
        <w:t>22</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1554" w:right="8862"/>
        <w:jc w:val="left"/>
      </w:pPr>
      <w:r>
        <w:rPr>
          <w:rFonts w:ascii="宋体" w:hAnsi="宋体" w:cs="宋体" w:eastAsia="宋体" w:hint="default"/>
        </w:rPr>
        <w:t>1.</w:t>
      </w:r>
      <w:r>
        <w:rPr/>
        <w:t>收入确认原则 </w:t>
      </w:r>
      <w:r>
        <w:rPr>
          <w:rFonts w:ascii="宋体" w:hAnsi="宋体" w:cs="宋体" w:eastAsia="宋体" w:hint="default"/>
        </w:rPr>
        <w:t>(1)</w:t>
      </w:r>
      <w:r>
        <w:rPr/>
        <w:t>销售商品</w:t>
      </w:r>
    </w:p>
    <w:p>
      <w:pPr>
        <w:pStyle w:val="BodyText"/>
        <w:spacing w:line="408" w:lineRule="auto"/>
        <w:ind w:right="1109" w:firstLine="420"/>
        <w:jc w:val="both"/>
      </w:pPr>
      <w:r>
        <w:rPr/>
        <w:t>销售商品收入在同时满足下列条件时予以确认：</w:t>
      </w:r>
      <w:r>
        <w:rPr>
          <w:rFonts w:ascii="宋体" w:hAnsi="宋体" w:cs="宋体" w:eastAsia="宋体" w:hint="default"/>
        </w:rPr>
        <w:t>1)</w:t>
      </w:r>
      <w:r>
        <w:rPr/>
        <w:t>将商品所有权上的主要风险和报酬转移给购货方； </w:t>
      </w:r>
      <w:r>
        <w:rPr>
          <w:rFonts w:ascii="宋体" w:hAnsi="宋体" w:cs="宋体" w:eastAsia="宋体" w:hint="default"/>
          <w:spacing w:val="-1"/>
        </w:rPr>
        <w:t>2)</w:t>
      </w:r>
      <w:r>
        <w:rPr>
          <w:spacing w:val="-1"/>
        </w:rPr>
        <w:t>公司不再保留通常与所有权相联系的继续管理权，也不再对已售出的商品实施有效控制；</w:t>
      </w:r>
      <w:r>
        <w:rPr>
          <w:rFonts w:ascii="宋体" w:hAnsi="宋体" w:cs="宋体" w:eastAsia="宋体" w:hint="default"/>
          <w:spacing w:val="-1"/>
        </w:rPr>
        <w:t>3)</w:t>
      </w:r>
      <w:r>
        <w:rPr>
          <w:spacing w:val="-1"/>
        </w:rPr>
        <w:t>收入的金额</w:t>
      </w:r>
      <w:r>
        <w:rPr>
          <w:spacing w:val="-81"/>
        </w:rPr>
        <w:t> </w:t>
      </w:r>
      <w:r>
        <w:rPr/>
        <w:t>能够可靠地计量；</w:t>
      </w:r>
      <w:r>
        <w:rPr>
          <w:rFonts w:ascii="宋体" w:hAnsi="宋体" w:cs="宋体" w:eastAsia="宋体" w:hint="default"/>
        </w:rPr>
        <w:t>4)</w:t>
      </w:r>
      <w:r>
        <w:rPr/>
        <w:t>相关的经济利益很可能流入；</w:t>
      </w:r>
      <w:r>
        <w:rPr>
          <w:rFonts w:ascii="宋体" w:hAnsi="宋体" w:cs="宋体" w:eastAsia="宋体" w:hint="default"/>
        </w:rPr>
        <w:t>5)</w:t>
      </w:r>
      <w:r>
        <w:rPr/>
        <w:t>相关的已发生或将发生的成本能够可靠地计量。</w:t>
      </w:r>
    </w:p>
    <w:p>
      <w:pPr>
        <w:pStyle w:val="BodyText"/>
        <w:spacing w:line="408" w:lineRule="auto"/>
        <w:ind w:left="1553" w:right="1118"/>
        <w:jc w:val="left"/>
      </w:pPr>
      <w:r>
        <w:rPr>
          <w:rFonts w:ascii="宋体" w:hAnsi="宋体" w:cs="宋体" w:eastAsia="宋体" w:hint="default"/>
        </w:rPr>
        <w:t>(2)</w:t>
      </w:r>
      <w:r>
        <w:rPr/>
        <w:t>提供劳务 </w:t>
      </w:r>
      <w:r>
        <w:rPr>
          <w:spacing w:val="-1"/>
        </w:rPr>
        <w:t>提供劳务交易的结果在资产负债表日能够可靠估计的（同时满足收入的金额能够可靠地计量、相关经</w:t>
      </w:r>
    </w:p>
    <w:p>
      <w:pPr>
        <w:pStyle w:val="BodyText"/>
        <w:spacing w:line="408" w:lineRule="auto"/>
        <w:ind w:right="1110"/>
        <w:jc w:val="both"/>
      </w:pPr>
      <w:r>
        <w:rPr/>
        <w:t>济利益很可能流入、交易的完工进度能够可靠地确定、交易中已发生和将发生的成本能够可靠地计量）， </w:t>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3403" w:hanging="420"/>
        <w:jc w:val="left"/>
      </w:pPr>
      <w:r>
        <w:rPr/>
        <w:t>预计不能够得到补偿，将已经发生的劳务成本计入当期损益，不确认劳务收入。 </w:t>
      </w:r>
      <w:r>
        <w:rPr>
          <w:rFonts w:ascii="宋体" w:hAnsi="宋体" w:cs="宋体" w:eastAsia="宋体" w:hint="default"/>
        </w:rPr>
        <w:t>(3)</w:t>
      </w:r>
      <w:r>
        <w:rPr/>
        <w:t>让渡资产使用权</w:t>
      </w:r>
    </w:p>
    <w:p>
      <w:pPr>
        <w:pStyle w:val="BodyText"/>
        <w:spacing w:line="408" w:lineRule="auto"/>
        <w:ind w:right="1131" w:firstLine="420"/>
        <w:jc w:val="both"/>
      </w:pPr>
      <w:r>
        <w:rPr>
          <w:spacing w:val="-1"/>
        </w:rPr>
        <w:t>让渡资产使用权在同时满足相关的经济利益很可能流入、收入金额能够可靠计量时，确认让渡资产使</w:t>
      </w:r>
      <w:r>
        <w:rPr/>
        <w:t> </w:t>
      </w: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408" w:lineRule="auto"/>
        <w:ind w:left="1553" w:right="1118"/>
        <w:jc w:val="left"/>
      </w:pPr>
      <w:r>
        <w:rPr>
          <w:rFonts w:ascii="宋体" w:hAnsi="宋体" w:cs="宋体" w:eastAsia="宋体" w:hint="default"/>
        </w:rPr>
        <w:t>(4)</w:t>
      </w:r>
      <w:r>
        <w:rPr/>
        <w:t>建造合同 </w:t>
      </w:r>
      <w:r>
        <w:rPr>
          <w:rFonts w:ascii="宋体" w:hAnsi="宋体" w:cs="宋体" w:eastAsia="宋体" w:hint="default"/>
          <w:spacing w:val="-1"/>
        </w:rPr>
        <w:t>1)</w:t>
      </w:r>
      <w:r>
        <w:rPr>
          <w:spacing w:val="-1"/>
        </w:rPr>
        <w:t>建造合同的结果在资产负债表日能够可靠估计的，根据完工百分比法确认合同收入和合同费用。建</w:t>
      </w:r>
    </w:p>
    <w:p>
      <w:pPr>
        <w:pStyle w:val="BodyText"/>
        <w:spacing w:line="408" w:lineRule="auto"/>
        <w:ind w:right="1131"/>
        <w:jc w:val="both"/>
      </w:pPr>
      <w:r>
        <w:rPr>
          <w:spacing w:val="-1"/>
        </w:rPr>
        <w:t>造合同的结果在资产负债表日不能够可靠估计的，若合同成本能够收回的，合同收入根据能够收回的实际</w:t>
      </w:r>
      <w:r>
        <w:rPr>
          <w:spacing w:val="-81"/>
        </w:rPr>
        <w:t> </w:t>
      </w:r>
      <w:r>
        <w:rPr>
          <w:spacing w:val="-81"/>
        </w:rPr>
      </w:r>
      <w:r>
        <w:rPr>
          <w:spacing w:val="-1"/>
        </w:rPr>
        <w:t>合同成本予以确认，合同成本在其发生的当期确认为合同费用；若合同成本不可能收回的，在发生时立即</w:t>
      </w:r>
      <w:r>
        <w:rPr>
          <w:spacing w:val="-83"/>
        </w:rPr>
        <w:t> </w:t>
      </w:r>
      <w:r>
        <w:rPr>
          <w:spacing w:val="-83"/>
        </w:rPr>
      </w:r>
      <w:r>
        <w:rPr/>
        <w:t>确认为合同费用，不确认合同收入。</w:t>
      </w:r>
    </w:p>
    <w:p>
      <w:pPr>
        <w:pStyle w:val="BodyText"/>
        <w:spacing w:line="408" w:lineRule="auto"/>
        <w:ind w:right="1131" w:firstLine="420"/>
        <w:jc w:val="both"/>
      </w:pPr>
      <w:r>
        <w:rPr>
          <w:rFonts w:ascii="宋体" w:hAnsi="宋体" w:cs="宋体" w:eastAsia="宋体" w:hint="default"/>
          <w:spacing w:val="-1"/>
        </w:rPr>
        <w:t>2)</w:t>
      </w:r>
      <w:r>
        <w:rPr>
          <w:spacing w:val="-1"/>
        </w:rPr>
        <w:t>固定造价合同同时满足下列条件表明其结果能够可靠估计：合同总收入能够可靠计量、与合同相关</w:t>
      </w:r>
      <w:r>
        <w:rPr/>
        <w:t> </w:t>
      </w:r>
      <w:r>
        <w:rPr>
          <w:spacing w:val="-1"/>
        </w:rPr>
        <w:t>的经济利益很可能流入、实际发生的合同成本能够清楚地区分和可靠地计量、合同完工进度和为完成合同</w:t>
      </w:r>
      <w:r>
        <w:rPr>
          <w:spacing w:val="-81"/>
        </w:rPr>
        <w:t> </w:t>
      </w:r>
      <w:r>
        <w:rPr>
          <w:spacing w:val="-81"/>
        </w:rPr>
      </w:r>
      <w:r>
        <w:rPr>
          <w:spacing w:val="-1"/>
        </w:rPr>
        <w:t>尚需发生的成本能够可靠地计量。成本加成合同同时满足下列条件表明其结果能够可靠估计：与合同相关</w:t>
      </w:r>
      <w:r>
        <w:rPr>
          <w:spacing w:val="-81"/>
        </w:rPr>
        <w:t> </w:t>
      </w:r>
      <w:r>
        <w:rPr>
          <w:spacing w:val="-81"/>
        </w:rPr>
      </w:r>
      <w:r>
        <w:rPr/>
        <w:t>的经济利益很可能流入、实际发生的合同成本能够清楚地区分和可靠地计量。</w:t>
      </w:r>
    </w:p>
    <w:p>
      <w:pPr>
        <w:pStyle w:val="BodyText"/>
        <w:spacing w:line="240" w:lineRule="auto"/>
        <w:ind w:left="1553" w:right="0"/>
        <w:jc w:val="left"/>
      </w:pPr>
      <w:r>
        <w:rPr>
          <w:rFonts w:ascii="宋体" w:hAnsi="宋体" w:cs="宋体" w:eastAsia="宋体" w:hint="default"/>
        </w:rPr>
        <w:t>3)</w:t>
      </w:r>
      <w:r>
        <w:rPr/>
        <w:t>确定合同完工进度的方法为累计实际发生的合同成本占合同预计总成本的比例。</w:t>
      </w:r>
    </w:p>
    <w:p>
      <w:pPr>
        <w:spacing w:line="240" w:lineRule="auto" w:before="10"/>
        <w:rPr>
          <w:rFonts w:ascii="宋体" w:hAnsi="宋体" w:cs="宋体" w:eastAsia="宋体" w:hint="default"/>
          <w:sz w:val="14"/>
          <w:szCs w:val="14"/>
        </w:rPr>
      </w:pPr>
    </w:p>
    <w:p>
      <w:pPr>
        <w:pStyle w:val="BodyText"/>
        <w:spacing w:line="408" w:lineRule="auto" w:before="0"/>
        <w:ind w:left="1134" w:right="1131" w:firstLine="420"/>
        <w:jc w:val="both"/>
      </w:pPr>
      <w:r>
        <w:rPr>
          <w:rFonts w:ascii="宋体" w:hAnsi="宋体" w:cs="宋体" w:eastAsia="宋体" w:hint="default"/>
          <w:spacing w:val="-1"/>
        </w:rPr>
        <w:t>4)</w:t>
      </w:r>
      <w:r>
        <w:rPr>
          <w:spacing w:val="-1"/>
        </w:rPr>
        <w:t>资产负债表日，合同预计总成本超过合同总收入的，将预计损失确认为当期费用。执行中的建造合</w:t>
      </w:r>
      <w:r>
        <w:rPr/>
        <w:t> 同，按其差额计提存货跌价准备；待执行的亏损合同，按其差额确认预计负债。</w:t>
      </w:r>
    </w:p>
    <w:p>
      <w:pPr>
        <w:pStyle w:val="BodyText"/>
        <w:spacing w:line="408" w:lineRule="auto"/>
        <w:ind w:left="1553" w:right="0"/>
        <w:jc w:val="left"/>
      </w:pPr>
      <w:r>
        <w:rPr>
          <w:rFonts w:ascii="宋体" w:hAnsi="宋体" w:cs="宋体" w:eastAsia="宋体" w:hint="default"/>
        </w:rPr>
        <w:t>2.</w:t>
      </w:r>
      <w:r>
        <w:rPr/>
        <w:t>收入确认的具体方法 </w:t>
      </w:r>
      <w:r>
        <w:rPr>
          <w:spacing w:val="-1"/>
        </w:rPr>
        <w:t>公司业务主要包括智慧一卡通相关业务的系统建设、运营和维护服务、智能管控等，各类业务确认的</w:t>
      </w:r>
    </w:p>
    <w:p>
      <w:pPr>
        <w:pStyle w:val="BodyText"/>
        <w:spacing w:line="408" w:lineRule="auto"/>
        <w:ind w:left="1553" w:right="5818" w:hanging="420"/>
        <w:jc w:val="left"/>
      </w:pPr>
      <w:r>
        <w:rPr/>
        <w:t>具体方法如下： </w:t>
      </w:r>
      <w:r>
        <w:rPr>
          <w:rFonts w:ascii="宋体" w:hAnsi="宋体" w:cs="宋体" w:eastAsia="宋体" w:hint="default"/>
        </w:rPr>
        <w:t>(1)</w:t>
      </w:r>
      <w:r>
        <w:rPr/>
        <w:t>系统建设：一卡通项目设备安装及调试工作。</w:t>
      </w:r>
    </w:p>
    <w:p>
      <w:pPr>
        <w:pStyle w:val="BodyText"/>
        <w:spacing w:line="408" w:lineRule="auto"/>
        <w:ind w:right="1131" w:firstLine="420"/>
        <w:jc w:val="both"/>
      </w:pPr>
      <w:r>
        <w:rPr>
          <w:spacing w:val="-1"/>
        </w:rPr>
        <w:t>系统建设分为通过系统集成业务需要安装的产品销售以及单独的产品销售两种方式。通过系统集成业</w:t>
      </w:r>
      <w:r>
        <w:rPr/>
        <w:t> </w:t>
      </w:r>
      <w:r>
        <w:rPr>
          <w:spacing w:val="-1"/>
        </w:rPr>
        <w:t>务需要安装的产品销售在项目已实际完工并取得项目调试验收报告时确认收入；单独的产品销售，一般不</w:t>
      </w:r>
      <w:r>
        <w:rPr>
          <w:spacing w:val="-81"/>
        </w:rPr>
        <w:t> </w:t>
      </w:r>
      <w:r>
        <w:rPr>
          <w:spacing w:val="-81"/>
        </w:rPr>
      </w:r>
      <w:r>
        <w:rPr/>
        <w:t>需安装，在完成产品交付时确认收入。</w:t>
      </w:r>
    </w:p>
    <w:p>
      <w:pPr>
        <w:pStyle w:val="BodyText"/>
        <w:spacing w:line="408" w:lineRule="auto"/>
        <w:ind w:left="1553" w:right="0"/>
        <w:jc w:val="left"/>
      </w:pPr>
      <w:r>
        <w:rPr>
          <w:rFonts w:ascii="宋体" w:hAnsi="宋体" w:cs="宋体" w:eastAsia="宋体" w:hint="default"/>
        </w:rPr>
        <w:t>(2)</w:t>
      </w:r>
      <w:r>
        <w:rPr/>
        <w:t>运营与维护 </w:t>
      </w:r>
      <w:r>
        <w:rPr>
          <w:rFonts w:ascii="宋体" w:hAnsi="宋体" w:cs="宋体" w:eastAsia="宋体" w:hint="default"/>
          <w:spacing w:val="-1"/>
        </w:rPr>
        <w:t>1)</w:t>
      </w:r>
      <w:r>
        <w:rPr>
          <w:spacing w:val="-1"/>
        </w:rPr>
        <w:t>维护服务：公司在一卡通系统项目建设完毕后，在非质保期内或非质保范围内发生的，为保证系统</w:t>
      </w:r>
    </w:p>
    <w:p>
      <w:pPr>
        <w:pStyle w:val="BodyText"/>
        <w:spacing w:line="408" w:lineRule="auto"/>
        <w:ind w:left="1553" w:right="0" w:hanging="420"/>
        <w:jc w:val="left"/>
      </w:pPr>
      <w:r>
        <w:rPr/>
        <w:t>的正常运行而提供的维护服务，根据与客户签署的服务协议，按照规定的服务期限分摊确认收入。 </w:t>
      </w:r>
      <w:r>
        <w:rPr>
          <w:rFonts w:ascii="宋体" w:hAnsi="宋体" w:cs="宋体" w:eastAsia="宋体" w:hint="default"/>
          <w:spacing w:val="-1"/>
        </w:rPr>
        <w:t>2)</w:t>
      </w:r>
      <w:r>
        <w:rPr>
          <w:spacing w:val="-1"/>
        </w:rPr>
        <w:t>运营增值：公司与基础运营商等签订运营增值业务合作协议，根据运营商等使用数据，以及事先确</w:t>
      </w:r>
    </w:p>
    <w:p>
      <w:pPr>
        <w:pStyle w:val="BodyText"/>
        <w:spacing w:line="408" w:lineRule="auto"/>
        <w:ind w:left="1553" w:right="0" w:hanging="420"/>
        <w:jc w:val="left"/>
      </w:pPr>
      <w:r>
        <w:rPr/>
        <w:t>定的结算方式确认收入。 </w:t>
      </w:r>
      <w:r>
        <w:rPr>
          <w:rFonts w:ascii="宋体" w:hAnsi="宋体" w:cs="宋体" w:eastAsia="宋体" w:hint="default"/>
        </w:rPr>
        <w:t>(3)</w:t>
      </w:r>
      <w:r>
        <w:rPr/>
        <w:t>智能管控：公司在一卡通系统建设中进行与之相关的弱电工程业务，在项目已实际完工并取得项</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目调试验收报告时确认收入。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0"/>
        <w:jc w:val="both"/>
        <w:rPr>
          <w:b w:val="0"/>
          <w:bCs w:val="0"/>
        </w:rPr>
      </w:pPr>
      <w:bookmarkStart w:name="23、政府补助" w:id="254"/>
      <w:bookmarkEnd w:id="254"/>
      <w:r>
        <w:rPr>
          <w:b w:val="0"/>
          <w:bCs w:val="0"/>
        </w:rPr>
      </w:r>
      <w:r>
        <w:rPr>
          <w:rFonts w:ascii="Times New Roman" w:hAnsi="Times New Roman" w:cs="Times New Roman" w:eastAsia="Times New Roman" w:hint="default"/>
        </w:rPr>
        <w:t>23</w:t>
      </w:r>
      <w:r>
        <w:rPr/>
        <w:t>、政府补助</w:t>
      </w:r>
      <w:r>
        <w:rPr>
          <w:b w:val="0"/>
          <w:bCs w:val="0"/>
        </w:rPr>
      </w:r>
    </w:p>
    <w:p>
      <w:pPr>
        <w:spacing w:line="690" w:lineRule="exact" w:before="16"/>
        <w:ind w:left="1554" w:right="0" w:hanging="420"/>
        <w:jc w:val="left"/>
        <w:rPr>
          <w:rFonts w:ascii="宋体" w:hAnsi="宋体" w:cs="宋体" w:eastAsia="宋体" w:hint="default"/>
          <w:sz w:val="21"/>
          <w:szCs w:val="21"/>
        </w:rPr>
      </w:pPr>
      <w:bookmarkStart w:name="（1）与资产相关的政府补助判断依据及会计处理方法"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公司取得的、用于购建或以其他方式形成长期资产的政府补助划分为与资产相关的政府补助。与资产</w:t>
      </w:r>
    </w:p>
    <w:p>
      <w:pPr>
        <w:pStyle w:val="BodyText"/>
        <w:spacing w:line="408" w:lineRule="auto" w:before="84"/>
        <w:ind w:left="1134" w:right="1131"/>
        <w:jc w:val="both"/>
      </w:pPr>
      <w:r>
        <w:rPr>
          <w:spacing w:val="-1"/>
        </w:rPr>
        <w:t>相关的政府补助，冲减相关资产的账面价值或确认为递延收益。与资产相关补助确认为递延收益的，在相</w:t>
      </w:r>
      <w:r>
        <w:rPr>
          <w:spacing w:val="-83"/>
        </w:rPr>
        <w:t> </w:t>
      </w:r>
      <w:r>
        <w:rPr>
          <w:spacing w:val="-83"/>
        </w:rPr>
      </w:r>
      <w:r>
        <w:rPr>
          <w:spacing w:val="-1"/>
        </w:rPr>
        <w:t>关资产使用寿命内按照合理、系统的方法分期计入损益。按照名义金额计量的政府补助，直接计入当期损</w:t>
      </w:r>
      <w:r>
        <w:rPr>
          <w:spacing w:val="-83"/>
        </w:rPr>
        <w:t> </w:t>
      </w:r>
      <w:r>
        <w:rPr>
          <w:spacing w:val="-83"/>
        </w:rPr>
      </w:r>
      <w:r>
        <w:rPr>
          <w:spacing w:val="-1"/>
        </w:rPr>
        <w:t>益。相关资产在使用寿命结束前被出售、转让、报废或发生毁损的，将尚未分配的相关递延收益余额转入</w:t>
      </w:r>
      <w:r>
        <w:rPr>
          <w:spacing w:val="-86"/>
        </w:rPr>
        <w:t> </w:t>
      </w:r>
      <w:r>
        <w:rPr>
          <w:spacing w:val="-86"/>
        </w:rPr>
      </w:r>
      <w:r>
        <w:rPr/>
        <w:t>资产处置当期的损益。</w:t>
      </w:r>
    </w:p>
    <w:p>
      <w:pPr>
        <w:spacing w:line="240" w:lineRule="auto" w:before="6"/>
        <w:rPr>
          <w:rFonts w:ascii="宋体" w:hAnsi="宋体" w:cs="宋体" w:eastAsia="宋体" w:hint="default"/>
          <w:sz w:val="15"/>
          <w:szCs w:val="15"/>
        </w:rPr>
      </w:pPr>
    </w:p>
    <w:p>
      <w:pPr>
        <w:spacing w:line="670" w:lineRule="atLeast" w:before="0"/>
        <w:ind w:left="1554" w:right="0" w:hanging="420"/>
        <w:jc w:val="left"/>
        <w:rPr>
          <w:rFonts w:ascii="宋体" w:hAnsi="宋体" w:cs="宋体" w:eastAsia="宋体" w:hint="default"/>
          <w:sz w:val="21"/>
          <w:szCs w:val="21"/>
        </w:rPr>
      </w:pPr>
      <w:bookmarkStart w:name="（2）与收益相关的政府补助判断依据及会计处理方法"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除与资产相关的政府补助之外的政府补助划分为与收益相关的政府补助。对于同时包含与资产相关部</w:t>
      </w:r>
    </w:p>
    <w:p>
      <w:pPr>
        <w:spacing w:line="240" w:lineRule="auto" w:before="10"/>
        <w:rPr>
          <w:rFonts w:ascii="宋体" w:hAnsi="宋体" w:cs="宋体" w:eastAsia="宋体" w:hint="default"/>
          <w:sz w:val="14"/>
          <w:szCs w:val="14"/>
        </w:rPr>
      </w:pPr>
    </w:p>
    <w:p>
      <w:pPr>
        <w:pStyle w:val="BodyText"/>
        <w:spacing w:line="408" w:lineRule="auto" w:before="0"/>
        <w:ind w:left="1134" w:right="1131"/>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6"/>
        </w:rPr>
        <w:t> </w:t>
      </w:r>
      <w:r>
        <w:rPr>
          <w:spacing w:val="-86"/>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pStyle w:val="BodyText"/>
        <w:spacing w:line="408" w:lineRule="auto"/>
        <w:ind w:left="1134" w:right="1131" w:firstLine="420"/>
        <w:jc w:val="both"/>
      </w:pPr>
      <w:r>
        <w:rPr>
          <w:spacing w:val="-1"/>
        </w:rPr>
        <w:t>与公司日常经营活动相关的政府补助，按照经济业务实质，计入其他收益或冲减相关成本费用。与公</w:t>
      </w:r>
      <w:r>
        <w:rPr/>
        <w:t> 司日常活动无关的政府补助，计入营业外收支。</w:t>
      </w:r>
    </w:p>
    <w:p>
      <w:pPr>
        <w:spacing w:line="240" w:lineRule="auto" w:before="8"/>
        <w:rPr>
          <w:rFonts w:ascii="宋体" w:hAnsi="宋体" w:cs="宋体" w:eastAsia="宋体" w:hint="default"/>
          <w:sz w:val="20"/>
          <w:szCs w:val="20"/>
        </w:rPr>
      </w:pPr>
    </w:p>
    <w:p>
      <w:pPr>
        <w:pStyle w:val="Heading4"/>
        <w:spacing w:line="240" w:lineRule="auto"/>
        <w:ind w:left="1134" w:right="0"/>
        <w:jc w:val="both"/>
        <w:rPr>
          <w:b w:val="0"/>
          <w:bCs w:val="0"/>
        </w:rPr>
      </w:pPr>
      <w:bookmarkStart w:name="（3）政策性优惠贷款贴息的会计处理方法" w:id="257"/>
      <w:bookmarkEnd w:id="257"/>
      <w:r>
        <w:rPr>
          <w:b w:val="0"/>
          <w:bCs w:val="0"/>
        </w:rPr>
      </w:r>
      <w:r>
        <w:rPr/>
        <w:t>（</w:t>
      </w:r>
      <w:r>
        <w:rPr>
          <w:rFonts w:ascii="Times New Roman" w:hAnsi="Times New Roman" w:cs="Times New Roman" w:eastAsia="Times New Roman" w:hint="default"/>
        </w:rPr>
        <w:t>3</w:t>
      </w:r>
      <w:r>
        <w:rPr/>
        <w:t>）政策性优惠贷款贴息的会计处理方法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9" w:firstLine="420"/>
        <w:jc w:val="both"/>
      </w:pPr>
      <w:r>
        <w:rPr>
          <w:rFonts w:ascii="宋体" w:hAnsi="宋体" w:cs="宋体" w:eastAsia="宋体" w:hint="default"/>
        </w:rPr>
        <w:t>(1)</w:t>
      </w:r>
      <w:r>
        <w:rPr/>
        <w:t>财政将贴息资金拨付给贷款银行，由贷款银行以政策性优惠利率向公司提供贷款的，以实际收到 的借款金额作为借款的入账价值，按照借款本金和该政策性优惠利率计算相关借款费用。</w:t>
      </w:r>
    </w:p>
    <w:p>
      <w:pPr>
        <w:pStyle w:val="BodyText"/>
        <w:spacing w:line="240" w:lineRule="auto"/>
        <w:ind w:left="1553" w:right="0"/>
        <w:jc w:val="left"/>
      </w:pPr>
      <w:r>
        <w:rPr>
          <w:rFonts w:ascii="宋体" w:hAnsi="宋体" w:cs="宋体" w:eastAsia="宋体" w:hint="default"/>
        </w:rPr>
        <w:t>(2)</w:t>
      </w:r>
      <w:r>
        <w:rPr/>
        <w:t>财政将贴息资金直接拨付给公司的，将对应的贴息冲减相关借款费用。</w:t>
      </w:r>
    </w:p>
    <w:p>
      <w:pPr>
        <w:spacing w:line="240" w:lineRule="auto" w:before="0"/>
        <w:rPr>
          <w:rFonts w:ascii="宋体" w:hAnsi="宋体" w:cs="宋体" w:eastAsia="宋体" w:hint="default"/>
          <w:sz w:val="20"/>
          <w:szCs w:val="20"/>
        </w:rPr>
      </w:pPr>
    </w:p>
    <w:p>
      <w:pPr>
        <w:pStyle w:val="Heading4"/>
        <w:spacing w:line="240" w:lineRule="auto" w:before="154"/>
        <w:ind w:left="1134" w:right="0"/>
        <w:jc w:val="both"/>
        <w:rPr>
          <w:b w:val="0"/>
          <w:bCs w:val="0"/>
        </w:rPr>
      </w:pPr>
      <w:bookmarkStart w:name="24、递延所得税资产/递延所得税负债" w:id="258"/>
      <w:bookmarkEnd w:id="258"/>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rFonts w:ascii="宋体" w:hAnsi="宋体" w:cs="宋体" w:eastAsia="宋体" w:hint="default"/>
          <w:spacing w:val="-1"/>
        </w:rPr>
        <w:t>1.</w:t>
      </w:r>
      <w:r>
        <w:rPr>
          <w:spacing w:val="-1"/>
        </w:rPr>
        <w:t>根据资产、负债的账面价值与其计税基础之间的差额（未作为资产和负债确认的项目按照税法规定</w:t>
      </w:r>
      <w:r>
        <w:rPr/>
        <w:t> </w:t>
      </w:r>
      <w:r>
        <w:rPr>
          <w:spacing w:val="-1"/>
        </w:rPr>
        <w:t>可以确定其计税基础的，该计税基础与其账面数之间的差额），按照预期收回该资产或清偿该负债期间的</w:t>
      </w:r>
      <w:r>
        <w:rPr>
          <w:spacing w:val="-83"/>
        </w:rPr>
        <w:t> </w:t>
      </w:r>
      <w:r>
        <w:rPr>
          <w:spacing w:val="-83"/>
        </w:rPr>
      </w:r>
      <w:r>
        <w:rPr/>
        <w:t>适用税率计算确认递延所得税资产或递延所得税负债。</w:t>
      </w:r>
    </w:p>
    <w:p>
      <w:pPr>
        <w:spacing w:after="0" w:line="408"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rFonts w:ascii="宋体" w:hAnsi="宋体" w:cs="宋体" w:eastAsia="宋体" w:hint="default"/>
          <w:spacing w:val="3"/>
        </w:rPr>
        <w:t>2.</w:t>
      </w:r>
      <w:r>
        <w:rPr>
          <w:spacing w:val="3"/>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408" w:lineRule="auto"/>
        <w:ind w:right="1131" w:firstLine="420"/>
        <w:jc w:val="both"/>
      </w:pPr>
      <w:r>
        <w:rPr>
          <w:rFonts w:ascii="宋体" w:hAnsi="宋体" w:cs="宋体" w:eastAsia="宋体" w:hint="default"/>
          <w:spacing w:val="-1"/>
        </w:rPr>
        <w:t>3.</w:t>
      </w:r>
      <w:r>
        <w:rPr>
          <w:spacing w:val="-1"/>
        </w:rPr>
        <w:t>资产负债表日，对递延所得税资产的账面价值进行复核，如果未来期间很可能无法获得足够的应纳</w:t>
      </w:r>
      <w:r>
        <w:rPr/>
        <w:t>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408" w:lineRule="auto"/>
        <w:ind w:right="1131" w:firstLine="420"/>
        <w:jc w:val="both"/>
      </w:pPr>
      <w:r>
        <w:rPr>
          <w:rFonts w:ascii="宋体" w:hAnsi="宋体" w:cs="宋体" w:eastAsia="宋体" w:hint="default"/>
          <w:spacing w:val="-1"/>
        </w:rPr>
        <w:t>4.</w:t>
      </w:r>
      <w:r>
        <w:rPr>
          <w:spacing w:val="-1"/>
        </w:rPr>
        <w:t>公司当期所得税和递延所得税作为所得税费用或收益计入当期损益，但不包括下列情况产生的所得</w:t>
      </w:r>
      <w:r>
        <w:rPr/>
        <w:t> 税：</w:t>
      </w:r>
      <w:r>
        <w:rPr>
          <w:rFonts w:ascii="宋体" w:hAnsi="宋体" w:cs="宋体" w:eastAsia="宋体" w:hint="default"/>
        </w:rPr>
        <w:t>(1)</w:t>
      </w:r>
      <w:r>
        <w:rPr/>
        <w:t>企业合并；</w:t>
      </w:r>
      <w:r>
        <w:rPr>
          <w:rFonts w:ascii="宋体" w:hAnsi="宋体" w:cs="宋体" w:eastAsia="宋体" w:hint="default"/>
        </w:rPr>
        <w:t>(2)</w:t>
      </w:r>
      <w:r>
        <w:rPr/>
        <w:t>直接在所有者权益中确认的交易或者事项。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25、租赁" w:id="259"/>
      <w:bookmarkEnd w:id="259"/>
      <w:r>
        <w:rPr>
          <w:b w:val="0"/>
          <w:bCs w:val="0"/>
        </w:rPr>
      </w:r>
      <w:r>
        <w:rPr>
          <w:rFonts w:ascii="Times New Roman" w:hAnsi="Times New Roman" w:cs="Times New Roman" w:eastAsia="Times New Roman" w:hint="default"/>
        </w:rPr>
        <w:t>25</w:t>
      </w:r>
      <w:r>
        <w:rPr/>
        <w:t>、租赁</w:t>
      </w:r>
      <w:r>
        <w:rPr>
          <w:b w:val="0"/>
          <w:bCs w:val="0"/>
        </w:rPr>
      </w:r>
    </w:p>
    <w:p>
      <w:pPr>
        <w:spacing w:line="690" w:lineRule="exact" w:before="15"/>
        <w:ind w:left="1554" w:right="0" w:hanging="420"/>
        <w:jc w:val="left"/>
        <w:rPr>
          <w:rFonts w:ascii="宋体" w:hAnsi="宋体" w:cs="宋体" w:eastAsia="宋体" w:hint="default"/>
          <w:sz w:val="21"/>
          <w:szCs w:val="21"/>
        </w:rPr>
      </w:pPr>
      <w:bookmarkStart w:name="（1）经营租赁的会计处理方法"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408" w:lineRule="auto" w:before="84"/>
        <w:ind w:left="1553"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ind w:right="0"/>
        <w:jc w:val="left"/>
      </w:pPr>
      <w:r>
        <w:rPr/>
        <w:t>金额较大的予以资本化并分期计入损益外，均直接计入当期损益。或有租金在实际发生时计入当期损益。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134" w:right="0"/>
        <w:jc w:val="left"/>
        <w:rPr>
          <w:b w:val="0"/>
          <w:bCs w:val="0"/>
        </w:rPr>
      </w:pPr>
      <w:bookmarkStart w:name="（2）融资租赁的会计处理方法" w:id="261"/>
      <w:bookmarkEnd w:id="26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6、分部报告" w:id="262"/>
      <w:bookmarkEnd w:id="262"/>
      <w:r>
        <w:rPr>
          <w:b w:val="0"/>
          <w:bCs w:val="0"/>
        </w:rPr>
      </w:r>
      <w:r>
        <w:rPr>
          <w:rFonts w:ascii="Times New Roman" w:hAnsi="Times New Roman" w:cs="Times New Roman" w:eastAsia="Times New Roman" w:hint="default"/>
        </w:rPr>
        <w:t>26</w:t>
      </w:r>
      <w:r>
        <w:rPr/>
        <w:t>、分部报告</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公司以内部组织结构、管理要求、内部报告制度等为依据确定经营分部。公司的经营分部是指同时满</w:t>
      </w:r>
      <w:r>
        <w:rPr/>
        <w:t> 足下列条件的组成部分：</w:t>
      </w:r>
    </w:p>
    <w:p>
      <w:pPr>
        <w:pStyle w:val="BodyText"/>
        <w:spacing w:line="240" w:lineRule="auto"/>
        <w:ind w:left="1554" w:right="0"/>
        <w:jc w:val="left"/>
      </w:pPr>
      <w:r>
        <w:rPr>
          <w:rFonts w:ascii="宋体" w:hAnsi="宋体" w:cs="宋体" w:eastAsia="宋体" w:hint="default"/>
        </w:rPr>
        <w:t>1.</w:t>
      </w:r>
      <w:r>
        <w:rPr/>
        <w:t>该组成部分能够在日常活动中产生收入、发生费用；</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2.</w:t>
      </w:r>
      <w:r>
        <w:rPr/>
        <w:t>管理层能够定期评价该组成部分的经营成果，以决定向其配置资源、评价其业绩；</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3.</w:t>
      </w:r>
      <w:r>
        <w:rPr/>
        <w:t>能够通过分析取得该组成部分的财务状况、经营成果和现金流量等有关会计信息。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134" w:right="0"/>
        <w:jc w:val="left"/>
        <w:rPr>
          <w:b w:val="0"/>
          <w:bCs w:val="0"/>
        </w:rPr>
      </w:pPr>
      <w:bookmarkStart w:name="27、重要会计政策和会计估计变更" w:id="263"/>
      <w:bookmarkEnd w:id="263"/>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64"/>
      <w:bookmarkEnd w:id="26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1138" w:firstLine="0"/>
        <w:jc w:val="right"/>
        <w:rPr>
          <w:rFonts w:ascii="宋体" w:hAnsi="宋体" w:cs="宋体" w:eastAsia="宋体" w:hint="default"/>
          <w:sz w:val="18"/>
          <w:szCs w:val="18"/>
        </w:rPr>
      </w:pPr>
      <w:r>
        <w:rPr/>
        <w:pict>
          <v:shape style="position:absolute;margin-left:56.459999pt;margin-top:-193.76828pt;width:479.25pt;height:268.1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日起执行财政</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部制定的《企业会计准则第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 有待售的非流动资产、处置组和终止经 </w:t>
                        </w:r>
                        <w:r>
                          <w:rPr>
                            <w:rFonts w:ascii="宋体" w:hAnsi="宋体" w:cs="宋体" w:eastAsia="宋体" w:hint="default"/>
                            <w:spacing w:val="-8"/>
                            <w:sz w:val="18"/>
                            <w:szCs w:val="18"/>
                          </w:rPr>
                          <w:t>营》，采用未来适用法处理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本次会计政策变更业经公司第二届董事 会第十九次会议审议通过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日起执行经修</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订的《企业会计准则第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 </w:t>
                        </w:r>
                        <w:r>
                          <w:rPr>
                            <w:rFonts w:ascii="宋体" w:hAnsi="宋体" w:cs="宋体" w:eastAsia="宋体" w:hint="default"/>
                            <w:spacing w:val="-8"/>
                            <w:sz w:val="18"/>
                            <w:szCs w:val="18"/>
                          </w:rPr>
                          <w:t>助》。采用未来适用法处理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本次会计政策变更业经公司第二届董事 会第十五次会议审议通过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本公司编制</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年度报表执行《财政部 关于修订印发一般企业财务报表格式的 </w:t>
                        </w:r>
                        <w:r>
                          <w:rPr>
                            <w:rFonts w:ascii="宋体" w:hAnsi="宋体" w:cs="宋体" w:eastAsia="宋体" w:hint="default"/>
                            <w:spacing w:val="-5"/>
                            <w:sz w:val="18"/>
                            <w:szCs w:val="18"/>
                          </w:rPr>
                          <w:t>通知》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，将原列报于</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 资产处置利得和损失和非货币性资产交 换利得和损失变更为列报于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。此项会计政策变更采用追溯调整 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本次会计政策变更业经公司第二届董事 会第十九次会议审议通过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年度比较报表营业外收入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106,243.87 </w:t>
                        </w:r>
                        <w:r>
                          <w:rPr>
                            <w:rFonts w:ascii="宋体" w:hAnsi="宋体" w:cs="宋体" w:eastAsia="宋体" w:hint="default"/>
                            <w:spacing w:val="-9"/>
                            <w:sz w:val="18"/>
                            <w:szCs w:val="18"/>
                          </w:rPr>
                          <w:t>元，营业外支出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55,673.44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调增资产处置收益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50,570.43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5"/>
        <w:ind w:left="1134" w:right="0"/>
        <w:jc w:val="left"/>
        <w:rPr>
          <w:b w:val="0"/>
          <w:bCs w:val="0"/>
        </w:rPr>
      </w:pPr>
      <w:bookmarkStart w:name="（2）重要会计估计变更" w:id="265"/>
      <w:bookmarkEnd w:id="26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六、税项" w:id="266"/>
      <w:bookmarkEnd w:id="26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主要税种及税率" w:id="267"/>
      <w:bookmarkEnd w:id="26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r>
        <w:rPr/>
        <w:pict>
          <v:group style="position:absolute;margin-left:55.200001pt;margin-top:-49.526318pt;width:485pt;height:.1pt;mso-position-horizontal-relative:page;mso-position-vertical-relative:paragraph;z-index:-949336"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税收优惠" w:id="268"/>
      <w:bookmarkEnd w:id="26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1118"/>
        <w:jc w:val="left"/>
      </w:pPr>
      <w:r>
        <w:rPr>
          <w:rFonts w:ascii="宋体" w:hAnsi="宋体" w:cs="宋体" w:eastAsia="宋体" w:hint="default"/>
        </w:rPr>
        <w:t>1</w:t>
      </w:r>
      <w:r>
        <w:rPr/>
        <w:t>．增值税 </w:t>
      </w:r>
      <w:r>
        <w:rPr>
          <w:spacing w:val="-1"/>
        </w:rPr>
        <w:t>本公司及子公司青岛天高公司、广西筑波公司、杭州容博公司根据财政部、国家税务总局《关于软件</w:t>
      </w:r>
    </w:p>
    <w:p>
      <w:pPr>
        <w:pStyle w:val="BodyText"/>
        <w:spacing w:line="408" w:lineRule="auto"/>
        <w:ind w:right="1131"/>
        <w:jc w:val="both"/>
      </w:pPr>
      <w:r>
        <w:rPr/>
        <w:t>产品增值税政策的通知》</w:t>
      </w:r>
      <w:r>
        <w:rPr>
          <w:rFonts w:ascii="宋体" w:hAnsi="宋体" w:cs="宋体" w:eastAsia="宋体" w:hint="default"/>
        </w:rPr>
        <w:t>(</w:t>
      </w:r>
      <w:r>
        <w:rPr/>
        <w:t>财税〔</w:t>
      </w:r>
      <w:r>
        <w:rPr>
          <w:rFonts w:ascii="宋体" w:hAnsi="宋体" w:cs="宋体" w:eastAsia="宋体" w:hint="default"/>
        </w:rPr>
        <w:t>2011</w:t>
      </w:r>
      <w:r>
        <w:rPr/>
        <w:t>〕第</w:t>
      </w:r>
      <w:r>
        <w:rPr>
          <w:rFonts w:ascii="宋体" w:hAnsi="宋体" w:cs="宋体" w:eastAsia="宋体" w:hint="default"/>
        </w:rPr>
        <w:t>100</w:t>
      </w:r>
      <w:r>
        <w:rPr/>
        <w:t>号</w:t>
      </w:r>
      <w:r>
        <w:rPr>
          <w:rFonts w:ascii="宋体" w:hAnsi="宋体" w:cs="宋体" w:eastAsia="宋体" w:hint="default"/>
        </w:rPr>
        <w:t>)</w:t>
      </w:r>
      <w:r>
        <w:rPr/>
        <w:t>，自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日起，对增值税一般纳税人销售其自行</w:t>
      </w:r>
      <w:r>
        <w:rPr>
          <w:spacing w:val="-35"/>
        </w:rPr>
        <w:t> </w:t>
      </w:r>
      <w:r>
        <w:rPr>
          <w:spacing w:val="-35"/>
        </w:rPr>
      </w:r>
      <w:r>
        <w:rPr/>
        <w:t>开发生产的软件产品，按</w:t>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的部分实行即征即退</w:t>
      </w:r>
      <w:r>
        <w:rPr>
          <w:spacing w:val="-28"/>
        </w:rPr>
        <w:t> </w:t>
      </w:r>
      <w:r>
        <w:rPr>
          <w:spacing w:val="-28"/>
        </w:rPr>
      </w:r>
      <w:r>
        <w:rPr/>
        <w:t>政策。</w:t>
      </w:r>
    </w:p>
    <w:p>
      <w:pPr>
        <w:pStyle w:val="BodyText"/>
        <w:spacing w:line="408" w:lineRule="auto"/>
        <w:ind w:left="1553" w:right="0"/>
        <w:jc w:val="left"/>
      </w:pPr>
      <w:r>
        <w:rPr>
          <w:rFonts w:ascii="宋体" w:hAnsi="宋体" w:cs="宋体" w:eastAsia="宋体" w:hint="default"/>
        </w:rPr>
        <w:t>2</w:t>
      </w:r>
      <w:r>
        <w:rPr/>
        <w:t>．企业所得税 </w:t>
      </w:r>
      <w:r>
        <w:rPr>
          <w:spacing w:val="-1"/>
        </w:rPr>
        <w:t>根据浙江省发展和改革委员会《关于国家规划布局内重点软件和集成电路设计企业所得税（地税）优</w:t>
      </w:r>
    </w:p>
    <w:p>
      <w:pPr>
        <w:pStyle w:val="BodyText"/>
        <w:spacing w:line="408" w:lineRule="auto"/>
        <w:ind w:right="1136"/>
        <w:jc w:val="both"/>
      </w:pPr>
      <w:r>
        <w:rPr/>
        <w:t>惠政策核查结果的函》（浙发改高计函〔</w:t>
      </w:r>
      <w:r>
        <w:rPr>
          <w:rFonts w:ascii="宋体" w:hAnsi="宋体" w:cs="宋体" w:eastAsia="宋体" w:hint="default"/>
        </w:rPr>
        <w:t>2016</w:t>
      </w:r>
      <w:r>
        <w:rPr/>
        <w:t>〕</w:t>
      </w:r>
      <w:r>
        <w:rPr>
          <w:rFonts w:ascii="宋体" w:hAnsi="宋体" w:cs="宋体" w:eastAsia="宋体" w:hint="default"/>
        </w:rPr>
        <w:t>482</w:t>
      </w:r>
      <w:r>
        <w:rPr/>
        <w:t>），公司被认定为国家规划布局内重点软件企业，本</w:t>
      </w:r>
      <w:r>
        <w:rPr>
          <w:spacing w:val="-32"/>
        </w:rPr>
        <w:t> </w:t>
      </w:r>
      <w:r>
        <w:rPr>
          <w:spacing w:val="-32"/>
        </w:rPr>
      </w:r>
      <w:r>
        <w:rPr/>
        <w:t>年度减按</w:t>
      </w:r>
      <w:r>
        <w:rPr>
          <w:rFonts w:ascii="宋体" w:hAnsi="宋体" w:cs="宋体" w:eastAsia="宋体" w:hint="default"/>
        </w:rPr>
        <w:t>10%</w:t>
      </w:r>
      <w:r>
        <w:rPr/>
        <w:t>的税率计缴企业所得税。</w:t>
      </w:r>
    </w:p>
    <w:p>
      <w:pPr>
        <w:pStyle w:val="BodyText"/>
        <w:spacing w:line="408" w:lineRule="auto"/>
        <w:ind w:right="1126" w:firstLine="420"/>
        <w:jc w:val="both"/>
      </w:pPr>
      <w:r>
        <w:rPr>
          <w:spacing w:val="-1"/>
        </w:rPr>
        <w:t>根据广西壮族自治区高新技术企业认定管理机构《关于广西壮族自治区</w:t>
      </w:r>
      <w:r>
        <w:rPr>
          <w:rFonts w:ascii="宋体" w:hAnsi="宋体" w:cs="宋体" w:eastAsia="宋体" w:hint="default"/>
          <w:spacing w:val="-1"/>
        </w:rPr>
        <w:t>2016</w:t>
      </w:r>
      <w:r>
        <w:rPr>
          <w:spacing w:val="-1"/>
        </w:rPr>
        <w:t>年第一批高新技术企业备</w:t>
      </w:r>
      <w:r>
        <w:rPr/>
        <w:t> 案的复函》（国科火字〔</w:t>
      </w:r>
      <w:r>
        <w:rPr>
          <w:rFonts w:ascii="宋体" w:hAnsi="宋体" w:cs="宋体" w:eastAsia="宋体" w:hint="default"/>
        </w:rPr>
        <w:t>2016</w:t>
      </w:r>
      <w:r>
        <w:rPr/>
        <w:t>〕</w:t>
      </w:r>
      <w:r>
        <w:rPr>
          <w:rFonts w:ascii="宋体" w:hAnsi="宋体" w:cs="宋体" w:eastAsia="宋体" w:hint="default"/>
        </w:rPr>
        <w:t>155</w:t>
      </w:r>
      <w:r>
        <w:rPr/>
        <w:t>号），广西筑波公司通过高新技术企业认定，资格有效期</w:t>
      </w:r>
      <w:r>
        <w:rPr>
          <w:rFonts w:ascii="宋体" w:hAnsi="宋体" w:cs="宋体" w:eastAsia="宋体" w:hint="default"/>
        </w:rPr>
        <w:t>3</w:t>
      </w:r>
      <w:r>
        <w:rPr/>
        <w:t>年</w:t>
      </w:r>
      <w:r>
        <w:rPr>
          <w:rFonts w:ascii="宋体" w:hAnsi="宋体" w:cs="宋体" w:eastAsia="宋体" w:hint="default"/>
        </w:rPr>
        <w:t>,</w:t>
      </w:r>
      <w:r>
        <w:rPr/>
        <w:t>企业所</w:t>
      </w:r>
      <w:r>
        <w:rPr>
          <w:spacing w:val="-25"/>
        </w:rPr>
        <w:t> </w:t>
      </w:r>
      <w:r>
        <w:rPr/>
        <w:t>得税优惠期为</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日，故本年度减按</w:t>
      </w:r>
      <w:r>
        <w:rPr>
          <w:rFonts w:ascii="宋体" w:hAnsi="宋体" w:cs="宋体" w:eastAsia="宋体" w:hint="default"/>
        </w:rPr>
        <w:t>15%</w:t>
      </w:r>
      <w:r>
        <w:rPr/>
        <w:t>的税率计缴企业所得税。</w:t>
      </w:r>
    </w:p>
    <w:p>
      <w:pPr>
        <w:pStyle w:val="BodyText"/>
        <w:spacing w:line="408" w:lineRule="auto"/>
        <w:ind w:right="1127" w:firstLine="420"/>
        <w:jc w:val="both"/>
      </w:pPr>
      <w:r>
        <w:rPr/>
        <w:t>根据青岛市高新技术企业认定管理机构《关于青岛市</w:t>
      </w:r>
      <w:r>
        <w:rPr>
          <w:rFonts w:ascii="宋体" w:hAnsi="宋体" w:cs="宋体" w:eastAsia="宋体" w:hint="default"/>
        </w:rPr>
        <w:t>2016</w:t>
      </w:r>
      <w:r>
        <w:rPr/>
        <w:t>年第一批高新技术企业备案的复函》</w:t>
      </w:r>
      <w:r>
        <w:rPr>
          <w:rFonts w:ascii="宋体" w:hAnsi="宋体" w:cs="宋体" w:eastAsia="宋体" w:hint="default"/>
        </w:rPr>
        <w:t>(</w:t>
      </w:r>
      <w:r>
        <w:rPr/>
        <w:t>国科</w:t>
      </w:r>
      <w:r>
        <w:rPr>
          <w:spacing w:val="3"/>
        </w:rPr>
        <w:t> </w:t>
      </w:r>
      <w:r>
        <w:rPr>
          <w:spacing w:val="-1"/>
        </w:rPr>
        <w:t>火字〔</w:t>
      </w:r>
      <w:r>
        <w:rPr>
          <w:rFonts w:ascii="宋体" w:hAnsi="宋体" w:cs="宋体" w:eastAsia="宋体" w:hint="default"/>
          <w:spacing w:val="-1"/>
        </w:rPr>
        <w:t>2016</w:t>
      </w:r>
      <w:r>
        <w:rPr>
          <w:spacing w:val="-1"/>
        </w:rPr>
        <w:t>〕</w:t>
      </w:r>
      <w:r>
        <w:rPr>
          <w:rFonts w:ascii="宋体" w:hAnsi="宋体" w:cs="宋体" w:eastAsia="宋体" w:hint="default"/>
          <w:spacing w:val="-1"/>
        </w:rPr>
        <w:t>158</w:t>
      </w:r>
      <w:r>
        <w:rPr>
          <w:spacing w:val="-1"/>
        </w:rPr>
        <w:t>号</w:t>
      </w:r>
      <w:r>
        <w:rPr>
          <w:rFonts w:ascii="宋体" w:hAnsi="宋体" w:cs="宋体" w:eastAsia="宋体" w:hint="default"/>
          <w:spacing w:val="-1"/>
        </w:rPr>
        <w:t>)</w:t>
      </w:r>
      <w:r>
        <w:rPr>
          <w:spacing w:val="-1"/>
        </w:rPr>
        <w:t>，青岛天高公司通过高新技术企业认定，资格有效期</w:t>
      </w:r>
      <w:r>
        <w:rPr>
          <w:rFonts w:ascii="宋体" w:hAnsi="宋体" w:cs="宋体" w:eastAsia="宋体" w:hint="default"/>
          <w:spacing w:val="-1"/>
        </w:rPr>
        <w:t>3</w:t>
      </w:r>
      <w:r>
        <w:rPr>
          <w:spacing w:val="-1"/>
        </w:rPr>
        <w:t>年</w:t>
      </w:r>
      <w:r>
        <w:rPr>
          <w:rFonts w:ascii="宋体" w:hAnsi="宋体" w:cs="宋体" w:eastAsia="宋体" w:hint="default"/>
          <w:spacing w:val="-1"/>
        </w:rPr>
        <w:t>,</w:t>
      </w:r>
      <w:r>
        <w:rPr>
          <w:spacing w:val="-1"/>
        </w:rPr>
        <w:t>企业所得税优惠期为</w:t>
      </w:r>
      <w:r>
        <w:rPr>
          <w:rFonts w:ascii="宋体" w:hAnsi="宋体" w:cs="宋体" w:eastAsia="宋体" w:hint="default"/>
          <w:spacing w:val="-1"/>
        </w:rPr>
        <w:t>2016</w:t>
      </w:r>
      <w:r>
        <w:rPr>
          <w:spacing w:val="-1"/>
        </w:rPr>
        <w:t>年</w:t>
      </w:r>
      <w:r>
        <w:rPr>
          <w:spacing w:val="-84"/>
        </w:rPr>
        <w:t> </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日，故本年度减按</w:t>
      </w:r>
      <w:r>
        <w:rPr>
          <w:rFonts w:ascii="宋体" w:hAnsi="宋体" w:cs="宋体" w:eastAsia="宋体" w:hint="default"/>
        </w:rPr>
        <w:t>15%</w:t>
      </w:r>
      <w:r>
        <w:rPr/>
        <w:t>的税率计缴企业所得税。</w:t>
      </w:r>
    </w:p>
    <w:p>
      <w:pPr>
        <w:pStyle w:val="BodyText"/>
        <w:spacing w:line="408" w:lineRule="auto"/>
        <w:ind w:right="1127" w:firstLine="420"/>
        <w:jc w:val="both"/>
      </w:pPr>
      <w:r>
        <w:rPr/>
        <w:t>根据福建省高新技术企业认定管理机构《关于福建省</w:t>
      </w:r>
      <w:r>
        <w:rPr>
          <w:rFonts w:ascii="宋体" w:hAnsi="宋体" w:cs="宋体" w:eastAsia="宋体" w:hint="default"/>
        </w:rPr>
        <w:t>2016</w:t>
      </w:r>
      <w:r>
        <w:rPr/>
        <w:t>年第一批高新技术企业备案的复函》</w:t>
      </w:r>
      <w:r>
        <w:rPr>
          <w:rFonts w:ascii="宋体" w:hAnsi="宋体" w:cs="宋体" w:eastAsia="宋体" w:hint="default"/>
        </w:rPr>
        <w:t>(</w:t>
      </w:r>
      <w:r>
        <w:rPr/>
        <w:t>国科</w:t>
      </w:r>
      <w:r>
        <w:rPr>
          <w:spacing w:val="3"/>
        </w:rPr>
        <w:t> </w:t>
      </w:r>
      <w:r>
        <w:rPr>
          <w:spacing w:val="-1"/>
        </w:rPr>
        <w:t>火字〔</w:t>
      </w:r>
      <w:r>
        <w:rPr>
          <w:rFonts w:ascii="宋体" w:hAnsi="宋体" w:cs="宋体" w:eastAsia="宋体" w:hint="default"/>
          <w:spacing w:val="-1"/>
        </w:rPr>
        <w:t>2016</w:t>
      </w:r>
      <w:r>
        <w:rPr>
          <w:spacing w:val="-1"/>
        </w:rPr>
        <w:t>〕</w:t>
      </w:r>
      <w:r>
        <w:rPr>
          <w:rFonts w:ascii="宋体" w:hAnsi="宋体" w:cs="宋体" w:eastAsia="宋体" w:hint="default"/>
          <w:spacing w:val="-1"/>
        </w:rPr>
        <w:t>159</w:t>
      </w:r>
      <w:r>
        <w:rPr>
          <w:spacing w:val="-1"/>
        </w:rPr>
        <w:t>号</w:t>
      </w:r>
      <w:r>
        <w:rPr>
          <w:rFonts w:ascii="宋体" w:hAnsi="宋体" w:cs="宋体" w:eastAsia="宋体" w:hint="default"/>
          <w:spacing w:val="-1"/>
        </w:rPr>
        <w:t>)</w:t>
      </w:r>
      <w:r>
        <w:rPr>
          <w:spacing w:val="-1"/>
        </w:rPr>
        <w:t>，福建正元公司通过高新技术企业认定，资格有效期</w:t>
      </w:r>
      <w:r>
        <w:rPr>
          <w:rFonts w:ascii="宋体" w:hAnsi="宋体" w:cs="宋体" w:eastAsia="宋体" w:hint="default"/>
          <w:spacing w:val="-1"/>
        </w:rPr>
        <w:t>3</w:t>
      </w:r>
      <w:r>
        <w:rPr>
          <w:spacing w:val="-1"/>
        </w:rPr>
        <w:t>年</w:t>
      </w:r>
      <w:r>
        <w:rPr>
          <w:rFonts w:ascii="宋体" w:hAnsi="宋体" w:cs="宋体" w:eastAsia="宋体" w:hint="default"/>
          <w:spacing w:val="-1"/>
        </w:rPr>
        <w:t>,</w:t>
      </w:r>
      <w:r>
        <w:rPr>
          <w:spacing w:val="-1"/>
        </w:rPr>
        <w:t>企业所得税优惠期为</w:t>
      </w:r>
      <w:r>
        <w:rPr>
          <w:rFonts w:ascii="宋体" w:hAnsi="宋体" w:cs="宋体" w:eastAsia="宋体" w:hint="default"/>
          <w:spacing w:val="-1"/>
        </w:rPr>
        <w:t>2016</w:t>
      </w:r>
      <w:r>
        <w:rPr>
          <w:spacing w:val="-1"/>
        </w:rPr>
        <w:t>年</w:t>
      </w:r>
      <w:r>
        <w:rPr>
          <w:spacing w:val="-84"/>
        </w:rPr>
        <w:t> </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日，故本年度减按</w:t>
      </w:r>
      <w:r>
        <w:rPr>
          <w:rFonts w:ascii="宋体" w:hAnsi="宋体" w:cs="宋体" w:eastAsia="宋体" w:hint="default"/>
        </w:rPr>
        <w:t>15%</w:t>
      </w:r>
      <w:r>
        <w:rPr/>
        <w:t>的税率计缴企业所得税。</w:t>
      </w:r>
    </w:p>
    <w:p>
      <w:pPr>
        <w:pStyle w:val="BodyText"/>
        <w:spacing w:line="408" w:lineRule="auto"/>
        <w:ind w:right="1132" w:firstLine="420"/>
        <w:jc w:val="both"/>
      </w:pPr>
      <w:r>
        <w:rPr>
          <w:spacing w:val="-1"/>
        </w:rPr>
        <w:t>根据江西省高企认定工作办公室《江西省高企认定工作办公室关于公示江西省</w:t>
      </w:r>
      <w:r>
        <w:rPr>
          <w:rFonts w:ascii="宋体" w:hAnsi="宋体" w:cs="宋体" w:eastAsia="宋体" w:hint="default"/>
          <w:spacing w:val="-1"/>
        </w:rPr>
        <w:t>2017</w:t>
      </w:r>
      <w:r>
        <w:rPr>
          <w:spacing w:val="-1"/>
        </w:rPr>
        <w:t>年第一批拟报备高</w:t>
      </w:r>
      <w:r>
        <w:rPr/>
        <w:t> 新技术企业名单的通知》（赣高企认办〔</w:t>
      </w:r>
      <w:r>
        <w:rPr>
          <w:rFonts w:ascii="宋体" w:hAnsi="宋体" w:cs="宋体" w:eastAsia="宋体" w:hint="default"/>
        </w:rPr>
        <w:t>2017</w:t>
      </w:r>
      <w:r>
        <w:rPr/>
        <w:t>〕</w:t>
      </w:r>
      <w:r>
        <w:rPr>
          <w:rFonts w:ascii="宋体" w:hAnsi="宋体" w:cs="宋体" w:eastAsia="宋体" w:hint="default"/>
        </w:rPr>
        <w:t>2</w:t>
      </w:r>
      <w:r>
        <w:rPr/>
        <w:t>号），南昌正元公司通过高新技术企业认定，资格有效</w:t>
      </w:r>
      <w:r>
        <w:rPr>
          <w:spacing w:val="-31"/>
        </w:rPr>
        <w:t> </w:t>
      </w:r>
      <w:r>
        <w:rPr>
          <w:spacing w:val="-31"/>
        </w:rPr>
      </w:r>
      <w:r>
        <w:rPr/>
        <w:t>期</w:t>
      </w:r>
      <w:r>
        <w:rPr>
          <w:rFonts w:ascii="宋体" w:hAnsi="宋体" w:cs="宋体" w:eastAsia="宋体" w:hint="default"/>
        </w:rPr>
        <w:t>3</w:t>
      </w:r>
      <w:r>
        <w:rPr/>
        <w:t>年</w:t>
      </w:r>
      <w:r>
        <w:rPr>
          <w:rFonts w:ascii="宋体" w:hAnsi="宋体" w:cs="宋体" w:eastAsia="宋体" w:hint="default"/>
        </w:rPr>
        <w:t>,</w:t>
      </w:r>
      <w:r>
        <w:rPr/>
        <w:t>企业所得税优惠期为</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日，故本年度减按</w:t>
      </w:r>
      <w:r>
        <w:rPr>
          <w:rFonts w:ascii="宋体" w:hAnsi="宋体" w:cs="宋体" w:eastAsia="宋体" w:hint="default"/>
        </w:rPr>
        <w:t>15%</w:t>
      </w:r>
      <w:r>
        <w:rPr/>
        <w:t>的税率计缴企业所得税。</w:t>
      </w:r>
    </w:p>
    <w:p>
      <w:pPr>
        <w:pStyle w:val="BodyText"/>
        <w:spacing w:line="408" w:lineRule="auto"/>
        <w:ind w:right="1131" w:firstLine="420"/>
        <w:jc w:val="both"/>
      </w:pPr>
      <w:r>
        <w:rPr>
          <w:spacing w:val="-1"/>
        </w:rPr>
        <w:t>根据全国高新技术企业认定管理工作领导小组办公室《关于浙江省</w:t>
      </w:r>
      <w:r>
        <w:rPr>
          <w:rFonts w:ascii="宋体" w:hAnsi="宋体" w:cs="宋体" w:eastAsia="宋体" w:hint="default"/>
          <w:spacing w:val="-1"/>
        </w:rPr>
        <w:t>2015</w:t>
      </w:r>
      <w:r>
        <w:rPr>
          <w:spacing w:val="-1"/>
        </w:rPr>
        <w:t>年第一批高新技术企业备案的</w:t>
      </w:r>
      <w:r>
        <w:rPr/>
        <w:t> </w:t>
      </w:r>
      <w:r>
        <w:rPr>
          <w:spacing w:val="-1"/>
        </w:rPr>
        <w:t>复函》（国科火字〔</w:t>
      </w:r>
      <w:r>
        <w:rPr>
          <w:rFonts w:ascii="宋体" w:hAnsi="宋体" w:cs="宋体" w:eastAsia="宋体" w:hint="default"/>
          <w:spacing w:val="-1"/>
        </w:rPr>
        <w:t>2015</w:t>
      </w:r>
      <w:r>
        <w:rPr>
          <w:spacing w:val="-1"/>
        </w:rPr>
        <w:t>〕</w:t>
      </w:r>
      <w:r>
        <w:rPr>
          <w:rFonts w:ascii="宋体" w:hAnsi="宋体" w:cs="宋体" w:eastAsia="宋体" w:hint="default"/>
          <w:spacing w:val="-1"/>
        </w:rPr>
        <w:t>256</w:t>
      </w:r>
      <w:r>
        <w:rPr>
          <w:spacing w:val="-1"/>
        </w:rPr>
        <w:t>号），杭州容博公司通过高新技术企业认定，资格有效期</w:t>
      </w:r>
      <w:r>
        <w:rPr>
          <w:rFonts w:ascii="宋体" w:hAnsi="宋体" w:cs="宋体" w:eastAsia="宋体" w:hint="default"/>
          <w:spacing w:val="-1"/>
        </w:rPr>
        <w:t>3</w:t>
      </w:r>
      <w:r>
        <w:rPr>
          <w:spacing w:val="-1"/>
        </w:rPr>
        <w:t>年，企业所得税</w:t>
      </w:r>
      <w:r>
        <w:rPr>
          <w:spacing w:val="-84"/>
        </w:rPr>
        <w:t> </w:t>
      </w:r>
      <w:r>
        <w:rPr>
          <w:spacing w:val="-84"/>
        </w:rPr>
      </w:r>
      <w:r>
        <w:rPr/>
        <w:t>优惠期为</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日，故本年度减按</w:t>
      </w:r>
      <w:r>
        <w:rPr>
          <w:rFonts w:ascii="宋体" w:hAnsi="宋体" w:cs="宋体" w:eastAsia="宋体" w:hint="default"/>
        </w:rPr>
        <w:t>15%</w:t>
      </w:r>
      <w:r>
        <w:rPr/>
        <w:t>的税率计缴企业所得税。</w:t>
      </w:r>
    </w:p>
    <w:p>
      <w:pPr>
        <w:spacing w:after="0" w:line="408" w:lineRule="auto"/>
        <w:jc w:val="both"/>
        <w:sectPr>
          <w:pgSz w:w="11910" w:h="16840"/>
          <w:pgMar w:header="86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bookmarkStart w:name="七、合并财务报表项目注释" w:id="269"/>
      <w:bookmarkEnd w:id="26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70"/>
      <w:bookmarkEnd w:id="27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36,592.94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115,196.38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196,288,008.12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140,449,455.59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10,867,590.73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22,330,270.15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207,192,191.79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162,894,922.12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250"/>
        <w:gridCol w:w="2136"/>
        <w:gridCol w:w="2138"/>
      </w:tblGrid>
      <w:tr>
        <w:trPr>
          <w:trHeight w:val="348"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3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10"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银行存款</w:t>
            </w:r>
          </w:p>
        </w:tc>
        <w:tc>
          <w:tcPr>
            <w:tcW w:w="2136" w:type="dxa"/>
            <w:tcBorders>
              <w:top w:val="single" w:sz="6" w:space="0" w:color="000000"/>
              <w:left w:val="single" w:sz="6"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短期借款质押存款</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15,000,000.00</w:t>
            </w:r>
          </w:p>
        </w:tc>
        <w:tc>
          <w:tcPr>
            <w:tcW w:w="2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15,000,000.00</w:t>
            </w:r>
          </w:p>
        </w:tc>
      </w:tr>
      <w:tr>
        <w:trPr>
          <w:trHeight w:val="347"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预收货款冻结</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5,761,896.01</w:t>
            </w:r>
          </w:p>
        </w:tc>
        <w:tc>
          <w:tcPr>
            <w:tcW w:w="213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其他货币资金</w:t>
            </w:r>
          </w:p>
        </w:tc>
        <w:tc>
          <w:tcPr>
            <w:tcW w:w="2136" w:type="dxa"/>
            <w:tcBorders>
              <w:top w:val="single" w:sz="6" w:space="0" w:color="000000"/>
              <w:left w:val="single" w:sz="6" w:space="0" w:color="000000"/>
              <w:bottom w:val="single" w:sz="6" w:space="0" w:color="000000"/>
              <w:right w:val="single" w:sz="6" w:space="0" w:color="000000"/>
            </w:tcBorders>
          </w:tcPr>
          <w:p>
            <w:pPr/>
          </w:p>
        </w:tc>
        <w:tc>
          <w:tcPr>
            <w:tcW w:w="213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10,843,428.91</w:t>
            </w:r>
          </w:p>
        </w:tc>
        <w:tc>
          <w:tcPr>
            <w:tcW w:w="2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22,330,270.15</w:t>
            </w:r>
          </w:p>
        </w:tc>
      </w:tr>
      <w:tr>
        <w:trPr>
          <w:trHeight w:val="348"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31,605,324.92</w:t>
            </w:r>
          </w:p>
        </w:tc>
        <w:tc>
          <w:tcPr>
            <w:tcW w:w="2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37,330,270.15</w:t>
            </w:r>
          </w:p>
        </w:tc>
      </w:tr>
    </w:tbl>
    <w:p>
      <w:pPr>
        <w:pStyle w:val="BodyText"/>
        <w:spacing w:line="276" w:lineRule="exact" w:before="0"/>
        <w:ind w:left="1554" w:right="0"/>
        <w:jc w:val="left"/>
      </w:pPr>
      <w:r>
        <w:rPr/>
        <w:t>注</w:t>
      </w:r>
      <w:r>
        <w:rPr>
          <w:rFonts w:ascii="Times New Roman" w:hAnsi="Times New Roman" w:cs="Times New Roman" w:eastAsia="Times New Roman" w:hint="default"/>
        </w:rPr>
        <w:t>:</w:t>
      </w:r>
      <w:r>
        <w:rPr/>
        <w:t>预收货款冻结系公司开立的三方共管账户</w:t>
      </w:r>
      <w:r>
        <w:rPr>
          <w:rFonts w:ascii="Times New Roman" w:hAnsi="Times New Roman" w:cs="Times New Roman" w:eastAsia="Times New Roman" w:hint="default"/>
        </w:rPr>
        <w:t>,</w:t>
      </w:r>
      <w:r>
        <w:rPr/>
        <w:t>在项目完成前</w:t>
      </w:r>
      <w:r>
        <w:rPr>
          <w:rFonts w:ascii="Times New Roman" w:hAnsi="Times New Roman" w:cs="Times New Roman" w:eastAsia="Times New Roman" w:hint="default"/>
        </w:rPr>
        <w:t>,</w:t>
      </w:r>
      <w:r>
        <w:rPr/>
        <w:t>账户内资金被银行冻结</w:t>
      </w:r>
      <w:r>
        <w:rPr>
          <w:rFonts w:ascii="Times New Roman" w:hAnsi="Times New Roman" w:cs="Times New Roman" w:eastAsia="Times New Roman" w:hint="default"/>
        </w:rPr>
        <w:t>,</w:t>
      </w:r>
      <w:r>
        <w:rPr/>
        <w:t>无法随时支取。</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2、应收票据" w:id="271"/>
      <w:bookmarkEnd w:id="271"/>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72"/>
      <w:bookmarkEnd w:id="27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750,305.10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2,557,531.22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2,193,093.69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3,307,836.32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2,643,093.69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公司已质押的应收票据" w:id="273"/>
      <w:bookmarkEnd w:id="27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公司已背书或贴现且在资产负债表日尚未到期的应收票据" w:id="274"/>
      <w:bookmarkEnd w:id="27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期末公司因出票人未履约而将其转应收账款的票据" w:id="275"/>
      <w:bookmarkEnd w:id="27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134" w:right="1131" w:firstLine="420"/>
        <w:jc w:val="right"/>
      </w:pPr>
      <w:r>
        <w:rPr>
          <w:spacing w:val="-1"/>
        </w:rPr>
        <w:t>银行承兑汇票的承兑人是商业银行，由于商业银行具有较高的信用，银行承兑汇票到期不获支付的可</w:t>
      </w:r>
      <w:r>
        <w:rPr/>
        <w:t> </w:t>
      </w:r>
      <w:r>
        <w:rPr>
          <w:spacing w:val="-1"/>
        </w:rPr>
        <w:t>能性较低，故本公司将已背书或贴现的银行承兑汇票予以终止确认。但如果该等票据到期不获支付，依据</w:t>
      </w:r>
    </w:p>
    <w:p>
      <w:pPr>
        <w:pStyle w:val="BodyText"/>
        <w:spacing w:line="240" w:lineRule="auto"/>
        <w:ind w:left="1134" w:right="0"/>
        <w:jc w:val="left"/>
      </w:pPr>
      <w:r>
        <w:rPr/>
        <w:t>《票据法》之规定，公司仍将对持票人承担连带责任。</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3、应收账款" w:id="276"/>
      <w:bookmarkEnd w:id="276"/>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账款分类披露" w:id="277"/>
      <w:bookmarkEnd w:id="27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10"/>
        <w:gridCol w:w="1171"/>
        <w:gridCol w:w="689"/>
        <w:gridCol w:w="1072"/>
        <w:gridCol w:w="689"/>
        <w:gridCol w:w="1153"/>
        <w:gridCol w:w="1159"/>
        <w:gridCol w:w="689"/>
        <w:gridCol w:w="1071"/>
        <w:gridCol w:w="594"/>
        <w:gridCol w:w="1159"/>
      </w:tblGrid>
      <w:tr>
        <w:trPr>
          <w:trHeight w:val="403" w:hRule="exact"/>
        </w:trPr>
        <w:tc>
          <w:tcPr>
            <w:tcW w:w="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7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1" w:right="8"/>
              <w:jc w:val="left"/>
              <w:rPr>
                <w:rFonts w:ascii="宋体" w:hAnsi="宋体" w:cs="宋体" w:eastAsia="宋体" w:hint="default"/>
                <w:sz w:val="18"/>
                <w:szCs w:val="18"/>
              </w:rPr>
            </w:pPr>
            <w:r>
              <w:rPr>
                <w:rFonts w:ascii="宋体" w:hAnsi="宋体" w:cs="宋体" w:eastAsia="宋体" w:hint="default"/>
                <w:sz w:val="18"/>
                <w:szCs w:val="18"/>
              </w:rPr>
              <w:t>类 别</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210" w:type="dxa"/>
            <w:vMerge/>
            <w:tcBorders>
              <w:left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48" w:right="6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8" w:hRule="exact"/>
        </w:trPr>
        <w:tc>
          <w:tcPr>
            <w:tcW w:w="210" w:type="dxa"/>
            <w:vMerge/>
            <w:tcBorders>
              <w:left w:val="single" w:sz="4" w:space="0" w:color="000000"/>
              <w:bottom w:val="nil" w:sz="6" w:space="0" w:color="auto"/>
              <w:right w:val="single" w:sz="4" w:space="0" w:color="000000"/>
            </w:tcBorders>
            <w:shd w:val="clear" w:color="auto" w:fill="D2D2D2"/>
          </w:tcPr>
          <w:p>
            <w:pPr/>
          </w:p>
        </w:tc>
        <w:tc>
          <w:tcPr>
            <w:tcW w:w="1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9"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4" w:type="dxa"/>
            <w:vMerge/>
            <w:tcBorders>
              <w:left w:val="single" w:sz="4" w:space="0" w:color="000000"/>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210" w:type="dxa"/>
            <w:vMerge w:val="restart"/>
            <w:tcBorders>
              <w:top w:val="nil" w:sz="6" w:space="0" w:color="auto"/>
              <w:left w:val="single" w:sz="4" w:space="0" w:color="000000"/>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1072"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bottom w:val="nil" w:sz="6" w:space="0" w:color="auto"/>
              <w:right w:val="single" w:sz="4" w:space="0" w:color="000000"/>
            </w:tcBorders>
            <w:shd w:val="clear" w:color="auto" w:fill="D2D2D2"/>
          </w:tcPr>
          <w:p>
            <w:pPr/>
          </w:p>
        </w:tc>
        <w:tc>
          <w:tcPr>
            <w:tcW w:w="594" w:type="dxa"/>
            <w:vMerge/>
            <w:tcBorders>
              <w:left w:val="single" w:sz="4" w:space="0" w:color="000000"/>
              <w:right w:val="single" w:sz="4" w:space="0" w:color="000000"/>
            </w:tcBorders>
            <w:shd w:val="clear" w:color="auto" w:fill="D2D2D2"/>
          </w:tcPr>
          <w:p>
            <w:pPr/>
          </w:p>
        </w:tc>
        <w:tc>
          <w:tcPr>
            <w:tcW w:w="115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10" w:type="dxa"/>
            <w:vMerge/>
            <w:tcBorders>
              <w:left w:val="single" w:sz="4" w:space="0" w:color="000000"/>
              <w:bottom w:val="single" w:sz="4" w:space="0" w:color="000000"/>
              <w:right w:val="single" w:sz="4" w:space="0" w:color="000000"/>
            </w:tcBorders>
            <w:shd w:val="clear" w:color="auto" w:fill="D2D2D2"/>
          </w:tcPr>
          <w:p>
            <w:pPr/>
          </w:p>
        </w:tc>
        <w:tc>
          <w:tcPr>
            <w:tcW w:w="11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tcBorders>
              <w:top w:val="nil" w:sz="6" w:space="0" w:color="auto"/>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r>
      <w:tr>
        <w:trPr>
          <w:trHeight w:val="5979" w:hRule="exact"/>
        </w:trPr>
        <w:tc>
          <w:tcPr>
            <w:tcW w:w="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
              <w:jc w:val="both"/>
              <w:rPr>
                <w:rFonts w:ascii="宋体" w:hAnsi="宋体" w:cs="宋体" w:eastAsia="宋体" w:hint="default"/>
                <w:sz w:val="18"/>
                <w:szCs w:val="18"/>
              </w:rPr>
            </w:pPr>
            <w:r>
              <w:rPr>
                <w:rFonts w:ascii="宋体" w:hAnsi="宋体" w:cs="宋体" w:eastAsia="宋体" w:hint="default"/>
                <w:sz w:val="18"/>
                <w:szCs w:val="18"/>
              </w:rPr>
              <w:t>按 信 用 风 险 特 征 组 合 计 提 坏 账 准 备 的 应 收 账</w:t>
            </w:r>
          </w:p>
        </w:tc>
        <w:tc>
          <w:tcPr>
            <w:tcW w:w="11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pacing w:val="-1"/>
                <w:sz w:val="18"/>
              </w:rPr>
              <w:t>311,456,532.7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99.71%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pacing w:val="-1"/>
                <w:sz w:val="18"/>
              </w:rPr>
              <w:t>37,521,967.6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12.05%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5"/>
              <w:jc w:val="right"/>
              <w:rPr>
                <w:rFonts w:ascii="Times New Roman" w:hAnsi="Times New Roman" w:cs="Times New Roman" w:eastAsia="Times New Roman" w:hint="default"/>
                <w:sz w:val="18"/>
                <w:szCs w:val="18"/>
              </w:rPr>
            </w:pPr>
            <w:r>
              <w:rPr>
                <w:rFonts w:ascii="Times New Roman"/>
                <w:spacing w:val="-1"/>
                <w:sz w:val="18"/>
              </w:rPr>
              <w:t>273,934,565.1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pacing w:val="-1"/>
                <w:sz w:val="18"/>
              </w:rPr>
              <w:t>237,236,761.4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pacing w:val="-1"/>
                <w:sz w:val="18"/>
              </w:rPr>
              <w:t>26,922,151.4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2"/>
              <w:jc w:val="right"/>
              <w:rPr>
                <w:rFonts w:ascii="Times New Roman" w:hAnsi="Times New Roman" w:cs="Times New Roman" w:eastAsia="Times New Roman" w:hint="default"/>
                <w:sz w:val="18"/>
                <w:szCs w:val="18"/>
              </w:rPr>
            </w:pPr>
            <w:r>
              <w:rPr>
                <w:rFonts w:ascii="Times New Roman"/>
                <w:spacing w:val="-2"/>
                <w:sz w:val="18"/>
              </w:rPr>
              <w:t>11.35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pacing w:val="-1"/>
                <w:sz w:val="18"/>
              </w:rPr>
              <w:t>210,314,609.9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21"/>
        <w:gridCol w:w="1171"/>
        <w:gridCol w:w="689"/>
        <w:gridCol w:w="1072"/>
        <w:gridCol w:w="689"/>
        <w:gridCol w:w="1153"/>
        <w:gridCol w:w="1159"/>
        <w:gridCol w:w="689"/>
        <w:gridCol w:w="1071"/>
        <w:gridCol w:w="594"/>
        <w:gridCol w:w="1159"/>
      </w:tblGrid>
      <w:tr>
        <w:trPr>
          <w:trHeight w:val="362" w:hRule="exact"/>
        </w:trPr>
        <w:tc>
          <w:tcPr>
            <w:tcW w:w="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71" w:type="dxa"/>
            <w:tcBorders>
              <w:top w:val="single" w:sz="4" w:space="0" w:color="000000"/>
              <w:left w:val="single" w:sz="13" w:space="0" w:color="D2D2D2"/>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
              <w:jc w:val="both"/>
              <w:rPr>
                <w:rFonts w:ascii="宋体" w:hAnsi="宋体" w:cs="宋体" w:eastAsia="宋体" w:hint="default"/>
                <w:sz w:val="18"/>
                <w:szCs w:val="18"/>
              </w:rPr>
            </w:pPr>
            <w:r>
              <w:rPr>
                <w:rFonts w:ascii="宋体" w:hAnsi="宋体" w:cs="宋体" w:eastAsia="宋体" w:hint="default"/>
                <w:sz w:val="18"/>
                <w:szCs w:val="18"/>
              </w:rPr>
              <w:t>单 项 金 额 不 重 大 但 单 独 计 提 坏 账 准 备 的 应 收 账 款</w:t>
            </w:r>
          </w:p>
        </w:tc>
        <w:tc>
          <w:tcPr>
            <w:tcW w:w="11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15" w:right="0"/>
              <w:jc w:val="left"/>
              <w:rPr>
                <w:rFonts w:ascii="Times New Roman" w:hAnsi="Times New Roman" w:cs="Times New Roman" w:eastAsia="Times New Roman" w:hint="default"/>
                <w:sz w:val="18"/>
                <w:szCs w:val="18"/>
              </w:rPr>
            </w:pPr>
            <w:r>
              <w:rPr>
                <w:rFonts w:ascii="Times New Roman"/>
                <w:sz w:val="18"/>
              </w:rPr>
              <w:t>920,000.00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90" w:right="0"/>
              <w:jc w:val="left"/>
              <w:rPr>
                <w:rFonts w:ascii="Times New Roman" w:hAnsi="Times New Roman" w:cs="Times New Roman" w:eastAsia="Times New Roman" w:hint="default"/>
                <w:sz w:val="18"/>
                <w:szCs w:val="18"/>
              </w:rPr>
            </w:pPr>
            <w:r>
              <w:rPr>
                <w:rFonts w:ascii="Times New Roman"/>
                <w:sz w:val="18"/>
              </w:rPr>
              <w:t>0.29%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8" w:right="0"/>
              <w:jc w:val="left"/>
              <w:rPr>
                <w:rFonts w:ascii="Times New Roman" w:hAnsi="Times New Roman" w:cs="Times New Roman" w:eastAsia="Times New Roman" w:hint="default"/>
                <w:sz w:val="18"/>
                <w:szCs w:val="18"/>
              </w:rPr>
            </w:pPr>
            <w:r>
              <w:rPr>
                <w:rFonts w:ascii="Times New Roman"/>
                <w:sz w:val="18"/>
              </w:rPr>
              <w:t>920,000.00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合 计</w:t>
            </w:r>
          </w:p>
        </w:tc>
        <w:tc>
          <w:tcPr>
            <w:tcW w:w="11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312,376,532.7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38,441,967.6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12.31%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273,934,565.1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237,236,761.4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26,922,151.4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210,314,609.9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64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201,236,872.43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10,061,843.62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62,564,269.04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6,256,426.91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27,341,700.19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8,202,510.05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11,296,243.94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5,648,121.97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8,321,910.29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6,657,528.23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695,536.90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695,536.90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311,456,532.79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37,521,967.68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78"/>
      <w:bookmarkEnd w:id="2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0" w:right="0"/>
        </w:sectPr>
      </w:pPr>
    </w:p>
    <w:p>
      <w:pPr>
        <w:spacing w:line="338"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11,519,816.21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517" w:space="1403"/>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279"/>
      <w:bookmarkEnd w:id="27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按欠款方归集的期末余额前五名的应收账款情况" w:id="280"/>
      <w:bookmarkEnd w:id="28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1126" w:type="dxa"/>
        <w:tblLayout w:type="fixed"/>
        <w:tblCellMar>
          <w:top w:w="0" w:type="dxa"/>
          <w:left w:w="0" w:type="dxa"/>
          <w:bottom w:w="0" w:type="dxa"/>
          <w:right w:w="0" w:type="dxa"/>
        </w:tblCellMar>
        <w:tblLook w:val="01E0"/>
      </w:tblPr>
      <w:tblGrid>
        <w:gridCol w:w="3347"/>
        <w:gridCol w:w="1726"/>
        <w:gridCol w:w="1724"/>
        <w:gridCol w:w="1726"/>
      </w:tblGrid>
      <w:tr>
        <w:trPr>
          <w:trHeight w:val="6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7" w:right="13" w:hanging="47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占应收账款余额的 比例</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4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24,684,432.50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7.90</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1,500,172.50</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20,543,025.57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6.58</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1,027,151.28</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15,834,657.00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5.07</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791,732.85</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7,352,652.84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2.35</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2,071,901.86</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6,255,749.99</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2.00</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625,575.00</w:t>
            </w:r>
          </w:p>
        </w:tc>
      </w:tr>
      <w:tr>
        <w:trPr>
          <w:trHeight w:val="3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74,670,517.90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23.90</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6,016,533.49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40" w:lineRule="auto" w:before="35"/>
        <w:ind w:left="1134" w:right="0"/>
        <w:jc w:val="left"/>
        <w:rPr>
          <w:b w:val="0"/>
          <w:bCs w:val="0"/>
        </w:rPr>
      </w:pPr>
      <w:bookmarkStart w:name="4、预付款项" w:id="281"/>
      <w:bookmarkEnd w:id="281"/>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付款项按账龄列示" w:id="282"/>
      <w:bookmarkEnd w:id="28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12,279,703.98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5,293,339.10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1,852,697.29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797,088.38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330,773.93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220,805.71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98,062.18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143,539.14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14,561,237.38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6,454,772.33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2）按预付对象归集的期末余额前五名的预付款情况" w:id="283"/>
      <w:bookmarkEnd w:id="28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4070"/>
        <w:gridCol w:w="2519"/>
        <w:gridCol w:w="1935"/>
      </w:tblGrid>
      <w:tr>
        <w:trPr>
          <w:trHeight w:val="659"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697" w:right="21" w:hanging="684"/>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占预付款项余额的比 例</w:t>
            </w:r>
            <w:r>
              <w:rPr>
                <w:rFonts w:ascii="Times New Roman" w:hAnsi="Times New Roman" w:cs="Times New Roman" w:eastAsia="Times New Roman" w:hint="default"/>
                <w:sz w:val="21"/>
                <w:szCs w:val="21"/>
              </w:rPr>
              <w:t>(%)</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杭州卓然实业有限公司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5,252,222.00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36.07</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封丘县恒城商贸有限公司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6.87</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嘉兴依普莱信息科技有限公司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500,000.00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3.43</w:t>
            </w:r>
          </w:p>
        </w:tc>
      </w:tr>
      <w:tr>
        <w:trPr>
          <w:trHeight w:val="348"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深圳市云海麒麟计算机系统有限公司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499,520.00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3.43</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天津博远弘华建筑工程有限公司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454,368.93</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3.12</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7,706,110.93</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52.92</w:t>
            </w:r>
          </w:p>
        </w:tc>
      </w:tr>
    </w:tbl>
    <w:p>
      <w:pPr>
        <w:spacing w:line="240" w:lineRule="auto" w:before="5"/>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应收利息" w:id="284"/>
      <w:bookmarkEnd w:id="284"/>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利息分类" w:id="285"/>
      <w:bookmarkEnd w:id="285"/>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3,714,760.27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2,931,010.27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3,714,760.27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2,931,010.27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其他应收款" w:id="286"/>
      <w:bookmarkEnd w:id="28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287"/>
      <w:bookmarkEnd w:id="28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9"/>
        <w:gridCol w:w="1091"/>
        <w:gridCol w:w="715"/>
        <w:gridCol w:w="1001"/>
        <w:gridCol w:w="645"/>
        <w:gridCol w:w="1092"/>
        <w:gridCol w:w="1085"/>
        <w:gridCol w:w="715"/>
        <w:gridCol w:w="1001"/>
        <w:gridCol w:w="683"/>
        <w:gridCol w:w="1091"/>
      </w:tblGrid>
      <w:tr>
        <w:trPr>
          <w:trHeight w:val="402" w:hRule="exact"/>
        </w:trPr>
        <w:tc>
          <w:tcPr>
            <w:tcW w:w="5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8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54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49" w:type="dxa"/>
            <w:vMerge/>
            <w:tcBorders>
              <w:left w:val="single" w:sz="4" w:space="0" w:color="000000"/>
              <w:right w:val="single" w:sz="4" w:space="0" w:color="000000"/>
            </w:tcBorders>
            <w:shd w:val="clear" w:color="auto" w:fill="D2D2D2"/>
          </w:tcPr>
          <w:p>
            <w:pPr/>
          </w:p>
        </w:tc>
        <w:tc>
          <w:tcPr>
            <w:tcW w:w="18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549"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6" w:right="4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6" w:right="6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37"/>
        <w:gridCol w:w="1103"/>
        <w:gridCol w:w="715"/>
        <w:gridCol w:w="1001"/>
        <w:gridCol w:w="645"/>
        <w:gridCol w:w="1092"/>
        <w:gridCol w:w="1085"/>
        <w:gridCol w:w="715"/>
        <w:gridCol w:w="1001"/>
        <w:gridCol w:w="683"/>
        <w:gridCol w:w="1091"/>
      </w:tblGrid>
      <w:tr>
        <w:trPr>
          <w:trHeight w:val="3522" w:hRule="exact"/>
        </w:trPr>
        <w:tc>
          <w:tcPr>
            <w:tcW w:w="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按信 用风 险特 征组 合计 提坏 账准 备的 其他 应收 款</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35,437,221.28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3,641,098.01</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31,796,123.27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22,144,110.31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3,343,751.42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18,800,358.89</w:t>
            </w:r>
          </w:p>
        </w:tc>
      </w:tr>
      <w:tr>
        <w:trPr>
          <w:trHeight w:val="402" w:hRule="exact"/>
        </w:trPr>
        <w:tc>
          <w:tcPr>
            <w:tcW w:w="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35,437,221.28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3,641,098.01</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31,796,123.27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22,144,110.31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3,343,751.42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18,800,358.89</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4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26,902,751.31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1,345,137.57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4,369,800.12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436,980.01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1,870,822.61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561,246.78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1,924,595.19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962,297.60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169,080.00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135,264.00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200,172.05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200,172.05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35,437,221.28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3,641,098.01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10.27%</w:t>
            </w:r>
          </w:p>
        </w:tc>
      </w:tr>
    </w:tbl>
    <w:p>
      <w:pPr>
        <w:spacing w:line="357"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组合中，采用其他方法计提坏账准备的其他应收款：</w:t>
      </w:r>
    </w:p>
    <w:p>
      <w:pPr>
        <w:spacing w:before="4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88"/>
      <w:bookmarkEnd w:id="28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40"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297,346.59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300" w:space="1620"/>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本期实际核销的其他应收款情况" w:id="289"/>
      <w:bookmarkEnd w:id="28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290"/>
      <w:bookmarkEnd w:id="29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26,233,159.84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14,292,370.30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6,328,985.59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5,349,532.24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1,849,088.81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17,872.41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1,025,987.04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2,484,335.36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35,437,221.28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22,144,110.31</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291"/>
      <w:bookmarkEnd w:id="29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场地押金、履约保证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3,081,791.25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168,359.13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中国通广电子有限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四川民盛机电工程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杭州卓然实业有限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杭州园通教育科技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9,451,791.25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486,859.13</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存货" w:id="292"/>
      <w:bookmarkEnd w:id="292"/>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133" w:right="7513"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left="1134" w:right="0"/>
        <w:jc w:val="left"/>
        <w:rPr>
          <w:b w:val="0"/>
          <w:bCs w:val="0"/>
        </w:rPr>
      </w:pPr>
      <w:bookmarkStart w:name="（1）存货分类" w:id="293"/>
      <w:bookmarkEnd w:id="29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12,975,096.44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12,975,096.44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4,033,119.04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4,033,119.04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992,640.56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992,640.56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17,827,462.64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17,827,462.64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11,942,669.21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11,942,669.21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76,271,157.94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76,271,157.94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58,680,190.94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58,680,190.94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5,911,667.21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5,911,667.21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482,376.34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482,376.34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112,985,384.23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112,985,384.23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76,130,996.09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76,130,996.09</w:t>
            </w:r>
          </w:p>
        </w:tc>
      </w:tr>
    </w:tbl>
    <w:p>
      <w:pPr>
        <w:spacing w:line="340" w:lineRule="auto" w:before="51"/>
        <w:ind w:left="113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133" w:right="175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1"/>
        <w:rPr>
          <w:rFonts w:ascii="宋体" w:hAnsi="宋体" w:cs="宋体" w:eastAsia="宋体" w:hint="default"/>
          <w:sz w:val="21"/>
          <w:szCs w:val="21"/>
        </w:rPr>
      </w:pPr>
    </w:p>
    <w:p>
      <w:pPr>
        <w:pStyle w:val="Heading4"/>
        <w:spacing w:line="240" w:lineRule="auto"/>
        <w:ind w:left="1134" w:right="0"/>
        <w:jc w:val="left"/>
        <w:rPr>
          <w:b w:val="0"/>
          <w:bCs w:val="0"/>
        </w:rPr>
      </w:pPr>
      <w:bookmarkStart w:name="（2）存货跌价准备" w:id="294"/>
      <w:bookmarkEnd w:id="29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79"/>
        <w:gridCol w:w="1356"/>
        <w:gridCol w:w="1367"/>
        <w:gridCol w:w="1367"/>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存货期末余额含有借款费用资本化金额的说明" w:id="295"/>
      <w:bookmarkEnd w:id="29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期末建造合同形成的已完工未结算资产情况" w:id="296"/>
      <w:bookmarkEnd w:id="29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52"/>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其他流动资产" w:id="297"/>
      <w:bookmarkEnd w:id="297"/>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预缴增值税税额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1,896,257.27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3,242,924.19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预缴个人所得税税额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51,896,257.27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3,242,924.19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9、银行理财产品明细" w:id="298"/>
      <w:bookmarkEnd w:id="298"/>
      <w:r>
        <w:rPr>
          <w:b w:val="0"/>
          <w:bCs w:val="0"/>
        </w:rPr>
      </w:r>
      <w:r>
        <w:rPr>
          <w:rFonts w:ascii="Times New Roman" w:hAnsi="Times New Roman" w:cs="Times New Roman" w:eastAsia="Times New Roman" w:hint="default"/>
        </w:rPr>
        <w:t>9</w:t>
      </w:r>
      <w:r>
        <w:rPr/>
        <w:t>、银行理财产品明细</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1940"/>
        <w:gridCol w:w="1877"/>
        <w:gridCol w:w="1697"/>
        <w:gridCol w:w="1571"/>
        <w:gridCol w:w="935"/>
        <w:gridCol w:w="1630"/>
      </w:tblGrid>
      <w:tr>
        <w:trPr>
          <w:trHeight w:val="659"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1" w:right="0"/>
              <w:jc w:val="left"/>
              <w:rPr>
                <w:rFonts w:ascii="宋体" w:hAnsi="宋体" w:cs="宋体" w:eastAsia="宋体" w:hint="default"/>
                <w:sz w:val="18"/>
                <w:szCs w:val="18"/>
              </w:rPr>
            </w:pPr>
            <w:r>
              <w:rPr>
                <w:rFonts w:ascii="宋体" w:hAnsi="宋体" w:cs="宋体" w:eastAsia="宋体" w:hint="default"/>
                <w:sz w:val="18"/>
                <w:szCs w:val="18"/>
              </w:rPr>
              <w:t>理财产品名称</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80" w:right="7" w:hanging="270"/>
              <w:jc w:val="left"/>
              <w:rPr>
                <w:rFonts w:ascii="宋体" w:hAnsi="宋体" w:cs="宋体" w:eastAsia="宋体" w:hint="default"/>
                <w:sz w:val="18"/>
                <w:szCs w:val="18"/>
              </w:rPr>
            </w:pPr>
            <w:r>
              <w:rPr>
                <w:rFonts w:ascii="宋体" w:hAnsi="宋体" w:cs="宋体" w:eastAsia="宋体" w:hint="default"/>
                <w:sz w:val="18"/>
                <w:szCs w:val="18"/>
              </w:rPr>
              <w:t>预期年化收 益率</w:t>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理财期限</w:t>
            </w:r>
          </w:p>
        </w:tc>
      </w:tr>
      <w:tr>
        <w:trPr>
          <w:trHeight w:val="659"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宋体" w:hAnsi="宋体" w:cs="宋体" w:eastAsia="宋体" w:hint="default"/>
                <w:sz w:val="18"/>
                <w:szCs w:val="18"/>
              </w:rPr>
            </w:pPr>
            <w:r>
              <w:rPr>
                <w:rFonts w:ascii="宋体" w:hAnsi="宋体" w:cs="宋体" w:eastAsia="宋体" w:hint="default"/>
                <w:spacing w:val="13"/>
                <w:sz w:val="18"/>
                <w:szCs w:val="18"/>
              </w:rPr>
              <w:t>中国农业银行股份有限 </w:t>
            </w:r>
            <w:r>
              <w:rPr>
                <w:rFonts w:ascii="宋体" w:hAnsi="宋体" w:cs="宋体" w:eastAsia="宋体" w:hint="default"/>
                <w:sz w:val="18"/>
                <w:szCs w:val="18"/>
              </w:rPr>
              <w:t>公司杭州西溪支行</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本利丰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定向人民币理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财产品</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4.05%</w:t>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660"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left"/>
              <w:rPr>
                <w:rFonts w:ascii="宋体" w:hAnsi="宋体" w:cs="宋体" w:eastAsia="宋体" w:hint="default"/>
                <w:sz w:val="18"/>
                <w:szCs w:val="18"/>
              </w:rPr>
            </w:pPr>
            <w:r>
              <w:rPr>
                <w:rFonts w:ascii="宋体" w:hAnsi="宋体" w:cs="宋体" w:eastAsia="宋体" w:hint="default"/>
                <w:spacing w:val="13"/>
                <w:sz w:val="18"/>
                <w:szCs w:val="18"/>
              </w:rPr>
              <w:t>中国建设银行股份有限 </w:t>
            </w:r>
            <w:r>
              <w:rPr>
                <w:rFonts w:ascii="宋体" w:hAnsi="宋体" w:cs="宋体" w:eastAsia="宋体" w:hint="default"/>
                <w:sz w:val="18"/>
                <w:szCs w:val="18"/>
              </w:rPr>
              <w:t>公司甘肃省分行</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乾元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保本型人民币理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财产品</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4.40%</w:t>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r>
      <w:tr>
        <w:trPr>
          <w:trHeight w:val="34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87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935"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5"/>
        <w:ind w:left="1134" w:right="0"/>
        <w:jc w:val="left"/>
        <w:rPr>
          <w:b w:val="0"/>
          <w:bCs w:val="0"/>
        </w:rPr>
      </w:pPr>
      <w:bookmarkStart w:name="10、可供出售金融资产" w:id="299"/>
      <w:bookmarkEnd w:id="299"/>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300"/>
      <w:bookmarkEnd w:id="30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成本计量的可供出售金融资产" w:id="301"/>
      <w:bookmarkEnd w:id="301"/>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杭州芭萝 博网络科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216,000.00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可供出售权益工具期末公允价值严重下跌或非暂时性下跌但未计提减值准备的相关说" w:id="302"/>
      <w:bookmarkEnd w:id="302"/>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left="1134" w:right="0" w:firstLine="420"/>
        <w:jc w:val="left"/>
      </w:pPr>
      <w:r>
        <w:rPr>
          <w:spacing w:val="-1"/>
        </w:rPr>
        <w:t>杭州芭萝博网络科技有限公司不设董事会，设执行董事一人，执行董事由股东担任；杭州容博公司不</w:t>
      </w:r>
      <w:r>
        <w:rPr/>
        <w:t> 参与其经营，仅为财务性投资，故对其无重大影响。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left="1134" w:right="0"/>
        <w:jc w:val="left"/>
        <w:rPr>
          <w:b w:val="0"/>
          <w:bCs w:val="0"/>
        </w:rPr>
      </w:pPr>
      <w:bookmarkStart w:name="11、长期股权投资" w:id="303"/>
      <w:bookmarkEnd w:id="303"/>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75"/>
        <w:gridCol w:w="1091"/>
        <w:gridCol w:w="1091"/>
        <w:gridCol w:w="674"/>
        <w:gridCol w:w="1001"/>
        <w:gridCol w:w="674"/>
        <w:gridCol w:w="673"/>
        <w:gridCol w:w="674"/>
        <w:gridCol w:w="675"/>
        <w:gridCol w:w="673"/>
        <w:gridCol w:w="1091"/>
        <w:gridCol w:w="674"/>
      </w:tblGrid>
      <w:tr>
        <w:trPr>
          <w:trHeight w:val="402" w:hRule="exact"/>
        </w:trPr>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151" w:right="6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67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1" w:right="61"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 w:right="4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杭州卓 然实业 有限公 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38,070,681.81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-628,918.23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61,441,763.58</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重庆汇 贤优策 科技股 份有限 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12,839,224.03</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1,093,498.96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13,932,722.99</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无锡汇 众智慧 科技有 限公司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1,740,032.61</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-65,753.36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1,674,279.25</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52,649,938.45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Times New Roman" w:hAnsi="Times New Roman" w:cs="Times New Roman" w:eastAsia="Times New Roman" w:hint="default"/>
                <w:sz w:val="18"/>
                <w:szCs w:val="18"/>
              </w:rPr>
            </w:pPr>
            <w:r>
              <w:rPr>
                <w:rFonts w:ascii="Times New Roman"/>
                <w:sz w:val="18"/>
              </w:rPr>
              <w:t>398,827.37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77,048,765.82</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52,649,938.45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Times New Roman" w:hAnsi="Times New Roman" w:cs="Times New Roman" w:eastAsia="Times New Roman" w:hint="default"/>
                <w:sz w:val="18"/>
                <w:szCs w:val="18"/>
              </w:rPr>
            </w:pPr>
            <w:r>
              <w:rPr>
                <w:rFonts w:ascii="Times New Roman"/>
                <w:sz w:val="18"/>
              </w:rPr>
              <w:t>398,827.37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77,048,765.82</w:t>
            </w:r>
          </w:p>
        </w:tc>
        <w:tc>
          <w:tcPr>
            <w:tcW w:w="6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1553" w:right="0"/>
        <w:jc w:val="left"/>
      </w:pPr>
      <w:r>
        <w:rPr/>
        <w:t>分类情况</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498"/>
        <w:gridCol w:w="1457"/>
        <w:gridCol w:w="993"/>
        <w:gridCol w:w="1414"/>
        <w:gridCol w:w="1428"/>
        <w:gridCol w:w="965"/>
        <w:gridCol w:w="1388"/>
      </w:tblGrid>
      <w:tr>
        <w:trPr>
          <w:trHeight w:val="347" w:hRule="exact"/>
        </w:trPr>
        <w:tc>
          <w:tcPr>
            <w:tcW w:w="1498"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1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782"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071"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660" w:hRule="exact"/>
        </w:trPr>
        <w:tc>
          <w:tcPr>
            <w:tcW w:w="1498" w:type="dxa"/>
            <w:vMerge/>
            <w:tcBorders>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9"/>
              <w:jc w:val="righ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6"/>
              <w:jc w:val="righ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
              <w:jc w:val="righ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3"/>
              <w:jc w:val="righ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40" w:lineRule="auto" w:before="77"/>
              <w:ind w:right="6"/>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77,048,765.82</w:t>
            </w:r>
          </w:p>
        </w:tc>
        <w:tc>
          <w:tcPr>
            <w:tcW w:w="99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77,048,765.82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52,649,938.45</w:t>
            </w:r>
          </w:p>
        </w:tc>
        <w:tc>
          <w:tcPr>
            <w:tcW w:w="965"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52,649,938.45</w:t>
            </w:r>
          </w:p>
        </w:tc>
      </w:tr>
      <w:tr>
        <w:trPr>
          <w:trHeight w:val="347"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77,048,765.82</w:t>
            </w:r>
          </w:p>
        </w:tc>
        <w:tc>
          <w:tcPr>
            <w:tcW w:w="99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77,048,765.82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52,649,938.45</w:t>
            </w:r>
          </w:p>
        </w:tc>
        <w:tc>
          <w:tcPr>
            <w:tcW w:w="965"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52,649,938.45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12、固定资产" w:id="304"/>
      <w:bookmarkEnd w:id="304"/>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305"/>
      <w:bookmarkEnd w:id="30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3,264,069.99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10,960,120.35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7,016,998.01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21,241,188.35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597,481.58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1,471,038.38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2,068,519.96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597,481.58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1,471,038.38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2,068,519.96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415,483.15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565,947.15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415,483.15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565,947.15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3,711,087.57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12,015,675.58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7,016,998.01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22,743,761.16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1,664,870.11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7,588,480.51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4,473,451.10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13,726,801.72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734,837.14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1,402,121.73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896,952.09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3,033,910.96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734,837.14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1,402,121.73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896,952.09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3,033,910.96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142,940.80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388,712.85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531,653.65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142,940.80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388,712.85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531,653.65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2,256,766.45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8,601,889.39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5,370,403.19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16,229,059.03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1,454,321.12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3,413,786.19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1,646,594.82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6,514,702.13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1,599,199.88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3,371,639.84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2,543,546.91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7,514,386.63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3、在建工程" w:id="306"/>
      <w:bookmarkEnd w:id="306"/>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建工程情况" w:id="307"/>
      <w:bookmarkEnd w:id="30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大楼装修工程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6,605,727.36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6,605,727.36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6,605,727.36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6,605,727.36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在建工程项目本期变动情况" w:id="308"/>
      <w:bookmarkEnd w:id="30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45"/>
        <w:gridCol w:w="1091"/>
        <w:gridCol w:w="647"/>
        <w:gridCol w:w="1001"/>
        <w:gridCol w:w="648"/>
        <w:gridCol w:w="648"/>
        <w:gridCol w:w="1001"/>
        <w:gridCol w:w="714"/>
        <w:gridCol w:w="648"/>
        <w:gridCol w:w="648"/>
        <w:gridCol w:w="680"/>
        <w:gridCol w:w="648"/>
        <w:gridCol w:w="648"/>
      </w:tblGrid>
      <w:tr>
        <w:trPr>
          <w:trHeight w:val="1338" w:hRule="exact"/>
        </w:trPr>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6" w:right="46"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7"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5" w:right="43"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7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9" w:right="47"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2"/>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7" w:right="48"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0"/>
              <w:jc w:val="left"/>
              <w:rPr>
                <w:rFonts w:ascii="宋体" w:hAnsi="宋体" w:cs="宋体" w:eastAsia="宋体" w:hint="default"/>
                <w:sz w:val="18"/>
                <w:szCs w:val="18"/>
              </w:rPr>
            </w:pPr>
            <w:r>
              <w:rPr>
                <w:rFonts w:ascii="宋体" w:hAnsi="宋体" w:cs="宋体" w:eastAsia="宋体" w:hint="default"/>
                <w:sz w:val="18"/>
                <w:szCs w:val="18"/>
              </w:rPr>
              <w:t>大楼装 修工程</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6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6,605,727.36</w:t>
            </w:r>
          </w:p>
        </w:tc>
        <w:tc>
          <w:tcPr>
            <w:tcW w:w="64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6,605,727.36</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33.03%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尚处于 设计阶 段</w:t>
            </w:r>
          </w:p>
        </w:tc>
        <w:tc>
          <w:tcPr>
            <w:tcW w:w="64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402" w:hRule="exact"/>
        </w:trPr>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6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6,605,727.36</w:t>
            </w:r>
          </w:p>
        </w:tc>
        <w:tc>
          <w:tcPr>
            <w:tcW w:w="64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6,605,727.36</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8"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9" w:space="0" w:color="D2D2D2"/>
            </w:tcBorders>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4、无形资产" w:id="309"/>
      <w:bookmarkEnd w:id="309"/>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310"/>
      <w:bookmarkEnd w:id="31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78"/>
        <w:gridCol w:w="1134"/>
        <w:gridCol w:w="992"/>
        <w:gridCol w:w="1272"/>
        <w:gridCol w:w="1595"/>
        <w:gridCol w:w="159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13" w:space="0" w:color="D2D2D2"/>
              <w:bottom w:val="single" w:sz="4" w:space="0" w:color="000000"/>
              <w:right w:val="single" w:sz="9" w:space="0" w:color="D2D2D2"/>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15,176,018.93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15,176,018.93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2,016,047.51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2,016,047.51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2,016,047.51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2,016,047.51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17,192,066.44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17,192,066.44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3,467,914.29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3,467,914.29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1,737,333.94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1,737,333.94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1,737,333.94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1,737,333.94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5,205,248.23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5,205,248.23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11,230,818.21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11,230,818.21</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10,952,104.64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10,952,104.64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5、商誉" w:id="311"/>
      <w:bookmarkEnd w:id="311"/>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商誉账面原值" w:id="312"/>
      <w:bookmarkEnd w:id="31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74,407.87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74,407.87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2,535,964.36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2,535,964.36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杭州捷卡公司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2,634,456.39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5,244,828.62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5,244,828.62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商誉减值准备" w:id="313"/>
      <w:bookmarkEnd w:id="31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杭州捷卡公司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2,634,456.39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56" w:lineRule="auto" w:before="89"/>
        <w:ind w:right="1118" w:firstLine="420"/>
        <w:jc w:val="left"/>
      </w:pPr>
      <w:r>
        <w:rPr>
          <w:spacing w:val="-1"/>
        </w:rPr>
        <w:t>杭州捷卡公司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日净资产为负数，基于谨慎性原则，故于</w:t>
      </w:r>
      <w:r>
        <w:rPr>
          <w:rFonts w:ascii="Times New Roman" w:hAnsi="Times New Roman" w:cs="Times New Roman" w:eastAsia="Times New Roman" w:hint="default"/>
          <w:spacing w:val="-1"/>
        </w:rPr>
        <w:t>2012</w:t>
      </w:r>
      <w:r>
        <w:rPr>
          <w:spacing w:val="-1"/>
        </w:rPr>
        <w:t>年末对其商誉全额计提减值</w:t>
      </w:r>
      <w:r>
        <w:rPr/>
        <w:t> 准备。</w:t>
      </w:r>
    </w:p>
    <w:p>
      <w:pPr>
        <w:spacing w:before="88"/>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长期待摊费用" w:id="314"/>
      <w:bookmarkEnd w:id="314"/>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134,638.83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44,879.64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89,759.19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134,638.83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44,879.64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89,759.19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7、递延所得税资产/递延所得税负债" w:id="315"/>
      <w:bookmarkEnd w:id="315"/>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16"/>
      <w:bookmarkEnd w:id="31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38,426,044.80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5,763,906.73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26,900,363.21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4,035,054.48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1,620,961.41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230,378.51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2,625,658.25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387,813.94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10,772,064.16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1,615,809.62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9,196,291.04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1,379,443.65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50,819,070.37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7,610,094.86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38,722,312.50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5,802,312.07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抵销后净额列示的递延所得税资产或负债" w:id="317"/>
      <w:bookmarkEnd w:id="317"/>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7,610,094.86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5,802,312.07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未确认递延所得税资产明细" w:id="318"/>
      <w:bookmarkEnd w:id="318"/>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15,922.88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21,788.26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3,641,098.01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3,343,751.42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16,750,572.80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12,591,030.62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20,407,593.69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15,956,570.30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未确认递延所得税资产的可抵扣亏损将于以下年度到期" w:id="319"/>
      <w:bookmarkEnd w:id="319"/>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3,230,048.22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2,898,873.06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2,898,873.06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1,899,445.27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1,899,445.27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2,815,720.88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2,815,720.88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1,746,943.19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1,746,943.19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7,389,590.40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16,750,572.80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12,591,030.62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8、其他非流动资产" w:id="320"/>
      <w:bookmarkEnd w:id="320"/>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预付资产购置款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7,174,342.72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8,337,423.32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7,174,342.72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8,337,423.32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9、短期借款" w:id="321"/>
      <w:bookmarkEnd w:id="321"/>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322"/>
      <w:bookmarkEnd w:id="32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保证并质押借款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保证并质押并抵押借款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0、应付票据" w:id="323"/>
      <w:bookmarkEnd w:id="323"/>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25,672,417.96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22,330,270.15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25,672,417.96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22,330,270.15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1、应付账款" w:id="324"/>
      <w:bookmarkEnd w:id="324"/>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88,150,437.17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73,872,831.78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88,150,437.17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73,872,831.78</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期末无账龄</w:t>
      </w:r>
      <w:r>
        <w:rPr>
          <w:rFonts w:ascii="Times New Roman" w:hAnsi="Times New Roman" w:cs="Times New Roman" w:eastAsia="Times New Roman" w:hint="default"/>
        </w:rPr>
        <w:t>1</w:t>
      </w:r>
      <w:r>
        <w:rPr/>
        <w:t>年以上重要的应付账款。</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22、预收款项" w:id="327"/>
      <w:bookmarkEnd w:id="327"/>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47,093,262.91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28,410,701.81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47,093,262.91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28,410,701.81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3、应付职工薪酬" w:id="330"/>
      <w:bookmarkEnd w:id="330"/>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职工薪酬列示" w:id="331"/>
      <w:bookmarkEnd w:id="33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9,305,700.02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78,297,888.98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77,600,611.72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10,002,977.28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170,303.28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5,610,437.14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5,506,831.09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273,909.33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9,476,003.30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83,975,326.12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83,174,442.81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10,276,886.61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短期薪酬列示" w:id="332"/>
      <w:bookmarkEnd w:id="33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8,778,871.51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68,287,496.40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67,557,246.04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9,509,121.87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2,257,174.75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2,257,174.75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272,404.69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3,715,722.79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3,781,735.49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206,391.99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238,501.24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3,221,382.28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3,279,928.76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179,954.76</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144,987.87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153,952.98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349,352.64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347,853.75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18,561.03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6,112.00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3,181,765.52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3,163,737.52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24,140.00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248,311.82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855,729.52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840,717.92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263,323.42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9,305,700.02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78,297,888.98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77,600,611.72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10,002,977.28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设定提存计划列示" w:id="333"/>
      <w:bookmarkEnd w:id="33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5,332,972.27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5,232,352.47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264,176.05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277,464.87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274,478.62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9,733.28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170,303.28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5,610,437.14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5,506,831.09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273,909.33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应交税费" w:id="334"/>
      <w:bookmarkEnd w:id="334"/>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2,912,371.01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2,295,740.27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1,848,757.69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3,483,873.25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154,661.74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104,967.35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670,357.56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376,046.93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287,296.30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161,163.22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191,530.91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107,442.16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22,279.09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21,348.30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132,447.22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6,219,741.52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6,566,611.54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应付利息" w:id="335"/>
      <w:bookmarkEnd w:id="335"/>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81,420.33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63,191.13</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81,420.33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63,191.13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6、其他应付款" w:id="336"/>
      <w:bookmarkEnd w:id="336"/>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337"/>
      <w:bookmarkEnd w:id="33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1,510,510.17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9,013,980.24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2,070,011.80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1,914,858.00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251,006.10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730,408.16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3,831,528.07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11,659,246.40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其他应付款" w:id="338"/>
      <w:bookmarkEnd w:id="33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7、股本" w:id="339"/>
      <w:bookmarkEnd w:id="339"/>
      <w:r>
        <w:rPr>
          <w:b w:val="0"/>
          <w:bCs w:val="0"/>
        </w:rPr>
      </w: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50,000,000.00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16,666,667.00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16,666,667.00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66,666,667.00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91" w:lineRule="auto" w:before="0"/>
        <w:ind w:right="1120" w:firstLine="420"/>
        <w:jc w:val="both"/>
      </w:pPr>
      <w:r>
        <w:rPr>
          <w:spacing w:val="-6"/>
        </w:rPr>
        <w:t>经中国证券监督管理委员会《关于核准浙江正元智慧科技股份有限公司首次公开发行股票的批复》（证</w:t>
      </w:r>
      <w:r>
        <w:rPr/>
        <w:t> </w:t>
      </w:r>
      <w:r>
        <w:rPr>
          <w:spacing w:val="-2"/>
        </w:rPr>
        <w:t>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478</w:t>
      </w:r>
      <w:r>
        <w:rPr>
          <w:spacing w:val="-2"/>
        </w:rPr>
        <w:t>号）核准，本公司向社会公开发行人民币普通股（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16,666,667</w:t>
      </w:r>
      <w:r>
        <w:rPr>
          <w:spacing w:val="-2"/>
        </w:rPr>
        <w:t>股，每股面值</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5"/>
        </w:rPr>
        <w:t> </w:t>
      </w:r>
      <w:r>
        <w:rPr/>
        <w:t>元，每股发行价格</w:t>
      </w:r>
      <w:r>
        <w:rPr>
          <w:rFonts w:ascii="Times New Roman" w:hAnsi="Times New Roman" w:cs="Times New Roman" w:eastAsia="Times New Roman" w:hint="default"/>
        </w:rPr>
        <w:t>12.35</w:t>
      </w:r>
      <w:r>
        <w:rPr/>
        <w:t>元，募集资金总额为</w:t>
      </w:r>
      <w:r>
        <w:rPr>
          <w:rFonts w:ascii="Times New Roman" w:hAnsi="Times New Roman" w:cs="Times New Roman" w:eastAsia="Times New Roman" w:hint="default"/>
        </w:rPr>
        <w:t>205,833,337.45</w:t>
      </w:r>
      <w:r>
        <w:rPr/>
        <w:t>元。扣除承销费、保荐费、律师费、审计费及</w:t>
      </w:r>
      <w:r>
        <w:rPr>
          <w:spacing w:val="-33"/>
        </w:rPr>
        <w:t> </w:t>
      </w:r>
      <w:r>
        <w:rPr>
          <w:spacing w:val="-33"/>
        </w:rPr>
      </w:r>
      <w:r>
        <w:rPr>
          <w:spacing w:val="6"/>
        </w:rPr>
        <w:t>法定信息披露等其他发行费用</w:t>
      </w:r>
      <w:r>
        <w:rPr>
          <w:rFonts w:ascii="Times New Roman" w:hAnsi="Times New Roman" w:cs="Times New Roman" w:eastAsia="Times New Roman" w:hint="default"/>
          <w:spacing w:val="6"/>
        </w:rPr>
        <w:t>47,613,337.45</w:t>
      </w:r>
      <w:r>
        <w:rPr>
          <w:spacing w:val="6"/>
        </w:rPr>
        <w:t>元后，公司募集资金净额</w:t>
      </w:r>
      <w:r>
        <w:rPr>
          <w:rFonts w:ascii="Times New Roman" w:hAnsi="Times New Roman" w:cs="Times New Roman" w:eastAsia="Times New Roman" w:hint="default"/>
          <w:spacing w:val="6"/>
        </w:rPr>
        <w:t>158,220,000.00</w:t>
      </w:r>
      <w:r>
        <w:rPr>
          <w:spacing w:val="6"/>
        </w:rPr>
        <w:t>元，其中计入股本</w:t>
      </w:r>
      <w:r>
        <w:rPr>
          <w:spacing w:val="-60"/>
        </w:rPr>
        <w:t> </w:t>
      </w:r>
      <w:r>
        <w:rPr>
          <w:rFonts w:ascii="Times New Roman" w:hAnsi="Times New Roman" w:cs="Times New Roman" w:eastAsia="Times New Roman" w:hint="default"/>
          <w:spacing w:val="-1"/>
        </w:rPr>
        <w:t>16,666,667.00</w:t>
      </w:r>
      <w:r>
        <w:rPr>
          <w:spacing w:val="-1"/>
        </w:rPr>
        <w:t>元，计入资本公积（股本溢价）</w:t>
      </w:r>
      <w:r>
        <w:rPr>
          <w:rFonts w:ascii="Times New Roman" w:hAnsi="Times New Roman" w:cs="Times New Roman" w:eastAsia="Times New Roman" w:hint="default"/>
          <w:spacing w:val="-1"/>
        </w:rPr>
        <w:t>141,553,333.00</w:t>
      </w:r>
      <w:r>
        <w:rPr>
          <w:spacing w:val="-1"/>
        </w:rPr>
        <w:t>元。上述公开发行新增股本事项业经天健会计</w:t>
      </w:r>
      <w:r>
        <w:rPr>
          <w:spacing w:val="-72"/>
        </w:rPr>
        <w:t> </w:t>
      </w:r>
      <w:r>
        <w:rPr>
          <w:spacing w:val="-72"/>
        </w:rPr>
      </w:r>
      <w:r>
        <w:rPr>
          <w:spacing w:val="-1"/>
        </w:rPr>
        <w:t>师事务所（特殊普通合伙）审验，并由其出具了验资报告（天健验〔</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97</w:t>
      </w:r>
      <w:r>
        <w:rPr>
          <w:spacing w:val="-1"/>
        </w:rPr>
        <w:t>号）。上述增资事项已办妥</w:t>
      </w:r>
      <w:r>
        <w:rPr>
          <w:spacing w:val="-82"/>
        </w:rPr>
        <w:t> </w:t>
      </w:r>
      <w:r>
        <w:rPr>
          <w:spacing w:val="-82"/>
        </w:rPr>
      </w:r>
      <w:r>
        <w:rPr/>
        <w:t>工商变更登记手续。</w:t>
      </w:r>
    </w:p>
    <w:p>
      <w:pPr>
        <w:spacing w:after="0" w:line="391" w:lineRule="auto"/>
        <w:jc w:val="both"/>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before="35"/>
        <w:ind w:right="0"/>
        <w:jc w:val="left"/>
        <w:rPr>
          <w:b w:val="0"/>
          <w:bCs w:val="0"/>
        </w:rPr>
      </w:pPr>
      <w:bookmarkStart w:name="28、资本公积" w:id="340"/>
      <w:bookmarkEnd w:id="340"/>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122,320,647.03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141,553,333.00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263,873,980.03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13,164,052.41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1,080,587.21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14,244,639.62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135,484,699.44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142,633,920.21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278,118,619.65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2"/>
          <w:szCs w:val="12"/>
        </w:rPr>
      </w:pPr>
    </w:p>
    <w:p>
      <w:pPr>
        <w:pStyle w:val="BodyText"/>
        <w:spacing w:line="240" w:lineRule="auto" w:before="0"/>
        <w:ind w:left="1554" w:right="0"/>
        <w:jc w:val="left"/>
      </w:pPr>
      <w:r>
        <w:rPr>
          <w:rFonts w:ascii="宋体" w:hAnsi="宋体" w:cs="宋体" w:eastAsia="宋体" w:hint="default"/>
        </w:rPr>
        <w:t>1)</w:t>
      </w:r>
      <w:r>
        <w:rPr/>
        <w:t>股本溢价增加</w:t>
      </w:r>
      <w:r>
        <w:rPr>
          <w:rFonts w:ascii="宋体" w:hAnsi="宋体" w:cs="宋体" w:eastAsia="宋体" w:hint="default"/>
        </w:rPr>
        <w:t>141,553,333.00</w:t>
      </w:r>
      <w:r>
        <w:rPr/>
        <w:t>元，详见本财务报表附注股本之所述。</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2)</w:t>
      </w:r>
      <w:r>
        <w:rPr/>
        <w:t>其他资本公积增加</w:t>
      </w:r>
      <w:r>
        <w:rPr>
          <w:rFonts w:ascii="宋体" w:hAnsi="宋体" w:cs="宋体" w:eastAsia="宋体" w:hint="default"/>
        </w:rPr>
        <w:t>1,080,587.21</w:t>
      </w:r>
      <w:r>
        <w:rPr/>
        <w:t>元，系公司股份支付按员工服务期限本期摊销</w:t>
      </w:r>
      <w:r>
        <w:rPr>
          <w:rFonts w:ascii="宋体" w:hAnsi="宋体" w:cs="宋体" w:eastAsia="宋体" w:hint="default"/>
        </w:rPr>
        <w:t>1,080,587.21</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bookmarkStart w:name="29、盈余公积" w:id="341"/>
      <w:bookmarkEnd w:id="341"/>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15,683,121.11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4,390,265.90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20,073,387.01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15,683,121.11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4,390,265.90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20,073,387.01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2"/>
        <w:rPr>
          <w:rFonts w:ascii="宋体" w:hAnsi="宋体" w:cs="宋体" w:eastAsia="宋体" w:hint="default"/>
          <w:sz w:val="12"/>
          <w:szCs w:val="12"/>
        </w:rPr>
      </w:pPr>
    </w:p>
    <w:p>
      <w:pPr>
        <w:pStyle w:val="BodyText"/>
        <w:spacing w:line="408" w:lineRule="auto" w:before="0"/>
        <w:ind w:right="1118" w:firstLine="420"/>
        <w:jc w:val="left"/>
      </w:pPr>
      <w:r>
        <w:rPr/>
        <w:t>本期盈余公积变动系根据公司法及公司章程的规定，按母公司当期实现净利润提取</w:t>
      </w:r>
      <w:r>
        <w:rPr>
          <w:rFonts w:ascii="宋体" w:hAnsi="宋体" w:cs="宋体" w:eastAsia="宋体" w:hint="default"/>
        </w:rPr>
        <w:t>10%</w:t>
      </w:r>
      <w:r>
        <w:rPr/>
        <w:t>的法定盈余公 积所致。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0、未分配利润" w:id="342"/>
      <w:bookmarkEnd w:id="342"/>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141,968,789.54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101,032,041.04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141,968,789.54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101,032,041.04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41,968,856.74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45,750,858.31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4,390,265.90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4,814,109.81</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179,547,380.38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141,968,789.54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31、营业收入和营业成本" w:id="343"/>
      <w:bookmarkEnd w:id="343"/>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448,922,268.58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271,544,248.30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363,371,772.32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216,758,007.36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448,922,268.58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271,544,248.30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363,371,772.32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216,758,007.36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2、税金及附加" w:id="344"/>
      <w:bookmarkEnd w:id="344"/>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1,933,175.46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1,560,005.69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828,811.77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670,035.13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271,871.71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95,104.66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337,241.94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550,102.60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446,690.14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3,584,681.54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3,109,077.56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408" w:lineRule="auto" w:before="0"/>
        <w:ind w:right="1110" w:firstLine="420"/>
        <w:jc w:val="both"/>
      </w:pPr>
      <w:r>
        <w:rPr>
          <w:spacing w:val="-1"/>
        </w:rPr>
        <w:t>根据财政部《增值税会计处理规定》</w:t>
      </w:r>
      <w:r>
        <w:rPr>
          <w:rFonts w:ascii="宋体" w:hAnsi="宋体" w:cs="宋体" w:eastAsia="宋体" w:hint="default"/>
          <w:spacing w:val="-1"/>
        </w:rPr>
        <w:t>(</w:t>
      </w:r>
      <w:r>
        <w:rPr>
          <w:spacing w:val="-1"/>
        </w:rPr>
        <w:t>财会〔</w:t>
      </w:r>
      <w:r>
        <w:rPr>
          <w:rFonts w:ascii="宋体" w:hAnsi="宋体" w:cs="宋体" w:eastAsia="宋体" w:hint="default"/>
          <w:spacing w:val="-1"/>
        </w:rPr>
        <w:t>2016</w:t>
      </w:r>
      <w:r>
        <w:rPr>
          <w:spacing w:val="-1"/>
        </w:rPr>
        <w:t>〕</w:t>
      </w:r>
      <w:r>
        <w:rPr>
          <w:rFonts w:ascii="宋体" w:hAnsi="宋体" w:cs="宋体" w:eastAsia="宋体" w:hint="default"/>
          <w:spacing w:val="-1"/>
        </w:rPr>
        <w:t>22</w:t>
      </w:r>
      <w:r>
        <w:rPr>
          <w:spacing w:val="-1"/>
        </w:rPr>
        <w:t>号</w:t>
      </w:r>
      <w:r>
        <w:rPr>
          <w:rFonts w:ascii="宋体" w:hAnsi="宋体" w:cs="宋体" w:eastAsia="宋体" w:hint="default"/>
          <w:spacing w:val="-1"/>
        </w:rPr>
        <w:t>)</w:t>
      </w:r>
      <w:r>
        <w:rPr>
          <w:spacing w:val="-1"/>
        </w:rPr>
        <w:t>以及《关于</w:t>
      </w:r>
      <w:r>
        <w:rPr>
          <w:rFonts w:ascii="宋体" w:hAnsi="宋体" w:cs="宋体" w:eastAsia="宋体" w:hint="default"/>
          <w:spacing w:val="-1"/>
        </w:rPr>
        <w:t>&lt;</w:t>
      </w:r>
      <w:r>
        <w:rPr>
          <w:spacing w:val="-1"/>
        </w:rPr>
        <w:t>增值税会计处理规定</w:t>
      </w:r>
      <w:r>
        <w:rPr>
          <w:rFonts w:ascii="宋体" w:hAnsi="宋体" w:cs="宋体" w:eastAsia="宋体" w:hint="default"/>
          <w:spacing w:val="-1"/>
        </w:rPr>
        <w:t>&gt;</w:t>
      </w:r>
      <w:r>
        <w:rPr>
          <w:spacing w:val="-1"/>
        </w:rPr>
        <w:t>有关问题</w:t>
      </w:r>
      <w:r>
        <w:rPr/>
        <w:t> 的解读》，本公司将</w:t>
      </w:r>
      <w:r>
        <w:rPr>
          <w:rFonts w:ascii="宋体" w:hAnsi="宋体" w:cs="宋体" w:eastAsia="宋体" w:hint="default"/>
        </w:rPr>
        <w:t>2016</w:t>
      </w:r>
      <w:r>
        <w:rPr/>
        <w:t>年</w:t>
      </w:r>
      <w:r>
        <w:rPr>
          <w:rFonts w:ascii="宋体" w:hAnsi="宋体" w:cs="宋体" w:eastAsia="宋体" w:hint="default"/>
        </w:rPr>
        <w:t>5-12</w:t>
      </w:r>
      <w:r>
        <w:rPr/>
        <w:t>月及</w:t>
      </w:r>
      <w:r>
        <w:rPr>
          <w:rFonts w:ascii="宋体" w:hAnsi="宋体" w:cs="宋体" w:eastAsia="宋体" w:hint="default"/>
        </w:rPr>
        <w:t>2017</w:t>
      </w:r>
      <w:r>
        <w:rPr/>
        <w:t>年度印花税和车船使用税的发生额列报于“税金及附加”项目， </w:t>
      </w:r>
      <w:r>
        <w:rPr>
          <w:rFonts w:ascii="宋体" w:hAnsi="宋体" w:cs="宋体" w:eastAsia="宋体" w:hint="default"/>
        </w:rPr>
        <w:t>2016</w:t>
      </w:r>
      <w:r>
        <w:rPr/>
        <w:t>年</w:t>
      </w:r>
      <w:r>
        <w:rPr>
          <w:rFonts w:ascii="宋体" w:hAnsi="宋体" w:cs="宋体" w:eastAsia="宋体" w:hint="default"/>
        </w:rPr>
        <w:t>5</w:t>
      </w:r>
      <w:r>
        <w:rPr/>
        <w:t>月之前的发生额仍列报于“管理费用”项目。</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3、销售费用" w:id="345"/>
      <w:bookmarkEnd w:id="345"/>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20,008,844.53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15,674,800.28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4,097,465.63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2,772,737.71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6,921,710.27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5,563,644.45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3,226,709.78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2,729,553.75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1,054,932.39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739,287.50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788,256.07</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720,616.44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568,826.90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941,399.75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1,312,841.39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38,108,991.73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30,465,592.94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4、管理费用" w:id="346"/>
      <w:bookmarkEnd w:id="346"/>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55,405,696.81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45,731,005.86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19,102,934.10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14,250,343.14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6,413,992.54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4,360,524.62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2,517,139.43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1,594,445.09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2,178,141.26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2,065,403.70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2,110,793.45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2,085,304.85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3,533,910.16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3,654,718.21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3,213,491.97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2,374,930.58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1,080,587.21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1,598,641.08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2,240,807.94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2,765,618.92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97,797,494.87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80,480,936.05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财务费用" w:id="347"/>
      <w:bookmarkEnd w:id="347"/>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3,347,550.81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3,161,826.57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1,097,473.31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1,066,257.63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136,977.44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442,256.58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2,387,054.94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2,537,825.52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6、资产减值损失" w:id="348"/>
      <w:bookmarkEnd w:id="348"/>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11,817,162.80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2,757,283.62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11,817,162.80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2,757,283.62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投资收益" w:id="349"/>
      <w:bookmarkEnd w:id="349"/>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398,827.37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-1,059,811.99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1,737,868.90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2,136,696.27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-1,059,811.99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资产处置收益" w:id="350"/>
      <w:bookmarkEnd w:id="350"/>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106,243.87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-2,614.51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-55,673.44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50,570.43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9、其他收益" w:id="351"/>
      <w:bookmarkEnd w:id="351"/>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16,748,920.67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16,748,920.67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0、营业外收入" w:id="352"/>
      <w:bookmarkEnd w:id="352"/>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22,899,109.45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14,388.74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22,919,127.51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14,388.74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13"/>
        <w:rPr>
          <w:rFonts w:ascii="宋体" w:hAnsi="宋体" w:cs="宋体" w:eastAsia="宋体" w:hint="default"/>
          <w:sz w:val="25"/>
          <w:szCs w:val="25"/>
        </w:rPr>
      </w:pPr>
      <w:r>
        <w:rPr/>
        <w:pict>
          <v:group style="position:absolute;margin-left:156.199997pt;margin-top:734.76001pt;width:42pt;height:27pt;mso-position-horizontal-relative:page;mso-position-vertical-relative:page;z-index:-949288" coordorigin="3124,14695" coordsize="840,540">
            <v:group style="position:absolute;left:3124;top:14695;width:840;height:136" coordorigin="3124,14695" coordsize="840,136">
              <v:shape style="position:absolute;left:3124;top:14695;width:840;height:136" coordorigin="3124,14695" coordsize="840,136" path="m3124,14831l3964,14831,3964,14695,3124,14695,3124,14831xe" filled="true" fillcolor="#ffffff" stroked="false">
                <v:path arrowok="t"/>
                <v:fill type="solid"/>
              </v:shape>
            </v:group>
            <v:group style="position:absolute;left:3135;top:14831;width:2;height:393" coordorigin="3135,14831" coordsize="2,393">
              <v:shape style="position:absolute;left:3135;top:14831;width:2;height:393" coordorigin="3135,14831" coordsize="0,393" path="m3135,14831l3135,15223e" filled="false" stroked="true" strokeweight="1.140pt" strokecolor="#ffffff">
                <v:path arrowok="t"/>
              </v:shape>
            </v:group>
            <v:group style="position:absolute;left:3147;top:14831;width:795;height:393" coordorigin="3147,14831" coordsize="795,393">
              <v:shape style="position:absolute;left:3147;top:14831;width:795;height:393" coordorigin="3147,14831" coordsize="795,393" path="m3147,15223l3941,15223,3941,14831,3147,14831,3147,15223xe" filled="true" fillcolor="#ffffff" stroked="false">
                <v:path arrowok="t"/>
                <v:fill type="solid"/>
              </v:shape>
            </v:group>
            <w10:wrap type="none"/>
          </v:group>
        </w:pict>
      </w: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85"/>
        <w:gridCol w:w="851"/>
        <w:gridCol w:w="851"/>
        <w:gridCol w:w="568"/>
        <w:gridCol w:w="1063"/>
        <w:gridCol w:w="1063"/>
        <w:gridCol w:w="992"/>
        <w:gridCol w:w="1134"/>
        <w:gridCol w:w="1063"/>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99" w:right="40"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12,569,423.54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杭州市统筹资 金重点创新项目补助资 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年第一批余杭区企 </w:t>
            </w:r>
            <w:r>
              <w:rPr>
                <w:rFonts w:ascii="宋体" w:hAnsi="宋体" w:cs="宋体" w:eastAsia="宋体" w:hint="default"/>
                <w:spacing w:val="-5"/>
                <w:sz w:val="18"/>
                <w:szCs w:val="18"/>
              </w:rPr>
              <w:t>业上市后、挂牌项目财政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奖励资金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5"/>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五级奖励政府补</w:t>
            </w:r>
            <w:r>
              <w:rPr>
                <w:rFonts w:ascii="宋体" w:hAnsi="宋体" w:cs="宋体" w:eastAsia="宋体" w:hint="default"/>
                <w:w w:val="99"/>
                <w:sz w:val="18"/>
                <w:szCs w:val="18"/>
              </w:rPr>
              <w:t> </w:t>
            </w:r>
            <w:r>
              <w:rPr>
                <w:rFonts w:ascii="宋体" w:hAnsi="宋体" w:cs="宋体" w:eastAsia="宋体" w:hint="default"/>
                <w:sz w:val="18"/>
                <w:szCs w:val="18"/>
              </w:rPr>
              <w:t>贴</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水利建设基金退税</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247,535.04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首发上市申请获受理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第二批科技计划项目补 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年度驰名商标、省 著名商标和省知名商号 等品牌奖励资金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年拱墅区高新技术 企业奖励经费</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年杭州市科技型初 创企业贷款贴息补助经 费</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66,744.00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余杭区商务发展专项资 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年度杭州市商标名 牌资助资金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年度杭州市商标名 牌资助资金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余杭区仓前街道工业奖 励款</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年拱墅区第一批科 技创新专项扶持资金</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年杭州市雏鹰企业 青蓝企业贷款贴息补助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85"/>
        <w:gridCol w:w="851"/>
        <w:gridCol w:w="851"/>
        <w:gridCol w:w="568"/>
        <w:gridCol w:w="1063"/>
        <w:gridCol w:w="1063"/>
        <w:gridCol w:w="992"/>
        <w:gridCol w:w="1134"/>
        <w:gridCol w:w="1063"/>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杭州市专利专项资金管 </w:t>
            </w:r>
            <w:r>
              <w:rPr>
                <w:rFonts w:ascii="宋体" w:hAnsi="宋体" w:cs="宋体" w:eastAsia="宋体" w:hint="default"/>
                <w:spacing w:val="-5"/>
                <w:sz w:val="18"/>
                <w:szCs w:val="18"/>
              </w:rPr>
              <w:t>理办法（拱墅区专利和软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件著作权资助）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知识产权政府补贴</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1,706.87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22,899,109.45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1、营业外支出" w:id="353"/>
      <w:bookmarkEnd w:id="353"/>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56,992.94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222,487.37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57,717.31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8,923.46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65,916.40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830,204.68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8,923.46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所得税费用" w:id="354"/>
      <w:bookmarkEnd w:id="354"/>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355"/>
      <w:bookmarkEnd w:id="35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3,061,804.37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2,064,924.85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-1,807,782.79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-1,213,756.52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1,254,021.58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851,168.33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356"/>
      <w:bookmarkEnd w:id="35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6215"/>
        <w:gridCol w:w="3342"/>
      </w:tblGrid>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42,517,809.17</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4,251,780.92</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221,183.94</w:t>
            </w:r>
          </w:p>
        </w:tc>
      </w:tr>
      <w:tr>
        <w:trPr>
          <w:trHeight w:val="402" w:hRule="exact"/>
        </w:trPr>
        <w:tc>
          <w:tcPr>
            <w:tcW w:w="6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3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29,785.94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238"/>
        <w:gridCol w:w="3330"/>
      </w:tblGrid>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-1,163,796.08</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681,377.31</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155,594.92</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-2,921,905.37</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1,254,021.58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before="0"/>
        <w:ind w:right="1128" w:firstLine="420"/>
        <w:jc w:val="left"/>
      </w:pPr>
      <w:r>
        <w:rPr>
          <w:rFonts w:ascii="Times New Roman" w:hAnsi="Times New Roman" w:cs="Times New Roman" w:eastAsia="Times New Roman" w:hint="default"/>
        </w:rPr>
        <w:t>2016</w:t>
      </w:r>
      <w:r>
        <w:rPr/>
        <w:t>年公司被认定为国家规划布局内重点软件企业，自</w:t>
      </w:r>
      <w:r>
        <w:rPr>
          <w:rFonts w:ascii="Times New Roman" w:hAnsi="Times New Roman" w:cs="Times New Roman" w:eastAsia="Times New Roman" w:hint="default"/>
        </w:rPr>
        <w:t>2015</w:t>
      </w:r>
      <w:r>
        <w:rPr/>
        <w:t>年度起减按</w:t>
      </w:r>
      <w:r>
        <w:rPr>
          <w:rFonts w:ascii="Times New Roman" w:hAnsi="Times New Roman" w:cs="Times New Roman" w:eastAsia="Times New Roman" w:hint="default"/>
        </w:rPr>
        <w:t>10%</w:t>
      </w:r>
      <w:r>
        <w:rPr/>
        <w:t>的税率计缴企业所得税， 故公司在</w:t>
      </w:r>
      <w:r>
        <w:rPr>
          <w:rFonts w:ascii="Times New Roman" w:hAnsi="Times New Roman" w:cs="Times New Roman" w:eastAsia="Times New Roman" w:hint="default"/>
        </w:rPr>
        <w:t>2016</w:t>
      </w:r>
      <w:r>
        <w:rPr/>
        <w:t>年申请退回</w:t>
      </w:r>
      <w:r>
        <w:rPr>
          <w:rFonts w:ascii="Times New Roman" w:hAnsi="Times New Roman" w:cs="Times New Roman" w:eastAsia="Times New Roman" w:hint="default"/>
        </w:rPr>
        <w:t>2015</w:t>
      </w:r>
      <w:r>
        <w:rPr/>
        <w:t>年度多缴的企业所得税</w:t>
      </w:r>
      <w:r>
        <w:rPr>
          <w:rFonts w:ascii="Times New Roman" w:hAnsi="Times New Roman" w:cs="Times New Roman" w:eastAsia="Times New Roman" w:hint="default"/>
        </w:rPr>
        <w:t>1,378,021.26</w:t>
      </w:r>
      <w:r>
        <w:rPr/>
        <w:t>元，冲减</w:t>
      </w:r>
      <w:r>
        <w:rPr>
          <w:rFonts w:ascii="Times New Roman" w:hAnsi="Times New Roman" w:cs="Times New Roman" w:eastAsia="Times New Roman" w:hint="default"/>
        </w:rPr>
        <w:t>2016</w:t>
      </w:r>
      <w:r>
        <w:rPr/>
        <w:t>年度所得税费用。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43、现金流量表项目" w:id="357"/>
      <w:bookmarkEnd w:id="357"/>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58"/>
      <w:bookmarkEnd w:id="35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53,636,259.04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33,904,892.78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3,414,531.98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4,293,377.64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12,751,565.04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5,242,520.00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2,090,909.70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10,082,150.87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313,723.31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282,507.63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14,388.74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20,018.06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72,221,377.81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53,825,466.98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支付的其他与经营活动有关的现金" w:id="359"/>
      <w:bookmarkEnd w:id="35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47,911,313.81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49,362,110.73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付现研发支出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10,724,537.03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11,263,068.50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42,081,508.36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31,707,113.09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6,267,602.00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支付宝备付金归还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5,211,172.77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8,482,846.61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1,007,466.28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2,075,769.17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24,801,368.67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8,422,341.65</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付现办公费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付现差旅交通费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付现业务招待费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付现房租物管费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138,004,968.92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7" w:right="0"/>
              <w:jc w:val="left"/>
              <w:rPr>
                <w:rFonts w:ascii="Times New Roman" w:hAnsi="Times New Roman" w:cs="Times New Roman" w:eastAsia="Times New Roman" w:hint="default"/>
                <w:sz w:val="18"/>
                <w:szCs w:val="18"/>
              </w:rPr>
            </w:pPr>
            <w:r>
              <w:rPr>
                <w:rFonts w:ascii="Times New Roman"/>
                <w:sz w:val="18"/>
              </w:rPr>
              <w:t>115,244,549.75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收到的其他与投资活动有关的现金" w:id="360"/>
      <w:bookmarkEnd w:id="36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赎回银行理财产品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支付的其他与投资活动有关的现金" w:id="361"/>
      <w:bookmarkEnd w:id="36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5）收到的其他与筹资活动有关的现金" w:id="362"/>
      <w:bookmarkEnd w:id="36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6）支付的其他与筹资活动有关的现金" w:id="363"/>
      <w:bookmarkEnd w:id="36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支付首次公开发行发行费用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14,113,337.45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14,113,337.45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4"/>
          <w:szCs w:val="24"/>
        </w:rPr>
      </w:pPr>
      <w:r>
        <w:rPr/>
        <w:pict>
          <v:group style="position:absolute;margin-left:223.339996pt;margin-top:383.089996pt;width:151.25pt;height:20.7pt;mso-position-horizontal-relative:page;mso-position-vertical-relative:page;z-index:-949264" coordorigin="4467,7662" coordsize="3025,414">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w10:wrap type="none"/>
          </v:group>
        </w:pict>
      </w:r>
    </w:p>
    <w:p>
      <w:pPr>
        <w:pStyle w:val="Heading4"/>
        <w:spacing w:line="240" w:lineRule="auto" w:before="35"/>
        <w:ind w:right="0"/>
        <w:jc w:val="left"/>
        <w:rPr>
          <w:b w:val="0"/>
          <w:bCs w:val="0"/>
        </w:rPr>
      </w:pPr>
      <w:bookmarkStart w:name="44、现金流量表补充资料" w:id="364"/>
      <w:bookmarkEnd w:id="364"/>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65"/>
      <w:bookmarkEnd w:id="36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41,263,787.59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47,491,562.21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11,817,162.80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2,757,283.62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3,033,910.96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2,909,041.00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1,737,333.94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1,565,661.75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44,879.64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-1,085.49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-50,570.43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3,347,550.81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3,161,826.57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-2,136,696.27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1,059,811.99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-1,807,782.79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-1,213,756.52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-36,854,388.14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3,227,908.64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-90,916,227.84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-42,999,428.35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29,370,226.19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-4,109,010.29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1,080,587.21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1,598,641.08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-40,020,741.39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15,398,971.27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175,586,866.87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125,564,651.97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125,564,651.97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125,453,191.31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50,022,214.90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111,460.66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支付的取得子公司的现金净额" w:id="366"/>
      <w:bookmarkEnd w:id="36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67"/>
      <w:bookmarkEnd w:id="36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68"/>
      <w:bookmarkEnd w:id="36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175,586,866.87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125,564,651.97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36,592.94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115,196.38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175,526,112.11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125,449,455.59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24,161.82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175,586,866.87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125,564,651.97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1554" w:right="0"/>
        <w:jc w:val="left"/>
      </w:pPr>
      <w:r>
        <w:rPr>
          <w:rFonts w:ascii="Times New Roman" w:hAnsi="Times New Roman" w:cs="Times New Roman" w:eastAsia="Times New Roman" w:hint="default"/>
        </w:rPr>
        <w:t>(1)</w:t>
      </w:r>
      <w:r>
        <w:rPr/>
        <w:t>不属于现金及现金等价物的货币资金情况的说明</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4687"/>
        <w:gridCol w:w="1918"/>
        <w:gridCol w:w="1919"/>
      </w:tblGrid>
      <w:tr>
        <w:trPr>
          <w:trHeight w:val="347" w:hRule="exact"/>
        </w:trPr>
        <w:tc>
          <w:tcPr>
            <w:tcW w:w="46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9"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64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468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银行存款</w:t>
            </w:r>
          </w:p>
        </w:tc>
        <w:tc>
          <w:tcPr>
            <w:tcW w:w="1918" w:type="dxa"/>
            <w:tcBorders>
              <w:top w:val="single" w:sz="6" w:space="0" w:color="000000"/>
              <w:left w:val="single" w:sz="6" w:space="0" w:color="000000"/>
              <w:bottom w:val="single" w:sz="6" w:space="0" w:color="000000"/>
              <w:right w:val="single" w:sz="6" w:space="0" w:color="000000"/>
            </w:tcBorders>
          </w:tcPr>
          <w:p>
            <w:pPr/>
          </w:p>
        </w:tc>
        <w:tc>
          <w:tcPr>
            <w:tcW w:w="1919"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6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短期借款质押存款</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15,000,000.00</w:t>
            </w:r>
          </w:p>
        </w:tc>
        <w:tc>
          <w:tcPr>
            <w:tcW w:w="19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693" w:right="0"/>
              <w:jc w:val="left"/>
              <w:rPr>
                <w:rFonts w:ascii="Times New Roman" w:hAnsi="Times New Roman" w:cs="Times New Roman" w:eastAsia="Times New Roman" w:hint="default"/>
                <w:sz w:val="21"/>
                <w:szCs w:val="21"/>
              </w:rPr>
            </w:pPr>
            <w:r>
              <w:rPr>
                <w:rFonts w:ascii="Times New Roman"/>
                <w:sz w:val="21"/>
              </w:rPr>
              <w:t>15,000,000.00</w:t>
            </w:r>
          </w:p>
        </w:tc>
      </w:tr>
      <w:tr>
        <w:trPr>
          <w:trHeight w:val="347" w:hRule="exact"/>
        </w:trPr>
        <w:tc>
          <w:tcPr>
            <w:tcW w:w="468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预收货款冻结</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5,761,896.01</w:t>
            </w:r>
          </w:p>
        </w:tc>
        <w:tc>
          <w:tcPr>
            <w:tcW w:w="191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68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其他货币资金</w:t>
            </w:r>
          </w:p>
        </w:tc>
        <w:tc>
          <w:tcPr>
            <w:tcW w:w="1918" w:type="dxa"/>
            <w:tcBorders>
              <w:top w:val="single" w:sz="6" w:space="0" w:color="000000"/>
              <w:left w:val="single" w:sz="6" w:space="0" w:color="000000"/>
              <w:bottom w:val="single" w:sz="6" w:space="0" w:color="000000"/>
              <w:right w:val="single" w:sz="6" w:space="0" w:color="000000"/>
            </w:tcBorders>
          </w:tcPr>
          <w:p>
            <w:pPr/>
          </w:p>
        </w:tc>
        <w:tc>
          <w:tcPr>
            <w:tcW w:w="191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6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10,843,428.91</w:t>
            </w:r>
          </w:p>
        </w:tc>
        <w:tc>
          <w:tcPr>
            <w:tcW w:w="19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693" w:right="0"/>
              <w:jc w:val="left"/>
              <w:rPr>
                <w:rFonts w:ascii="Times New Roman" w:hAnsi="Times New Roman" w:cs="Times New Roman" w:eastAsia="Times New Roman" w:hint="default"/>
                <w:sz w:val="21"/>
                <w:szCs w:val="21"/>
              </w:rPr>
            </w:pPr>
            <w:r>
              <w:rPr>
                <w:rFonts w:ascii="Times New Roman"/>
                <w:sz w:val="21"/>
              </w:rPr>
              <w:t>22,330,270.15</w:t>
            </w:r>
          </w:p>
        </w:tc>
      </w:tr>
      <w:tr>
        <w:trPr>
          <w:trHeight w:val="348" w:hRule="exact"/>
        </w:trPr>
        <w:tc>
          <w:tcPr>
            <w:tcW w:w="468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31,605,324.92</w:t>
            </w:r>
          </w:p>
        </w:tc>
        <w:tc>
          <w:tcPr>
            <w:tcW w:w="19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693" w:right="0"/>
              <w:jc w:val="left"/>
              <w:rPr>
                <w:rFonts w:ascii="Times New Roman" w:hAnsi="Times New Roman" w:cs="Times New Roman" w:eastAsia="Times New Roman" w:hint="default"/>
                <w:sz w:val="21"/>
                <w:szCs w:val="21"/>
              </w:rPr>
            </w:pPr>
            <w:r>
              <w:rPr>
                <w:rFonts w:ascii="Times New Roman"/>
                <w:sz w:val="21"/>
              </w:rPr>
              <w:t>37,330,270.15</w:t>
            </w:r>
          </w:p>
        </w:tc>
      </w:tr>
    </w:tbl>
    <w:p>
      <w:pPr>
        <w:pStyle w:val="BodyText"/>
        <w:spacing w:line="276" w:lineRule="exact" w:before="0"/>
        <w:ind w:left="1554" w:right="0"/>
        <w:jc w:val="left"/>
      </w:pPr>
      <w:r>
        <w:rPr/>
        <w:t>注</w:t>
      </w:r>
      <w:r>
        <w:rPr>
          <w:rFonts w:ascii="Times New Roman" w:hAnsi="Times New Roman" w:cs="Times New Roman" w:eastAsia="Times New Roman" w:hint="default"/>
        </w:rPr>
        <w:t>:</w:t>
      </w:r>
      <w:r>
        <w:rPr/>
        <w:t>预收货款冻结系公司与客户开立的共管账户</w:t>
      </w:r>
      <w:r>
        <w:rPr>
          <w:rFonts w:ascii="Times New Roman" w:hAnsi="Times New Roman" w:cs="Times New Roman" w:eastAsia="Times New Roman" w:hint="default"/>
        </w:rPr>
        <w:t>,</w:t>
      </w:r>
      <w:r>
        <w:rPr/>
        <w:t>在项目完成前</w:t>
      </w:r>
      <w:r>
        <w:rPr>
          <w:rFonts w:ascii="Times New Roman" w:hAnsi="Times New Roman" w:cs="Times New Roman" w:eastAsia="Times New Roman" w:hint="default"/>
        </w:rPr>
        <w:t>,</w:t>
      </w:r>
      <w:r>
        <w:rPr/>
        <w:t>账户内资金被银行冻结</w:t>
      </w:r>
      <w:r>
        <w:rPr>
          <w:rFonts w:ascii="Times New Roman" w:hAnsi="Times New Roman" w:cs="Times New Roman" w:eastAsia="Times New Roman" w:hint="default"/>
        </w:rPr>
        <w:t>,</w:t>
      </w:r>
      <w:r>
        <w:rPr/>
        <w:t>无法随时支取。</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40" w:lineRule="auto" w:before="0"/>
        <w:ind w:left="1553" w:right="0"/>
        <w:jc w:val="left"/>
      </w:pPr>
      <w:r>
        <w:rPr>
          <w:rFonts w:ascii="Times New Roman" w:hAnsi="Times New Roman" w:cs="Times New Roman" w:eastAsia="Times New Roman" w:hint="default"/>
        </w:rPr>
        <w:t>(2)</w:t>
      </w:r>
      <w:r>
        <w:rPr/>
        <w:t>不涉及现金收支的商业汇票背书转让金额</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4645"/>
        <w:gridCol w:w="1973"/>
        <w:gridCol w:w="1905"/>
      </w:tblGrid>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05"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5,983,559.34</w:t>
            </w:r>
          </w:p>
        </w:tc>
        <w:tc>
          <w:tcPr>
            <w:tcW w:w="19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1,760,000.00</w:t>
            </w:r>
          </w:p>
        </w:tc>
      </w:tr>
      <w:tr>
        <w:trPr>
          <w:trHeight w:val="347"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5,983,559.34</w:t>
            </w:r>
          </w:p>
        </w:tc>
        <w:tc>
          <w:tcPr>
            <w:tcW w:w="19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1,760,000.00</w:t>
            </w:r>
          </w:p>
        </w:tc>
      </w:tr>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应收账款抵付应付账款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1,316,437.00</w:t>
            </w:r>
          </w:p>
        </w:tc>
        <w:tc>
          <w:tcPr>
            <w:tcW w:w="19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7,059,179.46</w:t>
            </w:r>
          </w:p>
        </w:tc>
      </w:tr>
    </w:tbl>
    <w:p>
      <w:pPr>
        <w:spacing w:after="0" w:line="240" w:lineRule="auto"/>
        <w:jc w:val="right"/>
        <w:rPr>
          <w:rFonts w:ascii="Times New Roman" w:hAnsi="Times New Roman" w:cs="Times New Roman" w:eastAsia="Times New Roman" w:hint="default"/>
          <w:sz w:val="21"/>
          <w:szCs w:val="21"/>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645"/>
        <w:gridCol w:w="1973"/>
        <w:gridCol w:w="1905"/>
      </w:tblGrid>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51" w:right="0"/>
              <w:jc w:val="left"/>
              <w:rPr>
                <w:rFonts w:ascii="Times New Roman" w:hAnsi="Times New Roman" w:cs="Times New Roman" w:eastAsia="Times New Roman" w:hint="default"/>
                <w:sz w:val="21"/>
                <w:szCs w:val="21"/>
              </w:rPr>
            </w:pPr>
            <w:r>
              <w:rPr>
                <w:rFonts w:ascii="Times New Roman"/>
                <w:sz w:val="21"/>
              </w:rPr>
              <w:t>7,299,996.34</w:t>
            </w:r>
          </w:p>
        </w:tc>
        <w:tc>
          <w:tcPr>
            <w:tcW w:w="19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785" w:right="0"/>
              <w:jc w:val="left"/>
              <w:rPr>
                <w:rFonts w:ascii="Times New Roman" w:hAnsi="Times New Roman" w:cs="Times New Roman" w:eastAsia="Times New Roman" w:hint="default"/>
                <w:sz w:val="21"/>
                <w:szCs w:val="21"/>
              </w:rPr>
            </w:pPr>
            <w:r>
              <w:rPr>
                <w:rFonts w:ascii="Times New Roman"/>
                <w:sz w:val="21"/>
              </w:rPr>
              <w:t>8,819,179.46</w:t>
            </w:r>
          </w:p>
        </w:tc>
      </w:tr>
    </w:tbl>
    <w:p>
      <w:pPr>
        <w:pStyle w:val="BodyText"/>
        <w:spacing w:line="276" w:lineRule="exact" w:before="0"/>
        <w:ind w:left="1554" w:right="0"/>
        <w:jc w:val="left"/>
      </w:pPr>
      <w:r>
        <w:rPr/>
        <w:t>上述金额已从</w:t>
      </w:r>
      <w:r>
        <w:rPr>
          <w:rFonts w:ascii="Times New Roman" w:hAnsi="Times New Roman" w:cs="Times New Roman" w:eastAsia="Times New Roman" w:hint="default"/>
        </w:rPr>
        <w:t>“</w:t>
      </w:r>
      <w:r>
        <w:rPr/>
        <w:t>销售商品、提供劳务收到的现金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购买商品、接受劳务支付的现金</w:t>
      </w:r>
      <w:r>
        <w:rPr>
          <w:rFonts w:ascii="Times New Roman" w:hAnsi="Times New Roman" w:cs="Times New Roman" w:eastAsia="Times New Roman" w:hint="default"/>
        </w:rPr>
        <w:t>”</w:t>
      </w:r>
      <w:r>
        <w:rPr/>
        <w:t>中扣除。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4"/>
        <w:spacing w:line="240" w:lineRule="auto"/>
        <w:ind w:left="1134" w:right="0"/>
        <w:jc w:val="left"/>
        <w:rPr>
          <w:b w:val="0"/>
          <w:bCs w:val="0"/>
        </w:rPr>
      </w:pPr>
      <w:bookmarkStart w:name="45、所有者权益变动表项目注释" w:id="369"/>
      <w:bookmarkEnd w:id="369"/>
      <w:r>
        <w:rPr>
          <w:b w:val="0"/>
          <w:bCs w:val="0"/>
        </w:rPr>
      </w:r>
      <w:r>
        <w:rPr>
          <w:rFonts w:ascii="Times New Roman" w:hAnsi="Times New Roman" w:cs="Times New Roman" w:eastAsia="Times New Roman" w:hint="default"/>
        </w:rPr>
        <w:t>45</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46、所有权或使用权受到限制的资产" w:id="370"/>
      <w:bookmarkEnd w:id="370"/>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pict>
          <v:shape style="position:absolute;margin-left:56.459999pt;margin-top:-21.008265pt;width:479.2pt;height:96.5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2"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3" w:right="0"/>
                          <w:jc w:val="left"/>
                          <w:rPr>
                            <w:rFonts w:ascii="Times New Roman" w:hAnsi="Times New Roman" w:cs="Times New Roman" w:eastAsia="Times New Roman" w:hint="default"/>
                            <w:sz w:val="18"/>
                            <w:szCs w:val="18"/>
                          </w:rPr>
                        </w:pPr>
                        <w:r>
                          <w:rPr>
                            <w:rFonts w:ascii="Times New Roman"/>
                            <w:sz w:val="18"/>
                          </w:rPr>
                          <w:t>31,605,324.92</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pacing w:val="-2"/>
                            <w:sz w:val="18"/>
                            <w:szCs w:val="18"/>
                          </w:rPr>
                          <w:t>短期借款质押、开立银行承兑汇票质押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预收货款冻结</w:t>
                        </w:r>
                      </w:p>
                    </w:tc>
                  </w:tr>
                  <w:tr>
                    <w:trPr>
                      <w:trHeight w:val="391"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23,897,436.66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55,502,761.58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133" w:right="1129" w:firstLine="0"/>
        <w:jc w:val="both"/>
        <w:rPr>
          <w:rFonts w:ascii="宋体" w:hAnsi="宋体" w:cs="宋体" w:eastAsia="宋体" w:hint="default"/>
          <w:sz w:val="18"/>
          <w:szCs w:val="18"/>
        </w:rPr>
      </w:pPr>
      <w:r>
        <w:rPr>
          <w:rFonts w:ascii="宋体" w:hAnsi="宋体" w:cs="宋体" w:eastAsia="宋体" w:hint="default"/>
          <w:sz w:val="18"/>
          <w:szCs w:val="18"/>
        </w:rPr>
        <w:t>注：子公司青岛天高公司与上海浦东发展银行股份有限公司青岛分行签订应收账款最高额人民币</w:t>
      </w:r>
      <w:r>
        <w:rPr>
          <w:rFonts w:ascii="Times New Roman" w:hAnsi="Times New Roman" w:cs="Times New Roman" w:eastAsia="Times New Roman" w:hint="default"/>
          <w:sz w:val="18"/>
          <w:szCs w:val="18"/>
        </w:rPr>
        <w:t>1,100.00</w:t>
      </w:r>
      <w:r>
        <w:rPr>
          <w:rFonts w:ascii="宋体" w:hAnsi="宋体" w:cs="宋体" w:eastAsia="宋体" w:hint="default"/>
          <w:sz w:val="18"/>
          <w:szCs w:val="18"/>
        </w:rPr>
        <w:t>万元的质押合同，</w:t>
      </w:r>
      <w:r>
        <w:rPr>
          <w:rFonts w:ascii="宋体" w:hAnsi="宋体" w:cs="宋体" w:eastAsia="宋体" w:hint="default"/>
          <w:spacing w:val="-84"/>
          <w:sz w:val="18"/>
          <w:szCs w:val="18"/>
        </w:rPr>
        <w:t> </w:t>
      </w:r>
      <w:r>
        <w:rPr>
          <w:rFonts w:ascii="宋体" w:hAnsi="宋体" w:cs="宋体" w:eastAsia="宋体" w:hint="default"/>
          <w:spacing w:val="-2"/>
          <w:sz w:val="18"/>
          <w:szCs w:val="18"/>
        </w:rPr>
        <w:t>青岛天高公司将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日形成的所有应收账款予以质押。截至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日，该质押合同下青岛</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天高公司短期借款余额</w:t>
      </w:r>
      <w:r>
        <w:rPr>
          <w:rFonts w:ascii="Times New Roman" w:hAnsi="Times New Roman" w:cs="Times New Roman" w:eastAsia="Times New Roman" w:hint="default"/>
          <w:sz w:val="18"/>
          <w:szCs w:val="18"/>
        </w:rPr>
        <w:t>1,000.00</w:t>
      </w:r>
      <w:r>
        <w:rPr>
          <w:rFonts w:ascii="宋体" w:hAnsi="宋体" w:cs="宋体" w:eastAsia="宋体" w:hint="default"/>
          <w:sz w:val="18"/>
          <w:szCs w:val="18"/>
        </w:rPr>
        <w:t>万元，应收账款质押余额</w:t>
      </w:r>
      <w:r>
        <w:rPr>
          <w:rFonts w:ascii="Times New Roman" w:hAnsi="Times New Roman" w:cs="Times New Roman" w:eastAsia="Times New Roman" w:hint="default"/>
          <w:sz w:val="18"/>
          <w:szCs w:val="18"/>
        </w:rPr>
        <w:t>23,897,436.66</w:t>
      </w:r>
      <w:r>
        <w:rPr>
          <w:rFonts w:ascii="宋体" w:hAnsi="宋体" w:cs="宋体" w:eastAsia="宋体" w:hint="default"/>
          <w:sz w:val="18"/>
          <w:szCs w:val="18"/>
        </w:rPr>
        <w:t>元。</w:t>
      </w:r>
    </w:p>
    <w:p>
      <w:pPr>
        <w:spacing w:line="300" w:lineRule="auto" w:before="52"/>
        <w:ind w:left="1133" w:right="1128" w:firstLine="0"/>
        <w:jc w:val="both"/>
        <w:rPr>
          <w:rFonts w:ascii="宋体" w:hAnsi="宋体" w:cs="宋体" w:eastAsia="宋体" w:hint="default"/>
          <w:sz w:val="18"/>
          <w:szCs w:val="18"/>
        </w:rPr>
      </w:pPr>
      <w:r>
        <w:rPr>
          <w:rFonts w:ascii="宋体" w:hAnsi="宋体" w:cs="宋体" w:eastAsia="宋体" w:hint="default"/>
          <w:sz w:val="18"/>
          <w:szCs w:val="18"/>
        </w:rPr>
        <w:t>本公司及广西筑波公司少数股东卢洁芳、章益宇各为广西筑波公司在中国银行南宁市邕州支行借款提供最高额</w:t>
      </w:r>
      <w:r>
        <w:rPr>
          <w:rFonts w:ascii="Times New Roman" w:hAnsi="Times New Roman" w:cs="Times New Roman" w:eastAsia="Times New Roman" w:hint="default"/>
          <w:sz w:val="18"/>
          <w:szCs w:val="18"/>
        </w:rPr>
        <w:t>1,500.00</w:t>
      </w:r>
      <w:r>
        <w:rPr>
          <w:rFonts w:ascii="宋体" w:hAnsi="宋体" w:cs="宋体" w:eastAsia="宋体" w:hint="default"/>
          <w:sz w:val="18"/>
          <w:szCs w:val="18"/>
        </w:rPr>
        <w:t>万元</w:t>
      </w:r>
      <w:r>
        <w:rPr>
          <w:rFonts w:ascii="宋体" w:hAnsi="宋体" w:cs="宋体" w:eastAsia="宋体" w:hint="default"/>
          <w:spacing w:val="-82"/>
          <w:sz w:val="18"/>
          <w:szCs w:val="18"/>
        </w:rPr>
        <w:t> </w:t>
      </w:r>
      <w:r>
        <w:rPr>
          <w:rFonts w:ascii="宋体" w:hAnsi="宋体" w:cs="宋体" w:eastAsia="宋体" w:hint="default"/>
          <w:sz w:val="18"/>
          <w:szCs w:val="18"/>
        </w:rPr>
        <w:t>保证担保，同时广西筑波公司将对广西大学、南宁职业技术学院等应收账款质押给中国银行南宁市邕州支行，质押期</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日，广西筑波公司该质押合同下短期借款余额</w:t>
      </w:r>
      <w:r>
        <w:rPr>
          <w:rFonts w:ascii="Times New Roman" w:hAnsi="Times New Roman" w:cs="Times New Roman" w:eastAsia="Times New Roman" w:hint="default"/>
          <w:sz w:val="18"/>
          <w:szCs w:val="18"/>
        </w:rPr>
        <w:t>1,100.00</w:t>
      </w:r>
      <w:r>
        <w:rPr>
          <w:rFonts w:ascii="宋体" w:hAnsi="宋体" w:cs="宋体" w:eastAsia="宋体" w:hint="default"/>
          <w:sz w:val="18"/>
          <w:szCs w:val="18"/>
        </w:rPr>
        <w:t>万元，应收账款质押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Heading4"/>
        <w:spacing w:line="240" w:lineRule="auto"/>
        <w:ind w:left="1134" w:right="0"/>
        <w:jc w:val="both"/>
        <w:rPr>
          <w:b w:val="0"/>
          <w:bCs w:val="0"/>
        </w:rPr>
      </w:pPr>
      <w:bookmarkStart w:name="47、政府补助" w:id="371"/>
      <w:bookmarkEnd w:id="371"/>
      <w:r>
        <w:rPr>
          <w:b w:val="0"/>
          <w:bCs w:val="0"/>
        </w:rPr>
      </w:r>
      <w:r>
        <w:rPr>
          <w:rFonts w:ascii="Times New Roman" w:hAnsi="Times New Roman" w:cs="Times New Roman" w:eastAsia="Times New Roman" w:hint="default"/>
        </w:rPr>
        <w:t>47</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54" w:right="3647"/>
        <w:jc w:val="left"/>
      </w:pPr>
      <w:r>
        <w:rPr>
          <w:rFonts w:ascii="Times New Roman" w:hAnsi="Times New Roman" w:cs="Times New Roman" w:eastAsia="Times New Roman" w:hint="default"/>
        </w:rPr>
        <w:t>(1)</w:t>
      </w:r>
      <w:r>
        <w:rPr/>
        <w:t>明细情况</w:t>
      </w:r>
      <w:r>
        <w:rPr>
          <w:w w:val="99"/>
        </w:rPr>
        <w:t> </w:t>
      </w:r>
      <w:r>
        <w:rPr>
          <w:rFonts w:ascii="Times New Roman" w:hAnsi="Times New Roman" w:cs="Times New Roman" w:eastAsia="Times New Roman" w:hint="default"/>
        </w:rPr>
        <w:t>1)</w:t>
      </w:r>
      <w:r>
        <w:rPr/>
        <w:t>与收益相关，且用于补偿公司已发生的相关成本费用或损失的政府补助</w:t>
      </w:r>
    </w:p>
    <w:tbl>
      <w:tblPr>
        <w:tblW w:w="0" w:type="auto"/>
        <w:jc w:val="left"/>
        <w:tblInd w:w="1126" w:type="dxa"/>
        <w:tblLayout w:type="fixed"/>
        <w:tblCellMar>
          <w:top w:w="0" w:type="dxa"/>
          <w:left w:w="0" w:type="dxa"/>
          <w:bottom w:w="0" w:type="dxa"/>
          <w:right w:w="0" w:type="dxa"/>
        </w:tblCellMar>
        <w:tblLook w:val="01E0"/>
      </w:tblPr>
      <w:tblGrid>
        <w:gridCol w:w="2374"/>
        <w:gridCol w:w="1584"/>
        <w:gridCol w:w="1387"/>
        <w:gridCol w:w="4295"/>
      </w:tblGrid>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14,658,010.97</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财政部、国家税务总局《关于软件产品增值税政策的通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知》</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Times New Roman" w:hAnsi="Times New Roman" w:cs="Times New Roman" w:eastAsia="Times New Roman" w:hint="default"/>
                <w:sz w:val="18"/>
                <w:szCs w:val="18"/>
              </w:rPr>
              <w:t>100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971"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利用资本市场财政扶持资金第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二批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1"/>
              <w:jc w:val="both"/>
              <w:rPr>
                <w:rFonts w:ascii="宋体" w:hAnsi="宋体" w:cs="宋体" w:eastAsia="宋体" w:hint="default"/>
                <w:sz w:val="18"/>
                <w:szCs w:val="18"/>
              </w:rPr>
            </w:pPr>
            <w:r>
              <w:rPr>
                <w:rFonts w:ascii="宋体" w:hAnsi="宋体" w:cs="宋体" w:eastAsia="宋体" w:hint="default"/>
                <w:spacing w:val="-2"/>
                <w:sz w:val="18"/>
                <w:szCs w:val="18"/>
              </w:rPr>
              <w:t>杭州市余杭区人民政府金融工作办公室、杭州市余杭区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财政局《关于下达</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年第二批余杭区企业利用资本市</w:t>
            </w:r>
            <w:r>
              <w:rPr>
                <w:rFonts w:ascii="宋体" w:hAnsi="宋体" w:cs="宋体" w:eastAsia="宋体" w:hint="default"/>
                <w:spacing w:val="-85"/>
                <w:sz w:val="18"/>
                <w:szCs w:val="18"/>
              </w:rPr>
              <w:t> </w:t>
            </w:r>
            <w:r>
              <w:rPr>
                <w:rFonts w:ascii="宋体" w:hAnsi="宋体" w:cs="宋体" w:eastAsia="宋体" w:hint="default"/>
                <w:sz w:val="18"/>
                <w:szCs w:val="18"/>
              </w:rPr>
              <w:t>场财政扶持资金的通知》（余金融办﹝</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p>
        </w:tc>
      </w:tr>
      <w:tr>
        <w:trPr>
          <w:trHeight w:val="6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z w:val="18"/>
                <w:szCs w:val="18"/>
              </w:rPr>
              <w:t>利用资本市场财政扶持资金第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二批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250,000.00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杭州市财政局、杭州市人民政府金融工作办公室《关于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下达</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年第一批企业利用资本市场财政扶持资金的</w:t>
            </w:r>
          </w:p>
        </w:tc>
      </w:tr>
    </w:tbl>
    <w:p>
      <w:pPr>
        <w:spacing w:after="0" w:line="316"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374"/>
        <w:gridCol w:w="1584"/>
        <w:gridCol w:w="1387"/>
        <w:gridCol w:w="4295"/>
      </w:tblGrid>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通知》（杭财企﹝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号）</w:t>
            </w:r>
          </w:p>
        </w:tc>
      </w:tr>
      <w:tr>
        <w:trPr>
          <w:trHeight w:val="971"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产业发展先进单位奖励</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杭州市余杭区人民政府仓前街道办事处《关于表彰</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年度产业发展先进单位的决定》（仓街办﹝</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w:t>
            </w: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118,121.63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杭州市余杭区就业管理服务处失业保险基金支出拨入</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科技专项资金</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107,200.00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青岛市市南区国库支付中心拨入</w:t>
            </w:r>
          </w:p>
        </w:tc>
      </w:tr>
      <w:tr>
        <w:trPr>
          <w:trHeight w:val="971"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高新企业财政扶持奖励</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43"/>
              <w:jc w:val="both"/>
              <w:rPr>
                <w:rFonts w:ascii="宋体" w:hAnsi="宋体" w:cs="宋体" w:eastAsia="宋体" w:hint="default"/>
                <w:sz w:val="18"/>
                <w:szCs w:val="18"/>
              </w:rPr>
            </w:pPr>
            <w:r>
              <w:rPr>
                <w:rFonts w:ascii="宋体" w:hAnsi="宋体" w:cs="宋体" w:eastAsia="宋体" w:hint="default"/>
                <w:spacing w:val="-2"/>
                <w:sz w:val="18"/>
                <w:szCs w:val="18"/>
              </w:rPr>
              <w:t>杭州市余杭区科学技术局、杭州市余杭区财政局《关于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下达</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年度国家重点支持领域高新技术企业等财政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扶持奖励（补助）资金的通知》（余科﹝</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号）</w:t>
            </w: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促进科技创新奖励</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青岛市市南区国库支付中心拨入</w:t>
            </w: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福州市财政局拨入</w:t>
            </w:r>
          </w:p>
        </w:tc>
      </w:tr>
      <w:tr>
        <w:trPr>
          <w:trHeight w:val="34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155,588.07</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16,748,920.67</w:t>
            </w:r>
          </w:p>
        </w:tc>
        <w:tc>
          <w:tcPr>
            <w:tcW w:w="1387" w:type="dxa"/>
            <w:tcBorders>
              <w:top w:val="single" w:sz="6" w:space="0" w:color="000000"/>
              <w:left w:val="single" w:sz="6" w:space="0" w:color="000000"/>
              <w:bottom w:val="single" w:sz="6" w:space="0" w:color="000000"/>
              <w:right w:val="single" w:sz="6" w:space="0" w:color="000000"/>
            </w:tcBorders>
          </w:tcPr>
          <w:p>
            <w:pPr/>
          </w:p>
        </w:tc>
        <w:tc>
          <w:tcPr>
            <w:tcW w:w="429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left="1554" w:right="0"/>
        <w:jc w:val="left"/>
      </w:pPr>
      <w:r>
        <w:rPr>
          <w:rFonts w:ascii="Times New Roman" w:hAnsi="Times New Roman" w:cs="Times New Roman" w:eastAsia="Times New Roman" w:hint="default"/>
        </w:rPr>
        <w:t>2)</w:t>
      </w:r>
      <w:r>
        <w:rPr/>
        <w:t>财政贴息</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419"/>
        <w:gridCol w:w="991"/>
        <w:gridCol w:w="1419"/>
        <w:gridCol w:w="1102"/>
        <w:gridCol w:w="992"/>
        <w:gridCol w:w="1702"/>
        <w:gridCol w:w="1008"/>
      </w:tblGrid>
      <w:tr>
        <w:trPr>
          <w:trHeight w:val="65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8" w:right="66" w:firstLine="210"/>
              <w:jc w:val="left"/>
              <w:rPr>
                <w:rFonts w:ascii="宋体" w:hAnsi="宋体" w:cs="宋体" w:eastAsia="宋体" w:hint="default"/>
                <w:sz w:val="21"/>
                <w:szCs w:val="21"/>
              </w:rPr>
            </w:pPr>
            <w:r>
              <w:rPr>
                <w:rFonts w:ascii="宋体" w:hAnsi="宋体" w:cs="宋体" w:eastAsia="宋体" w:hint="default"/>
                <w:sz w:val="21"/>
                <w:szCs w:val="21"/>
              </w:rPr>
              <w:t>期初 递延收益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本期结转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9" w:right="66" w:firstLine="210"/>
              <w:jc w:val="left"/>
              <w:rPr>
                <w:rFonts w:ascii="宋体" w:hAnsi="宋体" w:cs="宋体" w:eastAsia="宋体" w:hint="default"/>
                <w:sz w:val="21"/>
                <w:szCs w:val="21"/>
              </w:rPr>
            </w:pPr>
            <w:r>
              <w:rPr>
                <w:rFonts w:ascii="宋体" w:hAnsi="宋体" w:cs="宋体" w:eastAsia="宋体" w:hint="default"/>
                <w:sz w:val="21"/>
                <w:szCs w:val="21"/>
              </w:rPr>
              <w:t>期末 递延收益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423"/>
              <w:jc w:val="left"/>
              <w:rPr>
                <w:rFonts w:ascii="宋体" w:hAnsi="宋体" w:cs="宋体" w:eastAsia="宋体" w:hint="default"/>
                <w:sz w:val="21"/>
                <w:szCs w:val="21"/>
              </w:rPr>
            </w:pPr>
            <w:r>
              <w:rPr>
                <w:rFonts w:ascii="宋体" w:hAnsi="宋体" w:cs="宋体" w:eastAsia="宋体" w:hint="default"/>
                <w:sz w:val="21"/>
                <w:szCs w:val="21"/>
              </w:rPr>
              <w:t>本期结转 列报项目</w:t>
            </w:r>
          </w:p>
        </w:tc>
        <w:tc>
          <w:tcPr>
            <w:tcW w:w="100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286"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0" w:right="0"/>
              <w:jc w:val="left"/>
              <w:rPr>
                <w:rFonts w:ascii="宋体" w:hAnsi="宋体" w:cs="宋体" w:eastAsia="宋体" w:hint="default"/>
                <w:sz w:val="21"/>
                <w:szCs w:val="21"/>
              </w:rPr>
            </w:pPr>
            <w:r>
              <w:rPr>
                <w:rFonts w:ascii="宋体" w:hAnsi="宋体" w:cs="宋体" w:eastAsia="宋体" w:hint="default"/>
                <w:sz w:val="21"/>
                <w:szCs w:val="21"/>
              </w:rPr>
              <w:t>银行贷款贴息</w:t>
            </w:r>
          </w:p>
        </w:tc>
        <w:tc>
          <w:tcPr>
            <w:tcW w:w="991"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65,100.00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65,100.00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0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9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65,100.00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65,100.00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nil" w:sz="6" w:space="0" w:color="auto"/>
            </w:tcBorders>
          </w:tcPr>
          <w:p>
            <w:pPr/>
          </w:p>
        </w:tc>
      </w:tr>
    </w:tbl>
    <w:p>
      <w:pPr>
        <w:pStyle w:val="BodyText"/>
        <w:spacing w:line="276" w:lineRule="exact" w:before="0"/>
        <w:ind w:left="1554" w:right="0"/>
        <w:jc w:val="left"/>
      </w:pPr>
      <w:r>
        <w:rPr>
          <w:rFonts w:ascii="Times New Roman" w:hAnsi="Times New Roman" w:cs="Times New Roman" w:eastAsia="Times New Roman" w:hint="default"/>
        </w:rPr>
        <w:t>(2)</w:t>
      </w:r>
      <w:r>
        <w:rPr/>
        <w:t>本期计入当期损益的政府补助金额为</w:t>
      </w:r>
      <w:r>
        <w:rPr>
          <w:rFonts w:ascii="Times New Roman" w:hAnsi="Times New Roman" w:cs="Times New Roman" w:eastAsia="Times New Roman" w:hint="default"/>
        </w:rPr>
        <w:t>16,814,020.67</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2"/>
        <w:spacing w:line="240" w:lineRule="auto"/>
        <w:ind w:left="1134" w:right="0"/>
        <w:jc w:val="left"/>
        <w:rPr>
          <w:b w:val="0"/>
          <w:bCs w:val="0"/>
        </w:rPr>
      </w:pPr>
      <w:bookmarkStart w:name="八、合并范围的变更" w:id="372"/>
      <w:bookmarkEnd w:id="372"/>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原因的合并范围变动" w:id="373"/>
      <w:bookmarkEnd w:id="373"/>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89"/>
        <w:ind w:left="1554" w:right="0"/>
        <w:jc w:val="left"/>
      </w:pPr>
      <w:r>
        <w:rPr/>
        <w:t>合并范围增加</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701"/>
        <w:gridCol w:w="1700"/>
        <w:gridCol w:w="1943"/>
        <w:gridCol w:w="1476"/>
        <w:gridCol w:w="1703"/>
      </w:tblGrid>
      <w:tr>
        <w:trPr>
          <w:trHeight w:val="348"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19"/>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3"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6"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13"/>
              <w:jc w:val="right"/>
              <w:rPr>
                <w:rFonts w:ascii="宋体" w:hAnsi="宋体" w:cs="宋体" w:eastAsia="宋体" w:hint="default"/>
                <w:sz w:val="21"/>
                <w:szCs w:val="21"/>
              </w:rPr>
            </w:pPr>
            <w:r>
              <w:rPr>
                <w:rFonts w:ascii="宋体" w:hAnsi="宋体" w:cs="宋体" w:eastAsia="宋体" w:hint="default"/>
                <w:sz w:val="21"/>
                <w:szCs w:val="21"/>
              </w:rPr>
              <w:t>出资额</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7" w:hRule="exact"/>
        </w:trPr>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19"/>
              <w:jc w:val="center"/>
              <w:rPr>
                <w:rFonts w:ascii="宋体" w:hAnsi="宋体" w:cs="宋体" w:eastAsia="宋体" w:hint="default"/>
                <w:sz w:val="21"/>
                <w:szCs w:val="21"/>
              </w:rPr>
            </w:pPr>
            <w:r>
              <w:rPr>
                <w:rFonts w:ascii="宋体" w:hAnsi="宋体" w:cs="宋体" w:eastAsia="宋体" w:hint="default"/>
                <w:sz w:val="21"/>
                <w:szCs w:val="21"/>
              </w:rPr>
              <w:t>浙江校云公司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新设子公司</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54"/>
              <w:jc w:val="right"/>
              <w:rPr>
                <w:rFonts w:ascii="Times New Roman" w:hAnsi="Times New Roman" w:cs="Times New Roman" w:eastAsia="Times New Roman" w:hint="default"/>
                <w:sz w:val="21"/>
                <w:szCs w:val="21"/>
              </w:rPr>
            </w:pPr>
            <w:r>
              <w:rPr>
                <w:rFonts w:ascii="Times New Roman"/>
                <w:spacing w:val="-1"/>
                <w:sz w:val="21"/>
              </w:rPr>
              <w:t>2,550,000.00</w:t>
            </w:r>
          </w:p>
        </w:tc>
        <w:tc>
          <w:tcPr>
            <w:tcW w:w="1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51.00%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九、在其他主体中的权益" w:id="374"/>
      <w:bookmarkEnd w:id="37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75"/>
      <w:bookmarkEnd w:id="37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76"/>
      <w:bookmarkEnd w:id="37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杭州捷卡公司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四川正元公司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正元曦客公司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浙江校云公司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13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7"/>
        <w:ind w:left="113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377"/>
      <w:bookmarkEnd w:id="37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3,288,292.64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1,711,500.00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11,551,874.70</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3）重要非全资子公司的主要财务信息" w:id="378"/>
      <w:bookmarkEnd w:id="37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68"/>
        <w:gridCol w:w="851"/>
        <w:gridCol w:w="850"/>
        <w:gridCol w:w="622"/>
        <w:gridCol w:w="920"/>
        <w:gridCol w:w="587"/>
        <w:gridCol w:w="540"/>
        <w:gridCol w:w="919"/>
        <w:gridCol w:w="845"/>
        <w:gridCol w:w="814"/>
        <w:gridCol w:w="851"/>
        <w:gridCol w:w="568"/>
        <w:gridCol w:w="734"/>
      </w:tblGrid>
      <w:tr>
        <w:trPr>
          <w:trHeight w:val="401" w:hRule="exact"/>
        </w:trPr>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98" w:right="99"/>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3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3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568"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9" w:right="59" w:hanging="270"/>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4" w:right="35"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7" w:right="107"/>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6" w:right="56" w:hanging="270"/>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2"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28"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3"/>
              <w:jc w:val="both"/>
              <w:rPr>
                <w:rFonts w:ascii="宋体" w:hAnsi="宋体" w:cs="宋体" w:eastAsia="宋体" w:hint="default"/>
                <w:sz w:val="18"/>
                <w:szCs w:val="18"/>
              </w:rPr>
            </w:pPr>
            <w:r>
              <w:rPr>
                <w:rFonts w:ascii="宋体" w:hAnsi="宋体" w:cs="宋体" w:eastAsia="宋体" w:hint="default"/>
                <w:sz w:val="18"/>
                <w:szCs w:val="18"/>
              </w:rPr>
              <w:t>青岛 天高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63,321,76</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7,291,753.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70,613,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518.79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47,038,307.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58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47,03</w:t>
            </w:r>
          </w:p>
          <w:p>
            <w:pPr>
              <w:pStyle w:val="TableParagraph"/>
              <w:spacing w:line="240" w:lineRule="auto" w:before="104"/>
              <w:ind w:left="56" w:right="0"/>
              <w:jc w:val="left"/>
              <w:rPr>
                <w:rFonts w:ascii="Times New Roman" w:hAnsi="Times New Roman" w:cs="Times New Roman" w:eastAsia="Times New Roman" w:hint="default"/>
                <w:sz w:val="18"/>
                <w:szCs w:val="18"/>
              </w:rPr>
            </w:pPr>
            <w:r>
              <w:rPr>
                <w:rFonts w:ascii="Times New Roman"/>
                <w:sz w:val="18"/>
              </w:rPr>
              <w:t>8,307.</w:t>
            </w:r>
          </w:p>
          <w:p>
            <w:pPr>
              <w:pStyle w:val="TableParagraph"/>
              <w:spacing w:line="240" w:lineRule="auto" w:before="106"/>
              <w:ind w:left="326" w:right="0"/>
              <w:jc w:val="left"/>
              <w:rPr>
                <w:rFonts w:ascii="Times New Roman" w:hAnsi="Times New Roman" w:cs="Times New Roman" w:eastAsia="Times New Roman" w:hint="default"/>
                <w:sz w:val="18"/>
                <w:szCs w:val="18"/>
              </w:rPr>
            </w:pPr>
            <w:r>
              <w:rPr>
                <w:rFonts w:ascii="Times New Roman"/>
                <w:sz w:val="18"/>
              </w:rPr>
              <w:t>17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33,777,793.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7,474,534.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41,252,32</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20,895,01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7.51</w:t>
            </w:r>
          </w:p>
        </w:tc>
        <w:tc>
          <w:tcPr>
            <w:tcW w:w="5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20,895,0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17.51</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91"/>
        <w:gridCol w:w="1062"/>
        <w:gridCol w:w="1066"/>
        <w:gridCol w:w="1064"/>
        <w:gridCol w:w="1092"/>
        <w:gridCol w:w="1062"/>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青岛天高公 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66,729,039.67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6,710,801.30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6,710,801.30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2,973,467.06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49,658,102.06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6,414,247.30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6,414,247.30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9,574,807.87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合营安排或联营企业中的权益" w:id="379"/>
      <w:bookmarkEnd w:id="37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80"/>
      <w:bookmarkEnd w:id="38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重庆汇贤优策科 技股份有限公司</w:t>
            </w:r>
          </w:p>
          <w:p>
            <w:pPr>
              <w:pStyle w:val="TableParagraph"/>
              <w:spacing w:line="319"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（以下简称重庆 汇贤）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杭州卓然实业有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40" w:lineRule="auto" w:before="75"/>
        <w:ind w:left="1134" w:right="0"/>
        <w:jc w:val="left"/>
      </w:pPr>
      <w:r>
        <w:rPr/>
        <w:t>重庆汇贤董事会共六名成员，本公司派有一名董事，故对其有重大影响</w:t>
      </w:r>
    </w:p>
    <w:p>
      <w:pPr>
        <w:spacing w:line="240" w:lineRule="auto" w:before="11"/>
        <w:rPr>
          <w:rFonts w:ascii="宋体" w:hAnsi="宋体" w:cs="宋体" w:eastAsia="宋体" w:hint="default"/>
          <w:sz w:val="25"/>
          <w:szCs w:val="25"/>
        </w:rPr>
      </w:pPr>
    </w:p>
    <w:p>
      <w:pPr>
        <w:pStyle w:val="Heading4"/>
        <w:spacing w:line="240" w:lineRule="auto"/>
        <w:ind w:left="1134" w:right="0"/>
        <w:jc w:val="left"/>
        <w:rPr>
          <w:b w:val="0"/>
          <w:bCs w:val="0"/>
        </w:rPr>
      </w:pPr>
      <w:bookmarkStart w:name="（2）重要联营企业的主要财务信息" w:id="381"/>
      <w:bookmarkEnd w:id="38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192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杭州卓然</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131,320,399.11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8,566,887.14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111,857,435.57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8,797,431.27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158,578,863.05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302,246,478.70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122,553,366.31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235,097,233.45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289,899,262.16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310,813,365.84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234,410,801.88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243,894,664.72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72,876,519.11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18,208,956.90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29,094,901.08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41,277,813.20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42,840,646.02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45,827,840.80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71,440,147.00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115,717,165.13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157,208,956.90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74,922,741.88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112,717,960.20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1,224,156.50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104,589.28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172,957,940.54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153,604,408.94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159,383,470.72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131,176,704.52</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13,932,722.99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61,441,763.58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12,839,224.03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38,070,681.81</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13,932,722.99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61,441,763.58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12,839,224.03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38,070,681.81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123,215,689.44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103,654,094.49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15,931,675.61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-1,572,295.58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12,061,752.88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-1,668,419.44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15,931,675.61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-1,572,295.58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12,061,752.88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-1,668,419.44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不重要的合营企业和联营企业的汇总财务信息" w:id="382"/>
      <w:bookmarkEnd w:id="382"/>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1,674,279.25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1,740,032.61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-65,753.36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76,690.55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-65,753.36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76,690.55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的共同经营" w:id="383"/>
      <w:bookmarkEnd w:id="383"/>
      <w:r>
        <w:rPr>
          <w:b w:val="0"/>
          <w:bCs w:val="0"/>
        </w:rPr>
      </w:r>
      <w:r>
        <w:rPr>
          <w:rFonts w:ascii="Times New Roman" w:hAnsi="Times New Roman" w:cs="Times New Roman" w:eastAsia="Times New Roman" w:hint="default"/>
        </w:rPr>
        <w:t>3</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13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在未纳入合并财务报表范围的结构化主体中的权益" w:id="384"/>
      <w:bookmarkEnd w:id="384"/>
      <w:r>
        <w:rPr>
          <w:b w:val="0"/>
          <w:bCs w:val="0"/>
        </w:rPr>
      </w: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5、其他" w:id="385"/>
      <w:bookmarkEnd w:id="385"/>
      <w:r>
        <w:rPr>
          <w:b w:val="0"/>
          <w:bCs w:val="0"/>
        </w:rPr>
      </w:r>
      <w:r>
        <w:rPr>
          <w:rFonts w:ascii="Times New Roman" w:hAnsi="Times New Roman" w:cs="Times New Roman" w:eastAsia="Times New Roman" w:hint="default"/>
        </w:rPr>
        <w:t>5</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与金融工具相关的风险" w:id="386"/>
      <w:bookmarkEnd w:id="386"/>
      <w:r>
        <w:rPr>
          <w:b w:val="0"/>
          <w:bCs w:val="0"/>
        </w:rPr>
      </w:r>
      <w:r>
        <w:rPr/>
        <w:t>十、与金融工具相关的风险</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0" w:firstLine="420"/>
        <w:jc w:val="left"/>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408" w:lineRule="auto"/>
        <w:ind w:right="0" w:firstLine="420"/>
        <w:jc w:val="left"/>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386" w:lineRule="auto"/>
        <w:ind w:left="1554" w:right="277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99"/>
        </w:rPr>
        <w:t> </w:t>
      </w:r>
      <w:r>
        <w:rPr/>
        <w:t>信用风险，是指金融工具的一方不能履行义务，造成另一方发生财务损失的风险。</w:t>
      </w:r>
    </w:p>
    <w:p>
      <w:pPr>
        <w:pStyle w:val="BodyText"/>
        <w:spacing w:line="240" w:lineRule="auto" w:before="65"/>
        <w:ind w:left="1553" w:right="0"/>
        <w:jc w:val="left"/>
      </w:pPr>
      <w:r>
        <w:rPr>
          <w:spacing w:val="-3"/>
        </w:rPr>
        <w:t>本公司的信用风险主要来自银行存款和应收款项。为控制上述相关风险，本公司分别采取了以下措施。</w:t>
      </w:r>
    </w:p>
    <w:p>
      <w:pPr>
        <w:spacing w:line="240" w:lineRule="auto" w:before="10"/>
        <w:rPr>
          <w:rFonts w:ascii="宋体" w:hAnsi="宋体" w:cs="宋体" w:eastAsia="宋体" w:hint="default"/>
          <w:sz w:val="14"/>
          <w:szCs w:val="14"/>
        </w:rPr>
      </w:pPr>
    </w:p>
    <w:p>
      <w:pPr>
        <w:pStyle w:val="BodyText"/>
        <w:spacing w:line="398" w:lineRule="auto" w:before="0"/>
        <w:ind w:left="1554" w:right="3612"/>
        <w:jc w:val="left"/>
      </w:pPr>
      <w:r>
        <w:rPr>
          <w:rFonts w:ascii="Times New Roman" w:hAnsi="Times New Roman" w:cs="Times New Roman" w:eastAsia="Times New Roman" w:hint="default"/>
        </w:rPr>
        <w:t>1.</w:t>
      </w:r>
      <w:r>
        <w:rPr/>
        <w:t>银行存款 本公司将银行存款存放于信用评级较高的金融机构，故其信用风险较低。 </w:t>
      </w:r>
      <w:r>
        <w:rPr>
          <w:rFonts w:ascii="Times New Roman" w:hAnsi="Times New Roman" w:cs="Times New Roman" w:eastAsia="Times New Roman" w:hint="default"/>
        </w:rPr>
        <w:t>2.</w:t>
      </w:r>
      <w:r>
        <w:rPr/>
        <w:t>应收款项</w:t>
      </w:r>
    </w:p>
    <w:p>
      <w:pPr>
        <w:pStyle w:val="BodyText"/>
        <w:spacing w:line="408" w:lineRule="auto" w:before="24"/>
        <w:ind w:left="1134" w:right="0" w:firstLine="420"/>
        <w:jc w:val="left"/>
      </w:pPr>
      <w:r>
        <w:rPr>
          <w:spacing w:val="-1"/>
        </w:rPr>
        <w:t>本公司持续对采用信用方式交易的客户进行信用评估。根据信用评估结果，本公司选择与经认可的且</w:t>
      </w:r>
      <w:r>
        <w:rPr/>
        <w:t> 信用良好的客户进行交易，并对其应收款项余额进行监控，以确保本公司不会面临重大坏账风险。</w:t>
      </w:r>
    </w:p>
    <w:p>
      <w:pPr>
        <w:spacing w:line="372" w:lineRule="auto" w:before="34"/>
        <w:ind w:left="1133" w:right="0" w:firstLine="420"/>
        <w:jc w:val="left"/>
        <w:rPr>
          <w:rFonts w:ascii="宋体" w:hAnsi="宋体" w:cs="宋体" w:eastAsia="宋体" w:hint="default"/>
          <w:sz w:val="22"/>
          <w:szCs w:val="22"/>
        </w:rPr>
      </w:pPr>
      <w:r>
        <w:rPr>
          <w:rFonts w:ascii="宋体" w:hAnsi="宋体" w:cs="宋体" w:eastAsia="宋体" w:hint="default"/>
          <w:i/>
          <w:spacing w:val="-1"/>
          <w:w w:val="95"/>
          <w:sz w:val="22"/>
          <w:szCs w:val="22"/>
        </w:rPr>
        <w:t>由于本公司的应收账款风险点分布于多个合作方和多个客户，截至</w:t>
      </w:r>
      <w:r>
        <w:rPr>
          <w:rFonts w:ascii="Times New Roman" w:hAnsi="Times New Roman" w:cs="Times New Roman" w:eastAsia="Times New Roman" w:hint="default"/>
          <w:i/>
          <w:spacing w:val="-1"/>
          <w:w w:val="95"/>
          <w:sz w:val="21"/>
          <w:szCs w:val="21"/>
        </w:rPr>
        <w:t>2017</w:t>
      </w:r>
      <w:r>
        <w:rPr>
          <w:rFonts w:ascii="宋体" w:hAnsi="宋体" w:cs="宋体" w:eastAsia="宋体" w:hint="default"/>
          <w:i/>
          <w:spacing w:val="-1"/>
          <w:w w:val="95"/>
          <w:sz w:val="22"/>
          <w:szCs w:val="22"/>
        </w:rPr>
        <w:t>年</w:t>
      </w:r>
      <w:r>
        <w:rPr>
          <w:rFonts w:ascii="Times New Roman" w:hAnsi="Times New Roman" w:cs="Times New Roman" w:eastAsia="Times New Roman" w:hint="default"/>
          <w:i/>
          <w:spacing w:val="-1"/>
          <w:w w:val="95"/>
          <w:sz w:val="21"/>
          <w:szCs w:val="21"/>
        </w:rPr>
        <w:t>12</w:t>
      </w:r>
      <w:r>
        <w:rPr>
          <w:rFonts w:ascii="宋体" w:hAnsi="宋体" w:cs="宋体" w:eastAsia="宋体" w:hint="default"/>
          <w:i/>
          <w:spacing w:val="-1"/>
          <w:w w:val="95"/>
          <w:sz w:val="22"/>
          <w:szCs w:val="22"/>
        </w:rPr>
        <w:t>月</w:t>
      </w:r>
      <w:r>
        <w:rPr>
          <w:rFonts w:ascii="Times New Roman" w:hAnsi="Times New Roman" w:cs="Times New Roman" w:eastAsia="Times New Roman" w:hint="default"/>
          <w:i/>
          <w:spacing w:val="-1"/>
          <w:w w:val="95"/>
          <w:sz w:val="21"/>
          <w:szCs w:val="21"/>
        </w:rPr>
        <w:t>31</w:t>
      </w:r>
      <w:r>
        <w:rPr>
          <w:rFonts w:ascii="宋体" w:hAnsi="宋体" w:cs="宋体" w:eastAsia="宋体" w:hint="default"/>
          <w:i/>
          <w:spacing w:val="-1"/>
          <w:w w:val="95"/>
          <w:sz w:val="22"/>
          <w:szCs w:val="22"/>
        </w:rPr>
        <w:t>日，本公司应收账款</w:t>
      </w:r>
      <w:r>
        <w:rPr>
          <w:rFonts w:ascii="宋体" w:hAnsi="宋体" w:cs="宋体" w:eastAsia="宋体" w:hint="default"/>
          <w:i/>
          <w:w w:val="95"/>
          <w:sz w:val="22"/>
          <w:szCs w:val="22"/>
        </w:rPr>
        <w:t> </w:t>
      </w:r>
      <w:r>
        <w:rPr>
          <w:rFonts w:ascii="宋体" w:hAnsi="宋体" w:cs="宋体" w:eastAsia="宋体" w:hint="default"/>
          <w:i/>
          <w:sz w:val="22"/>
          <w:szCs w:val="22"/>
        </w:rPr>
        <w:t>的</w:t>
      </w:r>
      <w:r>
        <w:rPr>
          <w:rFonts w:ascii="Times New Roman" w:hAnsi="Times New Roman" w:cs="Times New Roman" w:eastAsia="Times New Roman" w:hint="default"/>
          <w:i/>
          <w:sz w:val="21"/>
          <w:szCs w:val="21"/>
        </w:rPr>
        <w:t>23.90%(2016</w:t>
      </w:r>
      <w:r>
        <w:rPr>
          <w:rFonts w:ascii="宋体" w:hAnsi="宋体" w:cs="宋体" w:eastAsia="宋体" w:hint="default"/>
          <w:i/>
          <w:sz w:val="22"/>
          <w:szCs w:val="22"/>
        </w:rPr>
        <w:t>年</w:t>
      </w:r>
      <w:r>
        <w:rPr>
          <w:rFonts w:ascii="Times New Roman" w:hAnsi="Times New Roman" w:cs="Times New Roman" w:eastAsia="Times New Roman" w:hint="default"/>
          <w:i/>
          <w:sz w:val="21"/>
          <w:szCs w:val="21"/>
        </w:rPr>
        <w:t>12</w:t>
      </w:r>
      <w:r>
        <w:rPr>
          <w:rFonts w:ascii="宋体" w:hAnsi="宋体" w:cs="宋体" w:eastAsia="宋体" w:hint="default"/>
          <w:i/>
          <w:sz w:val="22"/>
          <w:szCs w:val="22"/>
        </w:rPr>
        <w:t>月</w:t>
      </w:r>
      <w:r>
        <w:rPr>
          <w:rFonts w:ascii="Times New Roman" w:hAnsi="Times New Roman" w:cs="Times New Roman" w:eastAsia="Times New Roman" w:hint="default"/>
          <w:i/>
          <w:sz w:val="21"/>
          <w:szCs w:val="21"/>
        </w:rPr>
        <w:t>31</w:t>
      </w:r>
      <w:r>
        <w:rPr>
          <w:rFonts w:ascii="宋体" w:hAnsi="宋体" w:cs="宋体" w:eastAsia="宋体" w:hint="default"/>
          <w:i/>
          <w:sz w:val="22"/>
          <w:szCs w:val="22"/>
        </w:rPr>
        <w:t>日：</w:t>
      </w:r>
      <w:r>
        <w:rPr>
          <w:rFonts w:ascii="Times New Roman" w:hAnsi="Times New Roman" w:cs="Times New Roman" w:eastAsia="Times New Roman" w:hint="default"/>
          <w:i/>
          <w:sz w:val="21"/>
          <w:szCs w:val="21"/>
        </w:rPr>
        <w:t>17.27%)</w:t>
      </w:r>
      <w:r>
        <w:rPr>
          <w:rFonts w:ascii="宋体" w:hAnsi="宋体" w:cs="宋体" w:eastAsia="宋体" w:hint="default"/>
          <w:i/>
          <w:sz w:val="22"/>
          <w:szCs w:val="22"/>
        </w:rPr>
        <w:t>源于余额前五名客户，本公司不存在重大的信用集中风险。</w:t>
      </w:r>
      <w:r>
        <w:rPr>
          <w:rFonts w:ascii="宋体" w:hAnsi="宋体" w:cs="宋体" w:eastAsia="宋体" w:hint="default"/>
          <w:sz w:val="22"/>
          <w:szCs w:val="22"/>
        </w:rPr>
      </w:r>
    </w:p>
    <w:p>
      <w:pPr>
        <w:pStyle w:val="BodyText"/>
        <w:spacing w:line="240" w:lineRule="auto" w:before="48"/>
        <w:ind w:left="1553" w:right="0"/>
        <w:jc w:val="left"/>
      </w:pPr>
      <w:r>
        <w:rPr>
          <w:rFonts w:ascii="Times New Roman" w:hAnsi="Times New Roman" w:cs="Times New Roman" w:eastAsia="Times New Roman" w:hint="default"/>
        </w:rPr>
        <w:t>(1)</w:t>
      </w:r>
      <w:r>
        <w:rPr/>
        <w:t>本公司的应收款项中未逾期且未减值的金额，以及虽已逾期但未减值的金额和逾期账龄分析如下：</w:t>
      </w:r>
    </w:p>
    <w:p>
      <w:pPr>
        <w:spacing w:line="240" w:lineRule="auto" w:before="10"/>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1420"/>
        <w:gridCol w:w="1544"/>
        <w:gridCol w:w="1540"/>
        <w:gridCol w:w="1274"/>
        <w:gridCol w:w="1175"/>
        <w:gridCol w:w="1570"/>
      </w:tblGrid>
      <w:tr>
        <w:trPr>
          <w:trHeight w:val="347" w:hRule="exact"/>
        </w:trPr>
        <w:tc>
          <w:tcPr>
            <w:tcW w:w="1420" w:type="dxa"/>
            <w:vMerge w:val="restart"/>
            <w:tcBorders>
              <w:top w:val="single" w:sz="6" w:space="0" w:color="000000"/>
              <w:left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7104"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420" w:type="dxa"/>
            <w:vMerge/>
            <w:tcBorders>
              <w:left w:val="single" w:sz="6" w:space="0" w:color="000000"/>
              <w:right w:val="single" w:sz="6" w:space="0" w:color="000000"/>
            </w:tcBorders>
          </w:tcPr>
          <w:p>
            <w:pPr/>
          </w:p>
        </w:tc>
        <w:tc>
          <w:tcPr>
            <w:tcW w:w="1544" w:type="dxa"/>
            <w:vMerge w:val="restart"/>
            <w:tcBorders>
              <w:top w:val="single" w:sz="6" w:space="0" w:color="000000"/>
              <w:left w:val="single" w:sz="6" w:space="0" w:color="000000"/>
              <w:right w:val="single" w:sz="6" w:space="0" w:color="000000"/>
            </w:tcBorders>
          </w:tcPr>
          <w:p>
            <w:pPr>
              <w:pStyle w:val="TableParagraph"/>
              <w:spacing w:line="271" w:lineRule="exact"/>
              <w:ind w:left="13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9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70" w:type="dxa"/>
            <w:vMerge w:val="restart"/>
            <w:tcBorders>
              <w:top w:val="single" w:sz="6" w:space="0" w:color="000000"/>
              <w:left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7" w:hRule="exact"/>
        </w:trPr>
        <w:tc>
          <w:tcPr>
            <w:tcW w:w="1420" w:type="dxa"/>
            <w:vMerge/>
            <w:tcBorders>
              <w:left w:val="single" w:sz="6" w:space="0" w:color="000000"/>
              <w:bottom w:val="single" w:sz="6" w:space="0" w:color="000000"/>
              <w:right w:val="single" w:sz="6" w:space="0" w:color="000000"/>
            </w:tcBorders>
          </w:tcPr>
          <w:p>
            <w:pPr/>
          </w:p>
        </w:tc>
        <w:tc>
          <w:tcPr>
            <w:tcW w:w="1544" w:type="dxa"/>
            <w:vMerge/>
            <w:tcBorders>
              <w:left w:val="single" w:sz="6" w:space="0" w:color="000000"/>
              <w:bottom w:val="single" w:sz="6" w:space="0" w:color="000000"/>
              <w:right w:val="single" w:sz="6" w:space="0" w:color="000000"/>
            </w:tcBorders>
          </w:tcPr>
          <w:p>
            <w:pP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570" w:type="dxa"/>
            <w:vMerge/>
            <w:tcBorders>
              <w:left w:val="single" w:sz="6" w:space="0" w:color="000000"/>
              <w:bottom w:val="single" w:sz="6" w:space="0" w:color="000000"/>
              <w:right w:val="nil" w:sz="6" w:space="0" w:color="auto"/>
            </w:tcBorders>
          </w:tcPr>
          <w:p>
            <w:pPr/>
          </w:p>
        </w:tc>
      </w:tr>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3,307,836.32</w:t>
            </w:r>
          </w:p>
        </w:tc>
        <w:tc>
          <w:tcPr>
            <w:tcW w:w="154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3,307,836.32</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3,307,836.32</w:t>
            </w:r>
          </w:p>
        </w:tc>
        <w:tc>
          <w:tcPr>
            <w:tcW w:w="154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pacing w:val="-1"/>
                <w:sz w:val="21"/>
              </w:rPr>
              <w:t>3,307,836.32</w:t>
            </w:r>
          </w:p>
        </w:tc>
      </w:tr>
    </w:tbl>
    <w:p>
      <w:pPr>
        <w:pStyle w:val="BodyText"/>
        <w:spacing w:line="276" w:lineRule="exact" w:before="0"/>
        <w:ind w:left="155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408"/>
        <w:gridCol w:w="1662"/>
        <w:gridCol w:w="1404"/>
        <w:gridCol w:w="1264"/>
        <w:gridCol w:w="1310"/>
        <w:gridCol w:w="1476"/>
      </w:tblGrid>
      <w:tr>
        <w:trPr>
          <w:trHeight w:val="347" w:hRule="exact"/>
        </w:trPr>
        <w:tc>
          <w:tcPr>
            <w:tcW w:w="1408" w:type="dxa"/>
            <w:vMerge w:val="restart"/>
            <w:tcBorders>
              <w:top w:val="single" w:sz="6" w:space="0" w:color="000000"/>
              <w:left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7116"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left="-1"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8" w:hRule="exact"/>
        </w:trPr>
        <w:tc>
          <w:tcPr>
            <w:tcW w:w="1408" w:type="dxa"/>
            <w:vMerge/>
            <w:tcBorders>
              <w:left w:val="single" w:sz="6" w:space="0" w:color="000000"/>
              <w:right w:val="single" w:sz="6" w:space="0" w:color="000000"/>
            </w:tcBorders>
          </w:tcPr>
          <w:p>
            <w:pPr/>
          </w:p>
        </w:tc>
        <w:tc>
          <w:tcPr>
            <w:tcW w:w="1662" w:type="dxa"/>
            <w:vMerge w:val="restart"/>
            <w:tcBorders>
              <w:top w:val="single" w:sz="6" w:space="0" w:color="000000"/>
              <w:left w:val="single" w:sz="6" w:space="0" w:color="000000"/>
              <w:right w:val="single" w:sz="6" w:space="0" w:color="000000"/>
            </w:tcBorders>
          </w:tcPr>
          <w:p>
            <w:pPr>
              <w:pStyle w:val="TableParagraph"/>
              <w:spacing w:line="271" w:lineRule="exact"/>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9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76" w:type="dxa"/>
            <w:vMerge w:val="restart"/>
            <w:tcBorders>
              <w:top w:val="single" w:sz="6" w:space="0" w:color="000000"/>
              <w:left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7" w:hRule="exact"/>
        </w:trPr>
        <w:tc>
          <w:tcPr>
            <w:tcW w:w="1408" w:type="dxa"/>
            <w:vMerge/>
            <w:tcBorders>
              <w:left w:val="single" w:sz="6" w:space="0" w:color="000000"/>
              <w:bottom w:val="single" w:sz="6" w:space="0" w:color="000000"/>
              <w:right w:val="single" w:sz="6" w:space="0" w:color="000000"/>
            </w:tcBorders>
          </w:tcPr>
          <w:p>
            <w:pPr/>
          </w:p>
        </w:tc>
        <w:tc>
          <w:tcPr>
            <w:tcW w:w="1662" w:type="dxa"/>
            <w:vMerge/>
            <w:tcBorders>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476" w:type="dxa"/>
            <w:vMerge/>
            <w:tcBorders>
              <w:left w:val="single" w:sz="6" w:space="0" w:color="000000"/>
              <w:bottom w:val="single" w:sz="6" w:space="0" w:color="000000"/>
              <w:right w:val="nil" w:sz="6" w:space="0" w:color="auto"/>
            </w:tcBorders>
          </w:tcPr>
          <w:p>
            <w:pPr/>
          </w:p>
        </w:tc>
      </w:tr>
      <w:tr>
        <w:trPr>
          <w:trHeight w:val="347"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2,643,093.69</w:t>
            </w:r>
          </w:p>
        </w:tc>
        <w:tc>
          <w:tcPr>
            <w:tcW w:w="1404"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2,643,093.69</w:t>
            </w:r>
          </w:p>
        </w:tc>
      </w:tr>
      <w:tr>
        <w:trPr>
          <w:trHeight w:val="348" w:hRule="exact"/>
        </w:trPr>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2,643,093.69</w:t>
            </w:r>
          </w:p>
        </w:tc>
        <w:tc>
          <w:tcPr>
            <w:tcW w:w="1404"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2,643,093.69</w:t>
            </w:r>
          </w:p>
        </w:tc>
      </w:tr>
    </w:tbl>
    <w:p>
      <w:pPr>
        <w:pStyle w:val="BodyText"/>
        <w:spacing w:line="386" w:lineRule="auto" w:before="63"/>
        <w:ind w:left="1553" w:right="1093"/>
        <w:jc w:val="left"/>
      </w:pPr>
      <w:r>
        <w:rPr>
          <w:rFonts w:ascii="Times New Roman" w:hAnsi="Times New Roman" w:cs="Times New Roman" w:eastAsia="Times New Roman" w:hint="default"/>
        </w:rPr>
        <w:t>(2)</w:t>
      </w:r>
      <w:r>
        <w:rPr/>
        <w:t>单项计提减值的应收款项情况见本财务报表附注合并财务报表项目注释之应收款项说明。</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流动风险</w:t>
      </w:r>
      <w:r>
        <w:rPr>
          <w:w w:val="99"/>
        </w:rPr>
        <w:t> </w:t>
      </w:r>
      <w:r>
        <w:rPr/>
        <w:t>流动风险，是指本公司在履行以交付现金或其他金融资产的方式结算的义务时发生资金短缺的风险。</w:t>
      </w:r>
    </w:p>
    <w:p>
      <w:pPr>
        <w:pStyle w:val="BodyText"/>
        <w:spacing w:line="408" w:lineRule="auto" w:before="65"/>
        <w:ind w:left="1134" w:right="0"/>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240" w:lineRule="auto"/>
        <w:ind w:left="1554" w:right="0"/>
        <w:jc w:val="left"/>
      </w:pPr>
      <w:r>
        <w:rPr/>
        <w:t>为控制该项风险，本公司综合运用票据结算、银行借款等多种融资手段，并采取长、短期融资方式适</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当结合，优化融资结构的方法，保持融资持续性与灵活性之间的平衡。本公司已从多家商业银行取得银行</w:t>
      </w:r>
      <w:r>
        <w:rPr>
          <w:spacing w:val="-83"/>
        </w:rPr>
        <w:t> </w:t>
      </w:r>
      <w:r>
        <w:rPr>
          <w:spacing w:val="-83"/>
        </w:rPr>
      </w:r>
      <w:r>
        <w:rPr/>
        <w:t>授信额度以满足营运资金需求和资本开支。</w:t>
      </w:r>
    </w:p>
    <w:p>
      <w:pPr>
        <w:pStyle w:val="BodyText"/>
        <w:spacing w:line="240" w:lineRule="auto"/>
        <w:ind w:left="1553" w:right="0"/>
        <w:jc w:val="left"/>
      </w:pPr>
      <w:r>
        <w:rPr/>
        <w:t>金融负债按剩余到期日分类</w:t>
      </w:r>
    </w:p>
    <w:p>
      <w:pPr>
        <w:spacing w:line="240" w:lineRule="auto" w:before="13"/>
        <w:rPr>
          <w:rFonts w:ascii="宋体" w:hAnsi="宋体" w:cs="宋体" w:eastAsia="宋体" w:hint="default"/>
          <w:sz w:val="9"/>
          <w:szCs w:val="9"/>
        </w:rPr>
      </w:pPr>
    </w:p>
    <w:tbl>
      <w:tblPr>
        <w:tblW w:w="0" w:type="auto"/>
        <w:jc w:val="left"/>
        <w:tblInd w:w="1126" w:type="dxa"/>
        <w:tblLayout w:type="fixed"/>
        <w:tblCellMar>
          <w:top w:w="0" w:type="dxa"/>
          <w:left w:w="0" w:type="dxa"/>
          <w:bottom w:w="0" w:type="dxa"/>
          <w:right w:w="0" w:type="dxa"/>
        </w:tblCellMar>
        <w:tblLook w:val="01E0"/>
      </w:tblPr>
      <w:tblGrid>
        <w:gridCol w:w="1596"/>
        <w:gridCol w:w="1540"/>
        <w:gridCol w:w="1554"/>
        <w:gridCol w:w="1554"/>
        <w:gridCol w:w="1325"/>
        <w:gridCol w:w="1546"/>
      </w:tblGrid>
      <w:tr>
        <w:trPr>
          <w:trHeight w:val="347" w:hRule="exact"/>
        </w:trPr>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51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596" w:type="dxa"/>
            <w:vMerge/>
            <w:tcBorders>
              <w:left w:val="single" w:sz="6" w:space="0" w:color="000000"/>
              <w:bottom w:val="single" w:sz="6" w:space="0" w:color="000000"/>
              <w:right w:val="single" w:sz="6" w:space="0" w:color="000000"/>
            </w:tcBorders>
          </w:tcPr>
          <w:p>
            <w:pP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5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79,000,000.00</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81,056,563.10</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81,056,563.10</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25,672,417.96</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25,672,417.96</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25,672,417.96</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88,150,437.17</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88,150,437.17</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88,150,437.17</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3,831,528.07</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3,831,528.07</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3,831,528.07</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81,420.33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81,420.33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81,420.33</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196,735,803.53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198,792,366.63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198,792,366.63</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bl>
    <w:p>
      <w:pPr>
        <w:pStyle w:val="BodyText"/>
        <w:spacing w:line="276" w:lineRule="exact" w:before="0"/>
        <w:ind w:left="155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596"/>
        <w:gridCol w:w="1540"/>
        <w:gridCol w:w="1554"/>
        <w:gridCol w:w="1554"/>
        <w:gridCol w:w="1325"/>
        <w:gridCol w:w="1546"/>
      </w:tblGrid>
      <w:tr>
        <w:trPr>
          <w:trHeight w:val="347" w:hRule="exact"/>
        </w:trPr>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51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596" w:type="dxa"/>
            <w:vMerge/>
            <w:tcBorders>
              <w:left w:val="single" w:sz="6" w:space="0" w:color="000000"/>
              <w:bottom w:val="single" w:sz="6" w:space="0" w:color="000000"/>
              <w:right w:val="single" w:sz="6" w:space="0" w:color="000000"/>
            </w:tcBorders>
          </w:tcPr>
          <w:p>
            <w:pP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5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64,000,000.00</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65,559,457.78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65,559,457.78</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22,330,270.15</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22,330,270.15</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22,330,270.15</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73,872,831.78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73,872,831.78</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73,872,831.78</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11,659,246.40</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11,659,246.40</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11,659,246.40</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63,191.13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63,191.13</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63,191.13</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171,925,539.46</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173,484,997.24</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173,484,997.24</w:t>
            </w:r>
          </w:p>
        </w:tc>
        <w:tc>
          <w:tcPr>
            <w:tcW w:w="1325"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nil" w:sz="6" w:space="0" w:color="auto"/>
            </w:tcBorders>
          </w:tcPr>
          <w:p>
            <w:pPr/>
          </w:p>
        </w:tc>
      </w:tr>
    </w:tbl>
    <w:p>
      <w:pPr>
        <w:pStyle w:val="BodyText"/>
        <w:spacing w:line="386" w:lineRule="auto" w:before="63"/>
        <w:ind w:left="155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市场风险</w:t>
      </w:r>
      <w:r>
        <w:rPr>
          <w:w w:val="99"/>
        </w:rPr>
        <w:t> </w:t>
      </w:r>
      <w:r>
        <w:rPr>
          <w:spacing w:val="-1"/>
        </w:rPr>
        <w:t>市场风险，是指金融工具的公允价值或未来现金流量因市场价格变动而发生波动的风险。市场风险主</w:t>
      </w:r>
    </w:p>
    <w:p>
      <w:pPr>
        <w:pStyle w:val="BodyText"/>
        <w:spacing w:line="408" w:lineRule="auto" w:before="65"/>
        <w:ind w:left="1554" w:right="0" w:hanging="420"/>
        <w:jc w:val="left"/>
      </w:pPr>
      <w:r>
        <w:rPr/>
        <w:t>要包括利率风险。 </w:t>
      </w:r>
      <w:r>
        <w:rPr>
          <w:spacing w:val="-1"/>
        </w:rPr>
        <w:t>利率风险，是指金融工具的公允价值或未来现金流量因市场利率变动而发生波动的风险。本公司主要</w:t>
      </w:r>
    </w:p>
    <w:p>
      <w:pPr>
        <w:pStyle w:val="BodyText"/>
        <w:spacing w:line="240" w:lineRule="auto"/>
        <w:ind w:left="1134" w:right="0"/>
        <w:jc w:val="left"/>
      </w:pPr>
      <w:r>
        <w:rPr/>
        <w:t>通过签订固定利率计息的借款以规避市场利率变动的风险。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0"/>
        <w:jc w:val="left"/>
        <w:rPr>
          <w:b w:val="0"/>
          <w:bCs w:val="0"/>
        </w:rPr>
      </w:pPr>
      <w:bookmarkStart w:name="十一、关联方及关联交易" w:id="387"/>
      <w:bookmarkEnd w:id="387"/>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88"/>
      <w:bookmarkEnd w:id="38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杭州正元企业管理 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28.96%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28.96%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杭州正元成立于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日，目前持有杭州高新技术产业开发区（滨江）市场监督管理局核发的</w:t>
      </w:r>
    </w:p>
    <w:p>
      <w:pPr>
        <w:spacing w:after="0" w:line="240"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2"/>
        <w:jc w:val="both"/>
      </w:pPr>
      <w:r>
        <w:rPr>
          <w:spacing w:val="-2"/>
        </w:rPr>
        <w:t>统一社会信用代码为</w:t>
      </w:r>
      <w:r>
        <w:rPr>
          <w:rFonts w:ascii="Times New Roman" w:hAnsi="Times New Roman" w:cs="Times New Roman" w:eastAsia="Times New Roman" w:hint="default"/>
          <w:spacing w:val="-2"/>
        </w:rPr>
        <w:t>913301087337992009</w:t>
      </w:r>
      <w:r>
        <w:rPr>
          <w:spacing w:val="-2"/>
        </w:rPr>
        <w:t>的营业执照，法定代表人陈坚，注册资本为</w:t>
      </w:r>
      <w:r>
        <w:rPr>
          <w:rFonts w:ascii="Times New Roman" w:hAnsi="Times New Roman" w:cs="Times New Roman" w:eastAsia="Times New Roman" w:hint="default"/>
          <w:spacing w:val="-2"/>
        </w:rPr>
        <w:t>2,000</w:t>
      </w:r>
      <w:r>
        <w:rPr>
          <w:spacing w:val="-2"/>
        </w:rPr>
        <w:t>万元，住所地为</w:t>
      </w:r>
      <w:r>
        <w:rPr>
          <w:spacing w:val="-71"/>
        </w:rPr>
        <w:t> </w:t>
      </w:r>
      <w:r>
        <w:rPr>
          <w:spacing w:val="-71"/>
        </w:rPr>
      </w:r>
      <w:r>
        <w:rPr/>
        <w:t>杭州市西湖区文三路</w:t>
      </w:r>
      <w:r>
        <w:rPr>
          <w:rFonts w:ascii="Times New Roman" w:hAnsi="Times New Roman" w:cs="Times New Roman" w:eastAsia="Times New Roman" w:hint="default"/>
        </w:rPr>
        <w:t>259</w:t>
      </w:r>
      <w:r>
        <w:rPr/>
        <w:t>号</w:t>
      </w:r>
      <w:r>
        <w:rPr>
          <w:rFonts w:ascii="Times New Roman" w:hAnsi="Times New Roman" w:cs="Times New Roman" w:eastAsia="Times New Roman" w:hint="default"/>
        </w:rPr>
        <w:t>A</w:t>
      </w:r>
      <w:r>
        <w:rPr/>
        <w:t>幢</w:t>
      </w:r>
      <w:r>
        <w:rPr>
          <w:rFonts w:ascii="Times New Roman" w:hAnsi="Times New Roman" w:cs="Times New Roman" w:eastAsia="Times New Roman" w:hint="default"/>
        </w:rPr>
        <w:t>8F</w:t>
      </w:r>
      <w:r>
        <w:rPr/>
        <w:t>室</w:t>
      </w:r>
      <w:r>
        <w:rPr>
          <w:rFonts w:ascii="Times New Roman" w:hAnsi="Times New Roman" w:cs="Times New Roman" w:eastAsia="Times New Roman" w:hint="default"/>
        </w:rPr>
        <w:t>806</w:t>
      </w:r>
      <w:r>
        <w:rPr/>
        <w:t>，经营范围为服务：企业管理咨询。（依法须经批准的项目，经相</w:t>
      </w:r>
      <w:r>
        <w:rPr>
          <w:spacing w:val="-91"/>
        </w:rPr>
        <w:t> </w:t>
      </w:r>
      <w:r>
        <w:rPr>
          <w:spacing w:val="-91"/>
        </w:rPr>
      </w:r>
      <w:r>
        <w:rPr/>
        <w:t>关部门批准后方可开展经营活动）</w:t>
      </w:r>
    </w:p>
    <w:p>
      <w:pPr>
        <w:spacing w:line="240" w:lineRule="auto" w:before="12"/>
        <w:rPr>
          <w:rFonts w:ascii="宋体" w:hAnsi="宋体" w:cs="宋体" w:eastAsia="宋体" w:hint="default"/>
          <w:sz w:val="27"/>
          <w:szCs w:val="27"/>
        </w:rPr>
      </w:pPr>
    </w:p>
    <w:p>
      <w:pPr>
        <w:spacing w:line="360" w:lineRule="auto" w:before="0"/>
        <w:ind w:left="1134" w:right="8592" w:firstLine="0"/>
        <w:jc w:val="left"/>
        <w:rPr>
          <w:rFonts w:ascii="宋体" w:hAnsi="宋体" w:cs="宋体" w:eastAsia="宋体" w:hint="default"/>
          <w:sz w:val="18"/>
          <w:szCs w:val="18"/>
        </w:rPr>
      </w:pPr>
      <w:r>
        <w:rPr>
          <w:rFonts w:ascii="宋体" w:hAnsi="宋体" w:cs="宋体" w:eastAsia="宋体" w:hint="default"/>
          <w:sz w:val="18"/>
          <w:szCs w:val="18"/>
        </w:rPr>
        <w:t>本企业最终控制方是陈坚。 其他说明：</w:t>
      </w:r>
    </w:p>
    <w:p>
      <w:pPr>
        <w:pStyle w:val="BodyText"/>
        <w:spacing w:line="408" w:lineRule="auto" w:before="77"/>
        <w:ind w:right="1131" w:firstLine="420"/>
        <w:jc w:val="both"/>
      </w:pPr>
      <w:r>
        <w:rPr>
          <w:spacing w:val="-1"/>
        </w:rPr>
        <w:t>陈坚持有杭州正元</w:t>
      </w:r>
      <w:r>
        <w:rPr>
          <w:rFonts w:ascii="宋体" w:hAnsi="宋体" w:cs="宋体" w:eastAsia="宋体" w:hint="default"/>
          <w:spacing w:val="-1"/>
        </w:rPr>
        <w:t>87.50%</w:t>
      </w:r>
      <w:r>
        <w:rPr>
          <w:spacing w:val="-1"/>
        </w:rPr>
        <w:t>的股权，据此，陈坚可以通过杭州正元控制本公司</w:t>
      </w:r>
      <w:r>
        <w:rPr>
          <w:rFonts w:ascii="宋体" w:hAnsi="宋体" w:cs="宋体" w:eastAsia="宋体" w:hint="default"/>
          <w:spacing w:val="-1"/>
        </w:rPr>
        <w:t>28.96%</w:t>
      </w:r>
      <w:r>
        <w:rPr>
          <w:spacing w:val="-1"/>
        </w:rPr>
        <w:t>。李琳系陈坚先生</w:t>
      </w:r>
      <w:r>
        <w:rPr/>
        <w:t> 配偶，持有本公司</w:t>
      </w:r>
      <w:r>
        <w:rPr>
          <w:rFonts w:ascii="宋体" w:hAnsi="宋体" w:cs="宋体" w:eastAsia="宋体" w:hint="default"/>
        </w:rPr>
        <w:t>2.91%</w:t>
      </w:r>
      <w:r>
        <w:rPr/>
        <w:t>的股权。根据其声明，李琳为陈坚的一致行动人，据此，陈坚先生可以通过李琳</w:t>
      </w:r>
      <w:r>
        <w:rPr>
          <w:spacing w:val="-35"/>
        </w:rPr>
        <w:t> </w:t>
      </w:r>
      <w:r>
        <w:rPr>
          <w:spacing w:val="-35"/>
        </w:rPr>
      </w:r>
      <w:r>
        <w:rPr/>
        <w:t>控制本公司</w:t>
      </w:r>
      <w:r>
        <w:rPr>
          <w:rFonts w:ascii="宋体" w:hAnsi="宋体" w:cs="宋体" w:eastAsia="宋体" w:hint="default"/>
        </w:rPr>
        <w:t>2.91%</w:t>
      </w:r>
      <w:r>
        <w:rPr/>
        <w:t>股份。综上，陈坚先生合计控制公司</w:t>
      </w:r>
      <w:r>
        <w:rPr>
          <w:rFonts w:ascii="宋体" w:hAnsi="宋体" w:cs="宋体" w:eastAsia="宋体" w:hint="default"/>
        </w:rPr>
        <w:t>31.87%</w:t>
      </w:r>
      <w:r>
        <w:rPr/>
        <w:t>股份，系本公司的实际控制人。</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本企业的子公司情况" w:id="389"/>
      <w:bookmarkEnd w:id="38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本企业合营和联营企业情况" w:id="390"/>
      <w:bookmarkEnd w:id="39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无锡汇众智慧科技有限公司（以下简称无锡汇众）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91"/>
      <w:bookmarkEnd w:id="39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杭州易康投资管理有限公司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杭州正浩投资管理有限公司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青岛雅合科技发展有限公司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陈坚之配偶、本公司之股东</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92"/>
      <w:bookmarkEnd w:id="39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购销商品、提供和接受劳务的关联交易" w:id="393"/>
      <w:bookmarkEnd w:id="39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一卡通及相关设备</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1,736,494.02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625,197.44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一卡通及相关设备</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104,700.84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关联担保情况" w:id="394"/>
      <w:bookmarkEnd w:id="394"/>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杭州正元、正浩投资、 易康投资、陈坚、李琳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陈坚、李琳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青岛雅合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关键管理人员报酬" w:id="395"/>
      <w:bookmarkEnd w:id="395"/>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2,656,066.54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2,643,334.91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关联方应收应付款项" w:id="396"/>
      <w:bookmarkEnd w:id="39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项目" w:id="397"/>
      <w:bookmarkEnd w:id="39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107,240.00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107,240.00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5,252,222.00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项目" w:id="398"/>
      <w:bookmarkEnd w:id="39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无锡汇众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重庆汇贤</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867,942.25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867,942.25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杭州卓然</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1,656,000.00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二、股份支付" w:id="399"/>
      <w:bookmarkEnd w:id="399"/>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400"/>
      <w:bookmarkEnd w:id="400"/>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01"/>
      <w:bookmarkEnd w:id="40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授予日最近外部投资者入股价格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实际授予数量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9,123,775.65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1,080,587.21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spacing w:line="506" w:lineRule="auto" w:before="0"/>
        <w:ind w:left="1133" w:right="8344" w:firstLine="0"/>
        <w:jc w:val="left"/>
        <w:rPr>
          <w:rFonts w:ascii="宋体" w:hAnsi="宋体" w:cs="宋体" w:eastAsia="宋体" w:hint="default"/>
          <w:sz w:val="18"/>
          <w:szCs w:val="18"/>
        </w:rPr>
      </w:pPr>
      <w:bookmarkStart w:name="十三、承诺及或有事项" w:id="402"/>
      <w:bookmarkEnd w:id="402"/>
      <w:r>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3" w:lineRule="exact" w:before="0"/>
        <w:ind w:left="1554" w:right="0"/>
        <w:jc w:val="left"/>
      </w:pPr>
      <w:r>
        <w:rPr>
          <w:rFonts w:ascii="宋体" w:hAnsi="宋体" w:cs="宋体" w:eastAsia="宋体" w:hint="default"/>
        </w:rPr>
        <w:t>(</w:t>
      </w:r>
      <w:r>
        <w:rPr/>
        <w:t>一</w:t>
      </w:r>
      <w:r>
        <w:rPr>
          <w:rFonts w:ascii="宋体" w:hAnsi="宋体" w:cs="宋体" w:eastAsia="宋体" w:hint="default"/>
        </w:rPr>
        <w:t>)</w:t>
      </w:r>
      <w:r>
        <w:rPr/>
        <w:t>重要承诺事项</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spacing w:val="-3"/>
        </w:rPr>
        <w:t>1.</w:t>
      </w:r>
      <w:r>
        <w:rPr>
          <w:spacing w:val="-3"/>
        </w:rPr>
        <w:t>四川正元公司注册资本</w:t>
      </w:r>
      <w:r>
        <w:rPr>
          <w:rFonts w:ascii="宋体" w:hAnsi="宋体" w:cs="宋体" w:eastAsia="宋体" w:hint="default"/>
          <w:spacing w:val="-3"/>
        </w:rPr>
        <w:t>500</w:t>
      </w:r>
      <w:r>
        <w:rPr>
          <w:spacing w:val="-3"/>
        </w:rPr>
        <w:t>万元，其中本公司认缴注册资本</w:t>
      </w:r>
      <w:r>
        <w:rPr>
          <w:rFonts w:ascii="宋体" w:hAnsi="宋体" w:cs="宋体" w:eastAsia="宋体" w:hint="default"/>
          <w:spacing w:val="-3"/>
        </w:rPr>
        <w:t>255</w:t>
      </w:r>
      <w:r>
        <w:rPr>
          <w:spacing w:val="-3"/>
        </w:rPr>
        <w:t>万元，占其注册资本的</w:t>
      </w:r>
      <w:r>
        <w:rPr>
          <w:rFonts w:ascii="宋体" w:hAnsi="宋体" w:cs="宋体" w:eastAsia="宋体" w:hint="default"/>
          <w:spacing w:val="-3"/>
        </w:rPr>
        <w:t>51%</w:t>
      </w:r>
      <w:r>
        <w:rPr>
          <w:spacing w:val="-3"/>
        </w:rPr>
        <w:t>，截至</w:t>
      </w:r>
      <w:r>
        <w:rPr>
          <w:rFonts w:ascii="宋体" w:hAnsi="宋体" w:cs="宋体" w:eastAsia="宋体" w:hint="default"/>
          <w:spacing w:val="-3"/>
        </w:rPr>
        <w:t>2017</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日，公司已出资</w:t>
      </w:r>
      <w:r>
        <w:rPr>
          <w:rFonts w:ascii="宋体" w:hAnsi="宋体" w:cs="宋体" w:eastAsia="宋体" w:hint="default"/>
        </w:rPr>
        <w:t>153</w:t>
      </w:r>
      <w:r>
        <w:rPr/>
        <w:t>万元，尚未出资</w:t>
      </w:r>
      <w:r>
        <w:rPr>
          <w:rFonts w:ascii="宋体" w:hAnsi="宋体" w:cs="宋体" w:eastAsia="宋体" w:hint="default"/>
        </w:rPr>
        <w:t>102</w:t>
      </w:r>
      <w:r>
        <w:rPr/>
        <w:t>万元。</w:t>
      </w:r>
    </w:p>
    <w:p>
      <w:pPr>
        <w:spacing w:after="0" w:line="408" w:lineRule="auto"/>
        <w:jc w:val="left"/>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rFonts w:ascii="宋体" w:hAnsi="宋体" w:cs="宋体" w:eastAsia="宋体" w:hint="default"/>
        </w:rPr>
        <w:t>2.</w:t>
      </w:r>
      <w:r>
        <w:rPr/>
        <w:t>正元曦客公司注册资本</w:t>
      </w:r>
      <w:r>
        <w:rPr>
          <w:rFonts w:ascii="宋体" w:hAnsi="宋体" w:cs="宋体" w:eastAsia="宋体" w:hint="default"/>
        </w:rPr>
        <w:t>1,000</w:t>
      </w:r>
      <w:r>
        <w:rPr/>
        <w:t>万元，其中本公司认缴注册资本</w:t>
      </w:r>
      <w:r>
        <w:rPr>
          <w:rFonts w:ascii="宋体" w:hAnsi="宋体" w:cs="宋体" w:eastAsia="宋体" w:hint="default"/>
        </w:rPr>
        <w:t>510</w:t>
      </w:r>
      <w:r>
        <w:rPr/>
        <w:t>万元，占其注册资本的</w:t>
      </w:r>
      <w:r>
        <w:rPr>
          <w:rFonts w:ascii="宋体" w:hAnsi="宋体" w:cs="宋体" w:eastAsia="宋体" w:hint="default"/>
        </w:rPr>
        <w:t>51%</w:t>
      </w:r>
      <w:r>
        <w:rPr/>
        <w:t>，截至</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日，公司已出资</w:t>
      </w:r>
      <w:r>
        <w:rPr>
          <w:rFonts w:ascii="宋体" w:hAnsi="宋体" w:cs="宋体" w:eastAsia="宋体" w:hint="default"/>
        </w:rPr>
        <w:t>51</w:t>
      </w:r>
      <w:r>
        <w:rPr/>
        <w:t>万元，尚未出资</w:t>
      </w:r>
      <w:r>
        <w:rPr>
          <w:rFonts w:ascii="宋体" w:hAnsi="宋体" w:cs="宋体" w:eastAsia="宋体" w:hint="default"/>
        </w:rPr>
        <w:t>459</w:t>
      </w:r>
      <w:r>
        <w:rPr/>
        <w:t>万元。</w:t>
      </w:r>
    </w:p>
    <w:p>
      <w:pPr>
        <w:spacing w:line="240" w:lineRule="auto" w:before="10"/>
        <w:rPr>
          <w:rFonts w:ascii="宋体" w:hAnsi="宋体" w:cs="宋体" w:eastAsia="宋体" w:hint="default"/>
          <w:sz w:val="14"/>
          <w:szCs w:val="14"/>
        </w:rPr>
      </w:pPr>
    </w:p>
    <w:p>
      <w:pPr>
        <w:pStyle w:val="BodyText"/>
        <w:spacing w:line="408" w:lineRule="auto" w:before="0"/>
        <w:ind w:left="1554" w:right="0"/>
        <w:jc w:val="left"/>
      </w:pPr>
      <w:r>
        <w:rPr>
          <w:rFonts w:ascii="宋体" w:hAnsi="宋体" w:cs="宋体" w:eastAsia="宋体" w:hint="default"/>
        </w:rPr>
        <w:t>3.</w:t>
      </w:r>
      <w:r>
        <w:rPr/>
        <w:t>已签订的正在或准备履行的租赁合同及财务影响 </w:t>
      </w:r>
      <w:r>
        <w:rPr>
          <w:spacing w:val="-1"/>
        </w:rPr>
        <w:t>公司与杭州卓然签订房屋租赁合同，承租杭州市余杭区龙潭路与舒心路交叉口西北侧“智慧教育产业</w:t>
      </w:r>
    </w:p>
    <w:p>
      <w:pPr>
        <w:pStyle w:val="BodyText"/>
        <w:spacing w:line="408" w:lineRule="auto"/>
        <w:ind w:right="1130"/>
        <w:jc w:val="both"/>
      </w:pPr>
      <w:r>
        <w:rPr>
          <w:spacing w:val="-3"/>
        </w:rPr>
        <w:t>生态园（拟名）”办公用房，租赁面积</w:t>
      </w:r>
      <w:r>
        <w:rPr>
          <w:rFonts w:ascii="宋体" w:hAnsi="宋体" w:cs="宋体" w:eastAsia="宋体" w:hint="default"/>
          <w:spacing w:val="-3"/>
        </w:rPr>
        <w:t>9,593.10</w:t>
      </w:r>
      <w:r>
        <w:rPr>
          <w:spacing w:val="-3"/>
        </w:rPr>
        <w:t>㎡，租金为</w:t>
      </w:r>
      <w:r>
        <w:rPr>
          <w:rFonts w:ascii="宋体" w:hAnsi="宋体" w:cs="宋体" w:eastAsia="宋体" w:hint="default"/>
          <w:spacing w:val="-3"/>
        </w:rPr>
        <w:t>1.5</w:t>
      </w:r>
      <w:r>
        <w:rPr>
          <w:spacing w:val="-3"/>
        </w:rPr>
        <w:t>元</w:t>
      </w:r>
      <w:r>
        <w:rPr>
          <w:rFonts w:ascii="宋体" w:hAnsi="宋体" w:cs="宋体" w:eastAsia="宋体" w:hint="default"/>
          <w:spacing w:val="-3"/>
        </w:rPr>
        <w:t>/</w:t>
      </w:r>
      <w:r>
        <w:rPr>
          <w:spacing w:val="-3"/>
        </w:rPr>
        <w:t>天</w:t>
      </w:r>
      <w:r>
        <w:rPr>
          <w:rFonts w:ascii="宋体" w:hAnsi="宋体" w:cs="宋体" w:eastAsia="宋体" w:hint="default"/>
          <w:spacing w:val="-3"/>
        </w:rPr>
        <w:t>/</w:t>
      </w:r>
      <w:r>
        <w:rPr>
          <w:spacing w:val="-3"/>
        </w:rPr>
        <w:t>平方米，按年支付，租赁期限自</w:t>
      </w:r>
      <w:r>
        <w:rPr>
          <w:rFonts w:ascii="宋体" w:hAnsi="宋体" w:cs="宋体" w:eastAsia="宋体" w:hint="default"/>
          <w:spacing w:val="-3"/>
        </w:rPr>
        <w:t>2018</w:t>
      </w:r>
      <w:r>
        <w:rPr>
          <w:rFonts w:ascii="宋体" w:hAnsi="宋体" w:cs="宋体" w:eastAsia="宋体" w:hint="default"/>
          <w:spacing w:val="-74"/>
        </w:rPr>
        <w:t> </w:t>
      </w:r>
      <w:r>
        <w:rPr>
          <w:rFonts w:ascii="宋体" w:hAnsi="宋体" w:cs="宋体" w:eastAsia="宋体" w:hint="default"/>
          <w:spacing w:val="-74"/>
        </w:rPr>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2022</w:t>
      </w:r>
      <w:r>
        <w:rPr/>
        <w:t>年</w:t>
      </w:r>
      <w:r>
        <w:rPr>
          <w:rFonts w:ascii="宋体" w:hAnsi="宋体" w:cs="宋体" w:eastAsia="宋体" w:hint="default"/>
        </w:rPr>
        <w:t>12</w:t>
      </w:r>
      <w:r>
        <w:rPr/>
        <w:t>月</w:t>
      </w:r>
      <w:r>
        <w:rPr>
          <w:rFonts w:ascii="宋体" w:hAnsi="宋体" w:cs="宋体" w:eastAsia="宋体" w:hint="default"/>
        </w:rPr>
        <w:t>31</w:t>
      </w:r>
      <w:r>
        <w:rPr/>
        <w:t>日止，租金价格按每年递增</w:t>
      </w:r>
      <w:r>
        <w:rPr>
          <w:rFonts w:ascii="宋体" w:hAnsi="宋体" w:cs="宋体" w:eastAsia="宋体" w:hint="default"/>
        </w:rPr>
        <w:t>0.1</w:t>
      </w:r>
      <w:r>
        <w:rPr/>
        <w:t>元计算。</w:t>
      </w:r>
      <w:r>
        <w:rPr>
          <w:rFonts w:ascii="宋体" w:hAnsi="宋体" w:cs="宋体" w:eastAsia="宋体" w:hint="default"/>
        </w:rPr>
        <w:t>2018</w:t>
      </w:r>
      <w:r>
        <w:rPr/>
        <w:t>年租金</w:t>
      </w:r>
      <w:r>
        <w:rPr>
          <w:rFonts w:ascii="宋体" w:hAnsi="宋体" w:cs="宋体" w:eastAsia="宋体" w:hint="default"/>
        </w:rPr>
        <w:t>5,252,222.00</w:t>
      </w:r>
      <w:r>
        <w:rPr/>
        <w:t>元已全部支</w:t>
      </w:r>
      <w:r>
        <w:rPr>
          <w:spacing w:val="-34"/>
        </w:rPr>
        <w:t> </w:t>
      </w:r>
      <w:r>
        <w:rPr>
          <w:spacing w:val="-34"/>
        </w:rPr>
      </w:r>
      <w:r>
        <w:rPr/>
        <w:t>付。</w:t>
      </w:r>
    </w:p>
    <w:p>
      <w:pPr>
        <w:pStyle w:val="BodyText"/>
        <w:spacing w:line="408" w:lineRule="auto"/>
        <w:ind w:left="1554" w:right="4452"/>
        <w:jc w:val="left"/>
      </w:pPr>
      <w:r>
        <w:rPr>
          <w:rFonts w:ascii="宋体" w:hAnsi="宋体" w:cs="宋体" w:eastAsia="宋体" w:hint="default"/>
        </w:rPr>
        <w:t>(</w:t>
      </w:r>
      <w:r>
        <w:rPr/>
        <w:t>二</w:t>
      </w:r>
      <w:r>
        <w:rPr>
          <w:rFonts w:ascii="宋体" w:hAnsi="宋体" w:cs="宋体" w:eastAsia="宋体" w:hint="default"/>
        </w:rPr>
        <w:t>)</w:t>
      </w:r>
      <w:r>
        <w:rPr/>
        <w:t>或有事项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日，本公司不存在需要披露的重要或有事项。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both"/>
        <w:rPr>
          <w:b w:val="0"/>
          <w:bCs w:val="0"/>
        </w:rPr>
      </w:pPr>
      <w:bookmarkStart w:name="2、或有事项" w:id="404"/>
      <w:bookmarkEnd w:id="40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133" w:right="4873" w:firstLine="0"/>
        <w:jc w:val="left"/>
        <w:rPr>
          <w:rFonts w:ascii="宋体" w:hAnsi="宋体" w:cs="宋体" w:eastAsia="宋体" w:hint="default"/>
          <w:sz w:val="21"/>
          <w:szCs w:val="21"/>
        </w:rPr>
      </w:pPr>
      <w:bookmarkStart w:name="（1）资产负债表日存在的重要或有事项" w:id="405"/>
      <w:bookmarkEnd w:id="4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日，本公司不存在需要披露的重要或有事项。</w:t>
      </w:r>
    </w:p>
    <w:p>
      <w:pPr>
        <w:pStyle w:val="Heading4"/>
        <w:spacing w:line="240" w:lineRule="auto" w:before="64"/>
        <w:ind w:right="0"/>
        <w:jc w:val="both"/>
        <w:rPr>
          <w:b w:val="0"/>
          <w:bCs w:val="0"/>
        </w:rPr>
      </w:pPr>
      <w:bookmarkStart w:name="（2）公司没有需要披露的重要或有事项，也应予以说明" w:id="406"/>
      <w:bookmarkEnd w:id="40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四、资产负债表日后事项" w:id="407"/>
      <w:bookmarkEnd w:id="407"/>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的非调整事项" w:id="408"/>
      <w:bookmarkEnd w:id="40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利润分配情况" w:id="409"/>
      <w:bookmarkEnd w:id="40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13,333,333.40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13,333,333.40</w:t>
            </w:r>
          </w:p>
        </w:tc>
      </w:tr>
    </w:tbl>
    <w:p>
      <w:pPr>
        <w:spacing w:line="240" w:lineRule="auto" w:before="3"/>
        <w:rPr>
          <w:rFonts w:ascii="宋体" w:hAnsi="宋体" w:cs="宋体" w:eastAsia="宋体" w:hint="default"/>
          <w:sz w:val="19"/>
          <w:szCs w:val="19"/>
        </w:rPr>
      </w:pPr>
    </w:p>
    <w:p>
      <w:pPr>
        <w:spacing w:line="568" w:lineRule="auto" w:before="35"/>
        <w:ind w:left="1554" w:right="7695" w:hanging="420"/>
        <w:jc w:val="left"/>
        <w:rPr>
          <w:rFonts w:ascii="宋体" w:hAnsi="宋体" w:cs="宋体" w:eastAsia="宋体" w:hint="default"/>
          <w:sz w:val="21"/>
          <w:szCs w:val="21"/>
        </w:rPr>
      </w:pPr>
      <w:bookmarkStart w:name="3、其他资产负债表日后事项说明" w:id="410"/>
      <w:bookmarkEnd w:id="4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对子公司增资</w:t>
      </w:r>
    </w:p>
    <w:p>
      <w:pPr>
        <w:spacing w:after="0" w:line="568" w:lineRule="auto"/>
        <w:jc w:val="left"/>
        <w:rPr>
          <w:rFonts w:ascii="宋体" w:hAnsi="宋体" w:cs="宋体" w:eastAsia="宋体" w:hint="default"/>
          <w:sz w:val="21"/>
          <w:szCs w:val="21"/>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29" w:firstLine="420"/>
        <w:jc w:val="both"/>
      </w:pPr>
      <w:r>
        <w:rPr/>
        <w:t>根据杭州捷卡公司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日股东会决议，杭州捷卡公司注册资本由</w:t>
      </w:r>
      <w:r>
        <w:rPr>
          <w:rFonts w:ascii="Times New Roman" w:hAnsi="Times New Roman" w:cs="Times New Roman" w:eastAsia="Times New Roman" w:hint="default"/>
        </w:rPr>
        <w:t>222.00</w:t>
      </w:r>
      <w:r>
        <w:rPr/>
        <w:t>万元增加至</w:t>
      </w:r>
      <w:r>
        <w:rPr>
          <w:rFonts w:ascii="Times New Roman" w:hAnsi="Times New Roman" w:cs="Times New Roman" w:eastAsia="Times New Roman" w:hint="default"/>
        </w:rPr>
        <w:t>3,000.00</w:t>
      </w:r>
      <w:r>
        <w:rPr/>
        <w:t>万 </w:t>
      </w:r>
      <w:r>
        <w:rPr>
          <w:spacing w:val="2"/>
        </w:rPr>
        <w:t>元，其中公司认缴新增注册资本</w:t>
      </w:r>
      <w:r>
        <w:rPr>
          <w:rFonts w:ascii="Times New Roman" w:hAnsi="Times New Roman" w:cs="Times New Roman" w:eastAsia="Times New Roman" w:hint="default"/>
          <w:spacing w:val="2"/>
        </w:rPr>
        <w:t>1,398.78</w:t>
      </w:r>
      <w:r>
        <w:rPr>
          <w:spacing w:val="2"/>
        </w:rPr>
        <w:t>万元，增资后公司共认缴出资额</w:t>
      </w:r>
      <w:r>
        <w:rPr>
          <w:rFonts w:ascii="Times New Roman" w:hAnsi="Times New Roman" w:cs="Times New Roman" w:eastAsia="Times New Roman" w:hint="default"/>
          <w:spacing w:val="2"/>
        </w:rPr>
        <w:t>1,530.00</w:t>
      </w:r>
      <w:r>
        <w:rPr>
          <w:spacing w:val="2"/>
        </w:rPr>
        <w:t>万元，公司持股比例由</w:t>
      </w:r>
      <w:r>
        <w:rPr>
          <w:spacing w:val="-55"/>
        </w:rPr>
        <w:t> </w:t>
      </w:r>
      <w:r>
        <w:rPr>
          <w:spacing w:val="-55"/>
        </w:rPr>
      </w:r>
      <w:r>
        <w:rPr>
          <w:rFonts w:ascii="Times New Roman" w:hAnsi="Times New Roman" w:cs="Times New Roman" w:eastAsia="Times New Roman" w:hint="default"/>
          <w:spacing w:val="-2"/>
        </w:rPr>
        <w:t>59.11%</w:t>
      </w:r>
      <w:r>
        <w:rPr>
          <w:spacing w:val="-2"/>
        </w:rPr>
        <w:t>下降为</w:t>
      </w:r>
      <w:r>
        <w:rPr>
          <w:rFonts w:ascii="Times New Roman" w:hAnsi="Times New Roman" w:cs="Times New Roman" w:eastAsia="Times New Roman" w:hint="default"/>
          <w:spacing w:val="-2"/>
        </w:rPr>
        <w:t>51.00%</w:t>
      </w:r>
      <w:r>
        <w:rPr>
          <w:spacing w:val="-2"/>
        </w:rPr>
        <w:t>。本次增资完成后，杭州捷卡公司仍为公司控股子公司，不会导致公司合并报表范围</w:t>
      </w:r>
      <w:r>
        <w:rPr>
          <w:spacing w:val="-63"/>
        </w:rPr>
        <w:t> </w:t>
      </w:r>
      <w:r>
        <w:rPr>
          <w:spacing w:val="-63"/>
        </w:rPr>
      </w:r>
      <w:r>
        <w:rPr/>
        <w:t>发生变化。杭州捷卡公司增资后变更公司名称为浙江云马智慧科技有限公司，杭州捷卡公司已于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月</w:t>
      </w:r>
      <w:r>
        <w:rPr>
          <w:rFonts w:ascii="Times New Roman" w:hAnsi="Times New Roman" w:cs="Times New Roman" w:eastAsia="Times New Roman" w:hint="default"/>
        </w:rPr>
        <w:t>30</w:t>
      </w:r>
      <w:r>
        <w:rPr/>
        <w:t>日办妥工商变更手续。</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pStyle w:val="Heading2"/>
        <w:spacing w:line="240" w:lineRule="auto"/>
        <w:ind w:left="1134" w:right="0"/>
        <w:jc w:val="left"/>
        <w:rPr>
          <w:b w:val="0"/>
          <w:bCs w:val="0"/>
        </w:rPr>
      </w:pPr>
      <w:bookmarkStart w:name="十五、其他重要事项" w:id="411"/>
      <w:bookmarkEnd w:id="411"/>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分部信息" w:id="412"/>
      <w:bookmarkEnd w:id="412"/>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spacing w:line="506" w:lineRule="auto" w:before="0"/>
        <w:ind w:left="1553" w:right="1513" w:hanging="420"/>
        <w:jc w:val="left"/>
        <w:rPr>
          <w:rFonts w:ascii="宋体" w:hAnsi="宋体" w:cs="宋体" w:eastAsia="宋体" w:hint="default"/>
          <w:sz w:val="21"/>
          <w:szCs w:val="21"/>
        </w:rPr>
      </w:pPr>
      <w:bookmarkStart w:name="（1）报告分部的确定依据与会计政策" w:id="413"/>
      <w:bookmarkEnd w:id="4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本公司以产品分部为基础确定报告分部，各分部共同使用的资产、负债无法在不同分部间分配。</w:t>
      </w:r>
    </w:p>
    <w:p>
      <w:pPr>
        <w:pStyle w:val="Heading4"/>
        <w:spacing w:line="240" w:lineRule="auto" w:before="105"/>
        <w:ind w:right="0"/>
        <w:jc w:val="left"/>
        <w:rPr>
          <w:b w:val="0"/>
          <w:bCs w:val="0"/>
        </w:rPr>
      </w:pPr>
      <w:bookmarkStart w:name="（2）报告分部的财务信息" w:id="414"/>
      <w:bookmarkEnd w:id="41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系统建设</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智能管控</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322,846,234.87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39,725,228.32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86,350,805.39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448,922,268.58</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197,693,043.75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3,983,308.93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69,867,895.62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271,544,248.30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818,488,938.16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818,488,938.16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260,325,694.57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260,325,694.57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其他" w:id="415"/>
      <w:bookmarkEnd w:id="415"/>
      <w:r>
        <w:rPr>
          <w:b w:val="0"/>
          <w:bCs w:val="0"/>
        </w:rPr>
      </w: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5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日，控股股东股份被质押情况如下：</w:t>
      </w:r>
    </w:p>
    <w:p>
      <w:pPr>
        <w:spacing w:line="240" w:lineRule="auto" w:before="8"/>
        <w:rPr>
          <w:rFonts w:ascii="宋体" w:hAnsi="宋体" w:cs="宋体" w:eastAsia="宋体" w:hint="default"/>
          <w:sz w:val="26"/>
          <w:szCs w:val="26"/>
        </w:rPr>
      </w:pPr>
    </w:p>
    <w:tbl>
      <w:tblPr>
        <w:tblW w:w="0" w:type="auto"/>
        <w:jc w:val="left"/>
        <w:tblInd w:w="1126" w:type="dxa"/>
        <w:tblLayout w:type="fixed"/>
        <w:tblCellMar>
          <w:top w:w="0" w:type="dxa"/>
          <w:left w:w="0" w:type="dxa"/>
          <w:bottom w:w="0" w:type="dxa"/>
          <w:right w:w="0" w:type="dxa"/>
        </w:tblCellMar>
        <w:tblLook w:val="01E0"/>
      </w:tblPr>
      <w:tblGrid>
        <w:gridCol w:w="976"/>
        <w:gridCol w:w="1134"/>
        <w:gridCol w:w="1680"/>
        <w:gridCol w:w="1652"/>
        <w:gridCol w:w="1288"/>
        <w:gridCol w:w="1134"/>
        <w:gridCol w:w="659"/>
      </w:tblGrid>
      <w:tr>
        <w:trPr>
          <w:trHeight w:val="971"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2" w:right="0"/>
              <w:jc w:val="left"/>
              <w:rPr>
                <w:rFonts w:ascii="宋体" w:hAnsi="宋体" w:cs="宋体" w:eastAsia="宋体" w:hint="default"/>
                <w:sz w:val="18"/>
                <w:szCs w:val="18"/>
              </w:rPr>
            </w:pPr>
            <w:r>
              <w:rPr>
                <w:rFonts w:ascii="宋体" w:hAnsi="宋体" w:cs="宋体" w:eastAsia="宋体" w:hint="default"/>
                <w:sz w:val="18"/>
                <w:szCs w:val="18"/>
              </w:rPr>
              <w:t>质押开始日期</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质押到期日</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质权人</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99" w:right="198"/>
              <w:jc w:val="both"/>
              <w:rPr>
                <w:rFonts w:ascii="宋体" w:hAnsi="宋体" w:cs="宋体" w:eastAsia="宋体" w:hint="default"/>
                <w:sz w:val="18"/>
                <w:szCs w:val="18"/>
              </w:rPr>
            </w:pPr>
            <w:r>
              <w:rPr>
                <w:rFonts w:ascii="宋体" w:hAnsi="宋体" w:cs="宋体" w:eastAsia="宋体" w:hint="default"/>
                <w:sz w:val="18"/>
                <w:szCs w:val="18"/>
              </w:rPr>
              <w:t>本次质押 占其所持 股份比例</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347" w:hRule="exact"/>
        </w:trPr>
        <w:tc>
          <w:tcPr>
            <w:tcW w:w="976"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杭州正元</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6,013,800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288"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中国银河证券股</w:t>
            </w:r>
            <w:r>
              <w:rPr>
                <w:rFonts w:ascii="宋体" w:hAnsi="宋体" w:cs="宋体" w:eastAsia="宋体" w:hint="default"/>
                <w:spacing w:val="-84"/>
                <w:sz w:val="18"/>
                <w:szCs w:val="18"/>
              </w:rPr>
              <w:t> </w:t>
            </w:r>
            <w:r>
              <w:rPr>
                <w:rFonts w:ascii="宋体" w:hAnsi="宋体" w:cs="宋体" w:eastAsia="宋体" w:hint="default"/>
                <w:sz w:val="18"/>
                <w:szCs w:val="18"/>
              </w:rPr>
              <w:t>份有限公司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80"/>
              <w:jc w:val="right"/>
              <w:rPr>
                <w:rFonts w:ascii="Times New Roman" w:hAnsi="Times New Roman" w:cs="Times New Roman" w:eastAsia="Times New Roman" w:hint="default"/>
                <w:sz w:val="18"/>
                <w:szCs w:val="18"/>
              </w:rPr>
            </w:pPr>
            <w:r>
              <w:rPr>
                <w:rFonts w:ascii="Times New Roman"/>
                <w:sz w:val="18"/>
              </w:rPr>
              <w:t>31.15%</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8" w:hRule="exact"/>
        </w:trPr>
        <w:tc>
          <w:tcPr>
            <w:tcW w:w="976"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6,013,800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288"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80"/>
              <w:jc w:val="right"/>
              <w:rPr>
                <w:rFonts w:ascii="Times New Roman" w:hAnsi="Times New Roman" w:cs="Times New Roman" w:eastAsia="Times New Roman" w:hint="default"/>
                <w:sz w:val="18"/>
                <w:szCs w:val="18"/>
              </w:rPr>
            </w:pPr>
            <w:r>
              <w:rPr>
                <w:rFonts w:ascii="Times New Roman"/>
                <w:sz w:val="18"/>
              </w:rPr>
              <w:t>31.15%</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7"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12,027,600</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0"/>
              <w:jc w:val="right"/>
              <w:rPr>
                <w:rFonts w:ascii="Times New Roman" w:hAnsi="Times New Roman" w:cs="Times New Roman" w:eastAsia="Times New Roman" w:hint="default"/>
                <w:sz w:val="18"/>
                <w:szCs w:val="18"/>
              </w:rPr>
            </w:pPr>
            <w:r>
              <w:rPr>
                <w:rFonts w:ascii="Times New Roman"/>
                <w:sz w:val="18"/>
              </w:rPr>
              <w:t>62.30%</w:t>
            </w:r>
          </w:p>
        </w:tc>
        <w:tc>
          <w:tcPr>
            <w:tcW w:w="659" w:type="dxa"/>
            <w:tcBorders>
              <w:top w:val="single" w:sz="6" w:space="0" w:color="000000"/>
              <w:left w:val="single" w:sz="6" w:space="0" w:color="000000"/>
              <w:bottom w:val="single" w:sz="6" w:space="0" w:color="000000"/>
              <w:right w:val="single" w:sz="6"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日，杭州正元持有的本公司股份累计已质押</w:t>
      </w:r>
      <w:r>
        <w:rPr>
          <w:rFonts w:ascii="Times New Roman" w:hAnsi="Times New Roman" w:cs="Times New Roman" w:eastAsia="Times New Roman" w:hint="default"/>
          <w:sz w:val="18"/>
          <w:szCs w:val="18"/>
        </w:rPr>
        <w:t>12,027,600</w:t>
      </w:r>
      <w:r>
        <w:rPr>
          <w:rFonts w:ascii="宋体" w:hAnsi="宋体" w:cs="宋体" w:eastAsia="宋体" w:hint="default"/>
          <w:sz w:val="18"/>
          <w:szCs w:val="18"/>
        </w:rPr>
        <w:t>股，占本公司总股本的</w:t>
      </w:r>
      <w:r>
        <w:rPr>
          <w:rFonts w:ascii="Times New Roman" w:hAnsi="Times New Roman" w:cs="Times New Roman" w:eastAsia="Times New Roman" w:hint="default"/>
          <w:sz w:val="18"/>
          <w:szCs w:val="18"/>
        </w:rPr>
        <w:t>18.04%</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母公司财务报表主要项目注释" w:id="416"/>
      <w:bookmarkEnd w:id="416"/>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417"/>
      <w:bookmarkEnd w:id="41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418"/>
      <w:bookmarkEnd w:id="41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09"/>
        <w:gridCol w:w="1171"/>
        <w:gridCol w:w="689"/>
        <w:gridCol w:w="1069"/>
        <w:gridCol w:w="689"/>
        <w:gridCol w:w="1158"/>
        <w:gridCol w:w="1153"/>
        <w:gridCol w:w="689"/>
        <w:gridCol w:w="1070"/>
        <w:gridCol w:w="600"/>
        <w:gridCol w:w="1159"/>
      </w:tblGrid>
      <w:tr>
        <w:trPr>
          <w:trHeight w:val="397" w:hRule="exact"/>
        </w:trPr>
        <w:tc>
          <w:tcPr>
            <w:tcW w:w="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477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2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11" w:right="5"/>
              <w:jc w:val="left"/>
              <w:rPr>
                <w:rFonts w:ascii="宋体" w:hAnsi="宋体" w:cs="宋体" w:eastAsia="宋体" w:hint="default"/>
                <w:sz w:val="18"/>
                <w:szCs w:val="18"/>
              </w:rPr>
            </w:pPr>
            <w:r>
              <w:rPr>
                <w:rFonts w:ascii="宋体" w:hAnsi="宋体" w:cs="宋体" w:eastAsia="宋体" w:hint="default"/>
                <w:sz w:val="18"/>
                <w:szCs w:val="18"/>
              </w:rPr>
              <w:t>类 别</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09" w:type="dxa"/>
            <w:vMerge/>
            <w:tcBorders>
              <w:left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8" w:right="6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3" w:right="2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9" w:hRule="exact"/>
        </w:trPr>
        <w:tc>
          <w:tcPr>
            <w:tcW w:w="209" w:type="dxa"/>
            <w:vMerge/>
            <w:tcBorders>
              <w:left w:val="single" w:sz="4" w:space="0" w:color="000000"/>
              <w:bottom w:val="nil" w:sz="6" w:space="0" w:color="auto"/>
              <w:right w:val="single" w:sz="4" w:space="0" w:color="000000"/>
            </w:tcBorders>
            <w:shd w:val="clear" w:color="auto" w:fill="D2D2D2"/>
          </w:tcPr>
          <w:p>
            <w:pPr/>
          </w:p>
        </w:tc>
        <w:tc>
          <w:tcPr>
            <w:tcW w:w="1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9" w:type="dxa"/>
            <w:vMerge/>
            <w:tcBorders>
              <w:left w:val="single" w:sz="4" w:space="0" w:color="000000"/>
              <w:right w:val="single" w:sz="4" w:space="0" w:color="000000"/>
            </w:tcBorders>
            <w:shd w:val="clear" w:color="auto" w:fill="D2D2D2"/>
          </w:tcPr>
          <w:p>
            <w:pPr/>
          </w:p>
        </w:tc>
        <w:tc>
          <w:tcPr>
            <w:tcW w:w="1158" w:type="dxa"/>
            <w:vMerge/>
            <w:tcBorders>
              <w:left w:val="single" w:sz="4" w:space="0" w:color="000000"/>
              <w:bottom w:val="nil" w:sz="6" w:space="0" w:color="auto"/>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0" w:type="dxa"/>
            <w:vMerge/>
            <w:tcBorders>
              <w:left w:val="single" w:sz="4" w:space="0" w:color="000000"/>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r>
      <w:tr>
        <w:trPr>
          <w:trHeight w:val="213" w:hRule="exact"/>
        </w:trPr>
        <w:tc>
          <w:tcPr>
            <w:tcW w:w="209" w:type="dxa"/>
            <w:vMerge w:val="restart"/>
            <w:tcBorders>
              <w:top w:val="nil" w:sz="6" w:space="0" w:color="auto"/>
              <w:left w:val="single" w:sz="4" w:space="0" w:color="000000"/>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right w:val="single" w:sz="4" w:space="0" w:color="000000"/>
            </w:tcBorders>
            <w:shd w:val="clear" w:color="auto" w:fill="D2D2D2"/>
          </w:tcPr>
          <w:p>
            <w:pPr/>
          </w:p>
        </w:tc>
        <w:tc>
          <w:tcPr>
            <w:tcW w:w="1158" w:type="dxa"/>
            <w:vMerge w:val="restart"/>
            <w:tcBorders>
              <w:top w:val="nil" w:sz="6" w:space="0" w:color="auto"/>
              <w:left w:val="single" w:sz="4" w:space="0" w:color="000000"/>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115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9" w:type="dxa"/>
            <w:vMerge/>
            <w:tcBorders>
              <w:left w:val="single" w:sz="4" w:space="0" w:color="000000"/>
              <w:bottom w:val="single" w:sz="4" w:space="0" w:color="000000"/>
              <w:right w:val="single" w:sz="4" w:space="0" w:color="000000"/>
            </w:tcBorders>
            <w:shd w:val="clear" w:color="auto" w:fill="D2D2D2"/>
          </w:tcPr>
          <w:p>
            <w:pPr/>
          </w:p>
        </w:tc>
        <w:tc>
          <w:tcPr>
            <w:tcW w:w="11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1158" w:type="dxa"/>
            <w:vMerge/>
            <w:tcBorders>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0"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r>
      <w:tr>
        <w:trPr>
          <w:trHeight w:val="6330" w:hRule="exact"/>
        </w:trPr>
        <w:tc>
          <w:tcPr>
            <w:tcW w:w="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
              <w:jc w:val="both"/>
              <w:rPr>
                <w:rFonts w:ascii="宋体" w:hAnsi="宋体" w:cs="宋体" w:eastAsia="宋体" w:hint="default"/>
                <w:sz w:val="18"/>
                <w:szCs w:val="18"/>
              </w:rPr>
            </w:pPr>
            <w:r>
              <w:rPr>
                <w:rFonts w:ascii="宋体" w:hAnsi="宋体" w:cs="宋体" w:eastAsia="宋体" w:hint="default"/>
                <w:sz w:val="18"/>
                <w:szCs w:val="18"/>
              </w:rPr>
              <w:t>按 信 用 风 险 特 征 组 合 计 提 坏 账 准 备 的 应 收 账 款</w:t>
            </w:r>
          </w:p>
        </w:tc>
        <w:tc>
          <w:tcPr>
            <w:tcW w:w="11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291,788,844.4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31,030,553.0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10.63%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260,758,291.4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217,114,313.7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22,101,167.4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195,013,146.2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794" w:hRule="exact"/>
        </w:trPr>
        <w:tc>
          <w:tcPr>
            <w:tcW w:w="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
              <w:jc w:val="both"/>
              <w:rPr>
                <w:rFonts w:ascii="宋体" w:hAnsi="宋体" w:cs="宋体" w:eastAsia="宋体" w:hint="default"/>
                <w:sz w:val="18"/>
                <w:szCs w:val="18"/>
              </w:rPr>
            </w:pPr>
            <w:r>
              <w:rPr>
                <w:rFonts w:ascii="宋体" w:hAnsi="宋体" w:cs="宋体" w:eastAsia="宋体" w:hint="default"/>
                <w:sz w:val="18"/>
                <w:szCs w:val="18"/>
              </w:rPr>
              <w:t>单 项 金 额 不 重 大 但 单 独 计 提</w:t>
            </w:r>
          </w:p>
        </w:tc>
        <w:tc>
          <w:tcPr>
            <w:tcW w:w="11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17" w:right="0"/>
              <w:jc w:val="left"/>
              <w:rPr>
                <w:rFonts w:ascii="Times New Roman" w:hAnsi="Times New Roman" w:cs="Times New Roman" w:eastAsia="Times New Roman" w:hint="default"/>
                <w:sz w:val="18"/>
                <w:szCs w:val="18"/>
              </w:rPr>
            </w:pPr>
            <w:r>
              <w:rPr>
                <w:rFonts w:ascii="Times New Roman"/>
                <w:sz w:val="18"/>
              </w:rPr>
              <w:t>920,000.00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z w:val="18"/>
              </w:rPr>
              <w:t>0.31%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26" w:right="0"/>
              <w:jc w:val="left"/>
              <w:rPr>
                <w:rFonts w:ascii="Times New Roman" w:hAnsi="Times New Roman" w:cs="Times New Roman" w:eastAsia="Times New Roman" w:hint="default"/>
                <w:sz w:val="18"/>
                <w:szCs w:val="18"/>
              </w:rPr>
            </w:pPr>
            <w:r>
              <w:rPr>
                <w:rFonts w:ascii="Times New Roman"/>
                <w:sz w:val="18"/>
              </w:rPr>
              <w:t>920,000.00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8"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2"/>
        <w:gridCol w:w="1160"/>
        <w:gridCol w:w="689"/>
        <w:gridCol w:w="1069"/>
        <w:gridCol w:w="689"/>
        <w:gridCol w:w="1158"/>
        <w:gridCol w:w="1153"/>
        <w:gridCol w:w="689"/>
        <w:gridCol w:w="1070"/>
        <w:gridCol w:w="600"/>
        <w:gridCol w:w="1159"/>
      </w:tblGrid>
      <w:tr>
        <w:trPr>
          <w:trHeight w:val="2859" w:hRule="exact"/>
        </w:trPr>
        <w:tc>
          <w:tcPr>
            <w:tcW w:w="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7"/>
              <w:jc w:val="both"/>
              <w:rPr>
                <w:rFonts w:ascii="宋体" w:hAnsi="宋体" w:cs="宋体" w:eastAsia="宋体" w:hint="default"/>
                <w:sz w:val="18"/>
                <w:szCs w:val="18"/>
              </w:rPr>
            </w:pPr>
            <w:r>
              <w:rPr>
                <w:rFonts w:ascii="宋体" w:hAnsi="宋体" w:cs="宋体" w:eastAsia="宋体" w:hint="default"/>
                <w:sz w:val="18"/>
                <w:szCs w:val="18"/>
              </w:rPr>
              <w:t>坏 账 准 备 的 应 收 账 款</w:t>
            </w:r>
          </w:p>
        </w:tc>
        <w:tc>
          <w:tcPr>
            <w:tcW w:w="11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合 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292,708,844.4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31,950,553.0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10.92%</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260,758,291.4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217,114,313.7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22,101,167.4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195,013,146.2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64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169,016,564.01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8,450,828.20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169,016,564.01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8,450,828.20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56,506,710.15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5,650,671.02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21,842,029.28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6,552,608.78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8,084,422.92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4,042,211.46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7,636,903.64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6,109,522.91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224,710.70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224,710.70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263,311,340.70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31,030,553.07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950"/>
        <w:gridCol w:w="2367"/>
        <w:gridCol w:w="1582"/>
        <w:gridCol w:w="1625"/>
      </w:tblGrid>
      <w:tr>
        <w:trPr>
          <w:trHeight w:val="347" w:hRule="exact"/>
        </w:trPr>
        <w:tc>
          <w:tcPr>
            <w:tcW w:w="2950"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574"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2950" w:type="dxa"/>
            <w:vMerge/>
            <w:tcBorders>
              <w:left w:val="single" w:sz="6" w:space="0" w:color="000000"/>
              <w:bottom w:val="single" w:sz="6" w:space="0" w:color="000000"/>
              <w:right w:val="single" w:sz="6" w:space="0" w:color="000000"/>
            </w:tcBorders>
          </w:tcPr>
          <w:p>
            <w:pP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2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28,477,503.79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28,477,503.79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nil" w:sz="6" w:space="0" w:color="auto"/>
            </w:tcBorders>
          </w:tcPr>
          <w:p>
            <w:pPr/>
          </w:p>
        </w:tc>
      </w:tr>
    </w:tbl>
    <w:p>
      <w:pPr>
        <w:spacing w:after="0"/>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本期计提、收回或转回的坏账准备情况" w:id="419"/>
      <w:bookmarkEnd w:id="4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0" w:right="0"/>
        </w:sectPr>
      </w:pPr>
    </w:p>
    <w:p>
      <w:pPr>
        <w:spacing w:line="338"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9,849,385.60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434" w:space="1485"/>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420"/>
      <w:bookmarkEnd w:id="42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按欠款方归集的期末余额前五名的应收账款情况" w:id="421"/>
      <w:bookmarkEnd w:id="42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978"/>
        <w:gridCol w:w="1725"/>
        <w:gridCol w:w="1726"/>
        <w:gridCol w:w="1725"/>
      </w:tblGrid>
      <w:tr>
        <w:trPr>
          <w:trHeight w:val="659"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8" w:right="13" w:hanging="47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占应收账款余额的 比例</w:t>
            </w:r>
            <w:r>
              <w:rPr>
                <w:rFonts w:ascii="Times New Roman" w:hAnsi="Times New Roman" w:cs="Times New Roman" w:eastAsia="Times New Roman" w:hint="default"/>
                <w:sz w:val="21"/>
                <w:szCs w:val="21"/>
              </w:rPr>
              <w:t>(%)</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1"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24,684,432.50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8.43</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1,500,172.50</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1"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20,543,025.57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7.02</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1,027,151.28</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1"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15,834,657.00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5.41</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791,732.85</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1"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7,352,652.84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z w:val="18"/>
              </w:rPr>
              <w:t>2.51</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2,071,901.86</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1"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6,255,749.99</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2.14</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625,575.00</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74,670,517.90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25.51</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6,016,533.49</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5）因金融资产转移而终止确认的应收账款" w:id="422"/>
      <w:bookmarkEnd w:id="42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6）转移应收账款且继续涉入形成的资产、负债金额" w:id="423"/>
      <w:bookmarkEnd w:id="42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其他应收款" w:id="424"/>
      <w:bookmarkEnd w:id="42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425"/>
      <w:bookmarkEnd w:id="42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36"/>
        <w:gridCol w:w="1810"/>
        <w:gridCol w:w="1590"/>
        <w:gridCol w:w="1092"/>
        <w:gridCol w:w="1808"/>
        <w:gridCol w:w="1640"/>
        <w:gridCol w:w="1091"/>
      </w:tblGrid>
      <w:tr>
        <w:trPr>
          <w:trHeight w:val="402" w:hRule="exact"/>
        </w:trPr>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4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36" w:type="dxa"/>
            <w:vMerge/>
            <w:tcBorders>
              <w:left w:val="single" w:sz="4" w:space="0" w:color="000000"/>
              <w:bottom w:val="single" w:sz="4" w:space="0" w:color="000000"/>
              <w:right w:val="single" w:sz="4" w:space="0" w:color="000000"/>
            </w:tcBorders>
            <w:shd w:val="clear" w:color="auto" w:fill="D2D2D2"/>
          </w:tcPr>
          <w:p>
            <w:pP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614"/>
        <w:gridCol w:w="1102"/>
        <w:gridCol w:w="719"/>
        <w:gridCol w:w="1001"/>
        <w:gridCol w:w="590"/>
        <w:gridCol w:w="1092"/>
        <w:gridCol w:w="1091"/>
        <w:gridCol w:w="718"/>
        <w:gridCol w:w="1001"/>
        <w:gridCol w:w="638"/>
        <w:gridCol w:w="1091"/>
      </w:tblGrid>
      <w:tr>
        <w:trPr>
          <w:trHeight w:val="161" w:hRule="exact"/>
        </w:trPr>
        <w:tc>
          <w:tcPr>
            <w:tcW w:w="614" w:type="dxa"/>
            <w:vMerge w:val="restart"/>
            <w:tcBorders>
              <w:top w:val="single" w:sz="4" w:space="0" w:color="000000"/>
              <w:left w:val="single" w:sz="4" w:space="0" w:color="000000"/>
              <w:right w:val="single" w:sz="4" w:space="0" w:color="000000"/>
            </w:tcBorders>
            <w:shd w:val="clear" w:color="auto" w:fill="D2D2D2"/>
          </w:tcPr>
          <w:p>
            <w:pPr/>
          </w:p>
        </w:tc>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9" w:right="10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614" w:type="dxa"/>
            <w:vMerge/>
            <w:tcBorders>
              <w:left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8"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r>
      <w:tr>
        <w:trPr>
          <w:trHeight w:val="161" w:hRule="exact"/>
        </w:trPr>
        <w:tc>
          <w:tcPr>
            <w:tcW w:w="614"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2274"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0"/>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60,850,733.05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2,894,706.66</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57,956,026.39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38,177,691.86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2,876,149.27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35,301,542.59</w:t>
            </w:r>
          </w:p>
        </w:tc>
      </w:tr>
      <w:tr>
        <w:trPr>
          <w:trHeight w:val="402" w:hRule="exact"/>
        </w:trPr>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60,850,733.05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2,894,706.66</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57,956,026.39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38,177,691.86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2,876,149.27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35,301,542.59</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4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23,097,791.41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1,154,889.57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23,097,791.41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1,154,889.57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3,494,143.22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349,414.32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1,594,109.40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478,232.82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1,659,539.89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829,769.95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29,928,583.92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2,894,706.66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9.67%</w:t>
            </w:r>
          </w:p>
        </w:tc>
      </w:tr>
    </w:tbl>
    <w:p>
      <w:pPr>
        <w:spacing w:line="357"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组合中，采用其他方法计提坏账准备的其他应收款：</w:t>
      </w:r>
    </w:p>
    <w:p>
      <w:pPr>
        <w:spacing w:before="4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349"/>
        <w:gridCol w:w="2240"/>
        <w:gridCol w:w="2225"/>
        <w:gridCol w:w="1710"/>
      </w:tblGrid>
      <w:tr>
        <w:trPr>
          <w:trHeight w:val="347" w:hRule="exact"/>
        </w:trPr>
        <w:tc>
          <w:tcPr>
            <w:tcW w:w="2349" w:type="dxa"/>
            <w:vMerge w:val="restart"/>
            <w:tcBorders>
              <w:top w:val="single" w:sz="6" w:space="0" w:color="000000"/>
              <w:left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175" w:type="dxa"/>
            <w:gridSpan w:val="3"/>
            <w:tcBorders>
              <w:top w:val="single" w:sz="6"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2349" w:type="dxa"/>
            <w:vMerge/>
            <w:tcBorders>
              <w:left w:val="single" w:sz="6" w:space="0" w:color="000000"/>
              <w:bottom w:val="single" w:sz="6" w:space="0" w:color="000000"/>
              <w:right w:val="single" w:sz="6" w:space="0" w:color="000000"/>
            </w:tcBorders>
          </w:tcPr>
          <w:p>
            <w:pP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0"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27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6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合并范围内关联方往来组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合</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30,922,149.13</w:t>
            </w:r>
          </w:p>
        </w:tc>
        <w:tc>
          <w:tcPr>
            <w:tcW w:w="2225"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30,922,149.13</w:t>
            </w:r>
          </w:p>
        </w:tc>
        <w:tc>
          <w:tcPr>
            <w:tcW w:w="2225"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nil" w:sz="6" w:space="0" w:color="auto"/>
            </w:tcBorders>
          </w:tcPr>
          <w:p>
            <w:pPr/>
          </w:p>
        </w:tc>
      </w:tr>
    </w:tbl>
    <w:p>
      <w:pPr>
        <w:spacing w:after="0"/>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本期计提、收回或转回的坏账准备情况" w:id="426"/>
      <w:bookmarkEnd w:id="4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7" w:footer="979" w:top="1060" w:bottom="1160" w:left="0" w:right="0"/>
        </w:sectPr>
      </w:pPr>
    </w:p>
    <w:p>
      <w:pPr>
        <w:spacing w:line="338"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18,557.39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210" w:space="1710"/>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427"/>
      <w:bookmarkEnd w:id="42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428"/>
      <w:bookmarkEnd w:id="42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23,987,869.17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12,257,449.48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3,732,815.68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3,400,039.81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30,922,149.13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18,708,554.09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2,207,899.07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3,811,648.48</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60,850,733.05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38,177,691.86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429"/>
      <w:bookmarkEnd w:id="42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杭州捷卡公司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13,642,359.36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4,951,576.40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3,922,791.70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3,649,305.67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兰州大学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场地押金、履约保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3,081,791.25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168,359.13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证金</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29,247,824.38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7" w:right="0"/>
              <w:jc w:val="left"/>
              <w:rPr>
                <w:rFonts w:ascii="Times New Roman" w:hAnsi="Times New Roman" w:cs="Times New Roman" w:eastAsia="Times New Roman" w:hint="default"/>
                <w:sz w:val="18"/>
                <w:szCs w:val="18"/>
              </w:rPr>
            </w:pPr>
            <w:r>
              <w:rPr>
                <w:rFonts w:ascii="Times New Roman"/>
                <w:sz w:val="18"/>
              </w:rPr>
              <w:t>48.07%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168,359.13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长期股权投资" w:id="430"/>
      <w:bookmarkEnd w:id="43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24,406,100.00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18,760,000.00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77,048,765.82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77,048,765.82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52,649,938.45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52,649,938.45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101,454,865.82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100,398,765.82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72,466,038.45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71,409,938.45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431"/>
      <w:bookmarkEnd w:id="43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广西筑波公司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南昌正元公司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青岛天高公司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正元数据公司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杭州容博公司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杭州捷卡公司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756,100.00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756,100.00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756,100.00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福建正元公司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浙江校云公司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四川正元公司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正元曦客公司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19,816,100.00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24,406,100.00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1,056,100.00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对联营、合营企业投资" w:id="432"/>
      <w:bookmarkEnd w:id="43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75"/>
        <w:gridCol w:w="1091"/>
        <w:gridCol w:w="1091"/>
        <w:gridCol w:w="674"/>
        <w:gridCol w:w="1001"/>
        <w:gridCol w:w="674"/>
        <w:gridCol w:w="673"/>
        <w:gridCol w:w="674"/>
        <w:gridCol w:w="675"/>
        <w:gridCol w:w="673"/>
        <w:gridCol w:w="1091"/>
        <w:gridCol w:w="674"/>
      </w:tblGrid>
      <w:tr>
        <w:trPr>
          <w:trHeight w:val="402" w:hRule="exact"/>
        </w:trPr>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41" w:right="6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675"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1" w:right="61"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 w:right="4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75"/>
        <w:gridCol w:w="1091"/>
        <w:gridCol w:w="1091"/>
        <w:gridCol w:w="674"/>
        <w:gridCol w:w="1001"/>
        <w:gridCol w:w="674"/>
        <w:gridCol w:w="673"/>
        <w:gridCol w:w="674"/>
        <w:gridCol w:w="675"/>
        <w:gridCol w:w="673"/>
        <w:gridCol w:w="1091"/>
        <w:gridCol w:w="674"/>
      </w:tblGrid>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杭州卓 然</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38,070,681.81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-628,918.23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61,441,763.58</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重庆汇 贤</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12,839,224.03</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1,093,498.96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13,932,722.99</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无锡汇 众</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1,740,032.61</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-65,753.36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1,674,279.25</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52,649,938.45</w:t>
            </w:r>
          </w:p>
        </w:tc>
        <w:tc>
          <w:tcPr>
            <w:tcW w:w="10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77,048,765.82</w:t>
            </w: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52,649,938.45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Times New Roman" w:hAnsi="Times New Roman" w:cs="Times New Roman" w:eastAsia="Times New Roman" w:hint="default"/>
                <w:sz w:val="18"/>
                <w:szCs w:val="18"/>
              </w:rPr>
            </w:pPr>
            <w:r>
              <w:rPr>
                <w:rFonts w:ascii="Times New Roman"/>
                <w:sz w:val="18"/>
              </w:rPr>
              <w:t>398,827.37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77,048,765.82</w:t>
            </w:r>
          </w:p>
        </w:tc>
        <w:tc>
          <w:tcPr>
            <w:tcW w:w="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营业收入和营业成本" w:id="433"/>
      <w:bookmarkEnd w:id="43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355,615,883.70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217,053,313.72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277,990,953.31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166,684,102.47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355,615,883.70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217,053,313.72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277,990,953.31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166,684,102.47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管理费用" w:id="434"/>
      <w:bookmarkEnd w:id="434"/>
      <w:r>
        <w:rPr>
          <w:b w:val="0"/>
          <w:bCs w:val="0"/>
        </w:rPr>
      </w:r>
      <w:r>
        <w:rPr>
          <w:rFonts w:ascii="Times New Roman" w:hAnsi="Times New Roman" w:cs="Times New Roman" w:eastAsia="Times New Roman" w:hint="default"/>
        </w:rPr>
        <w:t>5</w:t>
      </w:r>
      <w:r>
        <w:rPr/>
        <w:t>、管理费用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1554" w:right="0"/>
        <w:jc w:val="left"/>
      </w:pPr>
      <w:r>
        <w:rPr/>
        <w:t>管理费用</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2842"/>
        <w:gridCol w:w="2841"/>
        <w:gridCol w:w="2841"/>
      </w:tblGrid>
      <w:tr>
        <w:trPr>
          <w:trHeight w:val="34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88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47,167,735.23</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z w:val="21"/>
              </w:rPr>
              <w:t>33,761,420.68</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8,353,609.85</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7,498,597.00</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折旧费与摊销</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720,034.21</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727,566.47</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房租物管费</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930,639.46</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459,921.75</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3,767,390.94</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3,090,652.51</w:t>
            </w:r>
          </w:p>
        </w:tc>
      </w:tr>
      <w:tr>
        <w:trPr>
          <w:trHeight w:val="34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差旅交通费</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2,190,767.02</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2,425,735.46</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2,061,180.70</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pacing w:val="-1"/>
                <w:sz w:val="21"/>
              </w:rPr>
              <w:t>1,643,796.09</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咨询、中介费</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1,714,092.44</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1,765,125.16</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1,080,587.21</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1,598,641.08</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1,413,938.45</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1,685,710.51</w:t>
            </w:r>
          </w:p>
        </w:tc>
      </w:tr>
      <w:tr>
        <w:trPr>
          <w:trHeight w:val="34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69,399,975.51</w:t>
            </w:r>
          </w:p>
        </w:tc>
        <w:tc>
          <w:tcPr>
            <w:tcW w:w="2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54,657,166.71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left="1134" w:right="0"/>
        <w:jc w:val="left"/>
        <w:rPr>
          <w:b w:val="0"/>
          <w:bCs w:val="0"/>
        </w:rPr>
      </w:pPr>
      <w:bookmarkStart w:name="6、投资收益" w:id="435"/>
      <w:bookmarkEnd w:id="435"/>
      <w:r>
        <w:rPr>
          <w:b w:val="0"/>
          <w:bCs w:val="0"/>
        </w:rPr>
      </w:r>
      <w:r>
        <w:rPr>
          <w:rFonts w:ascii="Times New Roman" w:hAnsi="Times New Roman" w:cs="Times New Roman" w:eastAsia="Times New Roman" w:hint="default"/>
        </w:rPr>
        <w:t>6</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6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1,781,400.00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398,827.37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-1,059,811.99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1,737,868.90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3,918,096.27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1,337,188.01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七、补充资料" w:id="436"/>
      <w:bookmarkEnd w:id="436"/>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37"/>
      <w:bookmarkEnd w:id="43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2,156,009.70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3"/>
              <w:jc w:val="left"/>
              <w:rPr>
                <w:rFonts w:ascii="宋体" w:hAnsi="宋体" w:cs="宋体" w:eastAsia="宋体" w:hint="default"/>
                <w:sz w:val="18"/>
                <w:szCs w:val="18"/>
              </w:rPr>
            </w:pPr>
            <w:r>
              <w:rPr>
                <w:rFonts w:ascii="宋体" w:hAnsi="宋体" w:cs="宋体" w:eastAsia="宋体" w:hint="default"/>
                <w:sz w:val="18"/>
                <w:szCs w:val="18"/>
              </w:rPr>
              <w:t>除增值税软件退税外的政府补助、财政 贴息</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1,737,868.90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购买理财产品利息收入</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5,465.28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414,419.24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185,681.47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3,300,328.66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38"/>
      <w:bookmarkEnd w:id="43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79"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3、境内外会计准则下会计数据差异" w:id="439"/>
      <w:bookmarkEnd w:id="43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40"/>
      <w:bookmarkEnd w:id="44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41"/>
      <w:bookmarkEnd w:id="44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0" w:id="442"/>
      <w:bookmarkStart w:name="第十二节备查文件目录" w:id="443"/>
      <w:r>
        <w:rPr>
          <w:b w:val="0"/>
          <w:bCs w:val="0"/>
        </w:rPr>
      </w:r>
      <w:r>
        <w:rPr/>
        <w:t>第十二节备查文件目录</w:t>
      </w:r>
      <w:bookmarkEnd w:id="442"/>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1553" w:right="2143"/>
        <w:jc w:val="left"/>
      </w:pPr>
      <w:r>
        <w:rPr/>
        <w:t>一、载有法定代表人、主管会计工作负责人、会计机构负责人签名并盖公章的财务报表。 二、载有会计师事务所盖章、注册会计师签名并盖章的审计报告原件。 三、报告期内在中国证监会指定网站上公开披露过的所有公司文件的正本及公告原稿。 四、载有董事长签名的</w:t>
      </w:r>
      <w:r>
        <w:rPr>
          <w:rFonts w:ascii="Times New Roman" w:hAnsi="Times New Roman" w:cs="Times New Roman" w:eastAsia="Times New Roman" w:hint="default"/>
        </w:rPr>
        <w:t>2017</w:t>
      </w:r>
      <w:r>
        <w:rPr/>
        <w:t>年年度报告文本原件。</w:t>
      </w:r>
    </w:p>
    <w:p>
      <w:pPr>
        <w:pStyle w:val="BodyText"/>
        <w:spacing w:line="408" w:lineRule="auto" w:before="14"/>
        <w:ind w:left="1554" w:right="5922"/>
        <w:jc w:val="left"/>
      </w:pPr>
      <w:r>
        <w:rPr/>
        <w:t>五、其他备查文件。 以上备查文件的备置地点：公司董事会办公室。</w:t>
      </w:r>
    </w:p>
    <w:sectPr>
      <w:pgSz w:w="11910" w:h="16840"/>
      <w:pgMar w:header="86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50080" type="#_x0000_t75" stroked="false">
          <v:imagedata r:id="rId1" o:title=""/>
        </v:shape>
      </w:pict>
    </w:r>
    <w:r>
      <w:rPr/>
      <w:pict>
        <v:shape style="position:absolute;margin-left:533.179993pt;margin-top:795.517944pt;width:6.5pt;height:11pt;mso-position-horizontal-relative:page;mso-position-vertical-relative:page;z-index:-950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50032" type="#_x0000_t75" stroked="false">
          <v:imagedata r:id="rId1" o:title=""/>
        </v:shape>
      </w:pict>
    </w:r>
    <w:r>
      <w:rPr/>
      <w:pict>
        <v:shape style="position:absolute;margin-left:527.679993pt;margin-top:781.957947pt;width:13pt;height:11pt;mso-position-horizontal-relative:page;mso-position-vertical-relative:page;z-index:-950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9960" type="#_x0000_t75" stroked="false">
          <v:imagedata r:id="rId1" o:title=""/>
        </v:shape>
      </w:pict>
    </w:r>
    <w:r>
      <w:rPr/>
      <w:pict>
        <v:shape style="position:absolute;margin-left:524.179993pt;margin-top:781.957947pt;width:15.5pt;height:11pt;mso-position-horizontal-relative:page;mso-position-vertical-relative:page;z-index:-9499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9912" type="#_x0000_t75" stroked="false">
          <v:imagedata r:id="rId1" o:title=""/>
        </v:shape>
      </w:pict>
    </w:r>
    <w:r>
      <w:rPr/>
      <w:pict>
        <v:shape style="position:absolute;margin-left:523.179993pt;margin-top:781.957947pt;width:17.5pt;height:11pt;mso-position-horizontal-relative:page;mso-position-vertical-relative:page;z-index:-949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50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6.160004pt;margin-top:42.865608pt;width:213.55pt;height:11.5pt;mso-position-horizontal-relative:page;mso-position-vertical-relative:page;z-index:-949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浙江正元智慧科技股份有限公司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133"/>
    </w:pPr>
    <w:rPr>
      <w:rFonts w:ascii="宋体" w:hAnsi="宋体" w:eastAsia="宋体"/>
      <w:b/>
      <w:bCs/>
      <w:sz w:val="24"/>
      <w:szCs w:val="24"/>
    </w:rPr>
  </w:style>
  <w:style w:styleId="BodyText" w:type="paragraph">
    <w:name w:val="Body Text"/>
    <w:basedOn w:val="Normal"/>
    <w:uiPriority w:val="1"/>
    <w:qFormat/>
    <w:pPr>
      <w:spacing w:before="46"/>
      <w:ind w:left="1133"/>
    </w:pPr>
    <w:rPr>
      <w:rFonts w:ascii="宋体" w:hAnsi="宋体" w:eastAsia="宋体"/>
      <w:sz w:val="21"/>
      <w:szCs w:val="21"/>
    </w:rPr>
  </w:style>
  <w:style w:styleId="Heading1" w:type="paragraph">
    <w:name w:val="Heading 1"/>
    <w:basedOn w:val="Normal"/>
    <w:uiPriority w:val="1"/>
    <w:qFormat/>
    <w:pPr>
      <w:spacing w:before="1"/>
      <w:ind w:left="3402"/>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i/>
      <w:sz w:val="22"/>
      <w:szCs w:val="22"/>
    </w:rPr>
  </w:style>
  <w:style w:styleId="Heading4" w:type="paragraph">
    <w:name w:val="Heading 4"/>
    <w:basedOn w:val="Normal"/>
    <w:uiPriority w:val="1"/>
    <w:qFormat/>
    <w:pPr>
      <w:ind w:left="113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hzsun.com/" TargetMode="External"/><Relationship Id="rId11" Type="http://schemas.openxmlformats.org/officeDocument/2006/relationships/hyperlink" Target="mailto:ir@hzsun.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浙江正元智慧科技股份有限公司</dc:creator>
  <dc:title>浙江正元智慧科技股份有限公司2017年年度报告全文</dc:title>
  <dcterms:created xsi:type="dcterms:W3CDTF">2020-05-03T01:14:30Z</dcterms:created>
  <dcterms:modified xsi:type="dcterms:W3CDTF">2020-05-03T01:14:30Z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