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5pt;height:.1pt;mso-position-horizontal-relative:page;mso-position-vertical-relative:page;z-index:0" coordorigin="1104,982" coordsize="9700,2">
            <v:shape style="position:absolute;left:1104;top:982;width:9700;height:2" coordorigin="1104,982" coordsize="9700,0" path="m1104,982l10804,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6"/>
          <w:szCs w:val="16"/>
        </w:rPr>
      </w:pPr>
    </w:p>
    <w:p>
      <w:pPr>
        <w:spacing w:line="516" w:lineRule="exact"/>
        <w:ind w:left="4085"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9"/>
          <w:sz w:val="20"/>
          <w:szCs w:val="20"/>
        </w:rPr>
        <w:drawing>
          <wp:inline distT="0" distB="0" distL="0" distR="0">
            <wp:extent cx="1127760" cy="327659"/>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1127760" cy="327659"/>
                    </a:xfrm>
                    <a:prstGeom prst="rect">
                      <a:avLst/>
                    </a:prstGeom>
                  </pic:spPr>
                </pic:pic>
              </a:graphicData>
            </a:graphic>
          </wp:inline>
        </w:drawing>
      </w:r>
      <w:r>
        <w:rPr>
          <w:rFonts w:ascii="Times New Roman" w:hAnsi="Times New Roman" w:cs="Times New Roman" w:eastAsia="Times New Roman" w:hint="default"/>
          <w:position w:val="-9"/>
          <w:sz w:val="20"/>
          <w:szCs w:val="20"/>
        </w:rPr>
      </w:r>
    </w:p>
    <w:p>
      <w:pPr>
        <w:spacing w:line="240" w:lineRule="auto" w:before="3"/>
        <w:rPr>
          <w:rFonts w:ascii="Times New Roman" w:hAnsi="Times New Roman" w:cs="Times New Roman" w:eastAsia="Times New Roman" w:hint="default"/>
          <w:sz w:val="13"/>
          <w:szCs w:val="13"/>
        </w:rPr>
      </w:pPr>
    </w:p>
    <w:p>
      <w:pPr>
        <w:spacing w:line="460" w:lineRule="exact" w:before="0"/>
        <w:ind w:left="0" w:right="977" w:firstLine="0"/>
        <w:jc w:val="center"/>
        <w:rPr>
          <w:rFonts w:ascii="宋体" w:hAnsi="宋体" w:cs="宋体" w:eastAsia="宋体" w:hint="default"/>
          <w:sz w:val="36"/>
          <w:szCs w:val="36"/>
        </w:rPr>
      </w:pPr>
      <w:r>
        <w:rPr>
          <w:rFonts w:ascii="宋体" w:hAnsi="宋体" w:cs="宋体" w:eastAsia="宋体" w:hint="default"/>
          <w:b/>
          <w:bCs/>
          <w:sz w:val="36"/>
          <w:szCs w:val="36"/>
        </w:rPr>
        <w:t>浙江正元智慧科技股份有限公司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0" w:right="979"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2018</w:t>
      </w:r>
      <w:r>
        <w:rPr>
          <w:rFonts w:ascii="Times New Roman" w:hAnsi="Times New Roman" w:cs="Times New Roman" w:eastAsia="Times New Roman" w:hint="default"/>
          <w:b/>
          <w:bCs/>
          <w:spacing w:val="-4"/>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6"/>
        <w:rPr>
          <w:rFonts w:ascii="宋体" w:hAnsi="宋体" w:cs="宋体" w:eastAsia="宋体" w:hint="default"/>
          <w:b/>
          <w:bCs/>
          <w:sz w:val="32"/>
          <w:szCs w:val="32"/>
        </w:rPr>
      </w:pPr>
    </w:p>
    <w:p>
      <w:pPr>
        <w:spacing w:before="0"/>
        <w:ind w:left="0" w:right="976" w:firstLine="0"/>
        <w:jc w:val="center"/>
        <w:rPr>
          <w:rFonts w:ascii="Times New Roman" w:hAnsi="Times New Roman" w:cs="Times New Roman" w:eastAsia="Times New Roman" w:hint="default"/>
          <w:sz w:val="22"/>
          <w:szCs w:val="22"/>
        </w:rPr>
      </w:pPr>
      <w:r>
        <w:rPr>
          <w:rFonts w:ascii="Times New Roman"/>
          <w:b/>
          <w:sz w:val="22"/>
        </w:rPr>
        <w:t>2019-009</w:t>
      </w:r>
      <w:r>
        <w:rPr>
          <w:rFonts w:ascii="Times New Roman"/>
          <w:sz w:val="22"/>
        </w:rPr>
      </w: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before="129"/>
        <w:ind w:left="0" w:right="976"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2019</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03</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79" w:top="1060" w:bottom="1160" w:left="980" w:right="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5" w:right="0"/>
        <w:jc w:val="left"/>
        <w:rPr>
          <w:b w:val="0"/>
          <w:bCs w:val="0"/>
        </w:rPr>
      </w:pPr>
      <w:bookmarkStart w:name="第一节 重要提示、目录和释义" w:id="1"/>
      <w:bookmarkEnd w:id="1"/>
      <w:r>
        <w:rPr>
          <w:b w:val="0"/>
          <w:bCs w:val="0"/>
        </w:rPr>
      </w:r>
      <w:r>
        <w:rPr/>
        <w:t>第一节</w:t>
      </w:r>
      <w:r>
        <w:rPr>
          <w:spacing w:val="-11"/>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1"/>
        <w:ind w:left="154" w:right="1141"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实、准确、完整，不存在虚假记载、误导性陈述或重大遗漏，并承担个别和连</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386" w:lineRule="auto" w:before="161"/>
        <w:ind w:left="154" w:right="1132"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公司负责人陈坚、主管会计工作负责人陈根清及会计机构负责人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会计主管</w:t>
      </w:r>
      <w:r>
        <w:rPr>
          <w:rFonts w:ascii="宋体" w:hAnsi="宋体" w:cs="宋体" w:eastAsia="宋体" w:hint="default"/>
          <w:b/>
          <w:bCs/>
          <w:spacing w:val="1"/>
          <w:w w:val="99"/>
          <w:sz w:val="28"/>
          <w:szCs w:val="28"/>
        </w:rPr>
        <w:t> </w:t>
      </w:r>
      <w:r>
        <w:rPr>
          <w:rFonts w:ascii="宋体" w:hAnsi="宋体" w:cs="宋体" w:eastAsia="宋体" w:hint="default"/>
          <w:b/>
          <w:bCs/>
          <w:sz w:val="28"/>
          <w:szCs w:val="28"/>
        </w:rPr>
        <w:t>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包建军声明：保证年度报告中财务报告的真实、准确、完整。</w:t>
      </w:r>
      <w:r>
        <w:rPr>
          <w:rFonts w:ascii="宋体" w:hAnsi="宋体" w:cs="宋体" w:eastAsia="宋体" w:hint="default"/>
          <w:sz w:val="28"/>
          <w:szCs w:val="28"/>
        </w:rPr>
      </w:r>
    </w:p>
    <w:p>
      <w:pPr>
        <w:spacing w:line="472" w:lineRule="auto" w:before="147"/>
        <w:ind w:left="716" w:right="0"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本报告所涉及的发展战略及未来计划等前瞻性陈述，不构成公司对投资者</w:t>
      </w:r>
      <w:r>
        <w:rPr>
          <w:rFonts w:ascii="宋体" w:hAnsi="宋体" w:cs="宋体" w:eastAsia="宋体" w:hint="default"/>
          <w:spacing w:val="3"/>
          <w:sz w:val="28"/>
          <w:szCs w:val="28"/>
        </w:rPr>
      </w:r>
    </w:p>
    <w:p>
      <w:pPr>
        <w:spacing w:line="410" w:lineRule="auto" w:before="0"/>
        <w:ind w:left="154" w:right="1143" w:firstLine="0"/>
        <w:jc w:val="both"/>
        <w:rPr>
          <w:rFonts w:ascii="宋体" w:hAnsi="宋体" w:cs="宋体" w:eastAsia="宋体" w:hint="default"/>
          <w:sz w:val="28"/>
          <w:szCs w:val="28"/>
        </w:rPr>
      </w:pPr>
      <w:r>
        <w:rPr>
          <w:rFonts w:ascii="宋体" w:hAnsi="宋体" w:cs="宋体" w:eastAsia="宋体" w:hint="default"/>
          <w:b/>
          <w:bCs/>
          <w:spacing w:val="3"/>
          <w:w w:val="95"/>
          <w:sz w:val="28"/>
          <w:szCs w:val="28"/>
        </w:rPr>
        <w:t>的实质承诺。投资者及相关人士均应当对此保持足够的风险认识，并且应当理</w:t>
      </w:r>
      <w:r>
        <w:rPr>
          <w:rFonts w:ascii="宋体" w:hAnsi="宋体" w:cs="宋体" w:eastAsia="宋体" w:hint="default"/>
          <w:b/>
          <w:bCs/>
          <w:spacing w:val="24"/>
          <w:w w:val="95"/>
          <w:sz w:val="28"/>
          <w:szCs w:val="28"/>
        </w:rPr>
        <w:t> </w:t>
      </w:r>
      <w:r>
        <w:rPr>
          <w:rFonts w:ascii="宋体" w:hAnsi="宋体" w:cs="宋体" w:eastAsia="宋体" w:hint="default"/>
          <w:b/>
          <w:bCs/>
          <w:spacing w:val="24"/>
          <w:w w:val="95"/>
          <w:sz w:val="28"/>
          <w:szCs w:val="28"/>
        </w:rPr>
      </w:r>
      <w:r>
        <w:rPr>
          <w:rFonts w:ascii="宋体" w:hAnsi="宋体" w:cs="宋体" w:eastAsia="宋体" w:hint="default"/>
          <w:b/>
          <w:bCs/>
          <w:sz w:val="28"/>
          <w:szCs w:val="28"/>
        </w:rPr>
        <w:t>解计划、预测与承诺之间的差异。</w:t>
      </w:r>
      <w:r>
        <w:rPr>
          <w:rFonts w:ascii="宋体" w:hAnsi="宋体" w:cs="宋体" w:eastAsia="宋体" w:hint="default"/>
          <w:sz w:val="28"/>
          <w:szCs w:val="28"/>
        </w:rPr>
      </w:r>
    </w:p>
    <w:p>
      <w:pPr>
        <w:spacing w:line="446" w:lineRule="auto" w:before="159"/>
        <w:ind w:left="716" w:right="0" w:firstLine="0"/>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1</w:t>
      </w:r>
      <w:r>
        <w:rPr>
          <w:rFonts w:ascii="宋体" w:hAnsi="宋体" w:cs="宋体" w:eastAsia="宋体" w:hint="default"/>
          <w:b/>
          <w:bCs/>
          <w:sz w:val="28"/>
          <w:szCs w:val="28"/>
        </w:rPr>
        <w:t>、行业竞争风险</w:t>
      </w:r>
      <w:r>
        <w:rPr>
          <w:rFonts w:ascii="宋体" w:hAnsi="宋体" w:cs="宋体" w:eastAsia="宋体" w:hint="default"/>
          <w:b/>
          <w:bCs/>
          <w:spacing w:val="1"/>
          <w:w w:val="99"/>
          <w:sz w:val="28"/>
          <w:szCs w:val="28"/>
        </w:rPr>
        <w:t> </w:t>
      </w:r>
      <w:r>
        <w:rPr>
          <w:rFonts w:ascii="宋体" w:hAnsi="宋体" w:cs="宋体" w:eastAsia="宋体" w:hint="default"/>
          <w:b/>
          <w:bCs/>
          <w:spacing w:val="3"/>
          <w:w w:val="95"/>
          <w:sz w:val="28"/>
          <w:szCs w:val="28"/>
        </w:rPr>
        <w:t>随着一卡通行业的市场不断成熟，行业竞争不断加剧，以考勤、门禁、消</w:t>
      </w:r>
      <w:r>
        <w:rPr>
          <w:rFonts w:ascii="宋体" w:hAnsi="宋体" w:cs="宋体" w:eastAsia="宋体" w:hint="default"/>
          <w:spacing w:val="3"/>
          <w:sz w:val="28"/>
          <w:szCs w:val="28"/>
        </w:rPr>
      </w:r>
    </w:p>
    <w:p>
      <w:pPr>
        <w:spacing w:line="408" w:lineRule="auto" w:before="16"/>
        <w:ind w:left="154" w:right="1130" w:firstLine="0"/>
        <w:jc w:val="both"/>
        <w:rPr>
          <w:rFonts w:ascii="宋体" w:hAnsi="宋体" w:cs="宋体" w:eastAsia="宋体" w:hint="default"/>
          <w:sz w:val="28"/>
          <w:szCs w:val="28"/>
        </w:rPr>
      </w:pPr>
      <w:r>
        <w:rPr>
          <w:rFonts w:ascii="宋体" w:hAnsi="宋体" w:cs="宋体" w:eastAsia="宋体" w:hint="default"/>
          <w:b/>
          <w:bCs/>
          <w:spacing w:val="3"/>
          <w:w w:val="95"/>
          <w:sz w:val="28"/>
          <w:szCs w:val="28"/>
        </w:rPr>
        <w:t>费为主的传统一卡通厂商竞争激烈。公司以一卡通为基础开展数据治理与决策</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分析，积极拓展智慧校园业务及行业应用，以提升公司的市场竞争地位。随着</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以支付宝、腾讯、银联为主的第三方支付公司纷纷加入行业竞争，并且行业升</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级、运营模式等变化带来了新的行业竞争。如果本公司不能积极采取措施应对</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行业挑战，保持企业竞争优势，则有可能导致市场份额减少、营业收入下降，</w:t>
      </w:r>
      <w:r>
        <w:rPr>
          <w:rFonts w:ascii="宋体" w:hAnsi="宋体" w:cs="宋体" w:eastAsia="宋体" w:hint="default"/>
          <w:b/>
          <w:bCs/>
          <w:spacing w:val="36"/>
          <w:w w:val="95"/>
          <w:sz w:val="28"/>
          <w:szCs w:val="28"/>
        </w:rPr>
        <w:t> </w:t>
      </w:r>
      <w:r>
        <w:rPr>
          <w:rFonts w:ascii="宋体" w:hAnsi="宋体" w:cs="宋体" w:eastAsia="宋体" w:hint="default"/>
          <w:b/>
          <w:bCs/>
          <w:spacing w:val="36"/>
          <w:w w:val="95"/>
          <w:sz w:val="28"/>
          <w:szCs w:val="28"/>
        </w:rPr>
      </w:r>
      <w:r>
        <w:rPr>
          <w:rFonts w:ascii="宋体" w:hAnsi="宋体" w:cs="宋体" w:eastAsia="宋体" w:hint="default"/>
          <w:b/>
          <w:bCs/>
          <w:sz w:val="28"/>
          <w:szCs w:val="28"/>
        </w:rPr>
        <w:t>从而对公司盈利能力产生较大不利影响。</w:t>
      </w:r>
      <w:r>
        <w:rPr>
          <w:rFonts w:ascii="宋体" w:hAnsi="宋体" w:cs="宋体" w:eastAsia="宋体" w:hint="default"/>
          <w:sz w:val="28"/>
          <w:szCs w:val="28"/>
        </w:rPr>
      </w:r>
    </w:p>
    <w:p>
      <w:pPr>
        <w:spacing w:line="448" w:lineRule="auto" w:before="161"/>
        <w:ind w:left="716" w:right="0" w:firstLine="0"/>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2</w:t>
      </w:r>
      <w:r>
        <w:rPr>
          <w:rFonts w:ascii="宋体" w:hAnsi="宋体" w:cs="宋体" w:eastAsia="宋体" w:hint="default"/>
          <w:b/>
          <w:bCs/>
          <w:sz w:val="28"/>
          <w:szCs w:val="28"/>
        </w:rPr>
        <w:t>、生产经营季节性波动风险</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公司主营业务中教育行业占比较高，存在比较明显的季节性特征：因为校</w:t>
      </w:r>
      <w:r>
        <w:rPr>
          <w:rFonts w:ascii="宋体" w:hAnsi="宋体" w:cs="宋体" w:eastAsia="宋体" w:hint="default"/>
          <w:spacing w:val="3"/>
          <w:sz w:val="28"/>
          <w:szCs w:val="28"/>
        </w:rPr>
      </w:r>
    </w:p>
    <w:p>
      <w:pPr>
        <w:spacing w:after="0" w:line="448" w:lineRule="auto"/>
        <w:jc w:val="left"/>
        <w:rPr>
          <w:rFonts w:ascii="宋体" w:hAnsi="宋体" w:cs="宋体" w:eastAsia="宋体" w:hint="default"/>
          <w:sz w:val="28"/>
          <w:szCs w:val="28"/>
        </w:rPr>
        <w:sectPr>
          <w:footerReference w:type="default" r:id="rId8"/>
          <w:pgSz w:w="11910" w:h="16840"/>
          <w:pgMar w:footer="979" w:header="747" w:top="1060" w:bottom="1160" w:left="980" w:right="0"/>
          <w:pgNumType w:start="2"/>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7"/>
        <w:rPr>
          <w:rFonts w:ascii="宋体" w:hAnsi="宋体" w:cs="宋体" w:eastAsia="宋体" w:hint="default"/>
          <w:b/>
          <w:bCs/>
          <w:sz w:val="29"/>
          <w:szCs w:val="29"/>
        </w:rPr>
      </w:pPr>
    </w:p>
    <w:p>
      <w:pPr>
        <w:spacing w:line="408" w:lineRule="auto" w:before="13"/>
        <w:ind w:left="154" w:right="1144" w:firstLine="0"/>
        <w:jc w:val="both"/>
        <w:rPr>
          <w:rFonts w:ascii="宋体" w:hAnsi="宋体" w:cs="宋体" w:eastAsia="宋体" w:hint="default"/>
          <w:sz w:val="28"/>
          <w:szCs w:val="28"/>
        </w:rPr>
      </w:pPr>
      <w:r>
        <w:rPr>
          <w:rFonts w:ascii="宋体" w:hAnsi="宋体" w:cs="宋体" w:eastAsia="宋体" w:hint="default"/>
          <w:b/>
          <w:bCs/>
          <w:spacing w:val="3"/>
          <w:w w:val="95"/>
          <w:sz w:val="28"/>
          <w:szCs w:val="28"/>
        </w:rPr>
        <w:t>园项目建设受学校寒暑假的影响，通常在第一季度启动建设计划，第二季度完</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成项目的商务谈判及合同确认，在第三季度进入项目实施高峰，完成发货、安</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装、调试及验收等工作，在第四季度进入收入确认及款项回收高峰。上述季节</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性特征使得公司的采购、生产、发货、安装、验收和收付款出现明显的季节性</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波动，存在生产经营季节性风险。</w:t>
      </w:r>
      <w:r>
        <w:rPr>
          <w:rFonts w:ascii="宋体" w:hAnsi="宋体" w:cs="宋体" w:eastAsia="宋体" w:hint="default"/>
          <w:sz w:val="28"/>
          <w:szCs w:val="28"/>
        </w:rPr>
      </w:r>
    </w:p>
    <w:p>
      <w:pPr>
        <w:spacing w:line="448" w:lineRule="auto" w:before="161"/>
        <w:ind w:left="716" w:right="0" w:firstLine="0"/>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3</w:t>
      </w:r>
      <w:r>
        <w:rPr>
          <w:rFonts w:ascii="宋体" w:hAnsi="宋体" w:cs="宋体" w:eastAsia="宋体" w:hint="default"/>
          <w:b/>
          <w:bCs/>
          <w:sz w:val="28"/>
          <w:szCs w:val="28"/>
        </w:rPr>
        <w:t>、技术与产品开发风险</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随着物联网、云计算、大数据、人工智能、区块链等技术的不断演进，客</w:t>
      </w:r>
      <w:r>
        <w:rPr>
          <w:rFonts w:ascii="宋体" w:hAnsi="宋体" w:cs="宋体" w:eastAsia="宋体" w:hint="default"/>
          <w:spacing w:val="3"/>
          <w:sz w:val="28"/>
          <w:szCs w:val="28"/>
        </w:rPr>
      </w:r>
    </w:p>
    <w:p>
      <w:pPr>
        <w:spacing w:line="408" w:lineRule="auto" w:before="14"/>
        <w:ind w:left="154" w:right="1144" w:firstLine="0"/>
        <w:jc w:val="both"/>
        <w:rPr>
          <w:rFonts w:ascii="宋体" w:hAnsi="宋体" w:cs="宋体" w:eastAsia="宋体" w:hint="default"/>
          <w:sz w:val="28"/>
          <w:szCs w:val="28"/>
        </w:rPr>
      </w:pPr>
      <w:r>
        <w:rPr>
          <w:rFonts w:ascii="宋体" w:hAnsi="宋体" w:cs="宋体" w:eastAsia="宋体" w:hint="default"/>
          <w:b/>
          <w:bCs/>
          <w:spacing w:val="3"/>
          <w:w w:val="95"/>
          <w:sz w:val="28"/>
          <w:szCs w:val="28"/>
        </w:rPr>
        <w:t>户对软硬件产品的功能和要求不断提高，公司需要不断进行新技术应用和新产</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品的研发升级。公司虽拥有较强的自主研发和技术创新实力，但若不能准确把</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握行业发展趋势和市场需求变化，将会导致技术决策失误，产品开发滞后，使</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公司丧失技术和市场优势，面临技术与产品开发风险。</w:t>
      </w:r>
      <w:r>
        <w:rPr>
          <w:rFonts w:ascii="宋体" w:hAnsi="宋体" w:cs="宋体" w:eastAsia="宋体" w:hint="default"/>
          <w:sz w:val="28"/>
          <w:szCs w:val="28"/>
        </w:rPr>
      </w:r>
    </w:p>
    <w:p>
      <w:pPr>
        <w:spacing w:line="446" w:lineRule="auto" w:before="161"/>
        <w:ind w:left="716" w:right="0" w:firstLine="0"/>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4</w:t>
      </w:r>
      <w:r>
        <w:rPr>
          <w:rFonts w:ascii="宋体" w:hAnsi="宋体" w:cs="宋体" w:eastAsia="宋体" w:hint="default"/>
          <w:b/>
          <w:bCs/>
          <w:sz w:val="28"/>
          <w:szCs w:val="28"/>
        </w:rPr>
        <w:t>、应收账款回收风险</w:t>
      </w:r>
      <w:r>
        <w:rPr>
          <w:rFonts w:ascii="宋体" w:hAnsi="宋体" w:cs="宋体" w:eastAsia="宋体" w:hint="default"/>
          <w:b/>
          <w:bCs/>
          <w:w w:val="99"/>
          <w:sz w:val="28"/>
          <w:szCs w:val="28"/>
        </w:rPr>
        <w:t> </w:t>
      </w:r>
      <w:r>
        <w:rPr>
          <w:rFonts w:ascii="宋体" w:hAnsi="宋体" w:cs="宋体" w:eastAsia="宋体" w:hint="default"/>
          <w:b/>
          <w:bCs/>
          <w:spacing w:val="-2"/>
          <w:w w:val="95"/>
          <w:sz w:val="28"/>
          <w:szCs w:val="28"/>
        </w:rPr>
        <w:t>公司系统建设项目集成度较高，项目实施完成后需试运行并通过客户验收，</w:t>
      </w:r>
      <w:r>
        <w:rPr>
          <w:rFonts w:ascii="宋体" w:hAnsi="宋体" w:cs="宋体" w:eastAsia="宋体" w:hint="default"/>
          <w:spacing w:val="-2"/>
          <w:sz w:val="28"/>
          <w:szCs w:val="28"/>
        </w:rPr>
      </w:r>
    </w:p>
    <w:p>
      <w:pPr>
        <w:spacing w:line="408" w:lineRule="auto" w:before="16"/>
        <w:ind w:left="154" w:right="1003" w:firstLine="0"/>
        <w:jc w:val="both"/>
        <w:rPr>
          <w:rFonts w:ascii="宋体" w:hAnsi="宋体" w:cs="宋体" w:eastAsia="宋体" w:hint="default"/>
          <w:sz w:val="28"/>
          <w:szCs w:val="28"/>
        </w:rPr>
      </w:pPr>
      <w:r>
        <w:rPr>
          <w:rFonts w:ascii="宋体" w:hAnsi="宋体" w:cs="宋体" w:eastAsia="宋体" w:hint="default"/>
          <w:b/>
          <w:bCs/>
          <w:spacing w:val="3"/>
          <w:sz w:val="28"/>
          <w:szCs w:val="28"/>
        </w:rPr>
        <w:t>建设周期较长。而且近几年由银行、运营商投资建设的项目比例较高，其验收</w:t>
      </w:r>
      <w:r>
        <w:rPr>
          <w:rFonts w:ascii="宋体" w:hAnsi="宋体" w:cs="宋体" w:eastAsia="宋体" w:hint="default"/>
          <w:b/>
          <w:bCs/>
          <w:w w:val="99"/>
          <w:sz w:val="28"/>
          <w:szCs w:val="28"/>
        </w:rPr>
        <w:t> </w:t>
      </w:r>
      <w:r>
        <w:rPr>
          <w:rFonts w:ascii="宋体" w:hAnsi="宋体" w:cs="宋体" w:eastAsia="宋体" w:hint="default"/>
          <w:b/>
          <w:bCs/>
          <w:spacing w:val="3"/>
          <w:sz w:val="28"/>
          <w:szCs w:val="28"/>
        </w:rPr>
        <w:t>审计及付款流程较复杂，回款周期较长，导致应收账款回收风险较大。由于学</w:t>
      </w:r>
      <w:r>
        <w:rPr>
          <w:rFonts w:ascii="宋体" w:hAnsi="宋体" w:cs="宋体" w:eastAsia="宋体" w:hint="default"/>
          <w:b/>
          <w:bCs/>
          <w:w w:val="99"/>
          <w:sz w:val="28"/>
          <w:szCs w:val="28"/>
        </w:rPr>
        <w:t> </w:t>
      </w:r>
      <w:r>
        <w:rPr>
          <w:rFonts w:ascii="宋体" w:hAnsi="宋体" w:cs="宋体" w:eastAsia="宋体" w:hint="default"/>
          <w:b/>
          <w:bCs/>
          <w:spacing w:val="3"/>
          <w:sz w:val="28"/>
          <w:szCs w:val="28"/>
        </w:rPr>
        <w:t>校及银行、运营商等客户商业信誉良好，且从历史应收账款回收数据分析，公</w:t>
      </w:r>
      <w:r>
        <w:rPr>
          <w:rFonts w:ascii="宋体" w:hAnsi="宋体" w:cs="宋体" w:eastAsia="宋体" w:hint="default"/>
          <w:b/>
          <w:bCs/>
          <w:w w:val="99"/>
          <w:sz w:val="28"/>
          <w:szCs w:val="28"/>
        </w:rPr>
        <w:t> </w:t>
      </w:r>
      <w:r>
        <w:rPr>
          <w:rFonts w:ascii="宋体" w:hAnsi="宋体" w:cs="宋体" w:eastAsia="宋体" w:hint="default"/>
          <w:b/>
          <w:bCs/>
          <w:spacing w:val="3"/>
          <w:sz w:val="28"/>
          <w:szCs w:val="28"/>
        </w:rPr>
        <w:t>司应收账款的坏账率风险较小。但随着公司业务规模的不断扩大，应收账款可</w:t>
      </w:r>
      <w:r>
        <w:rPr>
          <w:rFonts w:ascii="宋体" w:hAnsi="宋体" w:cs="宋体" w:eastAsia="宋体" w:hint="default"/>
          <w:b/>
          <w:bCs/>
          <w:w w:val="99"/>
          <w:sz w:val="28"/>
          <w:szCs w:val="28"/>
        </w:rPr>
        <w:t> </w:t>
      </w:r>
      <w:r>
        <w:rPr>
          <w:rFonts w:ascii="宋体" w:hAnsi="宋体" w:cs="宋体" w:eastAsia="宋体" w:hint="default"/>
          <w:b/>
          <w:bCs/>
          <w:spacing w:val="3"/>
          <w:sz w:val="28"/>
          <w:szCs w:val="28"/>
        </w:rPr>
        <w:t>能会相应增加。如果出现应收账款不能按期回收的情况，公司将面临流动资金</w:t>
      </w:r>
      <w:r>
        <w:rPr>
          <w:rFonts w:ascii="宋体" w:hAnsi="宋体" w:cs="宋体" w:eastAsia="宋体" w:hint="default"/>
          <w:b/>
          <w:bCs/>
          <w:w w:val="99"/>
          <w:sz w:val="28"/>
          <w:szCs w:val="28"/>
        </w:rPr>
        <w:t> </w:t>
      </w:r>
      <w:r>
        <w:rPr>
          <w:rFonts w:ascii="宋体" w:hAnsi="宋体" w:cs="宋体" w:eastAsia="宋体" w:hint="default"/>
          <w:b/>
          <w:bCs/>
          <w:spacing w:val="-2"/>
          <w:w w:val="95"/>
          <w:sz w:val="28"/>
          <w:szCs w:val="28"/>
        </w:rPr>
        <w:t>短缺的风险，从而影响正常经营，对公司的持续盈利能力造成一定的不利影响。</w:t>
      </w:r>
      <w:r>
        <w:rPr>
          <w:rFonts w:ascii="宋体" w:hAnsi="宋体" w:cs="宋体" w:eastAsia="宋体" w:hint="default"/>
          <w:spacing w:val="-2"/>
          <w:sz w:val="28"/>
          <w:szCs w:val="28"/>
        </w:rPr>
      </w:r>
    </w:p>
    <w:p>
      <w:pPr>
        <w:spacing w:line="446" w:lineRule="auto" w:before="162"/>
        <w:ind w:left="716" w:right="0" w:firstLine="0"/>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5</w:t>
      </w:r>
      <w:r>
        <w:rPr>
          <w:rFonts w:ascii="宋体" w:hAnsi="宋体" w:cs="宋体" w:eastAsia="宋体" w:hint="default"/>
          <w:b/>
          <w:bCs/>
          <w:sz w:val="28"/>
          <w:szCs w:val="28"/>
        </w:rPr>
        <w:t>、人才流失风险</w:t>
      </w:r>
      <w:r>
        <w:rPr>
          <w:rFonts w:ascii="宋体" w:hAnsi="宋体" w:cs="宋体" w:eastAsia="宋体" w:hint="default"/>
          <w:b/>
          <w:bCs/>
          <w:spacing w:val="1"/>
          <w:w w:val="99"/>
          <w:sz w:val="28"/>
          <w:szCs w:val="28"/>
        </w:rPr>
        <w:t> </w:t>
      </w:r>
      <w:r>
        <w:rPr>
          <w:rFonts w:ascii="宋体" w:hAnsi="宋体" w:cs="宋体" w:eastAsia="宋体" w:hint="default"/>
          <w:b/>
          <w:bCs/>
          <w:spacing w:val="3"/>
          <w:w w:val="95"/>
          <w:sz w:val="28"/>
          <w:szCs w:val="28"/>
        </w:rPr>
        <w:t>人才是企业的核心竞争力，高素质的产品研发、技术维护、市场营销及管</w:t>
      </w:r>
      <w:r>
        <w:rPr>
          <w:rFonts w:ascii="宋体" w:hAnsi="宋体" w:cs="宋体" w:eastAsia="宋体" w:hint="default"/>
          <w:spacing w:val="3"/>
          <w:sz w:val="28"/>
          <w:szCs w:val="28"/>
        </w:rPr>
      </w:r>
    </w:p>
    <w:p>
      <w:pPr>
        <w:spacing w:after="0" w:line="446" w:lineRule="auto"/>
        <w:jc w:val="left"/>
        <w:rPr>
          <w:rFonts w:ascii="宋体" w:hAnsi="宋体" w:cs="宋体" w:eastAsia="宋体" w:hint="default"/>
          <w:sz w:val="28"/>
          <w:szCs w:val="28"/>
        </w:rPr>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3"/>
          <w:szCs w:val="13"/>
        </w:rPr>
      </w:pPr>
    </w:p>
    <w:p>
      <w:pPr>
        <w:spacing w:line="408" w:lineRule="auto" w:before="13"/>
        <w:ind w:left="154" w:right="1138" w:firstLine="0"/>
        <w:jc w:val="both"/>
        <w:rPr>
          <w:rFonts w:ascii="宋体" w:hAnsi="宋体" w:cs="宋体" w:eastAsia="宋体" w:hint="default"/>
          <w:sz w:val="28"/>
          <w:szCs w:val="28"/>
        </w:rPr>
      </w:pPr>
      <w:r>
        <w:rPr>
          <w:rFonts w:ascii="宋体" w:hAnsi="宋体" w:cs="宋体" w:eastAsia="宋体" w:hint="default"/>
          <w:b/>
          <w:bCs/>
          <w:spacing w:val="3"/>
          <w:w w:val="95"/>
          <w:sz w:val="28"/>
          <w:szCs w:val="28"/>
        </w:rPr>
        <w:t>理人才是公司持续发展的重要因素。随着计算机行业的不断发展，对上述人才</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的需求日趋强烈。公司处于杭州未来科技城板块，企业对人才资源的竞争比较</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激烈。公司通过提供有竞争力的薪酬福利，建立公平的晋升机制和完善的培训</w:t>
      </w:r>
      <w:r>
        <w:rPr>
          <w:rFonts w:ascii="宋体" w:hAnsi="宋体" w:cs="宋体" w:eastAsia="宋体" w:hint="default"/>
          <w:b/>
          <w:bCs/>
          <w:spacing w:val="29"/>
          <w:w w:val="95"/>
          <w:sz w:val="28"/>
          <w:szCs w:val="28"/>
        </w:rPr>
        <w:t> </w:t>
      </w:r>
      <w:r>
        <w:rPr>
          <w:rFonts w:ascii="宋体" w:hAnsi="宋体" w:cs="宋体" w:eastAsia="宋体" w:hint="default"/>
          <w:b/>
          <w:bCs/>
          <w:spacing w:val="29"/>
          <w:w w:val="95"/>
          <w:sz w:val="28"/>
          <w:szCs w:val="28"/>
        </w:rPr>
      </w:r>
      <w:r>
        <w:rPr>
          <w:rFonts w:ascii="宋体" w:hAnsi="宋体" w:cs="宋体" w:eastAsia="宋体" w:hint="default"/>
          <w:b/>
          <w:bCs/>
          <w:spacing w:val="3"/>
          <w:w w:val="95"/>
          <w:sz w:val="28"/>
          <w:szCs w:val="28"/>
        </w:rPr>
        <w:t>体系，增强人才队伍的稳定性。但若公司核心研发、服务、销售和管理人员流</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失，且不能及时获得相应补充，短期将对公司的盈利能力产生不利影响。</w:t>
      </w:r>
      <w:r>
        <w:rPr>
          <w:rFonts w:ascii="宋体" w:hAnsi="宋体" w:cs="宋体" w:eastAsia="宋体" w:hint="default"/>
          <w:sz w:val="28"/>
          <w:szCs w:val="28"/>
        </w:rPr>
      </w:r>
    </w:p>
    <w:p>
      <w:pPr>
        <w:spacing w:before="161"/>
        <w:ind w:left="716" w:right="0" w:firstLine="0"/>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6</w:t>
      </w:r>
      <w:r>
        <w:rPr>
          <w:rFonts w:ascii="宋体" w:hAnsi="宋体" w:cs="宋体" w:eastAsia="宋体" w:hint="default"/>
          <w:b/>
          <w:bCs/>
          <w:sz w:val="28"/>
          <w:szCs w:val="28"/>
        </w:rPr>
        <w:t>、利润分配及资本公积金转增股本预案的风险</w:t>
      </w:r>
      <w:r>
        <w:rPr>
          <w:rFonts w:ascii="宋体" w:hAnsi="宋体" w:cs="宋体" w:eastAsia="宋体" w:hint="default"/>
          <w:sz w:val="28"/>
          <w:szCs w:val="28"/>
        </w:rPr>
      </w:r>
    </w:p>
    <w:p>
      <w:pPr>
        <w:spacing w:line="240" w:lineRule="auto" w:before="9"/>
        <w:rPr>
          <w:rFonts w:ascii="宋体" w:hAnsi="宋体" w:cs="宋体" w:eastAsia="宋体" w:hint="default"/>
          <w:b/>
          <w:bCs/>
          <w:sz w:val="25"/>
          <w:szCs w:val="25"/>
        </w:rPr>
      </w:pPr>
    </w:p>
    <w:p>
      <w:pPr>
        <w:spacing w:before="0"/>
        <w:ind w:left="716" w:right="0" w:firstLine="0"/>
        <w:jc w:val="left"/>
        <w:rPr>
          <w:rFonts w:ascii="宋体" w:hAnsi="宋体" w:cs="宋体" w:eastAsia="宋体" w:hint="default"/>
          <w:sz w:val="28"/>
          <w:szCs w:val="28"/>
        </w:rPr>
      </w:pPr>
      <w:r>
        <w:rPr>
          <w:rFonts w:ascii="宋体" w:hAnsi="宋体" w:cs="宋体" w:eastAsia="宋体" w:hint="default"/>
          <w:b/>
          <w:bCs/>
          <w:sz w:val="28"/>
          <w:szCs w:val="28"/>
        </w:rPr>
        <w:t>公司于</w:t>
      </w:r>
      <w:r>
        <w:rPr>
          <w:rFonts w:ascii="宋体" w:hAnsi="宋体" w:cs="宋体" w:eastAsia="宋体" w:hint="default"/>
          <w:b/>
          <w:bCs/>
          <w:spacing w:val="-73"/>
          <w:sz w:val="28"/>
          <w:szCs w:val="28"/>
        </w:rPr>
        <w:t> </w:t>
      </w:r>
      <w:r>
        <w:rPr>
          <w:rFonts w:ascii="Times New Roman" w:hAnsi="Times New Roman" w:cs="Times New Roman" w:eastAsia="Times New Roman" w:hint="default"/>
          <w:b/>
          <w:bCs/>
          <w:sz w:val="28"/>
          <w:szCs w:val="28"/>
        </w:rPr>
        <w:t>2019</w:t>
      </w:r>
      <w:r>
        <w:rPr>
          <w:rFonts w:ascii="Times New Roman" w:hAnsi="Times New Roman" w:cs="Times New Roman" w:eastAsia="Times New Roman" w:hint="default"/>
          <w:b/>
          <w:bCs/>
          <w:spacing w:val="-2"/>
          <w:sz w:val="28"/>
          <w:szCs w:val="28"/>
        </w:rPr>
        <w:t> </w:t>
      </w:r>
      <w:r>
        <w:rPr>
          <w:rFonts w:ascii="宋体" w:hAnsi="宋体" w:cs="宋体" w:eastAsia="宋体" w:hint="default"/>
          <w:b/>
          <w:bCs/>
          <w:sz w:val="28"/>
          <w:szCs w:val="28"/>
        </w:rPr>
        <w:t>年</w:t>
      </w:r>
      <w:r>
        <w:rPr>
          <w:rFonts w:ascii="宋体" w:hAnsi="宋体" w:cs="宋体" w:eastAsia="宋体" w:hint="default"/>
          <w:b/>
          <w:bCs/>
          <w:spacing w:val="-74"/>
          <w:sz w:val="28"/>
          <w:szCs w:val="28"/>
        </w:rPr>
        <w:t> </w:t>
      </w:r>
      <w:r>
        <w:rPr>
          <w:rFonts w:ascii="Times New Roman" w:hAnsi="Times New Roman" w:cs="Times New Roman" w:eastAsia="Times New Roman" w:hint="default"/>
          <w:b/>
          <w:bCs/>
          <w:sz w:val="28"/>
          <w:szCs w:val="28"/>
        </w:rPr>
        <w:t>3</w:t>
      </w:r>
      <w:r>
        <w:rPr>
          <w:rFonts w:ascii="Times New Roman" w:hAnsi="Times New Roman" w:cs="Times New Roman" w:eastAsia="Times New Roman" w:hint="default"/>
          <w:b/>
          <w:bCs/>
          <w:spacing w:val="-3"/>
          <w:sz w:val="28"/>
          <w:szCs w:val="28"/>
        </w:rPr>
        <w:t> </w:t>
      </w:r>
      <w:r>
        <w:rPr>
          <w:rFonts w:ascii="宋体" w:hAnsi="宋体" w:cs="宋体" w:eastAsia="宋体" w:hint="default"/>
          <w:b/>
          <w:bCs/>
          <w:sz w:val="28"/>
          <w:szCs w:val="28"/>
        </w:rPr>
        <w:t>月</w:t>
      </w:r>
      <w:r>
        <w:rPr>
          <w:rFonts w:ascii="宋体" w:hAnsi="宋体" w:cs="宋体" w:eastAsia="宋体" w:hint="default"/>
          <w:b/>
          <w:bCs/>
          <w:spacing w:val="-73"/>
          <w:sz w:val="28"/>
          <w:szCs w:val="28"/>
        </w:rPr>
        <w:t> </w:t>
      </w:r>
      <w:r>
        <w:rPr>
          <w:rFonts w:ascii="Times New Roman" w:hAnsi="Times New Roman" w:cs="Times New Roman" w:eastAsia="Times New Roman" w:hint="default"/>
          <w:b/>
          <w:bCs/>
          <w:sz w:val="28"/>
          <w:szCs w:val="28"/>
        </w:rPr>
        <w:t>27</w:t>
      </w:r>
      <w:r>
        <w:rPr>
          <w:rFonts w:ascii="Times New Roman" w:hAnsi="Times New Roman" w:cs="Times New Roman" w:eastAsia="Times New Roman" w:hint="default"/>
          <w:b/>
          <w:bCs/>
          <w:spacing w:val="-2"/>
          <w:sz w:val="28"/>
          <w:szCs w:val="28"/>
        </w:rPr>
        <w:t> </w:t>
      </w:r>
      <w:r>
        <w:rPr>
          <w:rFonts w:ascii="宋体" w:hAnsi="宋体" w:cs="宋体" w:eastAsia="宋体" w:hint="default"/>
          <w:b/>
          <w:bCs/>
          <w:spacing w:val="-4"/>
          <w:sz w:val="28"/>
          <w:szCs w:val="28"/>
        </w:rPr>
        <w:t>日召开董事会，审议通过了《关于</w:t>
      </w:r>
      <w:r>
        <w:rPr>
          <w:rFonts w:ascii="宋体" w:hAnsi="宋体" w:cs="宋体" w:eastAsia="宋体" w:hint="default"/>
          <w:b/>
          <w:bCs/>
          <w:spacing w:val="-68"/>
          <w:sz w:val="28"/>
          <w:szCs w:val="28"/>
        </w:rPr>
        <w:t> </w:t>
      </w:r>
      <w:r>
        <w:rPr>
          <w:rFonts w:ascii="Times New Roman" w:hAnsi="Times New Roman" w:cs="Times New Roman" w:eastAsia="Times New Roman" w:hint="default"/>
          <w:b/>
          <w:bCs/>
          <w:sz w:val="28"/>
          <w:szCs w:val="28"/>
        </w:rPr>
        <w:t>2018</w:t>
      </w:r>
      <w:r>
        <w:rPr>
          <w:rFonts w:ascii="Times New Roman" w:hAnsi="Times New Roman" w:cs="Times New Roman" w:eastAsia="Times New Roman" w:hint="default"/>
          <w:b/>
          <w:bCs/>
          <w:spacing w:val="-2"/>
          <w:sz w:val="28"/>
          <w:szCs w:val="28"/>
        </w:rPr>
        <w:t> </w:t>
      </w:r>
      <w:r>
        <w:rPr>
          <w:rFonts w:ascii="宋体" w:hAnsi="宋体" w:cs="宋体" w:eastAsia="宋体" w:hint="default"/>
          <w:b/>
          <w:bCs/>
          <w:sz w:val="28"/>
          <w:szCs w:val="28"/>
        </w:rPr>
        <w:t>年度利润分</w:t>
      </w:r>
      <w:r>
        <w:rPr>
          <w:rFonts w:ascii="宋体" w:hAnsi="宋体" w:cs="宋体" w:eastAsia="宋体" w:hint="default"/>
          <w:sz w:val="28"/>
          <w:szCs w:val="28"/>
        </w:rPr>
      </w:r>
    </w:p>
    <w:p>
      <w:pPr>
        <w:spacing w:before="236"/>
        <w:ind w:left="154" w:right="0" w:firstLine="0"/>
        <w:jc w:val="both"/>
        <w:rPr>
          <w:rFonts w:ascii="宋体" w:hAnsi="宋体" w:cs="宋体" w:eastAsia="宋体" w:hint="default"/>
          <w:sz w:val="28"/>
          <w:szCs w:val="28"/>
        </w:rPr>
      </w:pPr>
      <w:r>
        <w:rPr>
          <w:rFonts w:ascii="宋体" w:hAnsi="宋体" w:cs="宋体" w:eastAsia="宋体" w:hint="default"/>
          <w:b/>
          <w:bCs/>
          <w:w w:val="99"/>
          <w:sz w:val="28"/>
          <w:szCs w:val="28"/>
        </w:rPr>
        <w:t>配及资</w:t>
      </w:r>
      <w:r>
        <w:rPr>
          <w:rFonts w:ascii="宋体" w:hAnsi="宋体" w:cs="宋体" w:eastAsia="宋体" w:hint="default"/>
          <w:b/>
          <w:bCs/>
          <w:spacing w:val="2"/>
          <w:w w:val="99"/>
          <w:sz w:val="28"/>
          <w:szCs w:val="28"/>
        </w:rPr>
        <w:t>本</w:t>
      </w:r>
      <w:r>
        <w:rPr>
          <w:rFonts w:ascii="宋体" w:hAnsi="宋体" w:cs="宋体" w:eastAsia="宋体" w:hint="default"/>
          <w:b/>
          <w:bCs/>
          <w:w w:val="99"/>
          <w:sz w:val="28"/>
          <w:szCs w:val="28"/>
        </w:rPr>
        <w:t>公积金</w:t>
      </w:r>
      <w:r>
        <w:rPr>
          <w:rFonts w:ascii="宋体" w:hAnsi="宋体" w:cs="宋体" w:eastAsia="宋体" w:hint="default"/>
          <w:b/>
          <w:bCs/>
          <w:spacing w:val="2"/>
          <w:w w:val="99"/>
          <w:sz w:val="28"/>
          <w:szCs w:val="28"/>
        </w:rPr>
        <w:t>转</w:t>
      </w:r>
      <w:r>
        <w:rPr>
          <w:rFonts w:ascii="宋体" w:hAnsi="宋体" w:cs="宋体" w:eastAsia="宋体" w:hint="default"/>
          <w:b/>
          <w:bCs/>
          <w:w w:val="99"/>
          <w:sz w:val="28"/>
          <w:szCs w:val="28"/>
        </w:rPr>
        <w:t>增股本</w:t>
      </w:r>
      <w:r>
        <w:rPr>
          <w:rFonts w:ascii="宋体" w:hAnsi="宋体" w:cs="宋体" w:eastAsia="宋体" w:hint="default"/>
          <w:b/>
          <w:bCs/>
          <w:spacing w:val="2"/>
          <w:w w:val="99"/>
          <w:sz w:val="28"/>
          <w:szCs w:val="28"/>
        </w:rPr>
        <w:t>的</w:t>
      </w:r>
      <w:r>
        <w:rPr>
          <w:rFonts w:ascii="宋体" w:hAnsi="宋体" w:cs="宋体" w:eastAsia="宋体" w:hint="default"/>
          <w:b/>
          <w:bCs/>
          <w:w w:val="99"/>
          <w:sz w:val="28"/>
          <w:szCs w:val="28"/>
        </w:rPr>
        <w:t>议案</w:t>
      </w:r>
      <w:r>
        <w:rPr>
          <w:rFonts w:ascii="宋体" w:hAnsi="宋体" w:cs="宋体" w:eastAsia="宋体" w:hint="default"/>
          <w:b/>
          <w:bCs/>
          <w:spacing w:val="-140"/>
          <w:w w:val="99"/>
          <w:sz w:val="28"/>
          <w:szCs w:val="28"/>
        </w:rPr>
        <w:t>》</w:t>
      </w:r>
      <w:r>
        <w:rPr>
          <w:rFonts w:ascii="宋体" w:hAnsi="宋体" w:cs="宋体" w:eastAsia="宋体" w:hint="default"/>
          <w:b/>
          <w:bCs/>
          <w:spacing w:val="2"/>
          <w:w w:val="99"/>
          <w:sz w:val="28"/>
          <w:szCs w:val="28"/>
        </w:rPr>
        <w:t>，</w:t>
      </w:r>
      <w:r>
        <w:rPr>
          <w:rFonts w:ascii="宋体" w:hAnsi="宋体" w:cs="宋体" w:eastAsia="宋体" w:hint="default"/>
          <w:b/>
          <w:bCs/>
          <w:w w:val="99"/>
          <w:sz w:val="28"/>
          <w:szCs w:val="28"/>
        </w:rPr>
        <w:t>同意以</w:t>
      </w:r>
      <w:r>
        <w:rPr>
          <w:rFonts w:ascii="宋体" w:hAnsi="宋体" w:cs="宋体" w:eastAsia="宋体" w:hint="default"/>
          <w:b/>
          <w:bCs/>
          <w:spacing w:val="2"/>
          <w:w w:val="99"/>
          <w:sz w:val="28"/>
          <w:szCs w:val="28"/>
        </w:rPr>
        <w:t>公</w:t>
      </w:r>
      <w:r>
        <w:rPr>
          <w:rFonts w:ascii="宋体" w:hAnsi="宋体" w:cs="宋体" w:eastAsia="宋体" w:hint="default"/>
          <w:b/>
          <w:bCs/>
          <w:w w:val="99"/>
          <w:sz w:val="28"/>
          <w:szCs w:val="28"/>
        </w:rPr>
        <w:t>司</w:t>
      </w:r>
      <w:r>
        <w:rPr>
          <w:rFonts w:ascii="宋体" w:hAnsi="宋体" w:cs="宋体" w:eastAsia="宋体" w:hint="default"/>
          <w:b/>
          <w:bCs/>
          <w:spacing w:val="-50"/>
          <w:sz w:val="28"/>
          <w:szCs w:val="28"/>
        </w:rPr>
        <w:t> </w:t>
      </w:r>
      <w:r>
        <w:rPr>
          <w:rFonts w:ascii="Times New Roman" w:hAnsi="Times New Roman" w:cs="Times New Roman" w:eastAsia="Times New Roman" w:hint="default"/>
          <w:b/>
          <w:bCs/>
          <w:w w:val="99"/>
          <w:sz w:val="28"/>
          <w:szCs w:val="28"/>
        </w:rPr>
        <w:t>2018</w:t>
      </w:r>
      <w:r>
        <w:rPr>
          <w:rFonts w:ascii="Times New Roman" w:hAnsi="Times New Roman" w:cs="Times New Roman" w:eastAsia="Times New Roman" w:hint="default"/>
          <w:b/>
          <w:bCs/>
          <w:spacing w:val="14"/>
          <w:sz w:val="28"/>
          <w:szCs w:val="28"/>
        </w:rPr>
        <w:t> </w:t>
      </w:r>
      <w:r>
        <w:rPr>
          <w:rFonts w:ascii="宋体" w:hAnsi="宋体" w:cs="宋体" w:eastAsia="宋体" w:hint="default"/>
          <w:b/>
          <w:bCs/>
          <w:w w:val="99"/>
          <w:sz w:val="28"/>
          <w:szCs w:val="28"/>
        </w:rPr>
        <w:t>年</w:t>
      </w:r>
      <w:r>
        <w:rPr>
          <w:rFonts w:ascii="宋体" w:hAnsi="宋体" w:cs="宋体" w:eastAsia="宋体" w:hint="default"/>
          <w:b/>
          <w:bCs/>
          <w:spacing w:val="-56"/>
          <w:sz w:val="28"/>
          <w:szCs w:val="28"/>
        </w:rPr>
        <w:t> </w:t>
      </w:r>
      <w:r>
        <w:rPr>
          <w:rFonts w:ascii="Times New Roman" w:hAnsi="Times New Roman" w:cs="Times New Roman" w:eastAsia="Times New Roman" w:hint="default"/>
          <w:b/>
          <w:bCs/>
          <w:w w:val="99"/>
          <w:sz w:val="28"/>
          <w:szCs w:val="28"/>
        </w:rPr>
        <w:t>12</w:t>
      </w:r>
      <w:r>
        <w:rPr>
          <w:rFonts w:ascii="Times New Roman" w:hAnsi="Times New Roman" w:cs="Times New Roman" w:eastAsia="Times New Roman" w:hint="default"/>
          <w:b/>
          <w:bCs/>
          <w:spacing w:val="15"/>
          <w:sz w:val="28"/>
          <w:szCs w:val="28"/>
        </w:rPr>
        <w:t> </w:t>
      </w:r>
      <w:r>
        <w:rPr>
          <w:rFonts w:ascii="宋体" w:hAnsi="宋体" w:cs="宋体" w:eastAsia="宋体" w:hint="default"/>
          <w:b/>
          <w:bCs/>
          <w:w w:val="99"/>
          <w:sz w:val="28"/>
          <w:szCs w:val="28"/>
        </w:rPr>
        <w:t>月</w:t>
      </w:r>
      <w:r>
        <w:rPr>
          <w:rFonts w:ascii="宋体" w:hAnsi="宋体" w:cs="宋体" w:eastAsia="宋体" w:hint="default"/>
          <w:b/>
          <w:bCs/>
          <w:spacing w:val="-55"/>
          <w:sz w:val="28"/>
          <w:szCs w:val="28"/>
        </w:rPr>
        <w:t> </w:t>
      </w:r>
      <w:r>
        <w:rPr>
          <w:rFonts w:ascii="Times New Roman" w:hAnsi="Times New Roman" w:cs="Times New Roman" w:eastAsia="Times New Roman" w:hint="default"/>
          <w:b/>
          <w:bCs/>
          <w:w w:val="99"/>
          <w:sz w:val="28"/>
          <w:szCs w:val="28"/>
        </w:rPr>
        <w:t>31</w:t>
      </w:r>
      <w:r>
        <w:rPr>
          <w:rFonts w:ascii="Times New Roman" w:hAnsi="Times New Roman" w:cs="Times New Roman" w:eastAsia="Times New Roman" w:hint="default"/>
          <w:b/>
          <w:bCs/>
          <w:spacing w:val="14"/>
          <w:sz w:val="28"/>
          <w:szCs w:val="28"/>
        </w:rPr>
        <w:t> </w:t>
      </w:r>
      <w:r>
        <w:rPr>
          <w:rFonts w:ascii="宋体" w:hAnsi="宋体" w:cs="宋体" w:eastAsia="宋体" w:hint="default"/>
          <w:b/>
          <w:bCs/>
          <w:spacing w:val="1"/>
          <w:w w:val="99"/>
          <w:sz w:val="28"/>
          <w:szCs w:val="28"/>
        </w:rPr>
        <w:t>日总股本为基</w:t>
      </w:r>
      <w:r>
        <w:rPr>
          <w:rFonts w:ascii="宋体" w:hAnsi="宋体" w:cs="宋体" w:eastAsia="宋体" w:hint="default"/>
          <w:sz w:val="28"/>
          <w:szCs w:val="28"/>
        </w:rPr>
      </w:r>
    </w:p>
    <w:p>
      <w:pPr>
        <w:spacing w:before="236"/>
        <w:ind w:left="154" w:right="0" w:firstLine="0"/>
        <w:jc w:val="both"/>
        <w:rPr>
          <w:rFonts w:ascii="宋体" w:hAnsi="宋体" w:cs="宋体" w:eastAsia="宋体" w:hint="default"/>
          <w:sz w:val="28"/>
          <w:szCs w:val="28"/>
        </w:rPr>
      </w:pPr>
      <w:r>
        <w:rPr>
          <w:rFonts w:ascii="宋体" w:hAnsi="宋体" w:cs="宋体" w:eastAsia="宋体" w:hint="default"/>
          <w:b/>
          <w:bCs/>
          <w:w w:val="99"/>
          <w:sz w:val="28"/>
          <w:szCs w:val="28"/>
        </w:rPr>
        <w:t>数，向</w:t>
      </w:r>
      <w:r>
        <w:rPr>
          <w:rFonts w:ascii="宋体" w:hAnsi="宋体" w:cs="宋体" w:eastAsia="宋体" w:hint="default"/>
          <w:b/>
          <w:bCs/>
          <w:spacing w:val="2"/>
          <w:w w:val="99"/>
          <w:sz w:val="28"/>
          <w:szCs w:val="28"/>
        </w:rPr>
        <w:t>全</w:t>
      </w:r>
      <w:r>
        <w:rPr>
          <w:rFonts w:ascii="宋体" w:hAnsi="宋体" w:cs="宋体" w:eastAsia="宋体" w:hint="default"/>
          <w:b/>
          <w:bCs/>
          <w:w w:val="99"/>
          <w:sz w:val="28"/>
          <w:szCs w:val="28"/>
        </w:rPr>
        <w:t>体股东每</w:t>
      </w:r>
      <w:r>
        <w:rPr>
          <w:rFonts w:ascii="宋体" w:hAnsi="宋体" w:cs="宋体" w:eastAsia="宋体" w:hint="default"/>
          <w:b/>
          <w:bCs/>
          <w:spacing w:val="-63"/>
          <w:sz w:val="28"/>
          <w:szCs w:val="28"/>
        </w:rPr>
        <w:t> </w:t>
      </w:r>
      <w:r>
        <w:rPr>
          <w:rFonts w:ascii="Times New Roman" w:hAnsi="Times New Roman" w:cs="Times New Roman" w:eastAsia="Times New Roman" w:hint="default"/>
          <w:b/>
          <w:bCs/>
          <w:w w:val="99"/>
          <w:sz w:val="28"/>
          <w:szCs w:val="28"/>
        </w:rPr>
        <w:t>10</w:t>
      </w:r>
      <w:r>
        <w:rPr>
          <w:rFonts w:ascii="Times New Roman" w:hAnsi="Times New Roman" w:cs="Times New Roman" w:eastAsia="Times New Roman" w:hint="default"/>
          <w:b/>
          <w:bCs/>
          <w:spacing w:val="3"/>
          <w:sz w:val="28"/>
          <w:szCs w:val="28"/>
        </w:rPr>
        <w:t> </w:t>
      </w:r>
      <w:r>
        <w:rPr>
          <w:rFonts w:ascii="宋体" w:hAnsi="宋体" w:cs="宋体" w:eastAsia="宋体" w:hint="default"/>
          <w:b/>
          <w:bCs/>
          <w:w w:val="99"/>
          <w:sz w:val="28"/>
          <w:szCs w:val="28"/>
        </w:rPr>
        <w:t>股派发现金股</w:t>
      </w:r>
      <w:r>
        <w:rPr>
          <w:rFonts w:ascii="宋体" w:hAnsi="宋体" w:cs="宋体" w:eastAsia="宋体" w:hint="default"/>
          <w:b/>
          <w:bCs/>
          <w:spacing w:val="2"/>
          <w:w w:val="99"/>
          <w:sz w:val="28"/>
          <w:szCs w:val="28"/>
        </w:rPr>
        <w:t>利</w:t>
      </w:r>
      <w:r>
        <w:rPr>
          <w:rFonts w:ascii="宋体" w:hAnsi="宋体" w:cs="宋体" w:eastAsia="宋体" w:hint="default"/>
          <w:b/>
          <w:bCs/>
          <w:w w:val="99"/>
          <w:sz w:val="28"/>
          <w:szCs w:val="28"/>
        </w:rPr>
        <w:t>人民币</w:t>
      </w:r>
      <w:r>
        <w:rPr>
          <w:rFonts w:ascii="宋体" w:hAnsi="宋体" w:cs="宋体" w:eastAsia="宋体" w:hint="default"/>
          <w:b/>
          <w:bCs/>
          <w:spacing w:val="-64"/>
          <w:sz w:val="28"/>
          <w:szCs w:val="28"/>
        </w:rPr>
        <w:t> </w:t>
      </w:r>
      <w:r>
        <w:rPr>
          <w:rFonts w:ascii="Times New Roman" w:hAnsi="Times New Roman" w:cs="Times New Roman" w:eastAsia="Times New Roman" w:hint="default"/>
          <w:b/>
          <w:bCs/>
          <w:w w:val="99"/>
          <w:sz w:val="28"/>
          <w:szCs w:val="28"/>
        </w:rPr>
        <w:t>1</w:t>
      </w:r>
      <w:r>
        <w:rPr>
          <w:rFonts w:ascii="Times New Roman" w:hAnsi="Times New Roman" w:cs="Times New Roman" w:eastAsia="Times New Roman" w:hint="default"/>
          <w:b/>
          <w:bCs/>
          <w:spacing w:val="1"/>
          <w:w w:val="99"/>
          <w:sz w:val="28"/>
          <w:szCs w:val="28"/>
        </w:rPr>
        <w:t>.</w:t>
      </w:r>
      <w:r>
        <w:rPr>
          <w:rFonts w:ascii="Times New Roman" w:hAnsi="Times New Roman" w:cs="Times New Roman" w:eastAsia="Times New Roman" w:hint="default"/>
          <w:b/>
          <w:bCs/>
          <w:w w:val="99"/>
          <w:sz w:val="28"/>
          <w:szCs w:val="28"/>
        </w:rPr>
        <w:t>50</w:t>
      </w:r>
      <w:r>
        <w:rPr>
          <w:rFonts w:ascii="Times New Roman" w:hAnsi="Times New Roman" w:cs="Times New Roman" w:eastAsia="Times New Roman" w:hint="default"/>
          <w:b/>
          <w:bCs/>
          <w:spacing w:val="4"/>
          <w:sz w:val="28"/>
          <w:szCs w:val="28"/>
        </w:rPr>
        <w:t> </w:t>
      </w:r>
      <w:r>
        <w:rPr>
          <w:rFonts w:ascii="宋体" w:hAnsi="宋体" w:cs="宋体" w:eastAsia="宋体" w:hint="default"/>
          <w:b/>
          <w:bCs/>
          <w:w w:val="99"/>
          <w:sz w:val="28"/>
          <w:szCs w:val="28"/>
        </w:rPr>
        <w:t>元（含税</w:t>
      </w:r>
      <w:r>
        <w:rPr>
          <w:rFonts w:ascii="宋体" w:hAnsi="宋体" w:cs="宋体" w:eastAsia="宋体" w:hint="default"/>
          <w:b/>
          <w:bCs/>
          <w:spacing w:val="-140"/>
          <w:w w:val="99"/>
          <w:sz w:val="28"/>
          <w:szCs w:val="28"/>
        </w:rPr>
        <w:t>）</w:t>
      </w:r>
      <w:r>
        <w:rPr>
          <w:rFonts w:ascii="宋体" w:hAnsi="宋体" w:cs="宋体" w:eastAsia="宋体" w:hint="default"/>
          <w:b/>
          <w:bCs/>
          <w:w w:val="99"/>
          <w:sz w:val="28"/>
          <w:szCs w:val="28"/>
        </w:rPr>
        <w:t>，</w:t>
      </w:r>
      <w:r>
        <w:rPr>
          <w:rFonts w:ascii="宋体" w:hAnsi="宋体" w:cs="宋体" w:eastAsia="宋体" w:hint="default"/>
          <w:b/>
          <w:bCs/>
          <w:spacing w:val="2"/>
          <w:w w:val="99"/>
          <w:sz w:val="28"/>
          <w:szCs w:val="28"/>
        </w:rPr>
        <w:t>同</w:t>
      </w:r>
      <w:r>
        <w:rPr>
          <w:rFonts w:ascii="宋体" w:hAnsi="宋体" w:cs="宋体" w:eastAsia="宋体" w:hint="default"/>
          <w:b/>
          <w:bCs/>
          <w:w w:val="99"/>
          <w:sz w:val="28"/>
          <w:szCs w:val="28"/>
        </w:rPr>
        <w:t>时以资</w:t>
      </w:r>
      <w:r>
        <w:rPr>
          <w:rFonts w:ascii="宋体" w:hAnsi="宋体" w:cs="宋体" w:eastAsia="宋体" w:hint="default"/>
          <w:b/>
          <w:bCs/>
          <w:spacing w:val="2"/>
          <w:w w:val="99"/>
          <w:sz w:val="28"/>
          <w:szCs w:val="28"/>
        </w:rPr>
        <w:t>本公</w:t>
      </w:r>
      <w:r>
        <w:rPr>
          <w:rFonts w:ascii="宋体" w:hAnsi="宋体" w:cs="宋体" w:eastAsia="宋体" w:hint="default"/>
          <w:b/>
          <w:bCs/>
          <w:w w:val="99"/>
          <w:sz w:val="28"/>
          <w:szCs w:val="28"/>
        </w:rPr>
        <w:t>积</w:t>
      </w:r>
      <w:r>
        <w:rPr>
          <w:rFonts w:ascii="宋体" w:hAnsi="宋体" w:cs="宋体" w:eastAsia="宋体" w:hint="default"/>
          <w:sz w:val="28"/>
          <w:szCs w:val="28"/>
        </w:rPr>
      </w:r>
    </w:p>
    <w:p>
      <w:pPr>
        <w:spacing w:line="393" w:lineRule="auto" w:before="236"/>
        <w:ind w:left="154" w:right="1134" w:firstLine="0"/>
        <w:jc w:val="both"/>
        <w:rPr>
          <w:rFonts w:ascii="宋体" w:hAnsi="宋体" w:cs="宋体" w:eastAsia="宋体" w:hint="default"/>
          <w:sz w:val="28"/>
          <w:szCs w:val="28"/>
        </w:rPr>
      </w:pPr>
      <w:r>
        <w:rPr>
          <w:rFonts w:ascii="宋体" w:hAnsi="宋体" w:cs="宋体" w:eastAsia="宋体" w:hint="default"/>
          <w:b/>
          <w:bCs/>
          <w:sz w:val="28"/>
          <w:szCs w:val="28"/>
        </w:rPr>
        <w:t>金向全体股东每</w:t>
      </w:r>
      <w:r>
        <w:rPr>
          <w:rFonts w:ascii="宋体" w:hAnsi="宋体" w:cs="宋体" w:eastAsia="宋体" w:hint="default"/>
          <w:b/>
          <w:bCs/>
          <w:spacing w:val="-74"/>
          <w:sz w:val="28"/>
          <w:szCs w:val="28"/>
        </w:rPr>
        <w:t> </w:t>
      </w:r>
      <w:r>
        <w:rPr>
          <w:rFonts w:ascii="Times New Roman" w:hAnsi="Times New Roman" w:cs="Times New Roman" w:eastAsia="Times New Roman" w:hint="default"/>
          <w:b/>
          <w:bCs/>
          <w:sz w:val="28"/>
          <w:szCs w:val="28"/>
        </w:rPr>
        <w:t>10</w:t>
      </w:r>
      <w:r>
        <w:rPr>
          <w:rFonts w:ascii="Times New Roman" w:hAnsi="Times New Roman" w:cs="Times New Roman" w:eastAsia="Times New Roman" w:hint="default"/>
          <w:b/>
          <w:bCs/>
          <w:spacing w:val="-6"/>
          <w:sz w:val="28"/>
          <w:szCs w:val="28"/>
        </w:rPr>
        <w:t> </w:t>
      </w:r>
      <w:r>
        <w:rPr>
          <w:rFonts w:ascii="宋体" w:hAnsi="宋体" w:cs="宋体" w:eastAsia="宋体" w:hint="default"/>
          <w:b/>
          <w:bCs/>
          <w:sz w:val="28"/>
          <w:szCs w:val="28"/>
        </w:rPr>
        <w:t>股转增</w:t>
      </w:r>
      <w:r>
        <w:rPr>
          <w:rFonts w:ascii="宋体" w:hAnsi="宋体" w:cs="宋体" w:eastAsia="宋体" w:hint="default"/>
          <w:b/>
          <w:bCs/>
          <w:spacing w:val="-77"/>
          <w:sz w:val="28"/>
          <w:szCs w:val="28"/>
        </w:rPr>
        <w:t> </w:t>
      </w:r>
      <w:r>
        <w:rPr>
          <w:rFonts w:ascii="Times New Roman" w:hAnsi="Times New Roman" w:cs="Times New Roman" w:eastAsia="Times New Roman" w:hint="default"/>
          <w:b/>
          <w:bCs/>
          <w:sz w:val="28"/>
          <w:szCs w:val="28"/>
        </w:rPr>
        <w:t>9</w:t>
      </w:r>
      <w:r>
        <w:rPr>
          <w:rFonts w:ascii="Times New Roman" w:hAnsi="Times New Roman" w:cs="Times New Roman" w:eastAsia="Times New Roman" w:hint="default"/>
          <w:b/>
          <w:bCs/>
          <w:spacing w:val="-6"/>
          <w:sz w:val="28"/>
          <w:szCs w:val="28"/>
        </w:rPr>
        <w:t> </w:t>
      </w:r>
      <w:r>
        <w:rPr>
          <w:rFonts w:ascii="宋体" w:hAnsi="宋体" w:cs="宋体" w:eastAsia="宋体" w:hint="default"/>
          <w:b/>
          <w:bCs/>
          <w:spacing w:val="-3"/>
          <w:sz w:val="28"/>
          <w:szCs w:val="28"/>
        </w:rPr>
        <w:t>股。本次资本公积金转增股本对投资者持股比例以</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及公司报告期内净资产收益率没有实质性的影响；本次利润分配及资本公积金</w:t>
      </w:r>
      <w:r>
        <w:rPr>
          <w:rFonts w:ascii="宋体" w:hAnsi="宋体" w:cs="宋体" w:eastAsia="宋体" w:hint="default"/>
          <w:b/>
          <w:bCs/>
          <w:spacing w:val="25"/>
          <w:w w:val="95"/>
          <w:sz w:val="28"/>
          <w:szCs w:val="28"/>
        </w:rPr>
        <w:t> </w:t>
      </w:r>
      <w:r>
        <w:rPr>
          <w:rFonts w:ascii="宋体" w:hAnsi="宋体" w:cs="宋体" w:eastAsia="宋体" w:hint="default"/>
          <w:b/>
          <w:bCs/>
          <w:spacing w:val="25"/>
          <w:w w:val="95"/>
          <w:sz w:val="28"/>
          <w:szCs w:val="28"/>
        </w:rPr>
      </w:r>
      <w:r>
        <w:rPr>
          <w:rFonts w:ascii="宋体" w:hAnsi="宋体" w:cs="宋体" w:eastAsia="宋体" w:hint="default"/>
          <w:b/>
          <w:bCs/>
          <w:sz w:val="28"/>
          <w:szCs w:val="28"/>
        </w:rPr>
        <w:t>转增股本预案尚需经公司股东大会审议后确定，最终的</w:t>
      </w:r>
      <w:r>
        <w:rPr>
          <w:rFonts w:ascii="宋体" w:hAnsi="宋体" w:cs="宋体" w:eastAsia="宋体" w:hint="default"/>
          <w:b/>
          <w:bCs/>
          <w:spacing w:val="-105"/>
          <w:sz w:val="28"/>
          <w:szCs w:val="28"/>
        </w:rPr>
        <w:t> </w:t>
      </w:r>
      <w:r>
        <w:rPr>
          <w:rFonts w:ascii="Times New Roman" w:hAnsi="Times New Roman" w:cs="Times New Roman" w:eastAsia="Times New Roman" w:hint="default"/>
          <w:b/>
          <w:bCs/>
          <w:sz w:val="28"/>
          <w:szCs w:val="28"/>
        </w:rPr>
        <w:t>2018</w:t>
      </w:r>
      <w:r>
        <w:rPr>
          <w:rFonts w:ascii="Times New Roman" w:hAnsi="Times New Roman" w:cs="Times New Roman" w:eastAsia="Times New Roman" w:hint="default"/>
          <w:b/>
          <w:bCs/>
          <w:spacing w:val="-35"/>
          <w:sz w:val="28"/>
          <w:szCs w:val="28"/>
        </w:rPr>
        <w:t> </w:t>
      </w:r>
      <w:r>
        <w:rPr>
          <w:rFonts w:ascii="宋体" w:hAnsi="宋体" w:cs="宋体" w:eastAsia="宋体" w:hint="default"/>
          <w:b/>
          <w:bCs/>
          <w:sz w:val="28"/>
          <w:szCs w:val="28"/>
        </w:rPr>
        <w:t>年度利润分配及资</w:t>
      </w:r>
      <w:r>
        <w:rPr>
          <w:rFonts w:ascii="宋体" w:hAnsi="宋体" w:cs="宋体" w:eastAsia="宋体" w:hint="default"/>
          <w:b/>
          <w:bCs/>
          <w:w w:val="99"/>
          <w:sz w:val="28"/>
          <w:szCs w:val="28"/>
        </w:rPr>
        <w:t> </w:t>
      </w:r>
      <w:r>
        <w:rPr>
          <w:rFonts w:ascii="宋体" w:hAnsi="宋体" w:cs="宋体" w:eastAsia="宋体" w:hint="default"/>
          <w:b/>
          <w:bCs/>
          <w:sz w:val="28"/>
          <w:szCs w:val="28"/>
        </w:rPr>
        <w:t>本公积金转增股本方案，存在不确定性风险。</w:t>
      </w:r>
      <w:r>
        <w:rPr>
          <w:rFonts w:ascii="宋体" w:hAnsi="宋体" w:cs="宋体" w:eastAsia="宋体" w:hint="default"/>
          <w:sz w:val="28"/>
          <w:szCs w:val="28"/>
        </w:rPr>
      </w:r>
    </w:p>
    <w:p>
      <w:pPr>
        <w:spacing w:before="176"/>
        <w:ind w:left="716" w:right="0" w:firstLine="0"/>
        <w:jc w:val="left"/>
        <w:rPr>
          <w:rFonts w:ascii="宋体" w:hAnsi="宋体" w:cs="宋体" w:eastAsia="宋体" w:hint="default"/>
          <w:sz w:val="28"/>
          <w:szCs w:val="28"/>
        </w:rPr>
      </w:pPr>
      <w:r>
        <w:rPr>
          <w:rFonts w:ascii="宋体" w:hAnsi="宋体" w:cs="宋体" w:eastAsia="宋体" w:hint="default"/>
          <w:b/>
          <w:bCs/>
          <w:spacing w:val="-3"/>
          <w:sz w:val="28"/>
          <w:szCs w:val="28"/>
        </w:rPr>
        <w:t>公司经本次董事会审议通过的利润分配预案为：以</w:t>
      </w:r>
      <w:r>
        <w:rPr>
          <w:rFonts w:ascii="宋体" w:hAnsi="宋体" w:cs="宋体" w:eastAsia="宋体" w:hint="default"/>
          <w:b/>
          <w:bCs/>
          <w:spacing w:val="-67"/>
          <w:sz w:val="28"/>
          <w:szCs w:val="28"/>
        </w:rPr>
        <w:t> </w:t>
      </w:r>
      <w:r>
        <w:rPr>
          <w:rFonts w:ascii="Times New Roman" w:hAnsi="Times New Roman" w:cs="Times New Roman" w:eastAsia="Times New Roman" w:hint="default"/>
          <w:b/>
          <w:bCs/>
          <w:sz w:val="28"/>
          <w:szCs w:val="28"/>
        </w:rPr>
        <w:t>2018</w:t>
      </w:r>
      <w:r>
        <w:rPr>
          <w:rFonts w:ascii="Times New Roman" w:hAnsi="Times New Roman" w:cs="Times New Roman" w:eastAsia="Times New Roman" w:hint="default"/>
          <w:b/>
          <w:bCs/>
          <w:spacing w:val="-3"/>
          <w:sz w:val="28"/>
          <w:szCs w:val="28"/>
        </w:rPr>
        <w:t> </w:t>
      </w:r>
      <w:r>
        <w:rPr>
          <w:rFonts w:ascii="宋体" w:hAnsi="宋体" w:cs="宋体" w:eastAsia="宋体" w:hint="default"/>
          <w:b/>
          <w:bCs/>
          <w:sz w:val="28"/>
          <w:szCs w:val="28"/>
        </w:rPr>
        <w:t>年</w:t>
      </w:r>
      <w:r>
        <w:rPr>
          <w:rFonts w:ascii="宋体" w:hAnsi="宋体" w:cs="宋体" w:eastAsia="宋体" w:hint="default"/>
          <w:b/>
          <w:bCs/>
          <w:spacing w:val="-73"/>
          <w:sz w:val="28"/>
          <w:szCs w:val="28"/>
        </w:rPr>
        <w:t> </w:t>
      </w:r>
      <w:r>
        <w:rPr>
          <w:rFonts w:ascii="Times New Roman" w:hAnsi="Times New Roman" w:cs="Times New Roman" w:eastAsia="Times New Roman" w:hint="default"/>
          <w:b/>
          <w:bCs/>
          <w:sz w:val="28"/>
          <w:szCs w:val="28"/>
        </w:rPr>
        <w:t>12</w:t>
      </w:r>
      <w:r>
        <w:rPr>
          <w:rFonts w:ascii="Times New Roman" w:hAnsi="Times New Roman" w:cs="Times New Roman" w:eastAsia="Times New Roman" w:hint="default"/>
          <w:b/>
          <w:bCs/>
          <w:spacing w:val="-3"/>
          <w:sz w:val="28"/>
          <w:szCs w:val="28"/>
        </w:rPr>
        <w:t> </w:t>
      </w:r>
      <w:r>
        <w:rPr>
          <w:rFonts w:ascii="宋体" w:hAnsi="宋体" w:cs="宋体" w:eastAsia="宋体" w:hint="default"/>
          <w:b/>
          <w:bCs/>
          <w:sz w:val="28"/>
          <w:szCs w:val="28"/>
        </w:rPr>
        <w:t>月</w:t>
      </w:r>
      <w:r>
        <w:rPr>
          <w:rFonts w:ascii="宋体" w:hAnsi="宋体" w:cs="宋体" w:eastAsia="宋体" w:hint="default"/>
          <w:b/>
          <w:bCs/>
          <w:spacing w:val="-73"/>
          <w:sz w:val="28"/>
          <w:szCs w:val="28"/>
        </w:rPr>
        <w:t> </w:t>
      </w:r>
      <w:r>
        <w:rPr>
          <w:rFonts w:ascii="Times New Roman" w:hAnsi="Times New Roman" w:cs="Times New Roman" w:eastAsia="Times New Roman" w:hint="default"/>
          <w:b/>
          <w:bCs/>
          <w:sz w:val="28"/>
          <w:szCs w:val="28"/>
        </w:rPr>
        <w:t>31</w:t>
      </w:r>
      <w:r>
        <w:rPr>
          <w:rFonts w:ascii="Times New Roman" w:hAnsi="Times New Roman" w:cs="Times New Roman" w:eastAsia="Times New Roman" w:hint="default"/>
          <w:b/>
          <w:bCs/>
          <w:spacing w:val="-2"/>
          <w:sz w:val="28"/>
          <w:szCs w:val="28"/>
        </w:rPr>
        <w:t> </w:t>
      </w:r>
      <w:r>
        <w:rPr>
          <w:rFonts w:ascii="宋体" w:hAnsi="宋体" w:cs="宋体" w:eastAsia="宋体" w:hint="default"/>
          <w:b/>
          <w:bCs/>
          <w:sz w:val="28"/>
          <w:szCs w:val="28"/>
        </w:rPr>
        <w:t>日总股</w:t>
      </w:r>
      <w:r>
        <w:rPr>
          <w:rFonts w:ascii="宋体" w:hAnsi="宋体" w:cs="宋体" w:eastAsia="宋体" w:hint="default"/>
          <w:sz w:val="28"/>
          <w:szCs w:val="28"/>
        </w:rPr>
      </w:r>
    </w:p>
    <w:p>
      <w:pPr>
        <w:spacing w:before="236"/>
        <w:ind w:left="154" w:right="0" w:firstLine="0"/>
        <w:jc w:val="both"/>
        <w:rPr>
          <w:rFonts w:ascii="宋体" w:hAnsi="宋体" w:cs="宋体" w:eastAsia="宋体" w:hint="default"/>
          <w:sz w:val="28"/>
          <w:szCs w:val="28"/>
        </w:rPr>
      </w:pPr>
      <w:r>
        <w:rPr>
          <w:rFonts w:ascii="宋体" w:hAnsi="宋体" w:cs="宋体" w:eastAsia="宋体" w:hint="default"/>
          <w:b/>
          <w:bCs/>
          <w:w w:val="99"/>
          <w:sz w:val="28"/>
          <w:szCs w:val="28"/>
        </w:rPr>
        <w:t>本</w:t>
      </w:r>
      <w:r>
        <w:rPr>
          <w:rFonts w:ascii="宋体" w:hAnsi="宋体" w:cs="宋体" w:eastAsia="宋体" w:hint="default"/>
          <w:b/>
          <w:bCs/>
          <w:spacing w:val="-67"/>
          <w:sz w:val="28"/>
          <w:szCs w:val="28"/>
        </w:rPr>
        <w:t> </w:t>
      </w:r>
      <w:r>
        <w:rPr>
          <w:rFonts w:ascii="Times New Roman" w:hAnsi="Times New Roman" w:cs="Times New Roman" w:eastAsia="Times New Roman" w:hint="default"/>
          <w:b/>
          <w:bCs/>
          <w:w w:val="99"/>
          <w:sz w:val="28"/>
          <w:szCs w:val="28"/>
        </w:rPr>
        <w:t>66,666</w:t>
      </w:r>
      <w:r>
        <w:rPr>
          <w:rFonts w:ascii="Times New Roman" w:hAnsi="Times New Roman" w:cs="Times New Roman" w:eastAsia="Times New Roman" w:hint="default"/>
          <w:b/>
          <w:bCs/>
          <w:spacing w:val="-1"/>
          <w:w w:val="99"/>
          <w:sz w:val="28"/>
          <w:szCs w:val="28"/>
        </w:rPr>
        <w:t>,</w:t>
      </w:r>
      <w:r>
        <w:rPr>
          <w:rFonts w:ascii="Times New Roman" w:hAnsi="Times New Roman" w:cs="Times New Roman" w:eastAsia="Times New Roman" w:hint="default"/>
          <w:b/>
          <w:bCs/>
          <w:w w:val="99"/>
          <w:sz w:val="28"/>
          <w:szCs w:val="28"/>
        </w:rPr>
        <w:t>667</w:t>
      </w:r>
      <w:r>
        <w:rPr>
          <w:rFonts w:ascii="Times New Roman" w:hAnsi="Times New Roman" w:cs="Times New Roman" w:eastAsia="Times New Roman" w:hint="default"/>
          <w:b/>
          <w:bCs/>
          <w:spacing w:val="5"/>
          <w:sz w:val="28"/>
          <w:szCs w:val="28"/>
        </w:rPr>
        <w:t> </w:t>
      </w:r>
      <w:r>
        <w:rPr>
          <w:rFonts w:ascii="宋体" w:hAnsi="宋体" w:cs="宋体" w:eastAsia="宋体" w:hint="default"/>
          <w:b/>
          <w:bCs/>
          <w:w w:val="99"/>
          <w:sz w:val="28"/>
          <w:szCs w:val="28"/>
        </w:rPr>
        <w:t>股为基数，</w:t>
      </w:r>
      <w:r>
        <w:rPr>
          <w:rFonts w:ascii="宋体" w:hAnsi="宋体" w:cs="宋体" w:eastAsia="宋体" w:hint="default"/>
          <w:b/>
          <w:bCs/>
          <w:spacing w:val="2"/>
          <w:w w:val="99"/>
          <w:sz w:val="28"/>
          <w:szCs w:val="28"/>
        </w:rPr>
        <w:t>向</w:t>
      </w:r>
      <w:r>
        <w:rPr>
          <w:rFonts w:ascii="宋体" w:hAnsi="宋体" w:cs="宋体" w:eastAsia="宋体" w:hint="default"/>
          <w:b/>
          <w:bCs/>
          <w:w w:val="99"/>
          <w:sz w:val="28"/>
          <w:szCs w:val="28"/>
        </w:rPr>
        <w:t>全体股</w:t>
      </w:r>
      <w:r>
        <w:rPr>
          <w:rFonts w:ascii="宋体" w:hAnsi="宋体" w:cs="宋体" w:eastAsia="宋体" w:hint="default"/>
          <w:b/>
          <w:bCs/>
          <w:spacing w:val="2"/>
          <w:w w:val="99"/>
          <w:sz w:val="28"/>
          <w:szCs w:val="28"/>
        </w:rPr>
        <w:t>东</w:t>
      </w:r>
      <w:r>
        <w:rPr>
          <w:rFonts w:ascii="宋体" w:hAnsi="宋体" w:cs="宋体" w:eastAsia="宋体" w:hint="default"/>
          <w:b/>
          <w:bCs/>
          <w:w w:val="99"/>
          <w:sz w:val="28"/>
          <w:szCs w:val="28"/>
        </w:rPr>
        <w:t>每</w:t>
      </w:r>
      <w:r>
        <w:rPr>
          <w:rFonts w:ascii="宋体" w:hAnsi="宋体" w:cs="宋体" w:eastAsia="宋体" w:hint="default"/>
          <w:b/>
          <w:bCs/>
          <w:spacing w:val="-64"/>
          <w:sz w:val="28"/>
          <w:szCs w:val="28"/>
        </w:rPr>
        <w:t> </w:t>
      </w:r>
      <w:r>
        <w:rPr>
          <w:rFonts w:ascii="Times New Roman" w:hAnsi="Times New Roman" w:cs="Times New Roman" w:eastAsia="Times New Roman" w:hint="default"/>
          <w:b/>
          <w:bCs/>
          <w:w w:val="99"/>
          <w:sz w:val="28"/>
          <w:szCs w:val="28"/>
        </w:rPr>
        <w:t>10</w:t>
      </w:r>
      <w:r>
        <w:rPr>
          <w:rFonts w:ascii="Times New Roman" w:hAnsi="Times New Roman" w:cs="Times New Roman" w:eastAsia="Times New Roman" w:hint="default"/>
          <w:b/>
          <w:bCs/>
          <w:spacing w:val="3"/>
          <w:sz w:val="28"/>
          <w:szCs w:val="28"/>
        </w:rPr>
        <w:t> </w:t>
      </w:r>
      <w:r>
        <w:rPr>
          <w:rFonts w:ascii="宋体" w:hAnsi="宋体" w:cs="宋体" w:eastAsia="宋体" w:hint="default"/>
          <w:b/>
          <w:bCs/>
          <w:w w:val="99"/>
          <w:sz w:val="28"/>
          <w:szCs w:val="28"/>
        </w:rPr>
        <w:t>股派发现</w:t>
      </w:r>
      <w:r>
        <w:rPr>
          <w:rFonts w:ascii="宋体" w:hAnsi="宋体" w:cs="宋体" w:eastAsia="宋体" w:hint="default"/>
          <w:b/>
          <w:bCs/>
          <w:spacing w:val="2"/>
          <w:w w:val="99"/>
          <w:sz w:val="28"/>
          <w:szCs w:val="28"/>
        </w:rPr>
        <w:t>金</w:t>
      </w:r>
      <w:r>
        <w:rPr>
          <w:rFonts w:ascii="宋体" w:hAnsi="宋体" w:cs="宋体" w:eastAsia="宋体" w:hint="default"/>
          <w:b/>
          <w:bCs/>
          <w:w w:val="99"/>
          <w:sz w:val="28"/>
          <w:szCs w:val="28"/>
        </w:rPr>
        <w:t>红利</w:t>
      </w:r>
      <w:r>
        <w:rPr>
          <w:rFonts w:ascii="宋体" w:hAnsi="宋体" w:cs="宋体" w:eastAsia="宋体" w:hint="default"/>
          <w:b/>
          <w:bCs/>
          <w:spacing w:val="-65"/>
          <w:sz w:val="28"/>
          <w:szCs w:val="28"/>
        </w:rPr>
        <w:t> </w:t>
      </w:r>
      <w:r>
        <w:rPr>
          <w:rFonts w:ascii="Times New Roman" w:hAnsi="Times New Roman" w:cs="Times New Roman" w:eastAsia="Times New Roman" w:hint="default"/>
          <w:b/>
          <w:bCs/>
          <w:w w:val="99"/>
          <w:sz w:val="28"/>
          <w:szCs w:val="28"/>
        </w:rPr>
        <w:t>1.50</w:t>
      </w:r>
      <w:r>
        <w:rPr>
          <w:rFonts w:ascii="Times New Roman" w:hAnsi="Times New Roman" w:cs="Times New Roman" w:eastAsia="Times New Roman" w:hint="default"/>
          <w:b/>
          <w:bCs/>
          <w:spacing w:val="4"/>
          <w:sz w:val="28"/>
          <w:szCs w:val="28"/>
        </w:rPr>
        <w:t> </w:t>
      </w:r>
      <w:r>
        <w:rPr>
          <w:rFonts w:ascii="宋体" w:hAnsi="宋体" w:cs="宋体" w:eastAsia="宋体" w:hint="default"/>
          <w:b/>
          <w:bCs/>
          <w:w w:val="99"/>
          <w:sz w:val="28"/>
          <w:szCs w:val="28"/>
        </w:rPr>
        <w:t>元（含</w:t>
      </w:r>
      <w:r>
        <w:rPr>
          <w:rFonts w:ascii="宋体" w:hAnsi="宋体" w:cs="宋体" w:eastAsia="宋体" w:hint="default"/>
          <w:b/>
          <w:bCs/>
          <w:spacing w:val="2"/>
          <w:w w:val="99"/>
          <w:sz w:val="28"/>
          <w:szCs w:val="28"/>
        </w:rPr>
        <w:t>税</w:t>
      </w:r>
      <w:r>
        <w:rPr>
          <w:rFonts w:ascii="宋体" w:hAnsi="宋体" w:cs="宋体" w:eastAsia="宋体" w:hint="default"/>
          <w:b/>
          <w:bCs/>
          <w:spacing w:val="-140"/>
          <w:w w:val="99"/>
          <w:sz w:val="28"/>
          <w:szCs w:val="28"/>
        </w:rPr>
        <w:t>）</w:t>
      </w:r>
      <w:r>
        <w:rPr>
          <w:rFonts w:ascii="宋体" w:hAnsi="宋体" w:cs="宋体" w:eastAsia="宋体" w:hint="default"/>
          <w:b/>
          <w:bCs/>
          <w:w w:val="99"/>
          <w:sz w:val="28"/>
          <w:szCs w:val="28"/>
        </w:rPr>
        <w:t>，送</w:t>
      </w:r>
      <w:r>
        <w:rPr>
          <w:rFonts w:ascii="宋体" w:hAnsi="宋体" w:cs="宋体" w:eastAsia="宋体" w:hint="default"/>
          <w:sz w:val="28"/>
          <w:szCs w:val="28"/>
        </w:rPr>
      </w:r>
    </w:p>
    <w:p>
      <w:pPr>
        <w:spacing w:before="237"/>
        <w:ind w:left="154" w:right="0" w:firstLine="0"/>
        <w:jc w:val="both"/>
        <w:rPr>
          <w:rFonts w:ascii="宋体" w:hAnsi="宋体" w:cs="宋体" w:eastAsia="宋体" w:hint="default"/>
          <w:sz w:val="28"/>
          <w:szCs w:val="28"/>
        </w:rPr>
      </w:pPr>
      <w:r>
        <w:rPr>
          <w:rFonts w:ascii="宋体" w:hAnsi="宋体" w:cs="宋体" w:eastAsia="宋体" w:hint="default"/>
          <w:b/>
          <w:bCs/>
          <w:spacing w:val="1"/>
          <w:w w:val="99"/>
          <w:sz w:val="28"/>
          <w:szCs w:val="28"/>
        </w:rPr>
        <w:t>红</w:t>
      </w:r>
      <w:r>
        <w:rPr>
          <w:rFonts w:ascii="宋体" w:hAnsi="宋体" w:cs="宋体" w:eastAsia="宋体" w:hint="default"/>
          <w:b/>
          <w:bCs/>
          <w:w w:val="99"/>
          <w:sz w:val="28"/>
          <w:szCs w:val="28"/>
        </w:rPr>
        <w:t>股</w:t>
      </w:r>
      <w:r>
        <w:rPr>
          <w:rFonts w:ascii="宋体" w:hAnsi="宋体" w:cs="宋体" w:eastAsia="宋体" w:hint="default"/>
          <w:b/>
          <w:bCs/>
          <w:spacing w:val="-69"/>
          <w:sz w:val="28"/>
          <w:szCs w:val="28"/>
        </w:rPr>
        <w:t> </w:t>
      </w:r>
      <w:r>
        <w:rPr>
          <w:rFonts w:ascii="Times New Roman" w:hAnsi="Times New Roman" w:cs="Times New Roman" w:eastAsia="Times New Roman" w:hint="default"/>
          <w:b/>
          <w:bCs/>
          <w:w w:val="99"/>
          <w:sz w:val="28"/>
          <w:szCs w:val="28"/>
        </w:rPr>
        <w:t>0</w:t>
      </w:r>
      <w:r>
        <w:rPr>
          <w:rFonts w:ascii="Times New Roman" w:hAnsi="Times New Roman" w:cs="Times New Roman" w:eastAsia="Times New Roman" w:hint="default"/>
          <w:b/>
          <w:bCs/>
          <w:spacing w:val="1"/>
          <w:sz w:val="28"/>
          <w:szCs w:val="28"/>
        </w:rPr>
        <w:t> </w:t>
      </w:r>
      <w:r>
        <w:rPr>
          <w:rFonts w:ascii="宋体" w:hAnsi="宋体" w:cs="宋体" w:eastAsia="宋体" w:hint="default"/>
          <w:b/>
          <w:bCs/>
          <w:w w:val="99"/>
          <w:sz w:val="28"/>
          <w:szCs w:val="28"/>
        </w:rPr>
        <w:t>股（含税</w:t>
      </w:r>
      <w:r>
        <w:rPr>
          <w:rFonts w:ascii="宋体" w:hAnsi="宋体" w:cs="宋体" w:eastAsia="宋体" w:hint="default"/>
          <w:b/>
          <w:bCs/>
          <w:spacing w:val="-139"/>
          <w:w w:val="99"/>
          <w:sz w:val="28"/>
          <w:szCs w:val="28"/>
        </w:rPr>
        <w:t>）</w:t>
      </w:r>
      <w:r>
        <w:rPr>
          <w:rFonts w:ascii="宋体" w:hAnsi="宋体" w:cs="宋体" w:eastAsia="宋体" w:hint="default"/>
          <w:b/>
          <w:bCs/>
          <w:w w:val="99"/>
          <w:sz w:val="28"/>
          <w:szCs w:val="28"/>
        </w:rPr>
        <w:t>，以资</w:t>
      </w:r>
      <w:r>
        <w:rPr>
          <w:rFonts w:ascii="宋体" w:hAnsi="宋体" w:cs="宋体" w:eastAsia="宋体" w:hint="default"/>
          <w:b/>
          <w:bCs/>
          <w:spacing w:val="2"/>
          <w:w w:val="99"/>
          <w:sz w:val="28"/>
          <w:szCs w:val="28"/>
        </w:rPr>
        <w:t>本</w:t>
      </w:r>
      <w:r>
        <w:rPr>
          <w:rFonts w:ascii="宋体" w:hAnsi="宋体" w:cs="宋体" w:eastAsia="宋体" w:hint="default"/>
          <w:b/>
          <w:bCs/>
          <w:w w:val="99"/>
          <w:sz w:val="28"/>
          <w:szCs w:val="28"/>
        </w:rPr>
        <w:t>公积金</w:t>
      </w:r>
      <w:r>
        <w:rPr>
          <w:rFonts w:ascii="宋体" w:hAnsi="宋体" w:cs="宋体" w:eastAsia="宋体" w:hint="default"/>
          <w:b/>
          <w:bCs/>
          <w:spacing w:val="2"/>
          <w:w w:val="99"/>
          <w:sz w:val="28"/>
          <w:szCs w:val="28"/>
        </w:rPr>
        <w:t>向</w:t>
      </w:r>
      <w:r>
        <w:rPr>
          <w:rFonts w:ascii="宋体" w:hAnsi="宋体" w:cs="宋体" w:eastAsia="宋体" w:hint="default"/>
          <w:b/>
          <w:bCs/>
          <w:w w:val="99"/>
          <w:sz w:val="28"/>
          <w:szCs w:val="28"/>
        </w:rPr>
        <w:t>全体股</w:t>
      </w:r>
      <w:r>
        <w:rPr>
          <w:rFonts w:ascii="宋体" w:hAnsi="宋体" w:cs="宋体" w:eastAsia="宋体" w:hint="default"/>
          <w:b/>
          <w:bCs/>
          <w:spacing w:val="2"/>
          <w:w w:val="99"/>
          <w:sz w:val="28"/>
          <w:szCs w:val="28"/>
        </w:rPr>
        <w:t>东</w:t>
      </w:r>
      <w:r>
        <w:rPr>
          <w:rFonts w:ascii="宋体" w:hAnsi="宋体" w:cs="宋体" w:eastAsia="宋体" w:hint="default"/>
          <w:b/>
          <w:bCs/>
          <w:w w:val="99"/>
          <w:sz w:val="28"/>
          <w:szCs w:val="28"/>
        </w:rPr>
        <w:t>每</w:t>
      </w:r>
      <w:r>
        <w:rPr>
          <w:rFonts w:ascii="宋体" w:hAnsi="宋体" w:cs="宋体" w:eastAsia="宋体" w:hint="default"/>
          <w:b/>
          <w:bCs/>
          <w:spacing w:val="-64"/>
          <w:sz w:val="28"/>
          <w:szCs w:val="28"/>
        </w:rPr>
        <w:t> </w:t>
      </w:r>
      <w:r>
        <w:rPr>
          <w:rFonts w:ascii="Times New Roman" w:hAnsi="Times New Roman" w:cs="Times New Roman" w:eastAsia="Times New Roman" w:hint="default"/>
          <w:b/>
          <w:bCs/>
          <w:w w:val="99"/>
          <w:sz w:val="28"/>
          <w:szCs w:val="28"/>
        </w:rPr>
        <w:t>10</w:t>
      </w:r>
      <w:r>
        <w:rPr>
          <w:rFonts w:ascii="Times New Roman" w:hAnsi="Times New Roman" w:cs="Times New Roman" w:eastAsia="Times New Roman" w:hint="default"/>
          <w:b/>
          <w:bCs/>
          <w:spacing w:val="1"/>
          <w:sz w:val="28"/>
          <w:szCs w:val="28"/>
        </w:rPr>
        <w:t> </w:t>
      </w:r>
      <w:r>
        <w:rPr>
          <w:rFonts w:ascii="宋体" w:hAnsi="宋体" w:cs="宋体" w:eastAsia="宋体" w:hint="default"/>
          <w:b/>
          <w:bCs/>
          <w:w w:val="99"/>
          <w:sz w:val="28"/>
          <w:szCs w:val="28"/>
        </w:rPr>
        <w:t>股转增</w:t>
      </w:r>
      <w:r>
        <w:rPr>
          <w:rFonts w:ascii="宋体" w:hAnsi="宋体" w:cs="宋体" w:eastAsia="宋体" w:hint="default"/>
          <w:b/>
          <w:bCs/>
          <w:spacing w:val="-69"/>
          <w:sz w:val="28"/>
          <w:szCs w:val="28"/>
        </w:rPr>
        <w:t> </w:t>
      </w:r>
      <w:r>
        <w:rPr>
          <w:rFonts w:ascii="Times New Roman" w:hAnsi="Times New Roman" w:cs="Times New Roman" w:eastAsia="Times New Roman" w:hint="default"/>
          <w:b/>
          <w:bCs/>
          <w:w w:val="99"/>
          <w:sz w:val="28"/>
          <w:szCs w:val="28"/>
        </w:rPr>
        <w:t>9</w:t>
      </w:r>
      <w:r>
        <w:rPr>
          <w:rFonts w:ascii="Times New Roman" w:hAnsi="Times New Roman" w:cs="Times New Roman" w:eastAsia="Times New Roman" w:hint="default"/>
          <w:b/>
          <w:bCs/>
          <w:spacing w:val="1"/>
          <w:sz w:val="28"/>
          <w:szCs w:val="28"/>
        </w:rPr>
        <w:t> </w:t>
      </w:r>
      <w:r>
        <w:rPr>
          <w:rFonts w:ascii="宋体" w:hAnsi="宋体" w:cs="宋体" w:eastAsia="宋体" w:hint="default"/>
          <w:b/>
          <w:bCs/>
          <w:w w:val="99"/>
          <w:sz w:val="28"/>
          <w:szCs w:val="28"/>
        </w:rPr>
        <w:t>股。</w:t>
      </w:r>
      <w:r>
        <w:rPr>
          <w:rFonts w:ascii="宋体" w:hAnsi="宋体" w:cs="宋体" w:eastAsia="宋体" w:hint="default"/>
          <w:sz w:val="28"/>
          <w:szCs w:val="28"/>
        </w:rPr>
      </w:r>
    </w:p>
    <w:p>
      <w:pPr>
        <w:spacing w:after="0"/>
        <w:jc w:val="both"/>
        <w:rPr>
          <w:rFonts w:ascii="宋体" w:hAnsi="宋体" w:cs="宋体" w:eastAsia="宋体" w:hint="default"/>
          <w:sz w:val="28"/>
          <w:szCs w:val="28"/>
        </w:rPr>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before="123"/>
        <w:ind w:left="0" w:right="976"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
        <w:rPr>
          <w:rFonts w:ascii="宋体" w:hAnsi="宋体" w:cs="宋体" w:eastAsia="宋体" w:hint="default"/>
          <w:b/>
          <w:bCs/>
          <w:sz w:val="42"/>
          <w:szCs w:val="42"/>
        </w:rPr>
      </w:pPr>
    </w:p>
    <w:sdt>
      <w:sdtPr>
        <w:docPartObj>
          <w:docPartGallery w:val="Table of Contents"/>
          <w:docPartUnique/>
        </w:docPartObj>
      </w:sdtPr>
      <w:sdtEndPr/>
      <w:sdtContent>
        <w:p>
          <w:pPr>
            <w:pStyle w:val="TOC1"/>
            <w:tabs>
              <w:tab w:pos="9782" w:val="right" w:leader="dot"/>
            </w:tabs>
            <w:spacing w:line="240" w:lineRule="auto" w:before="0"/>
            <w:ind w:right="0"/>
            <w:jc w:val="left"/>
            <w:rPr>
              <w:rFonts w:ascii="Times New Roman" w:hAnsi="Times New Roman" w:cs="Times New Roman" w:eastAsia="Times New Roman" w:hint="default"/>
              <w:b w:val="0"/>
              <w:bCs w:val="0"/>
            </w:rPr>
          </w:pPr>
          <w:hyperlink w:history="true" w:anchor="_bookmark0">
            <w:r>
              <w:rPr/>
              <w:t>第一节</w:t>
            </w:r>
            <w:r>
              <w:rPr>
                <w:spacing w:val="-19"/>
              </w:rPr>
              <w:t> </w:t>
            </w:r>
            <w:r>
              <w:rPr/>
              <w:t>重要提示、目录和释义</w:t>
            </w:r>
            <w:r>
              <w:rPr>
                <w:rFonts w:ascii="Times New Roman" w:hAnsi="Times New Roman" w:cs="Times New Roman" w:eastAsia="Times New Roman" w:hint="default"/>
              </w:rPr>
              <w:tab/>
              <w:t>9</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t>第二节</w:t>
            </w:r>
            <w:r>
              <w:rPr>
                <w:spacing w:val="-19"/>
              </w:rPr>
              <w:t> </w:t>
            </w:r>
            <w:r>
              <w:rPr/>
              <w:t>公司简介和主要财务指标</w:t>
            </w:r>
            <w:r>
              <w:rPr>
                <w:rFonts w:ascii="Times New Roman" w:hAnsi="Times New Roman" w:cs="Times New Roman" w:eastAsia="Times New Roman" w:hint="default"/>
              </w:rPr>
              <w:tab/>
              <w:t>13</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2">
            <w:r>
              <w:rPr/>
              <w:t>第三节</w:t>
            </w:r>
            <w:r>
              <w:rPr>
                <w:spacing w:val="-19"/>
              </w:rPr>
              <w:t> </w:t>
            </w:r>
            <w:r>
              <w:rPr/>
              <w:t>公司业务概要</w:t>
            </w:r>
            <w:r>
              <w:rPr>
                <w:rFonts w:ascii="Times New Roman" w:hAnsi="Times New Roman" w:cs="Times New Roman" w:eastAsia="Times New Roman" w:hint="default"/>
              </w:rPr>
              <w:tab/>
              <w:t>17</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w:t>
            </w:r>
            <w:r>
              <w:rPr>
                <w:spacing w:val="-19"/>
              </w:rPr>
              <w:t> </w:t>
            </w:r>
            <w:r>
              <w:rPr/>
              <w:t>经营情况讨论与分析</w:t>
            </w:r>
            <w:r>
              <w:rPr>
                <w:rFonts w:ascii="Times New Roman" w:hAnsi="Times New Roman" w:cs="Times New Roman" w:eastAsia="Times New Roman" w:hint="default"/>
              </w:rPr>
              <w:tab/>
              <w:t>40</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第五节</w:t>
            </w:r>
            <w:r>
              <w:rPr>
                <w:spacing w:val="-19"/>
              </w:rPr>
              <w:t> </w:t>
            </w:r>
            <w:r>
              <w:rPr/>
              <w:t>重要事项</w:t>
            </w:r>
            <w:r>
              <w:rPr>
                <w:rFonts w:ascii="Times New Roman" w:hAnsi="Times New Roman" w:cs="Times New Roman" w:eastAsia="Times New Roman" w:hint="default"/>
              </w:rPr>
              <w:tab/>
              <w:t>70</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第六节</w:t>
            </w:r>
            <w:r>
              <w:rPr>
                <w:spacing w:val="-19"/>
              </w:rPr>
              <w:t> </w:t>
            </w:r>
            <w:r>
              <w:rPr/>
              <w:t>股份变动及股东情况</w:t>
            </w:r>
            <w:r>
              <w:rPr>
                <w:rFonts w:ascii="Times New Roman" w:hAnsi="Times New Roman" w:cs="Times New Roman" w:eastAsia="Times New Roman" w:hint="default"/>
              </w:rPr>
              <w:tab/>
              <w:t>76</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第七节</w:t>
            </w:r>
            <w:r>
              <w:rPr>
                <w:spacing w:val="-19"/>
              </w:rPr>
              <w:t> </w:t>
            </w:r>
            <w:r>
              <w:rPr/>
              <w:t>优先股相关情况</w:t>
            </w:r>
            <w:r>
              <w:rPr>
                <w:rFonts w:ascii="Times New Roman" w:hAnsi="Times New Roman" w:cs="Times New Roman" w:eastAsia="Times New Roman" w:hint="default"/>
              </w:rPr>
              <w:tab/>
              <w:t>76</w:t>
            </w:r>
            <w:r>
              <w:rPr>
                <w:rFonts w:ascii="Times New Roman" w:hAnsi="Times New Roman" w:cs="Times New Roman" w:eastAsia="Times New Roman" w:hint="default"/>
                <w:b w:val="0"/>
                <w:bCs w:val="0"/>
              </w:rPr>
            </w:r>
          </w:hyperlink>
        </w:p>
        <w:p>
          <w:pPr>
            <w:pStyle w:val="TOC1"/>
            <w:tabs>
              <w:tab w:pos="9782" w:val="right" w:leader="dot"/>
            </w:tabs>
            <w:spacing w:line="240" w:lineRule="auto" w:before="160"/>
            <w:ind w:right="0"/>
            <w:jc w:val="left"/>
            <w:rPr>
              <w:rFonts w:ascii="Times New Roman" w:hAnsi="Times New Roman" w:cs="Times New Roman" w:eastAsia="Times New Roman" w:hint="default"/>
              <w:b w:val="0"/>
              <w:bCs w:val="0"/>
            </w:rPr>
          </w:pPr>
          <w:hyperlink w:history="true" w:anchor="_bookmark6">
            <w:r>
              <w:rPr/>
              <w:t>第八节</w:t>
            </w:r>
            <w:r>
              <w:rPr>
                <w:spacing w:val="-19"/>
              </w:rPr>
              <w:t> </w:t>
            </w:r>
            <w:r>
              <w:rPr/>
              <w:t>董事、监事、高级管理人员和员工情况</w:t>
            </w:r>
            <w:r>
              <w:rPr>
                <w:rFonts w:ascii="Times New Roman" w:hAnsi="Times New Roman" w:cs="Times New Roman" w:eastAsia="Times New Roman" w:hint="default"/>
              </w:rPr>
              <w:tab/>
              <w:t>77</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7">
            <w:r>
              <w:rPr/>
              <w:t>第九节</w:t>
            </w:r>
            <w:r>
              <w:rPr>
                <w:spacing w:val="-19"/>
              </w:rPr>
              <w:t> </w:t>
            </w:r>
            <w:r>
              <w:rPr/>
              <w:t>公司治理</w:t>
            </w:r>
            <w:r>
              <w:rPr>
                <w:rFonts w:ascii="Times New Roman" w:hAnsi="Times New Roman" w:cs="Times New Roman" w:eastAsia="Times New Roman" w:hint="default"/>
              </w:rPr>
              <w:tab/>
              <w:t>89</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8">
            <w:r>
              <w:rPr/>
              <w:t>第十节</w:t>
            </w:r>
            <w:r>
              <w:rPr>
                <w:spacing w:val="-19"/>
              </w:rPr>
              <w:t> </w:t>
            </w:r>
            <w:r>
              <w:rPr/>
              <w:t>公司债券相关情况</w:t>
            </w:r>
            <w:r>
              <w:rPr>
                <w:rFonts w:ascii="Times New Roman" w:hAnsi="Times New Roman" w:cs="Times New Roman" w:eastAsia="Times New Roman" w:hint="default"/>
              </w:rPr>
              <w:tab/>
              <w:t>96</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第十一节</w:t>
            </w:r>
            <w:r>
              <w:rPr>
                <w:spacing w:val="-19"/>
              </w:rPr>
              <w:t> </w:t>
            </w:r>
            <w:r>
              <w:rPr/>
              <w:t>财务报告</w:t>
            </w:r>
            <w:r>
              <w:rPr>
                <w:rFonts w:ascii="Times New Roman" w:hAnsi="Times New Roman" w:cs="Times New Roman" w:eastAsia="Times New Roman" w:hint="default"/>
              </w:rPr>
              <w:tab/>
              <w:t>97</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10">
            <w:r>
              <w:rPr/>
              <w:t>第十二节</w:t>
            </w:r>
            <w:r>
              <w:rPr>
                <w:spacing w:val="-20"/>
              </w:rPr>
              <w:t> </w:t>
            </w:r>
            <w:r>
              <w:rPr/>
              <w:t>备查文件目录</w:t>
            </w:r>
            <w:r>
              <w:rPr>
                <w:rFonts w:ascii="Times New Roman" w:hAnsi="Times New Roman" w:cs="Times New Roman" w:eastAsia="Times New Roman" w:hint="default"/>
              </w:rPr>
              <w:tab/>
              <w:t>192</w:t>
            </w:r>
            <w:r>
              <w:rPr>
                <w:rFonts w:ascii="Times New Roman" w:hAnsi="Times New Roman" w:cs="Times New Roman" w:eastAsia="Times New Roman" w:hint="default"/>
                <w:b w:val="0"/>
                <w:bCs w:val="0"/>
              </w:rPr>
            </w:r>
          </w:hyperlink>
        </w:p>
      </w:sdtContent>
    </w:sdt>
    <w:p>
      <w:pPr>
        <w:spacing w:after="0" w:line="240" w:lineRule="auto"/>
        <w:jc w:val="left"/>
        <w:rPr>
          <w:rFonts w:ascii="Times New Roman" w:hAnsi="Times New Roman" w:cs="Times New Roman" w:eastAsia="Times New Roman" w:hint="default"/>
        </w:rPr>
        <w:sectPr>
          <w:pgSz w:w="11910" w:h="16840"/>
          <w:pgMar w:header="747" w:footer="979" w:top="1060" w:bottom="1160" w:left="980" w:right="0"/>
        </w:sectPr>
      </w:pPr>
    </w:p>
    <w:p>
      <w:pPr>
        <w:spacing w:before="946"/>
        <w:ind w:left="4693" w:right="5609"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01" w:type="dxa"/>
        <w:tblLayout w:type="fixed"/>
        <w:tblCellMar>
          <w:top w:w="0" w:type="dxa"/>
          <w:left w:w="0" w:type="dxa"/>
          <w:bottom w:w="0" w:type="dxa"/>
          <w:right w:w="0" w:type="dxa"/>
        </w:tblCellMar>
        <w:tblLook w:val="01E0"/>
      </w:tblPr>
      <w:tblGrid>
        <w:gridCol w:w="3262"/>
        <w:gridCol w:w="621"/>
        <w:gridCol w:w="5616"/>
      </w:tblGrid>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正元智慧、本公司、公司</w:t>
            </w:r>
          </w:p>
        </w:tc>
        <w:tc>
          <w:tcPr>
            <w:tcW w:w="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浙江正元智慧科技股份有限公司</w:t>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杭州正元</w:t>
            </w:r>
          </w:p>
        </w:tc>
        <w:tc>
          <w:tcPr>
            <w:tcW w:w="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杭州正元企业管理咨询有限公司，现为公司控股股东</w:t>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易康投资</w:t>
            </w:r>
          </w:p>
        </w:tc>
        <w:tc>
          <w:tcPr>
            <w:tcW w:w="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杭州易康投资管理有限公司，现为公司股东</w:t>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正浩投资</w:t>
            </w:r>
          </w:p>
        </w:tc>
        <w:tc>
          <w:tcPr>
            <w:tcW w:w="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杭州正浩投资管理有限公司，现为公司股东</w:t>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博信优选</w:t>
            </w:r>
          </w:p>
        </w:tc>
        <w:tc>
          <w:tcPr>
            <w:tcW w:w="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博信优</w:t>
            </w:r>
            <w:r>
              <w:rPr>
                <w:rFonts w:ascii="宋体" w:hAnsi="宋体" w:cs="宋体" w:eastAsia="宋体" w:hint="default"/>
                <w:spacing w:val="-23"/>
                <w:sz w:val="18"/>
                <w:szCs w:val="18"/>
              </w:rPr>
              <w:t>选</w:t>
            </w:r>
            <w:r>
              <w:rPr>
                <w:rFonts w:ascii="宋体" w:hAnsi="宋体" w:cs="宋体" w:eastAsia="宋体" w:hint="default"/>
                <w:sz w:val="18"/>
                <w:szCs w:val="18"/>
              </w:rPr>
              <w:t>（天津</w:t>
            </w:r>
            <w:r>
              <w:rPr>
                <w:rFonts w:ascii="宋体" w:hAnsi="宋体" w:cs="宋体" w:eastAsia="宋体" w:hint="default"/>
                <w:spacing w:val="-23"/>
                <w:sz w:val="18"/>
                <w:szCs w:val="18"/>
              </w:rPr>
              <w:t>）</w:t>
            </w:r>
            <w:r>
              <w:rPr>
                <w:rFonts w:ascii="宋体" w:hAnsi="宋体" w:cs="宋体" w:eastAsia="宋体" w:hint="default"/>
                <w:sz w:val="18"/>
                <w:szCs w:val="18"/>
              </w:rPr>
              <w:t>股权投资基金合伙企</w:t>
            </w:r>
            <w:r>
              <w:rPr>
                <w:rFonts w:ascii="宋体" w:hAnsi="宋体" w:cs="宋体" w:eastAsia="宋体" w:hint="default"/>
                <w:spacing w:val="-23"/>
                <w:sz w:val="18"/>
                <w:szCs w:val="18"/>
              </w:rPr>
              <w:t>业</w:t>
            </w:r>
            <w:r>
              <w:rPr>
                <w:rFonts w:ascii="宋体" w:hAnsi="宋体" w:cs="宋体" w:eastAsia="宋体" w:hint="default"/>
                <w:sz w:val="18"/>
                <w:szCs w:val="18"/>
              </w:rPr>
              <w:t>（有限合伙</w:t>
            </w:r>
            <w:r>
              <w:rPr>
                <w:rFonts w:ascii="宋体" w:hAnsi="宋体" w:cs="宋体" w:eastAsia="宋体" w:hint="default"/>
                <w:spacing w:val="-90"/>
                <w:sz w:val="18"/>
                <w:szCs w:val="18"/>
              </w:rPr>
              <w:t>）</w:t>
            </w:r>
            <w:r>
              <w:rPr>
                <w:rFonts w:ascii="宋体" w:hAnsi="宋体" w:cs="宋体" w:eastAsia="宋体" w:hint="default"/>
                <w:spacing w:val="-23"/>
                <w:sz w:val="18"/>
                <w:szCs w:val="18"/>
              </w:rPr>
              <w:t>，</w:t>
            </w:r>
            <w:r>
              <w:rPr>
                <w:rFonts w:ascii="宋体" w:hAnsi="宋体" w:cs="宋体" w:eastAsia="宋体" w:hint="default"/>
                <w:sz w:val="18"/>
                <w:szCs w:val="18"/>
              </w:rPr>
              <w:t>现为公司股东</w:t>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合力创投</w:t>
            </w:r>
          </w:p>
        </w:tc>
        <w:tc>
          <w:tcPr>
            <w:tcW w:w="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浙江合力创业投资有限公司，现为公司股东</w:t>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盈瓯创投</w:t>
            </w:r>
          </w:p>
        </w:tc>
        <w:tc>
          <w:tcPr>
            <w:tcW w:w="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浙江盈瓯创业投资有限公司，现为公司股东</w:t>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连连投资</w:t>
            </w:r>
          </w:p>
        </w:tc>
        <w:tc>
          <w:tcPr>
            <w:tcW w:w="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浙江连连投资有限公司，现为公司股东</w:t>
            </w:r>
          </w:p>
        </w:tc>
      </w:tr>
      <w:tr>
        <w:trPr>
          <w:trHeight w:val="714"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广西筑波</w:t>
            </w:r>
          </w:p>
        </w:tc>
        <w:tc>
          <w:tcPr>
            <w:tcW w:w="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61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3" w:right="134"/>
              <w:jc w:val="left"/>
              <w:rPr>
                <w:rFonts w:ascii="宋体" w:hAnsi="宋体" w:cs="宋体" w:eastAsia="宋体" w:hint="default"/>
                <w:sz w:val="18"/>
                <w:szCs w:val="18"/>
              </w:rPr>
            </w:pPr>
            <w:r>
              <w:rPr>
                <w:rFonts w:ascii="宋体" w:hAnsi="宋体" w:cs="宋体" w:eastAsia="宋体" w:hint="default"/>
                <w:spacing w:val="-6"/>
                <w:w w:val="99"/>
                <w:sz w:val="18"/>
                <w:szCs w:val="18"/>
              </w:rPr>
              <w:t>广西筑波智慧科技有限公司（曾用名</w:t>
            </w:r>
            <w:r>
              <w:rPr>
                <w:rFonts w:ascii="Times New Roman" w:hAnsi="Times New Roman" w:cs="Times New Roman" w:eastAsia="Times New Roman" w:hint="default"/>
                <w:spacing w:val="-6"/>
                <w:w w:val="99"/>
                <w:sz w:val="18"/>
                <w:szCs w:val="18"/>
              </w:rPr>
              <w:t>"</w:t>
            </w:r>
            <w:r>
              <w:rPr>
                <w:rFonts w:ascii="宋体" w:hAnsi="宋体" w:cs="宋体" w:eastAsia="宋体" w:hint="default"/>
                <w:spacing w:val="-6"/>
                <w:w w:val="99"/>
                <w:sz w:val="18"/>
                <w:szCs w:val="18"/>
              </w:rPr>
              <w:t>南宁筑波智慧科技有限公司</w:t>
            </w:r>
            <w:r>
              <w:rPr>
                <w:rFonts w:ascii="Times New Roman" w:hAnsi="Times New Roman" w:cs="Times New Roman" w:eastAsia="Times New Roman" w:hint="default"/>
                <w:spacing w:val="-6"/>
                <w:w w:val="99"/>
                <w:sz w:val="18"/>
                <w:szCs w:val="18"/>
              </w:rPr>
              <w:t>"</w:t>
            </w:r>
            <w:r>
              <w:rPr>
                <w:rFonts w:ascii="宋体" w:hAnsi="宋体" w:cs="宋体" w:eastAsia="宋体" w:hint="default"/>
                <w:spacing w:val="-6"/>
                <w:w w:val="99"/>
                <w:sz w:val="18"/>
                <w:szCs w:val="18"/>
              </w:rPr>
              <w:t>），</w:t>
            </w:r>
            <w:r>
              <w:rPr>
                <w:rFonts w:ascii="宋体" w:hAnsi="宋体" w:cs="宋体" w:eastAsia="宋体" w:hint="default"/>
                <w:spacing w:val="-80"/>
                <w:w w:val="99"/>
                <w:sz w:val="18"/>
                <w:szCs w:val="18"/>
              </w:rPr>
              <w:t> </w:t>
            </w:r>
            <w:r>
              <w:rPr>
                <w:rFonts w:ascii="宋体" w:hAnsi="宋体" w:cs="宋体" w:eastAsia="宋体" w:hint="default"/>
                <w:sz w:val="18"/>
                <w:szCs w:val="18"/>
              </w:rPr>
              <w:t>本公司控股子公司</w:t>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青岛天高</w:t>
            </w:r>
          </w:p>
        </w:tc>
        <w:tc>
          <w:tcPr>
            <w:tcW w:w="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青岛天高智慧科技有限公司，本公司控股子公司</w:t>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南昌正元</w:t>
            </w:r>
          </w:p>
        </w:tc>
        <w:tc>
          <w:tcPr>
            <w:tcW w:w="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南昌正元智慧科技有限公司，本公司控股子公司</w:t>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正元数据</w:t>
            </w:r>
          </w:p>
        </w:tc>
        <w:tc>
          <w:tcPr>
            <w:tcW w:w="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浙江正元数据系统工程有限公司，本公司控股子公司</w:t>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杭州容博</w:t>
            </w:r>
          </w:p>
        </w:tc>
        <w:tc>
          <w:tcPr>
            <w:tcW w:w="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杭州容博教育科技有限公司，本公司控股子公司</w:t>
            </w:r>
          </w:p>
        </w:tc>
      </w:tr>
      <w:tr>
        <w:trPr>
          <w:trHeight w:val="714"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云马智慧</w:t>
            </w:r>
          </w:p>
        </w:tc>
        <w:tc>
          <w:tcPr>
            <w:tcW w:w="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61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3" w:right="134"/>
              <w:jc w:val="left"/>
              <w:rPr>
                <w:rFonts w:ascii="宋体" w:hAnsi="宋体" w:cs="宋体" w:eastAsia="宋体" w:hint="default"/>
                <w:sz w:val="18"/>
                <w:szCs w:val="18"/>
              </w:rPr>
            </w:pPr>
            <w:r>
              <w:rPr>
                <w:rFonts w:ascii="宋体" w:hAnsi="宋体" w:cs="宋体" w:eastAsia="宋体" w:hint="default"/>
                <w:spacing w:val="-6"/>
                <w:w w:val="99"/>
                <w:sz w:val="18"/>
                <w:szCs w:val="18"/>
              </w:rPr>
              <w:t>浙江云马智慧科技有限公司（曾用名</w:t>
            </w:r>
            <w:r>
              <w:rPr>
                <w:rFonts w:ascii="Times New Roman" w:hAnsi="Times New Roman" w:cs="Times New Roman" w:eastAsia="Times New Roman" w:hint="default"/>
                <w:spacing w:val="-6"/>
                <w:w w:val="99"/>
                <w:sz w:val="18"/>
                <w:szCs w:val="18"/>
              </w:rPr>
              <w:t>"</w:t>
            </w:r>
            <w:r>
              <w:rPr>
                <w:rFonts w:ascii="宋体" w:hAnsi="宋体" w:cs="宋体" w:eastAsia="宋体" w:hint="default"/>
                <w:spacing w:val="-6"/>
                <w:w w:val="99"/>
                <w:sz w:val="18"/>
                <w:szCs w:val="18"/>
              </w:rPr>
              <w:t>杭州捷卡智慧科技有限公司</w:t>
            </w:r>
            <w:r>
              <w:rPr>
                <w:rFonts w:ascii="Times New Roman" w:hAnsi="Times New Roman" w:cs="Times New Roman" w:eastAsia="Times New Roman" w:hint="default"/>
                <w:spacing w:val="-6"/>
                <w:w w:val="99"/>
                <w:sz w:val="18"/>
                <w:szCs w:val="18"/>
              </w:rPr>
              <w:t>"</w:t>
            </w:r>
            <w:r>
              <w:rPr>
                <w:rFonts w:ascii="宋体" w:hAnsi="宋体" w:cs="宋体" w:eastAsia="宋体" w:hint="default"/>
                <w:spacing w:val="-6"/>
                <w:w w:val="99"/>
                <w:sz w:val="18"/>
                <w:szCs w:val="18"/>
              </w:rPr>
              <w:t>），</w:t>
            </w:r>
            <w:r>
              <w:rPr>
                <w:rFonts w:ascii="宋体" w:hAnsi="宋体" w:cs="宋体" w:eastAsia="宋体" w:hint="default"/>
                <w:spacing w:val="-80"/>
                <w:w w:val="99"/>
                <w:sz w:val="18"/>
                <w:szCs w:val="18"/>
              </w:rPr>
              <w:t> </w:t>
            </w:r>
            <w:r>
              <w:rPr>
                <w:rFonts w:ascii="宋体" w:hAnsi="宋体" w:cs="宋体" w:eastAsia="宋体" w:hint="default"/>
                <w:sz w:val="18"/>
                <w:szCs w:val="18"/>
              </w:rPr>
              <w:t>本公司控股子公司</w:t>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福建正元</w:t>
            </w:r>
          </w:p>
        </w:tc>
        <w:tc>
          <w:tcPr>
            <w:tcW w:w="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福建正元智慧信息科技有限公司，本公司控股子公司</w:t>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四川正元</w:t>
            </w:r>
          </w:p>
        </w:tc>
        <w:tc>
          <w:tcPr>
            <w:tcW w:w="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四川正元智慧科技有限公司，本公司控股子公司</w:t>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正元曦客</w:t>
            </w:r>
          </w:p>
        </w:tc>
        <w:tc>
          <w:tcPr>
            <w:tcW w:w="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浙江正元曦客科技有限公司，本公司控股子公司</w:t>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校云智慧</w:t>
            </w:r>
          </w:p>
        </w:tc>
        <w:tc>
          <w:tcPr>
            <w:tcW w:w="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浙江校云智慧科技有限公司，本公司控股子公司</w:t>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小兰智慧</w:t>
            </w:r>
          </w:p>
        </w:tc>
        <w:tc>
          <w:tcPr>
            <w:tcW w:w="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浙江小兰智慧科技有限公司，本公司控股子公司</w:t>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坚果智慧</w:t>
            </w:r>
          </w:p>
        </w:tc>
        <w:tc>
          <w:tcPr>
            <w:tcW w:w="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浙江坚果智慧科技有限公司，本公司控股子公司</w:t>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无锡汇众</w:t>
            </w:r>
          </w:p>
        </w:tc>
        <w:tc>
          <w:tcPr>
            <w:tcW w:w="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无锡汇众智慧科技有限公司，本公司参股公司</w:t>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重庆汇贤</w:t>
            </w:r>
          </w:p>
        </w:tc>
        <w:tc>
          <w:tcPr>
            <w:tcW w:w="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重庆汇贤优策科技股份有限公司，本公司参股公司</w:t>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卓然实业</w:t>
            </w:r>
          </w:p>
        </w:tc>
        <w:tc>
          <w:tcPr>
            <w:tcW w:w="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杭州卓然实业有限公司，本公司参股公司</w:t>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正元医疗</w:t>
            </w:r>
          </w:p>
        </w:tc>
        <w:tc>
          <w:tcPr>
            <w:tcW w:w="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杭州正元医疗器械有限公司，陈坚控股公司</w:t>
            </w:r>
          </w:p>
        </w:tc>
      </w:tr>
      <w:tr>
        <w:trPr>
          <w:trHeight w:val="714"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校园一卡通</w:t>
            </w:r>
          </w:p>
        </w:tc>
        <w:tc>
          <w:tcPr>
            <w:tcW w:w="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61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3" w:right="11"/>
              <w:jc w:val="left"/>
              <w:rPr>
                <w:rFonts w:ascii="Times New Roman" w:hAnsi="Times New Roman" w:cs="Times New Roman" w:eastAsia="Times New Roman" w:hint="default"/>
                <w:sz w:val="18"/>
                <w:szCs w:val="18"/>
              </w:rPr>
            </w:pPr>
            <w:r>
              <w:rPr>
                <w:rFonts w:ascii="宋体" w:hAnsi="宋体" w:cs="宋体" w:eastAsia="宋体" w:hint="default"/>
                <w:spacing w:val="-6"/>
                <w:w w:val="99"/>
                <w:sz w:val="18"/>
                <w:szCs w:val="18"/>
              </w:rPr>
              <w:t>一卡通系统在校园内的应用形态，实现学生、教师及职工的</w:t>
            </w:r>
            <w:r>
              <w:rPr>
                <w:rFonts w:ascii="Times New Roman" w:hAnsi="Times New Roman" w:cs="Times New Roman" w:eastAsia="Times New Roman" w:hint="default"/>
                <w:spacing w:val="-6"/>
                <w:w w:val="99"/>
                <w:sz w:val="18"/>
                <w:szCs w:val="18"/>
              </w:rPr>
              <w:t>"</w:t>
            </w:r>
            <w:r>
              <w:rPr>
                <w:rFonts w:ascii="宋体" w:hAnsi="宋体" w:cs="宋体" w:eastAsia="宋体" w:hint="default"/>
                <w:spacing w:val="-6"/>
                <w:w w:val="99"/>
                <w:sz w:val="18"/>
                <w:szCs w:val="18"/>
              </w:rPr>
              <w:t>一卡在手，</w:t>
            </w:r>
            <w:r>
              <w:rPr>
                <w:rFonts w:ascii="宋体" w:hAnsi="宋体" w:cs="宋体" w:eastAsia="宋体" w:hint="default"/>
                <w:spacing w:val="-63"/>
                <w:w w:val="99"/>
                <w:sz w:val="18"/>
                <w:szCs w:val="18"/>
              </w:rPr>
              <w:t> </w:t>
            </w:r>
            <w:r>
              <w:rPr>
                <w:rFonts w:ascii="宋体" w:hAnsi="宋体" w:cs="宋体" w:eastAsia="宋体" w:hint="default"/>
                <w:sz w:val="18"/>
                <w:szCs w:val="18"/>
              </w:rPr>
              <w:t>走遍校园，一卡通用，一卡多用</w:t>
            </w:r>
            <w:r>
              <w:rPr>
                <w:rFonts w:ascii="Times New Roman" w:hAnsi="Times New Roman" w:cs="Times New Roman" w:eastAsia="Times New Roman" w:hint="default"/>
                <w:sz w:val="18"/>
                <w:szCs w:val="18"/>
              </w:rPr>
              <w:t>"</w:t>
            </w:r>
          </w:p>
        </w:tc>
      </w:tr>
    </w:tbl>
    <w:p>
      <w:pPr>
        <w:spacing w:after="0" w:line="300" w:lineRule="auto"/>
        <w:jc w:val="left"/>
        <w:rPr>
          <w:rFonts w:ascii="Times New Roman" w:hAnsi="Times New Roman" w:cs="Times New Roman" w:eastAsia="Times New Roman" w:hint="default"/>
          <w:sz w:val="18"/>
          <w:szCs w:val="18"/>
        </w:rPr>
        <w:sectPr>
          <w:pgSz w:w="11910" w:h="16840"/>
          <w:pgMar w:header="747" w:footer="979" w:top="1060" w:bottom="1160" w:left="92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01" w:type="dxa"/>
        <w:tblLayout w:type="fixed"/>
        <w:tblCellMar>
          <w:top w:w="0" w:type="dxa"/>
          <w:left w:w="0" w:type="dxa"/>
          <w:bottom w:w="0" w:type="dxa"/>
          <w:right w:w="0" w:type="dxa"/>
        </w:tblCellMar>
        <w:tblLook w:val="01E0"/>
      </w:tblPr>
      <w:tblGrid>
        <w:gridCol w:w="3262"/>
        <w:gridCol w:w="621"/>
        <w:gridCol w:w="5616"/>
      </w:tblGrid>
      <w:tr>
        <w:trPr>
          <w:trHeight w:val="2586"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数字化校园</w:t>
            </w:r>
          </w:p>
        </w:tc>
        <w:tc>
          <w:tcPr>
            <w:tcW w:w="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61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1"/>
              <w:jc w:val="both"/>
              <w:rPr>
                <w:rFonts w:ascii="宋体" w:hAnsi="宋体" w:cs="宋体" w:eastAsia="宋体" w:hint="default"/>
                <w:sz w:val="18"/>
                <w:szCs w:val="18"/>
              </w:rPr>
            </w:pPr>
            <w:r>
              <w:rPr>
                <w:rFonts w:ascii="宋体" w:hAnsi="宋体" w:cs="宋体" w:eastAsia="宋体" w:hint="default"/>
                <w:sz w:val="18"/>
                <w:szCs w:val="18"/>
              </w:rPr>
              <w:t>是校园信息化建设的高级阶段，以数字化信息和网络为基础，在计算 机和网络技术上建立起来的对教学、科研、管理、技术服务、生活服 务等校园信息的收集、处理、整合、存储、传输和应用，使数字资源 得到充分优化。利用一种虚拟教育环境，通过实现从环境、资源到应 用的全部数字化，在传统校园基础上构建一个数字空间，以拓展现实 校园的时间和空间维度，提升传统校园的运行效率，扩展传统校园的 业务功能，最终实现教育过程的全面信息化，从而达到提高管理水平 和效率的目的</w:t>
            </w:r>
          </w:p>
        </w:tc>
      </w:tr>
      <w:tr>
        <w:trPr>
          <w:trHeight w:val="1338"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物联网</w:t>
            </w:r>
          </w:p>
        </w:tc>
        <w:tc>
          <w:tcPr>
            <w:tcW w:w="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61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103" w:right="101"/>
              <w:jc w:val="both"/>
              <w:rPr>
                <w:rFonts w:ascii="宋体" w:hAnsi="宋体" w:cs="宋体" w:eastAsia="宋体" w:hint="default"/>
                <w:sz w:val="18"/>
                <w:szCs w:val="18"/>
              </w:rPr>
            </w:pPr>
            <w:r>
              <w:rPr>
                <w:rFonts w:ascii="Times New Roman" w:hAnsi="Times New Roman" w:cs="Times New Roman" w:eastAsia="Times New Roman" w:hint="default"/>
                <w:sz w:val="18"/>
                <w:szCs w:val="18"/>
              </w:rPr>
              <w:t>The </w:t>
            </w:r>
            <w:r>
              <w:rPr>
                <w:rFonts w:ascii="Times New Roman" w:hAnsi="Times New Roman" w:cs="Times New Roman" w:eastAsia="Times New Roman" w:hint="default"/>
                <w:spacing w:val="-1"/>
                <w:sz w:val="18"/>
                <w:szCs w:val="18"/>
              </w:rPr>
              <w:t>Internet</w:t>
            </w:r>
            <w:r>
              <w:rPr>
                <w:rFonts w:ascii="Times New Roman" w:hAnsi="Times New Roman" w:cs="Times New Roman" w:eastAsia="Times New Roman" w:hint="default"/>
                <w:sz w:val="18"/>
                <w:szCs w:val="18"/>
              </w:rPr>
              <w:t> of</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pacing w:val="-8"/>
                <w:w w:val="99"/>
                <w:sz w:val="18"/>
                <w:szCs w:val="18"/>
              </w:rPr>
              <w:t>Things</w:t>
            </w:r>
            <w:r>
              <w:rPr>
                <w:rFonts w:ascii="宋体" w:hAnsi="宋体" w:cs="宋体" w:eastAsia="宋体" w:hint="default"/>
                <w:spacing w:val="-8"/>
                <w:w w:val="99"/>
                <w:sz w:val="18"/>
                <w:szCs w:val="18"/>
              </w:rPr>
              <w:t>，即物物相连的互联网，通过射频识别（</w:t>
            </w:r>
            <w:r>
              <w:rPr>
                <w:rFonts w:ascii="Times New Roman" w:hAnsi="Times New Roman" w:cs="Times New Roman" w:eastAsia="Times New Roman" w:hint="default"/>
                <w:spacing w:val="-8"/>
                <w:w w:val="99"/>
                <w:sz w:val="18"/>
                <w:szCs w:val="18"/>
              </w:rPr>
              <w:t>RFID</w:t>
            </w:r>
            <w:r>
              <w:rPr>
                <w:rFonts w:ascii="宋体" w:hAnsi="宋体" w:cs="宋体" w:eastAsia="宋体" w:hint="default"/>
                <w:spacing w:val="-8"/>
                <w:w w:val="99"/>
                <w:sz w:val="18"/>
                <w:szCs w:val="18"/>
              </w:rPr>
              <w:t>）、</w:t>
            </w:r>
            <w:r>
              <w:rPr>
                <w:rFonts w:ascii="宋体" w:hAnsi="宋体" w:cs="宋体" w:eastAsia="宋体" w:hint="default"/>
                <w:spacing w:val="-90"/>
                <w:sz w:val="18"/>
                <w:szCs w:val="18"/>
              </w:rPr>
              <w:t> </w:t>
            </w:r>
            <w:r>
              <w:rPr>
                <w:rFonts w:ascii="宋体" w:hAnsi="宋体" w:cs="宋体" w:eastAsia="宋体" w:hint="default"/>
                <w:sz w:val="18"/>
                <w:szCs w:val="18"/>
              </w:rPr>
              <w:t>红外感应器、全球定位系统、激光扫描器等信息传感设备，按约定的</w:t>
            </w:r>
            <w:r>
              <w:rPr>
                <w:rFonts w:ascii="宋体" w:hAnsi="宋体" w:cs="宋体" w:eastAsia="宋体" w:hint="default"/>
                <w:sz w:val="18"/>
                <w:szCs w:val="18"/>
              </w:rPr>
              <w:t> 协议，把任何物体与互联网相连接，进行信息交换和通信，以实现对 物体的智能化识别、定位、跟踪、监控和管理的一种网络</w:t>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智慧校园</w:t>
            </w:r>
          </w:p>
        </w:tc>
        <w:tc>
          <w:tcPr>
            <w:tcW w:w="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数字化校园结合物联网技术所形成的高端校园信息化形态</w:t>
            </w:r>
          </w:p>
        </w:tc>
      </w:tr>
      <w:tr>
        <w:trPr>
          <w:trHeight w:val="196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智慧城市</w:t>
            </w:r>
          </w:p>
        </w:tc>
        <w:tc>
          <w:tcPr>
            <w:tcW w:w="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6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指充分借助物联网、传感网，运用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RFID</w:t>
            </w:r>
            <w:r>
              <w:rPr>
                <w:rFonts w:ascii="宋体" w:hAnsi="宋体" w:cs="宋体" w:eastAsia="宋体" w:hint="default"/>
                <w:sz w:val="18"/>
                <w:szCs w:val="18"/>
              </w:rPr>
              <w:t>、信息技术等，使城市的关 键基础设施通过组成服务，使城市的服务更有效，为市民提供人与社 会、人与人的和谐共处，涉及到智能楼宇、智能家居、路网监控、智 能医院等数字生活等诸多领域，构建城市发展的智慧环境，形成基于 海量信息和智能过滤处理的新的生活、产业发展、社会管理等模式， 面向未来构建全新的城市形态</w:t>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智能卡</w:t>
            </w:r>
          </w:p>
        </w:tc>
        <w:tc>
          <w:tcPr>
            <w:tcW w:w="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带有微处理器芯片的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卡，也称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CPU</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卡</w:t>
            </w:r>
          </w:p>
        </w:tc>
      </w:tr>
      <w:tr>
        <w:trPr>
          <w:trHeight w:val="1338"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云计算</w:t>
            </w:r>
          </w:p>
        </w:tc>
        <w:tc>
          <w:tcPr>
            <w:tcW w:w="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61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103" w:right="11"/>
              <w:jc w:val="left"/>
              <w:rPr>
                <w:rFonts w:ascii="宋体" w:hAnsi="宋体" w:cs="宋体" w:eastAsia="宋体" w:hint="default"/>
                <w:sz w:val="18"/>
                <w:szCs w:val="18"/>
              </w:rPr>
            </w:pPr>
            <w:r>
              <w:rPr>
                <w:rFonts w:ascii="Times New Roman" w:hAnsi="Times New Roman" w:cs="Times New Roman" w:eastAsia="Times New Roman" w:hint="default"/>
                <w:sz w:val="18"/>
                <w:szCs w:val="18"/>
              </w:rPr>
              <w:t>Cloud</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pacing w:val="-4"/>
                <w:sz w:val="18"/>
                <w:szCs w:val="18"/>
              </w:rPr>
              <w:t>Computing</w:t>
            </w:r>
            <w:r>
              <w:rPr>
                <w:rFonts w:ascii="宋体" w:hAnsi="宋体" w:cs="宋体" w:eastAsia="宋体" w:hint="default"/>
                <w:spacing w:val="-4"/>
                <w:sz w:val="18"/>
                <w:szCs w:val="18"/>
              </w:rPr>
              <w:t>，是基于互联网的相关服务的增加、使用和交付模式，</w:t>
            </w:r>
            <w:r>
              <w:rPr>
                <w:rFonts w:ascii="宋体" w:hAnsi="宋体" w:cs="宋体" w:eastAsia="宋体" w:hint="default"/>
                <w:sz w:val="18"/>
                <w:szCs w:val="18"/>
              </w:rPr>
              <w:t> 通常涉及通过互联网来提供动态易扩展且经常是虚拟化的资源，是分 布式计算、并行计算、效用计算、网络存储、虚拟化、负载均衡、热 备份冗余等传统计算机和网络技术发展融合的产物</w:t>
            </w:r>
          </w:p>
        </w:tc>
      </w:tr>
      <w:tr>
        <w:trPr>
          <w:trHeight w:val="1026"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大数据</w:t>
            </w:r>
          </w:p>
        </w:tc>
        <w:tc>
          <w:tcPr>
            <w:tcW w:w="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61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103" w:right="101"/>
              <w:jc w:val="left"/>
              <w:rPr>
                <w:rFonts w:ascii="宋体" w:hAnsi="宋体" w:cs="宋体" w:eastAsia="宋体" w:hint="default"/>
                <w:sz w:val="18"/>
                <w:szCs w:val="18"/>
              </w:rPr>
            </w:pPr>
            <w:r>
              <w:rPr>
                <w:rFonts w:ascii="Times New Roman" w:hAnsi="Times New Roman" w:cs="Times New Roman" w:eastAsia="Times New Roman" w:hint="default"/>
                <w:sz w:val="18"/>
                <w:szCs w:val="18"/>
              </w:rPr>
              <w:t>Big</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Data</w:t>
            </w:r>
            <w:r>
              <w:rPr>
                <w:rFonts w:ascii="宋体" w:hAnsi="宋体" w:cs="宋体" w:eastAsia="宋体" w:hint="default"/>
                <w:sz w:val="18"/>
                <w:szCs w:val="18"/>
              </w:rPr>
              <w:t>，或称巨量资料，指的是所涉及的资料量规模巨大到无法通 过目前主流软件工具，在合理时间内达到撷取、管理、处理整理成为 帮助企业经营决策更积极目的的资讯</w:t>
            </w:r>
          </w:p>
        </w:tc>
      </w:tr>
      <w:tr>
        <w:trPr>
          <w:trHeight w:val="2274"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建筑智能化</w:t>
            </w:r>
          </w:p>
        </w:tc>
        <w:tc>
          <w:tcPr>
            <w:tcW w:w="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6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是现代建筑技术与通讯技术相结合的产物，它的技术基础是现代化建 </w:t>
            </w:r>
            <w:r>
              <w:rPr>
                <w:rFonts w:ascii="宋体" w:hAnsi="宋体" w:cs="宋体" w:eastAsia="宋体" w:hint="default"/>
                <w:spacing w:val="-5"/>
                <w:sz w:val="18"/>
                <w:szCs w:val="18"/>
              </w:rPr>
              <w:t>筑技术（</w:t>
            </w:r>
            <w:r>
              <w:rPr>
                <w:rFonts w:ascii="Times New Roman" w:hAnsi="Times New Roman" w:cs="Times New Roman" w:eastAsia="Times New Roman" w:hint="default"/>
                <w:spacing w:val="-5"/>
                <w:sz w:val="18"/>
                <w:szCs w:val="18"/>
              </w:rPr>
              <w:t>Architecture</w:t>
            </w:r>
            <w:r>
              <w:rPr>
                <w:rFonts w:ascii="宋体" w:hAnsi="宋体" w:cs="宋体" w:eastAsia="宋体" w:hint="default"/>
                <w:spacing w:val="-5"/>
                <w:sz w:val="18"/>
                <w:szCs w:val="18"/>
              </w:rPr>
              <w:t>）、现代控制技术（</w:t>
            </w:r>
            <w:r>
              <w:rPr>
                <w:rFonts w:ascii="Times New Roman" w:hAnsi="Times New Roman" w:cs="Times New Roman" w:eastAsia="Times New Roman" w:hint="default"/>
                <w:spacing w:val="-5"/>
                <w:sz w:val="18"/>
                <w:szCs w:val="18"/>
              </w:rPr>
              <w:t>Control</w:t>
            </w:r>
            <w:r>
              <w:rPr>
                <w:rFonts w:ascii="宋体" w:hAnsi="宋体" w:cs="宋体" w:eastAsia="宋体" w:hint="default"/>
                <w:spacing w:val="-5"/>
                <w:sz w:val="18"/>
                <w:szCs w:val="18"/>
              </w:rPr>
              <w:t>）、计算机技术</w:t>
            </w:r>
          </w:p>
          <w:p>
            <w:pPr>
              <w:pStyle w:val="TableParagraph"/>
              <w:spacing w:line="309" w:lineRule="auto"/>
              <w:ind w:left="103" w:right="11"/>
              <w:jc w:val="left"/>
              <w:rPr>
                <w:rFonts w:ascii="宋体" w:hAnsi="宋体" w:cs="宋体" w:eastAsia="宋体" w:hint="default"/>
                <w:sz w:val="18"/>
                <w:szCs w:val="18"/>
              </w:rPr>
            </w:pPr>
            <w:r>
              <w:rPr>
                <w:rFonts w:ascii="宋体" w:hAnsi="宋体" w:cs="宋体" w:eastAsia="宋体" w:hint="default"/>
                <w:spacing w:val="-9"/>
                <w:sz w:val="18"/>
                <w:szCs w:val="18"/>
              </w:rPr>
              <w:t>（</w:t>
            </w:r>
            <w:r>
              <w:rPr>
                <w:rFonts w:ascii="Times New Roman" w:hAnsi="Times New Roman" w:cs="Times New Roman" w:eastAsia="Times New Roman" w:hint="default"/>
                <w:spacing w:val="-9"/>
                <w:sz w:val="18"/>
                <w:szCs w:val="18"/>
              </w:rPr>
              <w:t>Computer</w:t>
            </w:r>
            <w:r>
              <w:rPr>
                <w:rFonts w:ascii="宋体" w:hAnsi="宋体" w:cs="宋体" w:eastAsia="宋体" w:hint="default"/>
                <w:spacing w:val="-9"/>
                <w:sz w:val="18"/>
                <w:szCs w:val="18"/>
              </w:rPr>
              <w:t>）、通讯技术（</w:t>
            </w:r>
            <w:r>
              <w:rPr>
                <w:rFonts w:ascii="Times New Roman" w:hAnsi="Times New Roman" w:cs="Times New Roman" w:eastAsia="Times New Roman" w:hint="default"/>
                <w:spacing w:val="-9"/>
                <w:sz w:val="18"/>
                <w:szCs w:val="18"/>
              </w:rPr>
              <w:t>Communication</w:t>
            </w:r>
            <w:r>
              <w:rPr>
                <w:rFonts w:ascii="宋体" w:hAnsi="宋体" w:cs="宋体" w:eastAsia="宋体" w:hint="default"/>
                <w:spacing w:val="-9"/>
                <w:sz w:val="18"/>
                <w:szCs w:val="18"/>
              </w:rPr>
              <w:t>）、图像显示技术（</w:t>
            </w:r>
            <w:r>
              <w:rPr>
                <w:rFonts w:ascii="Times New Roman" w:hAnsi="Times New Roman" w:cs="Times New Roman" w:eastAsia="Times New Roman" w:hint="default"/>
                <w:spacing w:val="-9"/>
                <w:sz w:val="18"/>
                <w:szCs w:val="18"/>
              </w:rPr>
              <w:t>CRT</w:t>
            </w:r>
            <w:r>
              <w:rPr>
                <w:rFonts w:ascii="宋体" w:hAnsi="宋体" w:cs="宋体" w:eastAsia="宋体" w:hint="default"/>
                <w:spacing w:val="-9"/>
                <w:sz w:val="18"/>
                <w:szCs w:val="18"/>
              </w:rPr>
              <w:t>），</w:t>
            </w:r>
            <w:r>
              <w:rPr>
                <w:rFonts w:ascii="宋体" w:hAnsi="宋体" w:cs="宋体" w:eastAsia="宋体" w:hint="default"/>
                <w:spacing w:val="-78"/>
                <w:sz w:val="18"/>
                <w:szCs w:val="18"/>
              </w:rPr>
              <w:t> </w:t>
            </w:r>
            <w:r>
              <w:rPr>
                <w:rFonts w:ascii="宋体" w:hAnsi="宋体" w:cs="宋体" w:eastAsia="宋体" w:hint="default"/>
                <w:sz w:val="18"/>
                <w:szCs w:val="18"/>
              </w:rPr>
              <w:t>即所谓的</w:t>
            </w:r>
            <w:r>
              <w:rPr>
                <w:rFonts w:ascii="Times New Roman" w:hAnsi="Times New Roman" w:cs="Times New Roman" w:eastAsia="Times New Roman" w:hint="default"/>
                <w:sz w:val="18"/>
                <w:szCs w:val="18"/>
              </w:rPr>
              <w:t>"A+4C"</w:t>
            </w:r>
            <w:r>
              <w:rPr>
                <w:rFonts w:ascii="宋体" w:hAnsi="宋体" w:cs="宋体" w:eastAsia="宋体" w:hint="default"/>
                <w:sz w:val="18"/>
                <w:szCs w:val="18"/>
              </w:rPr>
              <w:t>技术。</w:t>
            </w:r>
            <w:r>
              <w:rPr>
                <w:rFonts w:ascii="Times New Roman" w:hAnsi="Times New Roman" w:cs="Times New Roman" w:eastAsia="Times New Roman" w:hint="default"/>
                <w:sz w:val="18"/>
                <w:szCs w:val="18"/>
              </w:rPr>
              <w:t>"A+4C"</w:t>
            </w:r>
            <w:r>
              <w:rPr>
                <w:rFonts w:ascii="宋体" w:hAnsi="宋体" w:cs="宋体" w:eastAsia="宋体" w:hint="default"/>
                <w:sz w:val="18"/>
                <w:szCs w:val="18"/>
              </w:rPr>
              <w:t>的发展，推动着智能建筑不断向集成</w:t>
            </w:r>
            <w:r>
              <w:rPr>
                <w:rFonts w:ascii="宋体" w:hAnsi="宋体" w:cs="宋体" w:eastAsia="宋体" w:hint="default"/>
                <w:w w:val="99"/>
                <w:sz w:val="18"/>
                <w:szCs w:val="18"/>
              </w:rPr>
              <w:t> </w:t>
            </w:r>
            <w:r>
              <w:rPr>
                <w:rFonts w:ascii="宋体" w:hAnsi="宋体" w:cs="宋体" w:eastAsia="宋体" w:hint="default"/>
                <w:sz w:val="18"/>
                <w:szCs w:val="18"/>
              </w:rPr>
              <w:t>化发展的进程，并在一些现代化建筑中形成一种崭新形式的建筑弱电</w:t>
            </w:r>
            <w:r>
              <w:rPr>
                <w:rFonts w:ascii="宋体" w:hAnsi="宋体" w:cs="宋体" w:eastAsia="宋体" w:hint="default"/>
                <w:w w:val="99"/>
                <w:sz w:val="18"/>
                <w:szCs w:val="18"/>
              </w:rPr>
              <w:t> </w:t>
            </w:r>
            <w:r>
              <w:rPr>
                <w:rFonts w:ascii="宋体" w:hAnsi="宋体" w:cs="宋体" w:eastAsia="宋体" w:hint="default"/>
                <w:spacing w:val="-9"/>
                <w:w w:val="99"/>
                <w:sz w:val="18"/>
                <w:szCs w:val="18"/>
              </w:rPr>
              <w:t>系统（建筑智能化系统），从而实现信息资源的共享和任务的综合管理，</w:t>
            </w:r>
            <w:r>
              <w:rPr>
                <w:rFonts w:ascii="宋体" w:hAnsi="宋体" w:cs="宋体" w:eastAsia="宋体" w:hint="default"/>
                <w:spacing w:val="-72"/>
                <w:w w:val="99"/>
                <w:sz w:val="18"/>
                <w:szCs w:val="18"/>
              </w:rPr>
              <w:t> </w:t>
            </w:r>
            <w:r>
              <w:rPr>
                <w:rFonts w:ascii="宋体" w:hAnsi="宋体" w:cs="宋体" w:eastAsia="宋体" w:hint="default"/>
                <w:spacing w:val="-72"/>
                <w:w w:val="99"/>
                <w:sz w:val="18"/>
                <w:szCs w:val="18"/>
              </w:rPr>
            </w:r>
            <w:r>
              <w:rPr>
                <w:rFonts w:ascii="宋体" w:hAnsi="宋体" w:cs="宋体" w:eastAsia="宋体" w:hint="default"/>
                <w:sz w:val="18"/>
                <w:szCs w:val="18"/>
              </w:rPr>
              <w:t>充分体现智能建筑投资合理、安全、高效、舒适、便利、灵活的特点</w:t>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浙江正元智慧科技股份有限公司章程</w:t>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浙江正元智慧科技股份有限公司股东大会</w:t>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浙江正元智慧科技股份有限公司董事会</w:t>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监事会</w:t>
            </w:r>
          </w:p>
        </w:tc>
        <w:tc>
          <w:tcPr>
            <w:tcW w:w="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浙江正元智慧科技股份有限公司监事会</w:t>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会计师事务所</w:t>
            </w:r>
          </w:p>
        </w:tc>
        <w:tc>
          <w:tcPr>
            <w:tcW w:w="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天健会计师事务所（特殊普通合伙）</w:t>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报告期、本期</w:t>
            </w:r>
          </w:p>
        </w:tc>
        <w:tc>
          <w:tcPr>
            <w:tcW w:w="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747" w:footer="979" w:top="1060" w:bottom="1160" w:left="92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01" w:type="dxa"/>
        <w:tblLayout w:type="fixed"/>
        <w:tblCellMar>
          <w:top w:w="0" w:type="dxa"/>
          <w:left w:w="0" w:type="dxa"/>
          <w:bottom w:w="0" w:type="dxa"/>
          <w:right w:w="0" w:type="dxa"/>
        </w:tblCellMar>
        <w:tblLook w:val="01E0"/>
      </w:tblPr>
      <w:tblGrid>
        <w:gridCol w:w="3262"/>
        <w:gridCol w:w="621"/>
        <w:gridCol w:w="5616"/>
      </w:tblGrid>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上年同期、上期</w:t>
            </w:r>
          </w:p>
        </w:tc>
        <w:tc>
          <w:tcPr>
            <w:tcW w:w="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人民币元</w:t>
            </w:r>
          </w:p>
        </w:tc>
      </w:tr>
    </w:tbl>
    <w:p>
      <w:pPr>
        <w:spacing w:after="0" w:line="240" w:lineRule="auto"/>
        <w:jc w:val="left"/>
        <w:rPr>
          <w:rFonts w:ascii="宋体" w:hAnsi="宋体" w:cs="宋体" w:eastAsia="宋体" w:hint="default"/>
          <w:sz w:val="18"/>
          <w:szCs w:val="18"/>
        </w:rPr>
        <w:sectPr>
          <w:pgSz w:w="11910" w:h="16840"/>
          <w:pgMar w:header="747" w:footer="979" w:top="1060" w:bottom="1160" w:left="92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8"/>
          <w:szCs w:val="28"/>
        </w:rPr>
      </w:pPr>
    </w:p>
    <w:p>
      <w:pPr>
        <w:pStyle w:val="Heading1"/>
        <w:spacing w:line="240" w:lineRule="auto"/>
        <w:ind w:left="2644" w:right="0"/>
        <w:jc w:val="left"/>
        <w:rPr>
          <w:b w:val="0"/>
          <w:bCs w:val="0"/>
        </w:rPr>
      </w:pPr>
      <w:bookmarkStart w:name="第二节 公司简介和主要财务指标" w:id="2"/>
      <w:bookmarkEnd w:id="2"/>
      <w:r>
        <w:rPr>
          <w:b w:val="0"/>
          <w:bCs w:val="0"/>
        </w:rPr>
      </w:r>
      <w:bookmarkStart w:name="_bookmark0" w:id="3"/>
      <w:bookmarkEnd w:id="3"/>
      <w:r>
        <w:rPr>
          <w:b w:val="0"/>
          <w:bCs w:val="0"/>
        </w:rPr>
      </w:r>
      <w:r>
        <w:rPr/>
        <w:t>第二节</w:t>
      </w:r>
      <w:r>
        <w:rPr>
          <w:spacing w:val="-11"/>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r>
        <w:rPr/>
        <w:pict>
          <v:group style="position:absolute;margin-left:172.339996pt;margin-top:114.735596pt;width:361.5pt;height:19.6pt;mso-position-horizontal-relative:page;mso-position-vertical-relative:paragraph;z-index:-1010368" coordorigin="3447,2295" coordsize="7230,392">
            <v:shape style="position:absolute;left:3447;top:2295;width:7230;height:392" coordorigin="3447,2295" coordsize="7230,392" path="m3447,2686l10676,2686,10676,2295,3447,2295,3447,2686xe" filled="true" fillcolor="#ffffff" stroked="false">
              <v:path arrowok="t"/>
              <v:fill type="solid"/>
            </v:shape>
            <w10:wrap type="none"/>
          </v:group>
        </w:pict>
      </w:r>
      <w:bookmarkStart w:name="一、公司信息" w:id="4"/>
      <w:bookmarkEnd w:id="4"/>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3"/>
        <w:gridCol w:w="2965"/>
        <w:gridCol w:w="2145"/>
        <w:gridCol w:w="2188"/>
      </w:tblGrid>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6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正元智慧</w:t>
            </w:r>
          </w:p>
        </w:tc>
        <w:tc>
          <w:tcPr>
            <w:tcW w:w="2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300645</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浙江正元智慧科技股份有限公司</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正元智慧</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ZHEJIANG ZHENGYUAN ZHIHUI TECHNOLOGY</w:t>
            </w:r>
            <w:r>
              <w:rPr>
                <w:rFonts w:ascii="Times New Roman"/>
                <w:spacing w:val="-11"/>
                <w:sz w:val="18"/>
              </w:rPr>
              <w:t> </w:t>
            </w:r>
            <w:r>
              <w:rPr>
                <w:rFonts w:ascii="Times New Roman"/>
                <w:spacing w:val="-3"/>
                <w:sz w:val="18"/>
              </w:rPr>
              <w:t>CO.,LTD.</w:t>
            </w:r>
          </w:p>
        </w:tc>
      </w:tr>
      <w:tr>
        <w:trPr>
          <w:trHeight w:val="402" w:hRule="exact"/>
        </w:trPr>
        <w:tc>
          <w:tcPr>
            <w:tcW w:w="2273"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2"/>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7"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92"/>
              <w:ind w:left="12" w:right="0"/>
              <w:jc w:val="left"/>
              <w:rPr>
                <w:rFonts w:ascii="Times New Roman" w:hAnsi="Times New Roman" w:cs="Times New Roman" w:eastAsia="Times New Roman" w:hint="default"/>
                <w:sz w:val="18"/>
                <w:szCs w:val="18"/>
              </w:rPr>
            </w:pPr>
            <w:r>
              <w:rPr>
                <w:rFonts w:ascii="Times New Roman"/>
                <w:sz w:val="18"/>
              </w:rPr>
              <w:t>ZHENGYUAN</w:t>
            </w:r>
            <w:r>
              <w:rPr>
                <w:rFonts w:ascii="Times New Roman"/>
                <w:spacing w:val="-3"/>
                <w:sz w:val="18"/>
              </w:rPr>
              <w:t> </w:t>
            </w:r>
            <w:r>
              <w:rPr>
                <w:rFonts w:ascii="Times New Roman"/>
                <w:sz w:val="18"/>
              </w:rPr>
              <w:t>ZHIHUI</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陈坚</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杭州市余杭区文一西路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1500 </w:t>
            </w: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pacing w:val="-3"/>
                <w:sz w:val="18"/>
              </w:rPr>
              <w:t>311121</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杭州市文一西路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998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号海创园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pacing w:val="-3"/>
                <w:sz w:val="18"/>
              </w:rPr>
              <w:t>311121</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9">
              <w:r>
                <w:rPr>
                  <w:rFonts w:ascii="Times New Roman"/>
                  <w:sz w:val="18"/>
                </w:rPr>
                <w:t>http://www.hzsun.com/</w:t>
              </w:r>
            </w:hyperlink>
          </w:p>
        </w:tc>
      </w:tr>
      <w:tr>
        <w:trPr>
          <w:trHeight w:val="40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10">
              <w:r>
                <w:rPr>
                  <w:rFonts w:ascii="Times New Roman"/>
                  <w:sz w:val="18"/>
                </w:rPr>
                <w:t>ir@hzsun.com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二、联系人和联系方式" w:id="5"/>
      <w:bookmarkEnd w:id="5"/>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周军辉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姚春梅</w:t>
            </w:r>
          </w:p>
        </w:tc>
      </w:tr>
      <w:tr>
        <w:trPr>
          <w:trHeight w:val="161"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240" w:lineRule="auto" w:before="51"/>
              <w:ind w:left="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杭州市文一西路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998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号海创园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sz w:val="18"/>
                <w:szCs w:val="18"/>
              </w:rPr>
              <w:t>层</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杭州市文一西路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998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号海创园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层</w:t>
            </w:r>
          </w:p>
        </w:tc>
      </w:tr>
      <w:tr>
        <w:trPr>
          <w:trHeight w:val="392"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r>
              <w:rPr>
                <w:rFonts w:ascii="Times New Roman"/>
                <w:sz w:val="18"/>
              </w:rPr>
              <w:t>0571-88994988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0571-88994988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r>
              <w:rPr>
                <w:rFonts w:ascii="Times New Roman"/>
                <w:sz w:val="18"/>
              </w:rPr>
              <w:t>0571-88994793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0571-88994793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hyperlink r:id="rId10">
              <w:r>
                <w:rPr>
                  <w:rFonts w:ascii="Times New Roman"/>
                  <w:sz w:val="18"/>
                </w:rPr>
                <w:t>ir@hzsun.com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0">
              <w:r>
                <w:rPr>
                  <w:rFonts w:ascii="Times New Roman"/>
                  <w:sz w:val="18"/>
                </w:rPr>
                <w:t>ir@hzsun.com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三、信息披露及备置地点" w:id="6"/>
      <w:bookmarkEnd w:id="6"/>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3"/>
        <w:gridCol w:w="5576"/>
      </w:tblGrid>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z w:val="18"/>
                <w:szCs w:val="18"/>
              </w:rPr>
              <w:t>《上海证券报</w:t>
            </w:r>
            <w:r>
              <w:rPr>
                <w:rFonts w:ascii="宋体" w:hAnsi="宋体" w:cs="宋体" w:eastAsia="宋体" w:hint="default"/>
                <w:spacing w:val="-90"/>
                <w:sz w:val="18"/>
                <w:szCs w:val="18"/>
              </w:rPr>
              <w:t>》</w:t>
            </w:r>
            <w:r>
              <w:rPr>
                <w:rFonts w:ascii="宋体" w:hAnsi="宋体" w:cs="宋体" w:eastAsia="宋体" w:hint="default"/>
                <w:sz w:val="18"/>
                <w:szCs w:val="18"/>
              </w:rPr>
              <w:t>《证券日报》</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64"/>
                <w:sz w:val="18"/>
                <w:szCs w:val="18"/>
              </w:rPr>
              <w:t> </w:t>
            </w:r>
            <w:hyperlink r:id="rId11">
              <w:r>
                <w:rPr>
                  <w:rFonts w:ascii="Times New Roman" w:hAnsi="Times New Roman" w:cs="Times New Roman" w:eastAsia="Times New Roman" w:hint="default"/>
                  <w:sz w:val="18"/>
                  <w:szCs w:val="18"/>
                </w:rPr>
                <w:t>http://www.cninfo.com.cn</w:t>
              </w:r>
            </w:hyperlink>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公司董事会办公室</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四、其他有关资料" w:id="7"/>
      <w:bookmarkEnd w:id="7"/>
      <w:r>
        <w:rPr>
          <w:b w:val="0"/>
          <w:bCs w:val="0"/>
        </w:rPr>
      </w:r>
      <w:r>
        <w:rPr/>
        <w:t>四、其他有关资料</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公司聘请的会计师事务所</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天健会计师事务所（特殊普通合伙）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杭州市钱江路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1366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号华润大厦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座</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胡燕华、罗衡</w:t>
            </w:r>
          </w:p>
        </w:tc>
      </w:tr>
    </w:tbl>
    <w:p>
      <w:pPr>
        <w:spacing w:before="51"/>
        <w:ind w:left="174" w:right="1392"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公司聘请的报告期内履行持续督导职责的保荐机构</w:t>
      </w:r>
    </w:p>
    <w:p>
      <w:pPr>
        <w:spacing w:before="117"/>
        <w:ind w:left="174" w:right="13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69" w:type="dxa"/>
        <w:tblLayout w:type="fixed"/>
        <w:tblCellMar>
          <w:top w:w="0" w:type="dxa"/>
          <w:left w:w="0" w:type="dxa"/>
          <w:bottom w:w="0" w:type="dxa"/>
          <w:right w:w="0" w:type="dxa"/>
        </w:tblCellMar>
        <w:tblLook w:val="01E0"/>
      </w:tblPr>
      <w:tblGrid>
        <w:gridCol w:w="2392"/>
        <w:gridCol w:w="2393"/>
        <w:gridCol w:w="2392"/>
        <w:gridCol w:w="2392"/>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71"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0"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5"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中信证券股份有限公司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北京市朝阳区亮马桥路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中信证券大厦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黄新炎、金田</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before="51"/>
        <w:ind w:left="174" w:right="1392"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公司聘请的报告期内履行持续督导职责的财务顾问</w:t>
      </w:r>
    </w:p>
    <w:p>
      <w:pPr>
        <w:spacing w:before="116"/>
        <w:ind w:left="174" w:right="13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left="174" w:right="1392"/>
        <w:jc w:val="left"/>
        <w:rPr>
          <w:b w:val="0"/>
          <w:bCs w:val="0"/>
        </w:rPr>
      </w:pPr>
      <w:bookmarkStart w:name="五、主要会计数据和财务指标" w:id="8"/>
      <w:bookmarkEnd w:id="8"/>
      <w:r>
        <w:rPr>
          <w:b w:val="0"/>
          <w:bCs w:val="0"/>
        </w:rPr>
      </w:r>
      <w:r>
        <w:rPr/>
        <w:t>五、主要会计数据和财务指标</w:t>
      </w:r>
      <w:r>
        <w:rPr>
          <w:b w:val="0"/>
          <w:bCs w:val="0"/>
        </w:rPr>
      </w:r>
    </w:p>
    <w:p>
      <w:pPr>
        <w:spacing w:line="240" w:lineRule="auto" w:before="7"/>
        <w:rPr>
          <w:rFonts w:ascii="宋体" w:hAnsi="宋体" w:cs="宋体" w:eastAsia="宋体" w:hint="default"/>
          <w:b/>
          <w:bCs/>
          <w:sz w:val="26"/>
          <w:szCs w:val="26"/>
        </w:rPr>
      </w:pPr>
    </w:p>
    <w:p>
      <w:pPr>
        <w:spacing w:before="0"/>
        <w:ind w:left="174" w:right="1392" w:firstLine="0"/>
        <w:jc w:val="left"/>
        <w:rPr>
          <w:rFonts w:ascii="宋体" w:hAnsi="宋体" w:cs="宋体" w:eastAsia="宋体" w:hint="default"/>
          <w:sz w:val="18"/>
          <w:szCs w:val="18"/>
        </w:rPr>
      </w:pPr>
      <w:r>
        <w:rPr>
          <w:rFonts w:ascii="宋体" w:hAnsi="宋体" w:cs="宋体" w:eastAsia="宋体" w:hint="default"/>
          <w:sz w:val="18"/>
          <w:szCs w:val="18"/>
        </w:rPr>
        <w:t>公司是否需追溯调整或重述以前年度会计数据</w:t>
      </w:r>
    </w:p>
    <w:p>
      <w:pPr>
        <w:spacing w:before="117"/>
        <w:ind w:left="174" w:right="13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12"/>
        <w:rPr>
          <w:rFonts w:ascii="宋体" w:hAnsi="宋体" w:cs="宋体" w:eastAsia="宋体" w:hint="default"/>
          <w:sz w:val="6"/>
          <w:szCs w:val="6"/>
        </w:rPr>
      </w:pPr>
    </w:p>
    <w:tbl>
      <w:tblPr>
        <w:tblW w:w="0" w:type="auto"/>
        <w:jc w:val="left"/>
        <w:tblInd w:w="111" w:type="dxa"/>
        <w:tblLayout w:type="fixed"/>
        <w:tblCellMar>
          <w:top w:w="0" w:type="dxa"/>
          <w:left w:w="0" w:type="dxa"/>
          <w:bottom w:w="0" w:type="dxa"/>
          <w:right w:w="0" w:type="dxa"/>
        </w:tblCellMar>
        <w:tblLook w:val="01E0"/>
      </w:tblPr>
      <w:tblGrid>
        <w:gridCol w:w="2622"/>
        <w:gridCol w:w="1738"/>
        <w:gridCol w:w="1738"/>
        <w:gridCol w:w="1899"/>
        <w:gridCol w:w="1736"/>
      </w:tblGrid>
      <w:tr>
        <w:trPr>
          <w:trHeight w:val="402"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3"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8"/>
              <w:jc w:val="right"/>
              <w:rPr>
                <w:rFonts w:ascii="Times New Roman" w:hAnsi="Times New Roman" w:cs="Times New Roman" w:eastAsia="Times New Roman" w:hint="default"/>
                <w:sz w:val="18"/>
                <w:szCs w:val="18"/>
              </w:rPr>
            </w:pPr>
            <w:r>
              <w:rPr>
                <w:rFonts w:ascii="Times New Roman"/>
                <w:spacing w:val="-1"/>
                <w:sz w:val="18"/>
              </w:rPr>
              <w:t>566,836,544.20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7"/>
              <w:jc w:val="right"/>
              <w:rPr>
                <w:rFonts w:ascii="Times New Roman" w:hAnsi="Times New Roman" w:cs="Times New Roman" w:eastAsia="Times New Roman" w:hint="default"/>
                <w:sz w:val="18"/>
                <w:szCs w:val="18"/>
              </w:rPr>
            </w:pPr>
            <w:r>
              <w:rPr>
                <w:rFonts w:ascii="Times New Roman"/>
                <w:spacing w:val="-1"/>
                <w:sz w:val="18"/>
              </w:rPr>
              <w:t>448,922,268.58</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7"/>
              <w:jc w:val="right"/>
              <w:rPr>
                <w:rFonts w:ascii="Times New Roman" w:hAnsi="Times New Roman" w:cs="Times New Roman" w:eastAsia="Times New Roman" w:hint="default"/>
                <w:sz w:val="18"/>
                <w:szCs w:val="18"/>
              </w:rPr>
            </w:pPr>
            <w:r>
              <w:rPr>
                <w:rFonts w:ascii="Times New Roman"/>
                <w:sz w:val="18"/>
              </w:rPr>
              <w:t>26.27%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7"/>
              <w:jc w:val="right"/>
              <w:rPr>
                <w:rFonts w:ascii="Times New Roman" w:hAnsi="Times New Roman" w:cs="Times New Roman" w:eastAsia="Times New Roman" w:hint="default"/>
                <w:sz w:val="18"/>
                <w:szCs w:val="18"/>
              </w:rPr>
            </w:pPr>
            <w:r>
              <w:rPr>
                <w:rFonts w:ascii="Times New Roman"/>
                <w:spacing w:val="-1"/>
                <w:sz w:val="18"/>
              </w:rPr>
              <w:t>363,371,772.32</w:t>
            </w:r>
          </w:p>
        </w:tc>
      </w:tr>
      <w:tr>
        <w:trPr>
          <w:trHeight w:val="714"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7"/>
              <w:ind w:left="80"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78"/>
              <w:jc w:val="right"/>
              <w:rPr>
                <w:rFonts w:ascii="Times New Roman" w:hAnsi="Times New Roman" w:cs="Times New Roman" w:eastAsia="Times New Roman" w:hint="default"/>
                <w:sz w:val="18"/>
                <w:szCs w:val="18"/>
              </w:rPr>
            </w:pPr>
            <w:r>
              <w:rPr>
                <w:rFonts w:ascii="Times New Roman"/>
                <w:spacing w:val="-1"/>
                <w:sz w:val="18"/>
              </w:rPr>
              <w:t>50,353,782.16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77"/>
              <w:jc w:val="right"/>
              <w:rPr>
                <w:rFonts w:ascii="Times New Roman" w:hAnsi="Times New Roman" w:cs="Times New Roman" w:eastAsia="Times New Roman" w:hint="default"/>
                <w:sz w:val="18"/>
                <w:szCs w:val="18"/>
              </w:rPr>
            </w:pPr>
            <w:r>
              <w:rPr>
                <w:rFonts w:ascii="Times New Roman"/>
                <w:spacing w:val="-1"/>
                <w:sz w:val="18"/>
              </w:rPr>
              <w:t>41,968,856.74</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77"/>
              <w:jc w:val="right"/>
              <w:rPr>
                <w:rFonts w:ascii="Times New Roman" w:hAnsi="Times New Roman" w:cs="Times New Roman" w:eastAsia="Times New Roman" w:hint="default"/>
                <w:sz w:val="18"/>
                <w:szCs w:val="18"/>
              </w:rPr>
            </w:pPr>
            <w:r>
              <w:rPr>
                <w:rFonts w:ascii="Times New Roman"/>
                <w:sz w:val="18"/>
              </w:rPr>
              <w:t>19.98%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77"/>
              <w:jc w:val="right"/>
              <w:rPr>
                <w:rFonts w:ascii="Times New Roman" w:hAnsi="Times New Roman" w:cs="Times New Roman" w:eastAsia="Times New Roman" w:hint="default"/>
                <w:sz w:val="18"/>
                <w:szCs w:val="18"/>
              </w:rPr>
            </w:pPr>
            <w:r>
              <w:rPr>
                <w:rFonts w:ascii="Times New Roman"/>
                <w:spacing w:val="-1"/>
                <w:sz w:val="18"/>
              </w:rPr>
              <w:t>45,750,858.31</w:t>
            </w:r>
          </w:p>
        </w:tc>
      </w:tr>
      <w:tr>
        <w:trPr>
          <w:trHeight w:val="714"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0" w:right="190"/>
              <w:jc w:val="left"/>
              <w:rPr>
                <w:rFonts w:ascii="宋体" w:hAnsi="宋体" w:cs="宋体" w:eastAsia="宋体" w:hint="default"/>
                <w:sz w:val="18"/>
                <w:szCs w:val="18"/>
              </w:rPr>
            </w:pPr>
            <w:r>
              <w:rPr>
                <w:rFonts w:ascii="宋体" w:hAnsi="宋体" w:cs="宋体" w:eastAsia="宋体" w:hint="default"/>
                <w:sz w:val="18"/>
                <w:szCs w:val="18"/>
              </w:rPr>
              <w:t>归属于上市公司股东的扣除非 经常性损益的净利润（元）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78"/>
              <w:jc w:val="right"/>
              <w:rPr>
                <w:rFonts w:ascii="Times New Roman" w:hAnsi="Times New Roman" w:cs="Times New Roman" w:eastAsia="Times New Roman" w:hint="default"/>
                <w:sz w:val="18"/>
                <w:szCs w:val="18"/>
              </w:rPr>
            </w:pPr>
            <w:r>
              <w:rPr>
                <w:rFonts w:ascii="Times New Roman"/>
                <w:spacing w:val="-1"/>
                <w:sz w:val="18"/>
              </w:rPr>
              <w:t>47,402,754.39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77"/>
              <w:jc w:val="right"/>
              <w:rPr>
                <w:rFonts w:ascii="Times New Roman" w:hAnsi="Times New Roman" w:cs="Times New Roman" w:eastAsia="Times New Roman" w:hint="default"/>
                <w:sz w:val="18"/>
                <w:szCs w:val="18"/>
              </w:rPr>
            </w:pPr>
            <w:r>
              <w:rPr>
                <w:rFonts w:ascii="Times New Roman"/>
                <w:spacing w:val="-1"/>
                <w:sz w:val="18"/>
              </w:rPr>
              <w:t>38,668,528.08</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77"/>
              <w:jc w:val="right"/>
              <w:rPr>
                <w:rFonts w:ascii="Times New Roman" w:hAnsi="Times New Roman" w:cs="Times New Roman" w:eastAsia="Times New Roman" w:hint="default"/>
                <w:sz w:val="18"/>
                <w:szCs w:val="18"/>
              </w:rPr>
            </w:pPr>
            <w:r>
              <w:rPr>
                <w:rFonts w:ascii="Times New Roman"/>
                <w:sz w:val="18"/>
              </w:rPr>
              <w:t>22.59%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77"/>
              <w:jc w:val="right"/>
              <w:rPr>
                <w:rFonts w:ascii="Times New Roman" w:hAnsi="Times New Roman" w:cs="Times New Roman" w:eastAsia="Times New Roman" w:hint="default"/>
                <w:sz w:val="18"/>
                <w:szCs w:val="18"/>
              </w:rPr>
            </w:pPr>
            <w:r>
              <w:rPr>
                <w:rFonts w:ascii="Times New Roman"/>
                <w:spacing w:val="-1"/>
                <w:sz w:val="18"/>
              </w:rPr>
              <w:t>35,822,179.76</w:t>
            </w:r>
          </w:p>
        </w:tc>
      </w:tr>
      <w:tr>
        <w:trPr>
          <w:trHeight w:val="714"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7"/>
              <w:ind w:left="80"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78"/>
              <w:jc w:val="right"/>
              <w:rPr>
                <w:rFonts w:ascii="Times New Roman" w:hAnsi="Times New Roman" w:cs="Times New Roman" w:eastAsia="Times New Roman" w:hint="default"/>
                <w:sz w:val="18"/>
                <w:szCs w:val="18"/>
              </w:rPr>
            </w:pPr>
            <w:r>
              <w:rPr>
                <w:rFonts w:ascii="Times New Roman"/>
                <w:spacing w:val="-1"/>
                <w:sz w:val="18"/>
              </w:rPr>
              <w:t>6,538,660.41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77"/>
              <w:jc w:val="right"/>
              <w:rPr>
                <w:rFonts w:ascii="Times New Roman" w:hAnsi="Times New Roman" w:cs="Times New Roman" w:eastAsia="Times New Roman" w:hint="default"/>
                <w:sz w:val="18"/>
                <w:szCs w:val="18"/>
              </w:rPr>
            </w:pPr>
            <w:r>
              <w:rPr>
                <w:rFonts w:ascii="Times New Roman"/>
                <w:spacing w:val="-1"/>
                <w:sz w:val="18"/>
              </w:rPr>
              <w:t>-40,020,741.39</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78"/>
              <w:jc w:val="right"/>
              <w:rPr>
                <w:rFonts w:ascii="Times New Roman" w:hAnsi="Times New Roman" w:cs="Times New Roman" w:eastAsia="Times New Roman" w:hint="default"/>
                <w:sz w:val="18"/>
                <w:szCs w:val="18"/>
              </w:rPr>
            </w:pPr>
            <w:r>
              <w:rPr>
                <w:rFonts w:ascii="Times New Roman"/>
                <w:spacing w:val="-2"/>
                <w:sz w:val="18"/>
              </w:rPr>
              <w:t>116.34%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77"/>
              <w:jc w:val="right"/>
              <w:rPr>
                <w:rFonts w:ascii="Times New Roman" w:hAnsi="Times New Roman" w:cs="Times New Roman" w:eastAsia="Times New Roman" w:hint="default"/>
                <w:sz w:val="18"/>
                <w:szCs w:val="18"/>
              </w:rPr>
            </w:pPr>
            <w:r>
              <w:rPr>
                <w:rFonts w:ascii="Times New Roman"/>
                <w:spacing w:val="-1"/>
                <w:sz w:val="18"/>
              </w:rPr>
              <w:t>15,398,971.27</w:t>
            </w:r>
          </w:p>
        </w:tc>
      </w:tr>
      <w:tr>
        <w:trPr>
          <w:trHeight w:val="402"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7"/>
              <w:jc w:val="right"/>
              <w:rPr>
                <w:rFonts w:ascii="Times New Roman" w:hAnsi="Times New Roman" w:cs="Times New Roman" w:eastAsia="Times New Roman" w:hint="default"/>
                <w:sz w:val="18"/>
                <w:szCs w:val="18"/>
              </w:rPr>
            </w:pPr>
            <w:r>
              <w:rPr>
                <w:rFonts w:ascii="Times New Roman"/>
                <w:sz w:val="18"/>
              </w:rPr>
              <w:t>0.76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7"/>
              <w:jc w:val="right"/>
              <w:rPr>
                <w:rFonts w:ascii="Times New Roman" w:hAnsi="Times New Roman" w:cs="Times New Roman" w:eastAsia="Times New Roman" w:hint="default"/>
                <w:sz w:val="18"/>
                <w:szCs w:val="18"/>
              </w:rPr>
            </w:pPr>
            <w:r>
              <w:rPr>
                <w:rFonts w:ascii="Times New Roman"/>
                <w:sz w:val="18"/>
              </w:rPr>
              <w:t>0.69</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7"/>
              <w:jc w:val="right"/>
              <w:rPr>
                <w:rFonts w:ascii="Times New Roman" w:hAnsi="Times New Roman" w:cs="Times New Roman" w:eastAsia="Times New Roman" w:hint="default"/>
                <w:sz w:val="18"/>
                <w:szCs w:val="18"/>
              </w:rPr>
            </w:pPr>
            <w:r>
              <w:rPr>
                <w:rFonts w:ascii="Times New Roman"/>
                <w:sz w:val="18"/>
              </w:rPr>
              <w:t>10.14%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7"/>
              <w:jc w:val="right"/>
              <w:rPr>
                <w:rFonts w:ascii="Times New Roman" w:hAnsi="Times New Roman" w:cs="Times New Roman" w:eastAsia="Times New Roman" w:hint="default"/>
                <w:sz w:val="18"/>
                <w:szCs w:val="18"/>
              </w:rPr>
            </w:pPr>
            <w:r>
              <w:rPr>
                <w:rFonts w:ascii="Times New Roman"/>
                <w:sz w:val="18"/>
              </w:rPr>
              <w:t>0.92</w:t>
            </w:r>
          </w:p>
        </w:tc>
      </w:tr>
      <w:tr>
        <w:trPr>
          <w:trHeight w:val="402"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7"/>
              <w:jc w:val="right"/>
              <w:rPr>
                <w:rFonts w:ascii="Times New Roman" w:hAnsi="Times New Roman" w:cs="Times New Roman" w:eastAsia="Times New Roman" w:hint="default"/>
                <w:sz w:val="18"/>
                <w:szCs w:val="18"/>
              </w:rPr>
            </w:pPr>
            <w:r>
              <w:rPr>
                <w:rFonts w:ascii="Times New Roman"/>
                <w:sz w:val="18"/>
              </w:rPr>
              <w:t>0.76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7"/>
              <w:jc w:val="right"/>
              <w:rPr>
                <w:rFonts w:ascii="Times New Roman" w:hAnsi="Times New Roman" w:cs="Times New Roman" w:eastAsia="Times New Roman" w:hint="default"/>
                <w:sz w:val="18"/>
                <w:szCs w:val="18"/>
              </w:rPr>
            </w:pPr>
            <w:r>
              <w:rPr>
                <w:rFonts w:ascii="Times New Roman"/>
                <w:sz w:val="18"/>
              </w:rPr>
              <w:t>0.69</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7"/>
              <w:jc w:val="right"/>
              <w:rPr>
                <w:rFonts w:ascii="Times New Roman" w:hAnsi="Times New Roman" w:cs="Times New Roman" w:eastAsia="Times New Roman" w:hint="default"/>
                <w:sz w:val="18"/>
                <w:szCs w:val="18"/>
              </w:rPr>
            </w:pPr>
            <w:r>
              <w:rPr>
                <w:rFonts w:ascii="Times New Roman"/>
                <w:sz w:val="18"/>
              </w:rPr>
              <w:t>10.14%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7"/>
              <w:jc w:val="right"/>
              <w:rPr>
                <w:rFonts w:ascii="Times New Roman" w:hAnsi="Times New Roman" w:cs="Times New Roman" w:eastAsia="Times New Roman" w:hint="default"/>
                <w:sz w:val="18"/>
                <w:szCs w:val="18"/>
              </w:rPr>
            </w:pPr>
            <w:r>
              <w:rPr>
                <w:rFonts w:ascii="Times New Roman"/>
                <w:sz w:val="18"/>
              </w:rPr>
              <w:t>0.92</w:t>
            </w:r>
          </w:p>
        </w:tc>
      </w:tr>
      <w:tr>
        <w:trPr>
          <w:trHeight w:val="402"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7"/>
              <w:jc w:val="right"/>
              <w:rPr>
                <w:rFonts w:ascii="Times New Roman" w:hAnsi="Times New Roman" w:cs="Times New Roman" w:eastAsia="Times New Roman" w:hint="default"/>
                <w:sz w:val="18"/>
                <w:szCs w:val="18"/>
              </w:rPr>
            </w:pPr>
            <w:r>
              <w:rPr>
                <w:rFonts w:ascii="Times New Roman"/>
                <w:sz w:val="18"/>
              </w:rPr>
              <w:t>8.93%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7"/>
              <w:jc w:val="right"/>
              <w:rPr>
                <w:rFonts w:ascii="Times New Roman" w:hAnsi="Times New Roman" w:cs="Times New Roman" w:eastAsia="Times New Roman" w:hint="default"/>
                <w:sz w:val="18"/>
                <w:szCs w:val="18"/>
              </w:rPr>
            </w:pPr>
            <w:r>
              <w:rPr>
                <w:rFonts w:ascii="Times New Roman"/>
                <w:sz w:val="18"/>
              </w:rPr>
              <w:t>8.93%</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7"/>
              <w:jc w:val="right"/>
              <w:rPr>
                <w:rFonts w:ascii="Times New Roman" w:hAnsi="Times New Roman" w:cs="Times New Roman" w:eastAsia="Times New Roman" w:hint="default"/>
                <w:sz w:val="18"/>
                <w:szCs w:val="18"/>
              </w:rPr>
            </w:pPr>
            <w:r>
              <w:rPr>
                <w:rFonts w:ascii="Times New Roman"/>
                <w:sz w:val="18"/>
              </w:rPr>
              <w:t>0.00%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7"/>
              <w:jc w:val="right"/>
              <w:rPr>
                <w:rFonts w:ascii="Times New Roman" w:hAnsi="Times New Roman" w:cs="Times New Roman" w:eastAsia="Times New Roman" w:hint="default"/>
                <w:sz w:val="18"/>
                <w:szCs w:val="18"/>
              </w:rPr>
            </w:pPr>
            <w:r>
              <w:rPr>
                <w:rFonts w:ascii="Times New Roman"/>
                <w:sz w:val="18"/>
              </w:rPr>
              <w:t>14.32%</w:t>
            </w:r>
          </w:p>
        </w:tc>
      </w:tr>
      <w:tr>
        <w:trPr>
          <w:trHeight w:val="402"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8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35"/>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9"/>
              <w:jc w:val="right"/>
              <w:rPr>
                <w:rFonts w:ascii="Times New Roman" w:hAnsi="Times New Roman" w:cs="Times New Roman" w:eastAsia="Times New Roman" w:hint="default"/>
                <w:sz w:val="18"/>
                <w:szCs w:val="18"/>
              </w:rPr>
            </w:pPr>
            <w:r>
              <w:rPr>
                <w:rFonts w:ascii="Times New Roman"/>
                <w:spacing w:val="-1"/>
                <w:sz w:val="18"/>
              </w:rPr>
              <w:t>1,013,344,976.61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7"/>
              <w:jc w:val="right"/>
              <w:rPr>
                <w:rFonts w:ascii="Times New Roman" w:hAnsi="Times New Roman" w:cs="Times New Roman" w:eastAsia="Times New Roman" w:hint="default"/>
                <w:sz w:val="18"/>
                <w:szCs w:val="18"/>
              </w:rPr>
            </w:pPr>
            <w:r>
              <w:rPr>
                <w:rFonts w:ascii="Times New Roman"/>
                <w:spacing w:val="-1"/>
                <w:sz w:val="18"/>
              </w:rPr>
              <w:t>818,488,938.16</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7"/>
              <w:jc w:val="right"/>
              <w:rPr>
                <w:rFonts w:ascii="Times New Roman" w:hAnsi="Times New Roman" w:cs="Times New Roman" w:eastAsia="Times New Roman" w:hint="default"/>
                <w:sz w:val="18"/>
                <w:szCs w:val="18"/>
              </w:rPr>
            </w:pPr>
            <w:r>
              <w:rPr>
                <w:rFonts w:ascii="Times New Roman"/>
                <w:sz w:val="18"/>
              </w:rPr>
              <w:t>23.81%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7"/>
              <w:jc w:val="right"/>
              <w:rPr>
                <w:rFonts w:ascii="Times New Roman" w:hAnsi="Times New Roman" w:cs="Times New Roman" w:eastAsia="Times New Roman" w:hint="default"/>
                <w:sz w:val="18"/>
                <w:szCs w:val="18"/>
              </w:rPr>
            </w:pPr>
            <w:r>
              <w:rPr>
                <w:rFonts w:ascii="Times New Roman"/>
                <w:spacing w:val="-1"/>
                <w:sz w:val="18"/>
              </w:rPr>
              <w:t>571,279,224.90</w:t>
            </w:r>
          </w:p>
        </w:tc>
      </w:tr>
      <w:tr>
        <w:trPr>
          <w:trHeight w:val="714"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7"/>
              <w:ind w:left="80"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78"/>
              <w:jc w:val="right"/>
              <w:rPr>
                <w:rFonts w:ascii="Times New Roman" w:hAnsi="Times New Roman" w:cs="Times New Roman" w:eastAsia="Times New Roman" w:hint="default"/>
                <w:sz w:val="18"/>
                <w:szCs w:val="18"/>
              </w:rPr>
            </w:pPr>
            <w:r>
              <w:rPr>
                <w:rFonts w:ascii="Times New Roman"/>
                <w:spacing w:val="-1"/>
                <w:sz w:val="18"/>
              </w:rPr>
              <w:t>584,691,496.40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77"/>
              <w:jc w:val="right"/>
              <w:rPr>
                <w:rFonts w:ascii="Times New Roman" w:hAnsi="Times New Roman" w:cs="Times New Roman" w:eastAsia="Times New Roman" w:hint="default"/>
                <w:sz w:val="18"/>
                <w:szCs w:val="18"/>
              </w:rPr>
            </w:pPr>
            <w:r>
              <w:rPr>
                <w:rFonts w:ascii="Times New Roman"/>
                <w:spacing w:val="-1"/>
                <w:sz w:val="18"/>
              </w:rPr>
              <w:t>544,406,054.04</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77"/>
              <w:jc w:val="right"/>
              <w:rPr>
                <w:rFonts w:ascii="Times New Roman" w:hAnsi="Times New Roman" w:cs="Times New Roman" w:eastAsia="Times New Roman" w:hint="default"/>
                <w:sz w:val="18"/>
                <w:szCs w:val="18"/>
              </w:rPr>
            </w:pPr>
            <w:r>
              <w:rPr>
                <w:rFonts w:ascii="Times New Roman"/>
                <w:sz w:val="18"/>
              </w:rPr>
              <w:t>7.40%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77"/>
              <w:jc w:val="right"/>
              <w:rPr>
                <w:rFonts w:ascii="Times New Roman" w:hAnsi="Times New Roman" w:cs="Times New Roman" w:eastAsia="Times New Roman" w:hint="default"/>
                <w:sz w:val="18"/>
                <w:szCs w:val="18"/>
              </w:rPr>
            </w:pPr>
            <w:r>
              <w:rPr>
                <w:rFonts w:ascii="Times New Roman"/>
                <w:spacing w:val="-1"/>
                <w:sz w:val="18"/>
              </w:rPr>
              <w:t>343,136,610.09</w:t>
            </w:r>
          </w:p>
        </w:tc>
      </w:tr>
    </w:tbl>
    <w:p>
      <w:pPr>
        <w:spacing w:line="240" w:lineRule="auto" w:before="2"/>
        <w:rPr>
          <w:rFonts w:ascii="宋体" w:hAnsi="宋体" w:cs="宋体" w:eastAsia="宋体" w:hint="default"/>
          <w:sz w:val="18"/>
          <w:szCs w:val="18"/>
        </w:rPr>
      </w:pPr>
    </w:p>
    <w:p>
      <w:pPr>
        <w:pStyle w:val="Heading2"/>
        <w:spacing w:line="240" w:lineRule="auto" w:before="26"/>
        <w:ind w:left="174" w:right="1392"/>
        <w:jc w:val="left"/>
        <w:rPr>
          <w:b w:val="0"/>
          <w:bCs w:val="0"/>
        </w:rPr>
      </w:pPr>
      <w:bookmarkStart w:name="六、分季度主要财务指标" w:id="9"/>
      <w:bookmarkEnd w:id="9"/>
      <w:r>
        <w:rPr>
          <w:b w:val="0"/>
          <w:bCs w:val="0"/>
        </w:rPr>
      </w:r>
      <w:r>
        <w:rPr/>
        <w:t>六、分季度主要财务指标</w:t>
      </w:r>
      <w:r>
        <w:rPr>
          <w:b w:val="0"/>
          <w:bCs w:val="0"/>
        </w:rPr>
      </w:r>
    </w:p>
    <w:p>
      <w:pPr>
        <w:spacing w:line="240" w:lineRule="auto" w:before="2"/>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1" w:type="dxa"/>
        <w:tblLayout w:type="fixed"/>
        <w:tblCellMar>
          <w:top w:w="0" w:type="dxa"/>
          <w:left w:w="0" w:type="dxa"/>
          <w:bottom w:w="0" w:type="dxa"/>
          <w:right w:w="0" w:type="dxa"/>
        </w:tblCellMar>
        <w:tblLook w:val="01E0"/>
      </w:tblPr>
      <w:tblGrid>
        <w:gridCol w:w="2622"/>
        <w:gridCol w:w="1768"/>
        <w:gridCol w:w="1769"/>
        <w:gridCol w:w="1769"/>
        <w:gridCol w:w="1770"/>
      </w:tblGrid>
      <w:tr>
        <w:trPr>
          <w:trHeight w:val="402"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8"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9"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9"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8"/>
              <w:jc w:val="right"/>
              <w:rPr>
                <w:rFonts w:ascii="Times New Roman" w:hAnsi="Times New Roman" w:cs="Times New Roman" w:eastAsia="Times New Roman" w:hint="default"/>
                <w:sz w:val="18"/>
                <w:szCs w:val="18"/>
              </w:rPr>
            </w:pPr>
            <w:r>
              <w:rPr>
                <w:rFonts w:ascii="Times New Roman"/>
                <w:spacing w:val="-1"/>
                <w:sz w:val="18"/>
              </w:rPr>
              <w:t>62,912,298.89</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7"/>
              <w:jc w:val="right"/>
              <w:rPr>
                <w:rFonts w:ascii="Times New Roman" w:hAnsi="Times New Roman" w:cs="Times New Roman" w:eastAsia="Times New Roman" w:hint="default"/>
                <w:sz w:val="18"/>
                <w:szCs w:val="18"/>
              </w:rPr>
            </w:pPr>
            <w:r>
              <w:rPr>
                <w:rFonts w:ascii="Times New Roman"/>
                <w:spacing w:val="-1"/>
                <w:sz w:val="18"/>
              </w:rPr>
              <w:t>103,995,462.03</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8"/>
              <w:jc w:val="right"/>
              <w:rPr>
                <w:rFonts w:ascii="Times New Roman" w:hAnsi="Times New Roman" w:cs="Times New Roman" w:eastAsia="Times New Roman" w:hint="default"/>
                <w:sz w:val="18"/>
                <w:szCs w:val="18"/>
              </w:rPr>
            </w:pPr>
            <w:r>
              <w:rPr>
                <w:rFonts w:ascii="Times New Roman"/>
                <w:spacing w:val="-1"/>
                <w:sz w:val="18"/>
              </w:rPr>
              <w:t>112,729,018.90</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9"/>
              <w:jc w:val="right"/>
              <w:rPr>
                <w:rFonts w:ascii="Times New Roman" w:hAnsi="Times New Roman" w:cs="Times New Roman" w:eastAsia="Times New Roman" w:hint="default"/>
                <w:sz w:val="18"/>
                <w:szCs w:val="18"/>
              </w:rPr>
            </w:pPr>
            <w:r>
              <w:rPr>
                <w:rFonts w:ascii="Times New Roman"/>
                <w:spacing w:val="-1"/>
                <w:sz w:val="18"/>
              </w:rPr>
              <w:t>287,199,764.38</w:t>
            </w:r>
          </w:p>
        </w:tc>
      </w:tr>
      <w:tr>
        <w:trPr>
          <w:trHeight w:val="402"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8"/>
              <w:jc w:val="right"/>
              <w:rPr>
                <w:rFonts w:ascii="Times New Roman" w:hAnsi="Times New Roman" w:cs="Times New Roman" w:eastAsia="Times New Roman" w:hint="default"/>
                <w:sz w:val="18"/>
                <w:szCs w:val="18"/>
              </w:rPr>
            </w:pPr>
            <w:r>
              <w:rPr>
                <w:rFonts w:ascii="Times New Roman"/>
                <w:spacing w:val="-1"/>
                <w:sz w:val="18"/>
              </w:rPr>
              <w:t>-3,284,821.54</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7"/>
              <w:jc w:val="right"/>
              <w:rPr>
                <w:rFonts w:ascii="Times New Roman" w:hAnsi="Times New Roman" w:cs="Times New Roman" w:eastAsia="Times New Roman" w:hint="default"/>
                <w:sz w:val="18"/>
                <w:szCs w:val="18"/>
              </w:rPr>
            </w:pPr>
            <w:r>
              <w:rPr>
                <w:rFonts w:ascii="Times New Roman"/>
                <w:spacing w:val="-1"/>
                <w:sz w:val="18"/>
              </w:rPr>
              <w:t>4,414,208.03</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8"/>
              <w:jc w:val="right"/>
              <w:rPr>
                <w:rFonts w:ascii="Times New Roman" w:hAnsi="Times New Roman" w:cs="Times New Roman" w:eastAsia="Times New Roman" w:hint="default"/>
                <w:sz w:val="18"/>
                <w:szCs w:val="18"/>
              </w:rPr>
            </w:pPr>
            <w:r>
              <w:rPr>
                <w:rFonts w:ascii="Times New Roman"/>
                <w:spacing w:val="-1"/>
                <w:sz w:val="18"/>
              </w:rPr>
              <w:t>3,388,882.29</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9"/>
              <w:jc w:val="right"/>
              <w:rPr>
                <w:rFonts w:ascii="Times New Roman" w:hAnsi="Times New Roman" w:cs="Times New Roman" w:eastAsia="Times New Roman" w:hint="default"/>
                <w:sz w:val="18"/>
                <w:szCs w:val="18"/>
              </w:rPr>
            </w:pPr>
            <w:r>
              <w:rPr>
                <w:rFonts w:ascii="Times New Roman"/>
                <w:spacing w:val="-1"/>
                <w:sz w:val="18"/>
              </w:rPr>
              <w:t>45,835,513.38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60" w:right="0"/>
        </w:sectPr>
      </w:pPr>
    </w:p>
    <w:p>
      <w:pPr>
        <w:spacing w:line="240" w:lineRule="auto" w:before="6"/>
        <w:rPr>
          <w:rFonts w:ascii="宋体" w:hAnsi="宋体" w:cs="宋体" w:eastAsia="宋体" w:hint="default"/>
          <w:sz w:val="28"/>
          <w:szCs w:val="28"/>
        </w:rPr>
      </w:pPr>
    </w:p>
    <w:tbl>
      <w:tblPr>
        <w:tblW w:w="0" w:type="auto"/>
        <w:jc w:val="left"/>
        <w:tblInd w:w="112" w:type="dxa"/>
        <w:tblLayout w:type="fixed"/>
        <w:tblCellMar>
          <w:top w:w="0" w:type="dxa"/>
          <w:left w:w="0" w:type="dxa"/>
          <w:bottom w:w="0" w:type="dxa"/>
          <w:right w:w="0" w:type="dxa"/>
        </w:tblCellMar>
        <w:tblLook w:val="01E0"/>
      </w:tblPr>
      <w:tblGrid>
        <w:gridCol w:w="2621"/>
        <w:gridCol w:w="1769"/>
        <w:gridCol w:w="1769"/>
        <w:gridCol w:w="1769"/>
        <w:gridCol w:w="1770"/>
      </w:tblGrid>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9" w:right="189"/>
              <w:jc w:val="left"/>
              <w:rPr>
                <w:rFonts w:ascii="宋体" w:hAnsi="宋体" w:cs="宋体" w:eastAsia="宋体" w:hint="default"/>
                <w:sz w:val="18"/>
                <w:szCs w:val="18"/>
              </w:rPr>
            </w:pPr>
            <w:r>
              <w:rPr>
                <w:rFonts w:ascii="宋体" w:hAnsi="宋体" w:cs="宋体" w:eastAsia="宋体" w:hint="default"/>
                <w:sz w:val="18"/>
                <w:szCs w:val="18"/>
              </w:rPr>
              <w:t>归属于上市公司股东的扣除非 经常性损益的净利润</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78"/>
              <w:jc w:val="right"/>
              <w:rPr>
                <w:rFonts w:ascii="Times New Roman" w:hAnsi="Times New Roman" w:cs="Times New Roman" w:eastAsia="Times New Roman" w:hint="default"/>
                <w:sz w:val="18"/>
                <w:szCs w:val="18"/>
              </w:rPr>
            </w:pPr>
            <w:r>
              <w:rPr>
                <w:rFonts w:ascii="Times New Roman"/>
                <w:spacing w:val="-1"/>
                <w:sz w:val="18"/>
              </w:rPr>
              <w:t>-4,338,883.48</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77"/>
              <w:jc w:val="right"/>
              <w:rPr>
                <w:rFonts w:ascii="Times New Roman" w:hAnsi="Times New Roman" w:cs="Times New Roman" w:eastAsia="Times New Roman" w:hint="default"/>
                <w:sz w:val="18"/>
                <w:szCs w:val="18"/>
              </w:rPr>
            </w:pPr>
            <w:r>
              <w:rPr>
                <w:rFonts w:ascii="Times New Roman"/>
                <w:spacing w:val="-1"/>
                <w:sz w:val="18"/>
              </w:rPr>
              <w:t>3,472,846.80</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78"/>
              <w:jc w:val="right"/>
              <w:rPr>
                <w:rFonts w:ascii="Times New Roman" w:hAnsi="Times New Roman" w:cs="Times New Roman" w:eastAsia="Times New Roman" w:hint="default"/>
                <w:sz w:val="18"/>
                <w:szCs w:val="18"/>
              </w:rPr>
            </w:pPr>
            <w:r>
              <w:rPr>
                <w:rFonts w:ascii="Times New Roman"/>
                <w:spacing w:val="-1"/>
                <w:sz w:val="18"/>
              </w:rPr>
              <w:t>2,983,659.23</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79"/>
              <w:jc w:val="right"/>
              <w:rPr>
                <w:rFonts w:ascii="Times New Roman" w:hAnsi="Times New Roman" w:cs="Times New Roman" w:eastAsia="Times New Roman" w:hint="default"/>
                <w:sz w:val="18"/>
                <w:szCs w:val="18"/>
              </w:rPr>
            </w:pPr>
            <w:r>
              <w:rPr>
                <w:rFonts w:ascii="Times New Roman"/>
                <w:spacing w:val="-1"/>
                <w:sz w:val="18"/>
              </w:rPr>
              <w:t>45,285,131.84</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9"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8"/>
              <w:jc w:val="right"/>
              <w:rPr>
                <w:rFonts w:ascii="Times New Roman" w:hAnsi="Times New Roman" w:cs="Times New Roman" w:eastAsia="Times New Roman" w:hint="default"/>
                <w:sz w:val="18"/>
                <w:szCs w:val="18"/>
              </w:rPr>
            </w:pPr>
            <w:r>
              <w:rPr>
                <w:rFonts w:ascii="Times New Roman"/>
                <w:spacing w:val="-1"/>
                <w:sz w:val="18"/>
              </w:rPr>
              <w:t>-82,888,972.59</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7"/>
              <w:jc w:val="right"/>
              <w:rPr>
                <w:rFonts w:ascii="Times New Roman" w:hAnsi="Times New Roman" w:cs="Times New Roman" w:eastAsia="Times New Roman" w:hint="default"/>
                <w:sz w:val="18"/>
                <w:szCs w:val="18"/>
              </w:rPr>
            </w:pPr>
            <w:r>
              <w:rPr>
                <w:rFonts w:ascii="Times New Roman"/>
                <w:spacing w:val="-1"/>
                <w:sz w:val="18"/>
              </w:rPr>
              <w:t>-76,611,023.61</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8"/>
              <w:jc w:val="right"/>
              <w:rPr>
                <w:rFonts w:ascii="Times New Roman" w:hAnsi="Times New Roman" w:cs="Times New Roman" w:eastAsia="Times New Roman" w:hint="default"/>
                <w:sz w:val="18"/>
                <w:szCs w:val="18"/>
              </w:rPr>
            </w:pPr>
            <w:r>
              <w:rPr>
                <w:rFonts w:ascii="Times New Roman"/>
                <w:spacing w:val="-1"/>
                <w:sz w:val="18"/>
              </w:rPr>
              <w:t>-46,088,087.37</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9"/>
              <w:jc w:val="right"/>
              <w:rPr>
                <w:rFonts w:ascii="Times New Roman" w:hAnsi="Times New Roman" w:cs="Times New Roman" w:eastAsia="Times New Roman" w:hint="default"/>
                <w:sz w:val="18"/>
                <w:szCs w:val="18"/>
              </w:rPr>
            </w:pPr>
            <w:r>
              <w:rPr>
                <w:rFonts w:ascii="Times New Roman"/>
                <w:spacing w:val="-1"/>
                <w:sz w:val="18"/>
              </w:rPr>
              <w:t>212,126,743.98</w:t>
            </w:r>
          </w:p>
        </w:tc>
      </w:tr>
    </w:tbl>
    <w:p>
      <w:pPr>
        <w:spacing w:before="51"/>
        <w:ind w:left="174" w:right="1392" w:firstLine="0"/>
        <w:jc w:val="left"/>
        <w:rPr>
          <w:rFonts w:ascii="宋体" w:hAnsi="宋体" w:cs="宋体" w:eastAsia="宋体" w:hint="default"/>
          <w:sz w:val="18"/>
          <w:szCs w:val="18"/>
        </w:rPr>
      </w:pPr>
      <w:r>
        <w:rPr>
          <w:rFonts w:ascii="宋体" w:hAnsi="宋体" w:cs="宋体" w:eastAsia="宋体" w:hint="default"/>
          <w:sz w:val="18"/>
          <w:szCs w:val="18"/>
        </w:rPr>
        <w:t>上述财务指标或其加总数是否与公司已披露季度报告、半年度报告相关财务指标存在重大差异</w:t>
      </w:r>
    </w:p>
    <w:p>
      <w:pPr>
        <w:spacing w:before="117"/>
        <w:ind w:left="174" w:right="13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12"/>
        <w:rPr>
          <w:rFonts w:ascii="宋体" w:hAnsi="宋体" w:cs="宋体" w:eastAsia="宋体" w:hint="default"/>
          <w:sz w:val="23"/>
          <w:szCs w:val="23"/>
        </w:rPr>
      </w:pPr>
    </w:p>
    <w:p>
      <w:pPr>
        <w:pStyle w:val="Heading2"/>
        <w:spacing w:line="240" w:lineRule="auto"/>
        <w:ind w:left="174" w:right="1392"/>
        <w:jc w:val="left"/>
        <w:rPr>
          <w:b w:val="0"/>
          <w:bCs w:val="0"/>
        </w:rPr>
      </w:pPr>
      <w:bookmarkStart w:name="七、境内外会计准则下会计数据差异" w:id="10"/>
      <w:bookmarkEnd w:id="10"/>
      <w:r>
        <w:rPr>
          <w:b w:val="0"/>
          <w:bCs w:val="0"/>
        </w:rPr>
      </w:r>
      <w:r>
        <w:rPr/>
        <w:t>七、境内外会计准则下会计数据差异</w:t>
      </w:r>
      <w:r>
        <w:rPr>
          <w:b w:val="0"/>
          <w:bCs w:val="0"/>
        </w:rPr>
      </w:r>
    </w:p>
    <w:p>
      <w:pPr>
        <w:spacing w:line="240" w:lineRule="auto" w:before="9"/>
        <w:rPr>
          <w:rFonts w:ascii="宋体" w:hAnsi="宋体" w:cs="宋体" w:eastAsia="宋体" w:hint="default"/>
          <w:b/>
          <w:bCs/>
          <w:sz w:val="24"/>
          <w:szCs w:val="24"/>
        </w:rPr>
      </w:pPr>
    </w:p>
    <w:p>
      <w:pPr>
        <w:spacing w:before="0"/>
        <w:ind w:left="174" w:right="1392" w:firstLine="0"/>
        <w:jc w:val="left"/>
        <w:rPr>
          <w:rFonts w:ascii="宋体" w:hAnsi="宋体" w:cs="宋体" w:eastAsia="宋体" w:hint="default"/>
          <w:sz w:val="21"/>
          <w:szCs w:val="21"/>
        </w:rPr>
      </w:pPr>
      <w:bookmarkStart w:name="1、同时按照国际会计准则与按照中国会计准则披露的财务报告中净利润和净资产差异情况" w:id="11"/>
      <w:bookmarkEnd w:id="11"/>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、同时按照国际会计准则与按照中国会计准则披露的财务报告中净利润和净资产差异情况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line="338" w:lineRule="auto" w:before="0"/>
        <w:ind w:left="174" w:right="13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公司报告期不存在按照国际会计准则与按照中国会计准则披露的财务报告中净利润和净资产差异情况。</w:t>
      </w:r>
    </w:p>
    <w:p>
      <w:pPr>
        <w:spacing w:line="240" w:lineRule="auto" w:before="2"/>
        <w:rPr>
          <w:rFonts w:ascii="宋体" w:hAnsi="宋体" w:cs="宋体" w:eastAsia="宋体" w:hint="default"/>
          <w:sz w:val="21"/>
          <w:szCs w:val="21"/>
        </w:rPr>
      </w:pPr>
    </w:p>
    <w:p>
      <w:pPr>
        <w:spacing w:before="0"/>
        <w:ind w:left="174" w:right="1392" w:firstLine="0"/>
        <w:jc w:val="left"/>
        <w:rPr>
          <w:rFonts w:ascii="宋体" w:hAnsi="宋体" w:cs="宋体" w:eastAsia="宋体" w:hint="default"/>
          <w:sz w:val="21"/>
          <w:szCs w:val="21"/>
        </w:rPr>
      </w:pPr>
      <w:bookmarkStart w:name="2、同时按照境外会计准则与按照中国会计准则披露的财务报告中净利润和净资产差异情况" w:id="12"/>
      <w:bookmarkEnd w:id="12"/>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、同时按照境外会计准则与按照中国会计准则披露的财务报告中净利润和净资产差异情况</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line="338" w:lineRule="auto" w:before="0"/>
        <w:ind w:left="174" w:right="265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公司报告期不存在按照境外会计准则与按照中国会计准则披露的财务报告中净利润和净资产差异情况。</w:t>
      </w:r>
    </w:p>
    <w:p>
      <w:pPr>
        <w:spacing w:line="240" w:lineRule="auto" w:before="4"/>
        <w:rPr>
          <w:rFonts w:ascii="宋体" w:hAnsi="宋体" w:cs="宋体" w:eastAsia="宋体" w:hint="default"/>
          <w:sz w:val="19"/>
          <w:szCs w:val="19"/>
        </w:rPr>
      </w:pPr>
    </w:p>
    <w:p>
      <w:pPr>
        <w:pStyle w:val="Heading2"/>
        <w:spacing w:line="240" w:lineRule="auto"/>
        <w:ind w:left="174" w:right="1392"/>
        <w:jc w:val="left"/>
        <w:rPr>
          <w:b w:val="0"/>
          <w:bCs w:val="0"/>
        </w:rPr>
      </w:pPr>
      <w:bookmarkStart w:name="八、非经常性损益项目及金额" w:id="13"/>
      <w:bookmarkEnd w:id="13"/>
      <w:r>
        <w:rPr>
          <w:b w:val="0"/>
          <w:bCs w:val="0"/>
        </w:rPr>
      </w:r>
      <w:r>
        <w:rPr/>
        <w:t>八、非经常性损益项目及金额</w:t>
      </w:r>
      <w:r>
        <w:rPr>
          <w:b w:val="0"/>
          <w:bCs w:val="0"/>
        </w:rPr>
      </w:r>
    </w:p>
    <w:p>
      <w:pPr>
        <w:spacing w:line="240" w:lineRule="auto" w:before="3"/>
        <w:rPr>
          <w:rFonts w:ascii="宋体" w:hAnsi="宋体" w:cs="宋体" w:eastAsia="宋体" w:hint="default"/>
          <w:b/>
          <w:bCs/>
          <w:sz w:val="23"/>
          <w:szCs w:val="23"/>
        </w:rPr>
      </w:pPr>
    </w:p>
    <w:p>
      <w:pPr>
        <w:spacing w:before="44"/>
        <w:ind w:left="174" w:right="13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1" w:type="dxa"/>
        <w:tblLayout w:type="fixed"/>
        <w:tblCellMar>
          <w:top w:w="0" w:type="dxa"/>
          <w:left w:w="0" w:type="dxa"/>
          <w:bottom w:w="0" w:type="dxa"/>
          <w:right w:w="0" w:type="dxa"/>
        </w:tblCellMar>
        <w:tblLook w:val="01E0"/>
      </w:tblPr>
      <w:tblGrid>
        <w:gridCol w:w="3297"/>
        <w:gridCol w:w="1521"/>
        <w:gridCol w:w="1520"/>
        <w:gridCol w:w="1522"/>
        <w:gridCol w:w="1710"/>
      </w:tblGrid>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0" w:right="144"/>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 减值准备的冲销部分）</w:t>
            </w:r>
          </w:p>
        </w:tc>
        <w:tc>
          <w:tcPr>
            <w:tcW w:w="1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77"/>
              <w:jc w:val="right"/>
              <w:rPr>
                <w:rFonts w:ascii="Times New Roman" w:hAnsi="Times New Roman" w:cs="Times New Roman" w:eastAsia="Times New Roman" w:hint="default"/>
                <w:sz w:val="18"/>
                <w:szCs w:val="18"/>
              </w:rPr>
            </w:pPr>
            <w:r>
              <w:rPr>
                <w:rFonts w:ascii="Times New Roman"/>
                <w:spacing w:val="-1"/>
                <w:sz w:val="18"/>
              </w:rPr>
              <w:t>226,119.71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77"/>
              <w:jc w:val="right"/>
              <w:rPr>
                <w:rFonts w:ascii="Times New Roman" w:hAnsi="Times New Roman" w:cs="Times New Roman" w:eastAsia="Times New Roman" w:hint="default"/>
                <w:sz w:val="18"/>
                <w:szCs w:val="18"/>
              </w:rPr>
            </w:pPr>
            <w:r>
              <w:rPr>
                <w:rFonts w:ascii="Times New Roman"/>
                <w:sz w:val="18"/>
              </w:rPr>
              <w:t>1,085.49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77"/>
              <w:jc w:val="right"/>
              <w:rPr>
                <w:rFonts w:ascii="Times New Roman" w:hAnsi="Times New Roman" w:cs="Times New Roman" w:eastAsia="Times New Roman" w:hint="default"/>
                <w:sz w:val="18"/>
                <w:szCs w:val="18"/>
              </w:rPr>
            </w:pPr>
            <w:r>
              <w:rPr>
                <w:rFonts w:ascii="Times New Roman"/>
                <w:sz w:val="18"/>
              </w:rPr>
              <w:t>50,570.43</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0" w:right="0"/>
              <w:jc w:val="left"/>
              <w:rPr>
                <w:rFonts w:ascii="宋体" w:hAnsi="宋体" w:cs="宋体" w:eastAsia="宋体" w:hint="default"/>
                <w:sz w:val="18"/>
                <w:szCs w:val="18"/>
              </w:rPr>
            </w:pPr>
            <w:r>
              <w:rPr>
                <w:rFonts w:ascii="宋体" w:hAnsi="宋体" w:cs="宋体" w:eastAsia="宋体" w:hint="default"/>
                <w:sz w:val="18"/>
                <w:szCs w:val="18"/>
              </w:rPr>
              <w:t>固定资产处置收益</w:t>
            </w:r>
          </w:p>
        </w:tc>
      </w:tr>
      <w:tr>
        <w:trPr>
          <w:trHeight w:val="714"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0" w:right="324"/>
              <w:jc w:val="left"/>
              <w:rPr>
                <w:rFonts w:ascii="宋体" w:hAnsi="宋体" w:cs="宋体" w:eastAsia="宋体" w:hint="default"/>
                <w:sz w:val="18"/>
                <w:szCs w:val="18"/>
              </w:rPr>
            </w:pPr>
            <w:r>
              <w:rPr>
                <w:rFonts w:ascii="宋体" w:hAnsi="宋体" w:cs="宋体" w:eastAsia="宋体" w:hint="default"/>
                <w:sz w:val="18"/>
                <w:szCs w:val="18"/>
              </w:rPr>
              <w:t>越权审批或无正式批准文件的税收返 还、减免</w:t>
            </w:r>
          </w:p>
        </w:tc>
        <w:tc>
          <w:tcPr>
            <w:tcW w:w="1521"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78"/>
              <w:jc w:val="right"/>
              <w:rPr>
                <w:rFonts w:ascii="Times New Roman" w:hAnsi="Times New Roman" w:cs="Times New Roman" w:eastAsia="Times New Roman" w:hint="default"/>
                <w:sz w:val="18"/>
                <w:szCs w:val="18"/>
              </w:rPr>
            </w:pPr>
            <w:r>
              <w:rPr>
                <w:rFonts w:ascii="Times New Roman"/>
                <w:sz w:val="18"/>
              </w:rPr>
              <w:t>247,535.04</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0" w:right="144"/>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 密切相关，按照国家统一标准定额或定 量享受的政府补助除外）</w:t>
            </w:r>
          </w:p>
        </w:tc>
        <w:tc>
          <w:tcPr>
            <w:tcW w:w="1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77"/>
              <w:jc w:val="right"/>
              <w:rPr>
                <w:rFonts w:ascii="Times New Roman" w:hAnsi="Times New Roman" w:cs="Times New Roman" w:eastAsia="Times New Roman" w:hint="default"/>
                <w:sz w:val="18"/>
                <w:szCs w:val="18"/>
              </w:rPr>
            </w:pPr>
            <w:r>
              <w:rPr>
                <w:rFonts w:ascii="Times New Roman"/>
                <w:spacing w:val="-1"/>
                <w:sz w:val="18"/>
              </w:rPr>
              <w:t>3,498,183.80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77"/>
              <w:jc w:val="right"/>
              <w:rPr>
                <w:rFonts w:ascii="Times New Roman" w:hAnsi="Times New Roman" w:cs="Times New Roman" w:eastAsia="Times New Roman" w:hint="default"/>
                <w:sz w:val="18"/>
                <w:szCs w:val="18"/>
              </w:rPr>
            </w:pPr>
            <w:r>
              <w:rPr>
                <w:rFonts w:ascii="Times New Roman"/>
                <w:spacing w:val="-1"/>
                <w:sz w:val="18"/>
              </w:rPr>
              <w:t>2,156,009.70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78"/>
              <w:jc w:val="right"/>
              <w:rPr>
                <w:rFonts w:ascii="Times New Roman" w:hAnsi="Times New Roman" w:cs="Times New Roman" w:eastAsia="Times New Roman" w:hint="default"/>
                <w:sz w:val="18"/>
                <w:szCs w:val="18"/>
              </w:rPr>
            </w:pPr>
            <w:r>
              <w:rPr>
                <w:rFonts w:ascii="Times New Roman"/>
                <w:spacing w:val="-1"/>
                <w:sz w:val="18"/>
              </w:rPr>
              <w:t>10,082,150.87</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80" w:right="179"/>
              <w:jc w:val="left"/>
              <w:rPr>
                <w:rFonts w:ascii="宋体" w:hAnsi="宋体" w:cs="宋体" w:eastAsia="宋体" w:hint="default"/>
                <w:sz w:val="18"/>
                <w:szCs w:val="18"/>
              </w:rPr>
            </w:pPr>
            <w:r>
              <w:rPr>
                <w:rFonts w:ascii="宋体" w:hAnsi="宋体" w:cs="宋体" w:eastAsia="宋体" w:hint="default"/>
                <w:sz w:val="18"/>
                <w:szCs w:val="18"/>
              </w:rPr>
              <w:t>除增值税软件退税 外的政府补助</w:t>
            </w: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8"/>
              <w:jc w:val="right"/>
              <w:rPr>
                <w:rFonts w:ascii="Times New Roman" w:hAnsi="Times New Roman" w:cs="Times New Roman" w:eastAsia="Times New Roman" w:hint="default"/>
                <w:sz w:val="18"/>
                <w:szCs w:val="18"/>
              </w:rPr>
            </w:pPr>
            <w:r>
              <w:rPr>
                <w:rFonts w:ascii="Times New Roman"/>
                <w:spacing w:val="-1"/>
                <w:sz w:val="18"/>
              </w:rPr>
              <w:t>2,418,635.07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7"/>
              <w:jc w:val="right"/>
              <w:rPr>
                <w:rFonts w:ascii="Times New Roman" w:hAnsi="Times New Roman" w:cs="Times New Roman" w:eastAsia="Times New Roman" w:hint="default"/>
                <w:sz w:val="18"/>
                <w:szCs w:val="18"/>
              </w:rPr>
            </w:pPr>
            <w:r>
              <w:rPr>
                <w:rFonts w:ascii="Times New Roman"/>
                <w:spacing w:val="-1"/>
                <w:sz w:val="18"/>
              </w:rPr>
              <w:t>1,737,868.90</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银行保本理财收益</w:t>
            </w:r>
          </w:p>
        </w:tc>
      </w:tr>
      <w:tr>
        <w:trPr>
          <w:trHeight w:val="1026"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0" w:right="144"/>
              <w:jc w:val="both"/>
              <w:rPr>
                <w:rFonts w:ascii="宋体" w:hAnsi="宋体" w:cs="宋体" w:eastAsia="宋体" w:hint="default"/>
                <w:sz w:val="18"/>
                <w:szCs w:val="18"/>
              </w:rPr>
            </w:pPr>
            <w:r>
              <w:rPr>
                <w:rFonts w:ascii="宋体" w:hAnsi="宋体" w:cs="宋体" w:eastAsia="宋体" w:hint="default"/>
                <w:sz w:val="18"/>
                <w:szCs w:val="18"/>
              </w:rPr>
              <w:t>根据税收、会计等法律、法规的要求对 当期损益进行一次性调整对当期损益的 影响</w:t>
            </w:r>
          </w:p>
        </w:tc>
        <w:tc>
          <w:tcPr>
            <w:tcW w:w="1521"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78"/>
              <w:jc w:val="right"/>
              <w:rPr>
                <w:rFonts w:ascii="Times New Roman" w:hAnsi="Times New Roman" w:cs="Times New Roman" w:eastAsia="Times New Roman" w:hint="default"/>
                <w:sz w:val="18"/>
                <w:szCs w:val="18"/>
              </w:rPr>
            </w:pPr>
            <w:r>
              <w:rPr>
                <w:rFonts w:ascii="Times New Roman"/>
                <w:spacing w:val="-1"/>
                <w:sz w:val="18"/>
              </w:rPr>
              <w:t>1,378,021.26</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0" w:right="144"/>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 出</w:t>
            </w:r>
          </w:p>
        </w:tc>
        <w:tc>
          <w:tcPr>
            <w:tcW w:w="1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78"/>
              <w:jc w:val="right"/>
              <w:rPr>
                <w:rFonts w:ascii="Times New Roman" w:hAnsi="Times New Roman" w:cs="Times New Roman" w:eastAsia="Times New Roman" w:hint="default"/>
                <w:sz w:val="18"/>
                <w:szCs w:val="18"/>
              </w:rPr>
            </w:pPr>
            <w:r>
              <w:rPr>
                <w:rFonts w:ascii="Times New Roman"/>
                <w:spacing w:val="-1"/>
                <w:sz w:val="18"/>
              </w:rPr>
              <w:t>-3,189,447.10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77"/>
              <w:jc w:val="right"/>
              <w:rPr>
                <w:rFonts w:ascii="Times New Roman" w:hAnsi="Times New Roman" w:cs="Times New Roman" w:eastAsia="Times New Roman" w:hint="default"/>
                <w:sz w:val="18"/>
                <w:szCs w:val="18"/>
              </w:rPr>
            </w:pPr>
            <w:r>
              <w:rPr>
                <w:rFonts w:ascii="Times New Roman"/>
                <w:sz w:val="18"/>
              </w:rPr>
              <w:t>5,465.28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78"/>
              <w:jc w:val="right"/>
              <w:rPr>
                <w:rFonts w:ascii="Times New Roman" w:hAnsi="Times New Roman" w:cs="Times New Roman" w:eastAsia="Times New Roman" w:hint="default"/>
                <w:sz w:val="18"/>
                <w:szCs w:val="18"/>
              </w:rPr>
            </w:pPr>
            <w:r>
              <w:rPr>
                <w:rFonts w:ascii="Times New Roman"/>
                <w:w w:val="95"/>
                <w:sz w:val="18"/>
              </w:rPr>
              <w:t>-587,699.25</w:t>
            </w:r>
            <w:r>
              <w:rPr>
                <w:rFonts w:ascii="Times New Roman"/>
                <w:sz w:val="18"/>
              </w:rPr>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0" w:right="0"/>
              <w:jc w:val="left"/>
              <w:rPr>
                <w:rFonts w:ascii="宋体" w:hAnsi="宋体" w:cs="宋体" w:eastAsia="宋体" w:hint="default"/>
                <w:sz w:val="18"/>
                <w:szCs w:val="18"/>
              </w:rPr>
            </w:pPr>
            <w:r>
              <w:rPr>
                <w:rFonts w:ascii="宋体" w:hAnsi="宋体" w:cs="宋体" w:eastAsia="宋体" w:hint="default"/>
                <w:sz w:val="18"/>
                <w:szCs w:val="18"/>
              </w:rPr>
              <w:t>对外捐赠</w:t>
            </w: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7"/>
              <w:jc w:val="right"/>
              <w:rPr>
                <w:rFonts w:ascii="Times New Roman" w:hAnsi="Times New Roman" w:cs="Times New Roman" w:eastAsia="Times New Roman" w:hint="default"/>
                <w:sz w:val="18"/>
                <w:szCs w:val="18"/>
              </w:rPr>
            </w:pPr>
            <w:r>
              <w:rPr>
                <w:rFonts w:ascii="Times New Roman"/>
                <w:sz w:val="18"/>
              </w:rPr>
              <w:t>151,998.45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7"/>
              <w:jc w:val="right"/>
              <w:rPr>
                <w:rFonts w:ascii="Times New Roman" w:hAnsi="Times New Roman" w:cs="Times New Roman" w:eastAsia="Times New Roman" w:hint="default"/>
                <w:sz w:val="18"/>
                <w:szCs w:val="18"/>
              </w:rPr>
            </w:pPr>
            <w:r>
              <w:rPr>
                <w:rFonts w:ascii="Times New Roman"/>
                <w:sz w:val="18"/>
              </w:rPr>
              <w:t>414,419.24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7"/>
              <w:jc w:val="right"/>
              <w:rPr>
                <w:rFonts w:ascii="Times New Roman" w:hAnsi="Times New Roman" w:cs="Times New Roman" w:eastAsia="Times New Roman" w:hint="default"/>
                <w:sz w:val="18"/>
                <w:szCs w:val="18"/>
              </w:rPr>
            </w:pPr>
            <w:r>
              <w:rPr>
                <w:rFonts w:ascii="Times New Roman"/>
                <w:spacing w:val="-1"/>
                <w:sz w:val="18"/>
              </w:rPr>
              <w:t>1,017,297.80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40"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7"/>
              <w:jc w:val="right"/>
              <w:rPr>
                <w:rFonts w:ascii="Times New Roman" w:hAnsi="Times New Roman" w:cs="Times New Roman" w:eastAsia="Times New Roman" w:hint="default"/>
                <w:sz w:val="18"/>
                <w:szCs w:val="18"/>
              </w:rPr>
            </w:pPr>
            <w:r>
              <w:rPr>
                <w:rFonts w:ascii="Times New Roman"/>
                <w:w w:val="95"/>
                <w:sz w:val="18"/>
              </w:rPr>
              <w:t>-149,534.74</w:t>
            </w:r>
            <w:r>
              <w:rPr>
                <w:rFonts w:ascii="Times New Roman"/>
                <w:sz w:val="18"/>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7"/>
              <w:jc w:val="right"/>
              <w:rPr>
                <w:rFonts w:ascii="Times New Roman" w:hAnsi="Times New Roman" w:cs="Times New Roman" w:eastAsia="Times New Roman" w:hint="default"/>
                <w:sz w:val="18"/>
                <w:szCs w:val="18"/>
              </w:rPr>
            </w:pPr>
            <w:r>
              <w:rPr>
                <w:rFonts w:ascii="Times New Roman"/>
                <w:sz w:val="18"/>
              </w:rPr>
              <w:t>185,681.47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8"/>
              <w:jc w:val="right"/>
              <w:rPr>
                <w:rFonts w:ascii="Times New Roman" w:hAnsi="Times New Roman" w:cs="Times New Roman" w:eastAsia="Times New Roman" w:hint="default"/>
                <w:sz w:val="18"/>
                <w:szCs w:val="18"/>
              </w:rPr>
            </w:pPr>
            <w:r>
              <w:rPr>
                <w:rFonts w:ascii="Times New Roman"/>
                <w:sz w:val="18"/>
              </w:rPr>
              <w:t>224,602.00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8"/>
              <w:jc w:val="right"/>
              <w:rPr>
                <w:rFonts w:ascii="Times New Roman" w:hAnsi="Times New Roman" w:cs="Times New Roman" w:eastAsia="Times New Roman" w:hint="default"/>
                <w:sz w:val="18"/>
                <w:szCs w:val="18"/>
              </w:rPr>
            </w:pPr>
            <w:r>
              <w:rPr>
                <w:rFonts w:ascii="Times New Roman"/>
                <w:spacing w:val="-1"/>
                <w:sz w:val="18"/>
              </w:rPr>
              <w:t>2,951,027.77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7"/>
              <w:jc w:val="right"/>
              <w:rPr>
                <w:rFonts w:ascii="Times New Roman" w:hAnsi="Times New Roman" w:cs="Times New Roman" w:eastAsia="Times New Roman" w:hint="default"/>
                <w:sz w:val="18"/>
                <w:szCs w:val="18"/>
              </w:rPr>
            </w:pPr>
            <w:r>
              <w:rPr>
                <w:rFonts w:ascii="Times New Roman"/>
                <w:spacing w:val="-1"/>
                <w:sz w:val="18"/>
              </w:rPr>
              <w:t>3,300,328.66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8"/>
              <w:jc w:val="right"/>
              <w:rPr>
                <w:rFonts w:ascii="Times New Roman" w:hAnsi="Times New Roman" w:cs="Times New Roman" w:eastAsia="Times New Roman" w:hint="default"/>
                <w:sz w:val="18"/>
                <w:szCs w:val="18"/>
              </w:rPr>
            </w:pPr>
            <w:r>
              <w:rPr>
                <w:rFonts w:ascii="Times New Roman"/>
                <w:spacing w:val="-1"/>
                <w:sz w:val="18"/>
              </w:rPr>
              <w:t>9,928,678.55</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74"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after="0"/>
        <w:jc w:val="left"/>
        <w:rPr>
          <w:rFonts w:ascii="宋体" w:hAnsi="宋体" w:cs="宋体" w:eastAsia="宋体" w:hint="default"/>
          <w:sz w:val="18"/>
          <w:szCs w:val="18"/>
        </w:rPr>
        <w:sectPr>
          <w:pgSz w:w="11910" w:h="16840"/>
          <w:pgMar w:header="747" w:footer="979" w:top="1060" w:bottom="1160" w:left="960" w:right="0"/>
        </w:sectPr>
      </w:pPr>
    </w:p>
    <w:p>
      <w:pPr>
        <w:spacing w:line="240" w:lineRule="auto" w:before="12"/>
        <w:rPr>
          <w:rFonts w:ascii="宋体" w:hAnsi="宋体" w:cs="宋体" w:eastAsia="宋体" w:hint="default"/>
          <w:sz w:val="25"/>
          <w:szCs w:val="25"/>
        </w:rPr>
      </w:pPr>
    </w:p>
    <w:p>
      <w:pPr>
        <w:spacing w:line="302" w:lineRule="auto" w:before="44"/>
        <w:ind w:left="154" w:right="1118"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6"/>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z w:val="18"/>
          <w:szCs w:val="18"/>
        </w:rPr>
        <w:t> 说明原因</w:t>
      </w:r>
    </w:p>
    <w:p>
      <w:pPr>
        <w:spacing w:before="69"/>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302" w:lineRule="auto" w:before="102"/>
        <w:ind w:left="154" w:right="1116" w:firstLine="0"/>
        <w:jc w:val="left"/>
        <w:rPr>
          <w:rFonts w:ascii="宋体" w:hAnsi="宋体" w:cs="宋体" w:eastAsia="宋体" w:hint="default"/>
          <w:sz w:val="18"/>
          <w:szCs w:val="18"/>
        </w:rPr>
      </w:pPr>
      <w:r>
        <w:rPr>
          <w:rFonts w:ascii="宋体" w:hAnsi="宋体" w:cs="宋体" w:eastAsia="宋体" w:hint="default"/>
          <w:sz w:val="18"/>
          <w:szCs w:val="18"/>
        </w:rPr>
        <w:t>公司报告期不存在将根据《公开发行证券的公司信息披露解释性公告第</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非经常性损益》定义、列举的非经常性损益</w:t>
      </w:r>
      <w:r>
        <w:rPr>
          <w:rFonts w:ascii="宋体" w:hAnsi="宋体" w:cs="宋体" w:eastAsia="宋体" w:hint="default"/>
          <w:sz w:val="18"/>
          <w:szCs w:val="18"/>
        </w:rPr>
        <w:t> 项目界定为经常性损益的项目的情形。</w:t>
      </w:r>
    </w:p>
    <w:p>
      <w:pPr>
        <w:spacing w:after="0" w:line="302"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447" w:right="0"/>
        <w:jc w:val="left"/>
        <w:rPr>
          <w:b w:val="0"/>
          <w:bCs w:val="0"/>
        </w:rPr>
      </w:pPr>
      <w:bookmarkStart w:name="第三节 公司业务概要" w:id="14"/>
      <w:bookmarkEnd w:id="14"/>
      <w:r>
        <w:rPr>
          <w:b w:val="0"/>
          <w:bCs w:val="0"/>
        </w:rPr>
      </w:r>
      <w:bookmarkStart w:name="_bookmark1" w:id="15"/>
      <w:bookmarkEnd w:id="15"/>
      <w:r>
        <w:rPr>
          <w:b w:val="0"/>
          <w:bCs w:val="0"/>
        </w:rPr>
      </w:r>
      <w:r>
        <w:rPr/>
        <w:t>第三节</w:t>
      </w:r>
      <w:r>
        <w:rPr>
          <w:spacing w:val="-7"/>
        </w:rPr>
        <w:t> </w:t>
      </w:r>
      <w:r>
        <w:rPr/>
        <w:t>公司业务概要</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both"/>
        <w:rPr>
          <w:b w:val="0"/>
          <w:bCs w:val="0"/>
        </w:rPr>
      </w:pPr>
      <w:bookmarkStart w:name="一、报告期内公司从事的主要业务" w:id="16"/>
      <w:bookmarkEnd w:id="16"/>
      <w:r>
        <w:rPr>
          <w:b w:val="0"/>
          <w:bCs w:val="0"/>
        </w:rPr>
      </w:r>
      <w:r>
        <w:rPr/>
        <w:t>一、报告期内公司从事的主要业务</w:t>
      </w:r>
      <w:r>
        <w:rPr>
          <w:b w:val="0"/>
          <w:bCs w:val="0"/>
        </w:rPr>
      </w:r>
    </w:p>
    <w:p>
      <w:pPr>
        <w:spacing w:line="240" w:lineRule="auto" w:before="7"/>
        <w:rPr>
          <w:rFonts w:ascii="宋体" w:hAnsi="宋体" w:cs="宋体" w:eastAsia="宋体" w:hint="default"/>
          <w:b/>
          <w:bCs/>
          <w:sz w:val="26"/>
          <w:szCs w:val="26"/>
        </w:rPr>
      </w:pPr>
    </w:p>
    <w:p>
      <w:pPr>
        <w:spacing w:line="360" w:lineRule="auto" w:before="0"/>
        <w:ind w:left="154" w:right="7692"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是</w:t>
      </w:r>
    </w:p>
    <w:p>
      <w:pPr>
        <w:spacing w:before="26"/>
        <w:ind w:left="154" w:right="0" w:firstLine="0"/>
        <w:jc w:val="both"/>
        <w:rPr>
          <w:rFonts w:ascii="宋体" w:hAnsi="宋体" w:cs="宋体" w:eastAsia="宋体" w:hint="default"/>
          <w:sz w:val="18"/>
          <w:szCs w:val="18"/>
        </w:rPr>
      </w:pPr>
      <w:r>
        <w:rPr>
          <w:rFonts w:ascii="宋体" w:hAnsi="宋体" w:cs="宋体" w:eastAsia="宋体" w:hint="default"/>
          <w:sz w:val="18"/>
          <w:szCs w:val="18"/>
        </w:rPr>
        <w:t>软件与信息技术服务业</w:t>
      </w:r>
    </w:p>
    <w:p>
      <w:pPr>
        <w:spacing w:before="116"/>
        <w:ind w:left="154" w:right="0" w:firstLine="0"/>
        <w:jc w:val="both"/>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上市公司从事软件与信息技术服务业务》的披露要求</w:t>
      </w:r>
    </w:p>
    <w:p>
      <w:pPr>
        <w:spacing w:line="357" w:lineRule="auto" w:before="132"/>
        <w:ind w:left="634" w:right="0" w:firstLine="2"/>
        <w:jc w:val="left"/>
        <w:rPr>
          <w:rFonts w:ascii="宋体" w:hAnsi="宋体" w:cs="宋体" w:eastAsia="宋体" w:hint="default"/>
          <w:sz w:val="24"/>
          <w:szCs w:val="24"/>
        </w:rPr>
      </w:pPr>
      <w:r>
        <w:rPr>
          <w:rFonts w:ascii="宋体" w:hAnsi="宋体" w:cs="宋体" w:eastAsia="宋体" w:hint="default"/>
          <w:b/>
          <w:bCs/>
          <w:sz w:val="24"/>
          <w:szCs w:val="24"/>
        </w:rPr>
        <w:t>（一）公司主营业务</w:t>
      </w:r>
      <w:r>
        <w:rPr>
          <w:rFonts w:ascii="宋体" w:hAnsi="宋体" w:cs="宋体" w:eastAsia="宋体" w:hint="default"/>
          <w:b/>
          <w:bCs/>
          <w:w w:val="99"/>
          <w:sz w:val="24"/>
          <w:szCs w:val="24"/>
        </w:rPr>
        <w:t> </w:t>
      </w:r>
      <w:r>
        <w:rPr>
          <w:rFonts w:ascii="宋体" w:hAnsi="宋体" w:cs="宋体" w:eastAsia="宋体" w:hint="default"/>
          <w:spacing w:val="-3"/>
          <w:sz w:val="24"/>
          <w:szCs w:val="24"/>
        </w:rPr>
        <w:t>公司以智慧一卡通为基础，积极拓展智慧校园、智慧园区与行业智能化建设及运维服务，</w:t>
      </w:r>
    </w:p>
    <w:p>
      <w:pPr>
        <w:pStyle w:val="BodyText"/>
        <w:spacing w:line="357" w:lineRule="auto"/>
        <w:ind w:right="1132"/>
        <w:jc w:val="both"/>
      </w:pPr>
      <w:r>
        <w:rPr/>
        <w:t>为学校、政府、企事业单位等提供智慧化整体解决方案。公司基于开放共享、智能协同的理</w:t>
      </w:r>
      <w:r>
        <w:rPr>
          <w:spacing w:val="-113"/>
        </w:rPr>
        <w:t> </w:t>
      </w:r>
      <w:r>
        <w:rPr>
          <w:spacing w:val="-113"/>
        </w:rPr>
      </w:r>
      <w:r>
        <w:rPr/>
        <w:t>念，</w:t>
      </w:r>
      <w:r>
        <w:rPr>
          <w:color w:val="181F24"/>
        </w:rPr>
        <w:t>应用物联网、大数据、聚合支付、生物识别、移动互联等新兴技术，</w:t>
      </w:r>
      <w:r>
        <w:rPr/>
        <w:t>不断推进互联网运</w:t>
      </w:r>
      <w:r>
        <w:rPr>
          <w:spacing w:val="-110"/>
        </w:rPr>
        <w:t> </w:t>
      </w:r>
      <w:r>
        <w:rPr>
          <w:spacing w:val="-110"/>
        </w:rPr>
      </w:r>
      <w:r>
        <w:rPr/>
        <w:t>营，构建园内园外、线上线下的一体化平台和应用生态，为用户的学习、工作、生活、成长 及管理决策提供全场景服务。</w:t>
      </w:r>
    </w:p>
    <w:p>
      <w:pPr>
        <w:spacing w:line="357" w:lineRule="auto" w:before="36"/>
        <w:ind w:left="634" w:right="0" w:firstLine="2"/>
        <w:jc w:val="left"/>
        <w:rPr>
          <w:rFonts w:ascii="宋体" w:hAnsi="宋体" w:cs="宋体" w:eastAsia="宋体" w:hint="default"/>
          <w:sz w:val="24"/>
          <w:szCs w:val="24"/>
        </w:rPr>
      </w:pPr>
      <w:r>
        <w:rPr>
          <w:rFonts w:ascii="宋体" w:hAnsi="宋体" w:cs="宋体" w:eastAsia="宋体" w:hint="default"/>
          <w:b/>
          <w:bCs/>
          <w:sz w:val="24"/>
          <w:szCs w:val="24"/>
        </w:rPr>
        <w:t>1</w:t>
      </w:r>
      <w:r>
        <w:rPr>
          <w:rFonts w:ascii="宋体" w:hAnsi="宋体" w:cs="宋体" w:eastAsia="宋体" w:hint="default"/>
          <w:b/>
          <w:bCs/>
          <w:sz w:val="24"/>
          <w:szCs w:val="24"/>
        </w:rPr>
        <w:t>、智慧一卡通系统建设</w:t>
      </w:r>
      <w:r>
        <w:rPr>
          <w:rFonts w:ascii="宋体" w:hAnsi="宋体" w:cs="宋体" w:eastAsia="宋体" w:hint="default"/>
          <w:b/>
          <w:bCs/>
          <w:w w:val="99"/>
          <w:sz w:val="24"/>
          <w:szCs w:val="24"/>
        </w:rPr>
        <w:t> </w:t>
      </w:r>
      <w:r>
        <w:rPr>
          <w:rFonts w:ascii="宋体" w:hAnsi="宋体" w:cs="宋体" w:eastAsia="宋体" w:hint="default"/>
          <w:sz w:val="24"/>
          <w:szCs w:val="24"/>
        </w:rPr>
        <w:t>智慧一卡通系统是在原有数字化校园一卡通应用的基础上，运用移动互联网、物联网、</w:t>
      </w:r>
    </w:p>
    <w:p>
      <w:pPr>
        <w:pStyle w:val="BodyText"/>
        <w:spacing w:line="357" w:lineRule="auto"/>
        <w:ind w:right="1131"/>
        <w:jc w:val="both"/>
      </w:pPr>
      <w:r>
        <w:rPr/>
        <w:t>生物识别等技术，打造的全新一代的面向服务的一卡通系统，很好的满足了智慧校园面向服</w:t>
      </w:r>
      <w:r>
        <w:rPr>
          <w:spacing w:val="-117"/>
        </w:rPr>
        <w:t> </w:t>
      </w:r>
      <w:r>
        <w:rPr>
          <w:spacing w:val="-117"/>
        </w:rPr>
      </w:r>
      <w:r>
        <w:rPr/>
        <w:t>务的需求，使得应用更加人性化、智能化、多样化。智慧一卡通是智慧校园的基础工程和重 </w:t>
      </w:r>
      <w:r>
        <w:rPr>
          <w:spacing w:val="-2"/>
        </w:rPr>
        <w:t>要组成部分</w:t>
      </w:r>
      <w:r>
        <w:rPr>
          <w:rFonts w:ascii="宋体" w:hAnsi="宋体" w:cs="宋体" w:eastAsia="宋体" w:hint="default"/>
          <w:spacing w:val="-2"/>
        </w:rPr>
        <w:t>,</w:t>
      </w:r>
      <w:r>
        <w:rPr>
          <w:spacing w:val="-2"/>
        </w:rPr>
        <w:t>它极大地提升了校园一卡通的智能化程度，丰富了卡基应用和泛卡基应用，紧密</w:t>
      </w:r>
      <w:r>
        <w:rPr/>
        <w:t> 关联了校内外的商务消费、身份识别和认证、财务结算和自助服务等各种应用，使传统校园</w:t>
      </w:r>
      <w:r>
        <w:rPr>
          <w:spacing w:val="-117"/>
        </w:rPr>
        <w:t> </w:t>
      </w:r>
      <w:r>
        <w:rPr>
          <w:spacing w:val="-117"/>
        </w:rPr>
      </w:r>
      <w:r>
        <w:rPr/>
        <w:t>一卡通的线下服务，扩展为线上线下协同服务，封闭应用服务提升为开放应用服务，特定区 域服务拓展为无疆域服务；极大地便利了广大师生的教学和生活，从而给校园带来更便捷、 更高效、更安全、更协同的现代化生活。</w:t>
      </w:r>
    </w:p>
    <w:p>
      <w:pPr>
        <w:pStyle w:val="BodyText"/>
        <w:spacing w:line="357" w:lineRule="auto"/>
        <w:ind w:left="634" w:right="0" w:firstLine="2"/>
        <w:jc w:val="left"/>
      </w:pPr>
      <w:r>
        <w:rPr>
          <w:rFonts w:ascii="宋体" w:hAnsi="宋体" w:cs="宋体" w:eastAsia="宋体" w:hint="default"/>
          <w:b/>
          <w:bCs/>
        </w:rPr>
        <w:t>2</w:t>
      </w:r>
      <w:r>
        <w:rPr>
          <w:rFonts w:ascii="宋体" w:hAnsi="宋体" w:cs="宋体" w:eastAsia="宋体" w:hint="default"/>
          <w:b/>
          <w:bCs/>
        </w:rPr>
        <w:t>、智慧校园建设</w:t>
      </w:r>
      <w:r>
        <w:rPr>
          <w:rFonts w:ascii="宋体" w:hAnsi="宋体" w:cs="宋体" w:eastAsia="宋体" w:hint="default"/>
          <w:b/>
          <w:bCs/>
          <w:w w:val="99"/>
        </w:rPr>
        <w:t> </w:t>
      </w:r>
      <w:r>
        <w:rPr>
          <w:spacing w:val="-3"/>
        </w:rPr>
        <w:t>公司依托于多年来积累的校园信息化服务及管理系统的经验，以校园一卡通为业务基础，</w:t>
      </w:r>
    </w:p>
    <w:p>
      <w:pPr>
        <w:pStyle w:val="BodyText"/>
        <w:spacing w:line="357" w:lineRule="auto"/>
        <w:ind w:right="0"/>
        <w:jc w:val="left"/>
      </w:pPr>
      <w:r>
        <w:rPr>
          <w:spacing w:val="-3"/>
        </w:rPr>
        <w:t>主动适应智慧校园建设的新需求、新形态，研发了智慧易通平台，综合运用物联网、云计算、</w:t>
      </w:r>
      <w:r>
        <w:rPr>
          <w:spacing w:val="-81"/>
        </w:rPr>
        <w:t> </w:t>
      </w:r>
      <w:r>
        <w:rPr>
          <w:spacing w:val="-81"/>
        </w:rPr>
      </w:r>
      <w:r>
        <w:rPr/>
        <w:t>移动互联、大数据、智能感知、商业智能、知识管理、社交网络等技术，全面感知校园物理</w:t>
      </w:r>
      <w:r>
        <w:rPr>
          <w:spacing w:val="-112"/>
        </w:rPr>
        <w:t> </w:t>
      </w:r>
      <w:r>
        <w:rPr>
          <w:spacing w:val="-112"/>
        </w:rPr>
      </w:r>
      <w:r>
        <w:rPr/>
        <w:t>环境，智能识别师生群体的生活、学习、工作情景和个体的特征，将学校物理空间和数字空</w:t>
      </w:r>
      <w:r>
        <w:rPr>
          <w:spacing w:val="-115"/>
        </w:rPr>
        <w:t> </w:t>
      </w:r>
      <w:r>
        <w:rPr>
          <w:spacing w:val="-115"/>
        </w:rPr>
      </w:r>
      <w:r>
        <w:rPr/>
        <w:t>间有机衔接起来，为师生建立智能开放的教育教学环境和便利舒适的生活环境，改变师生与 学校资源、环境的交互方式，实现以人为本的个性化创新服务。</w:t>
      </w:r>
    </w:p>
    <w:p>
      <w:pPr>
        <w:spacing w:after="0" w:line="357" w:lineRule="auto"/>
        <w:jc w:val="left"/>
        <w:sectPr>
          <w:pgSz w:w="11910" w:h="16840"/>
          <w:pgMar w:header="747" w:footer="979" w:top="1060" w:bottom="1160" w:left="980" w:right="0"/>
        </w:sectPr>
      </w:pPr>
    </w:p>
    <w:p>
      <w:pPr>
        <w:spacing w:line="240" w:lineRule="auto" w:before="7"/>
        <w:rPr>
          <w:rFonts w:ascii="宋体" w:hAnsi="宋体" w:cs="宋体" w:eastAsia="宋体" w:hint="default"/>
          <w:sz w:val="29"/>
          <w:szCs w:val="29"/>
        </w:rPr>
      </w:pPr>
    </w:p>
    <w:p>
      <w:pPr>
        <w:pStyle w:val="BodyText"/>
        <w:spacing w:line="357" w:lineRule="auto" w:before="26"/>
        <w:ind w:right="0" w:firstLine="480"/>
        <w:jc w:val="left"/>
      </w:pPr>
      <w:r>
        <w:rPr/>
        <w:t>公司除了向客户提供智慧校园的电子支付类、身份识别类、访问控制类、水电节能类、 </w:t>
      </w:r>
      <w:r>
        <w:rPr>
          <w:spacing w:val="-3"/>
        </w:rPr>
        <w:t>自助服务类、金融服务类、校园事务类、学生事务类等服务外，进一步提供了校园数据治理、</w:t>
      </w:r>
      <w:r>
        <w:rPr>
          <w:spacing w:val="-81"/>
        </w:rPr>
        <w:t> </w:t>
      </w:r>
      <w:r>
        <w:rPr>
          <w:spacing w:val="-81"/>
        </w:rPr>
      </w:r>
      <w:r>
        <w:rPr/>
        <w:t>应用治理、物联校园等智慧综合服务，实现管理精细化、数据价值最大化。通过信息技术与 教育教学实践的深度融合，优化教学、教研、管理和服务等过程，提高教育教学质量和管理</w:t>
      </w:r>
      <w:r>
        <w:rPr>
          <w:spacing w:val="-115"/>
        </w:rPr>
        <w:t> </w:t>
      </w:r>
      <w:r>
        <w:rPr>
          <w:spacing w:val="-115"/>
        </w:rPr>
      </w:r>
      <w:r>
        <w:rPr/>
        <w:t>水平，促进师生全面发展。</w:t>
      </w:r>
    </w:p>
    <w:p>
      <w:pPr>
        <w:spacing w:line="357" w:lineRule="auto" w:before="36"/>
        <w:ind w:left="634" w:right="0" w:firstLine="2"/>
        <w:jc w:val="left"/>
        <w:rPr>
          <w:rFonts w:ascii="宋体" w:hAnsi="宋体" w:cs="宋体" w:eastAsia="宋体" w:hint="default"/>
          <w:sz w:val="24"/>
          <w:szCs w:val="24"/>
        </w:rPr>
      </w:pPr>
      <w:r>
        <w:rPr>
          <w:rFonts w:ascii="宋体" w:hAnsi="宋体" w:cs="宋体" w:eastAsia="宋体" w:hint="default"/>
          <w:b/>
          <w:bCs/>
          <w:sz w:val="24"/>
          <w:szCs w:val="24"/>
        </w:rPr>
        <w:t>3</w:t>
      </w:r>
      <w:r>
        <w:rPr>
          <w:rFonts w:ascii="宋体" w:hAnsi="宋体" w:cs="宋体" w:eastAsia="宋体" w:hint="default"/>
          <w:b/>
          <w:bCs/>
          <w:sz w:val="24"/>
          <w:szCs w:val="24"/>
        </w:rPr>
        <w:t>、智慧园区和行业智慧化建设</w:t>
      </w:r>
      <w:r>
        <w:rPr>
          <w:rFonts w:ascii="宋体" w:hAnsi="宋体" w:cs="宋体" w:eastAsia="宋体" w:hint="default"/>
          <w:b/>
          <w:bCs/>
          <w:w w:val="99"/>
          <w:sz w:val="24"/>
          <w:szCs w:val="24"/>
        </w:rPr>
        <w:t> </w:t>
      </w:r>
      <w:r>
        <w:rPr>
          <w:rFonts w:ascii="宋体" w:hAnsi="宋体" w:cs="宋体" w:eastAsia="宋体" w:hint="default"/>
          <w:sz w:val="24"/>
          <w:szCs w:val="24"/>
        </w:rPr>
        <w:t>公司通过综合利用物联网、移动互联网、大数据、云服务及人工智能等技术，积极拓展</w:t>
      </w:r>
    </w:p>
    <w:p>
      <w:pPr>
        <w:pStyle w:val="BodyText"/>
        <w:spacing w:line="357" w:lineRule="auto"/>
        <w:ind w:right="1129"/>
        <w:jc w:val="both"/>
      </w:pPr>
      <w:r>
        <w:rPr/>
        <w:t>智慧化应用。构建楼宇、园区、行业的智能、智慧综合一体化管控与应用，提供智能化、一 体化解决方案；构建并实施了智慧易通多园区服务平台，既</w:t>
      </w:r>
      <w:r>
        <w:rPr>
          <w:color w:val="181F24"/>
        </w:rPr>
        <w:t>面向行业或地域的多园区多客户</w:t>
      </w:r>
      <w:r>
        <w:rPr>
          <w:color w:val="181F24"/>
          <w:spacing w:val="-114"/>
        </w:rPr>
        <w:t> </w:t>
      </w:r>
      <w:r>
        <w:rPr>
          <w:color w:val="181F24"/>
          <w:spacing w:val="-114"/>
        </w:rPr>
      </w:r>
      <w:r>
        <w:rPr/>
        <w:t>提供</w:t>
      </w:r>
      <w:r>
        <w:rPr>
          <w:color w:val="181F24"/>
        </w:rPr>
        <w:t>统一的平台接入服务，又同时满足各用户独立的身份识别、支付交易等应用需求，</w:t>
      </w:r>
      <w:r>
        <w:rPr/>
        <w:t>目前</w:t>
      </w:r>
      <w:r>
        <w:rPr>
          <w:spacing w:val="-108"/>
        </w:rPr>
        <w:t> </w:t>
      </w:r>
      <w:r>
        <w:rPr>
          <w:spacing w:val="-108"/>
        </w:rPr>
      </w:r>
      <w:r>
        <w:rPr/>
        <w:t>已在电力、水利、医疗、政务等领域</w:t>
      </w:r>
      <w:r>
        <w:rPr>
          <w:color w:val="181F24"/>
        </w:rPr>
        <w:t>推进。</w:t>
      </w:r>
      <w:r>
        <w:rPr/>
      </w:r>
    </w:p>
    <w:p>
      <w:pPr>
        <w:spacing w:line="357" w:lineRule="auto" w:before="36"/>
        <w:ind w:left="634" w:right="0" w:firstLine="2"/>
        <w:jc w:val="left"/>
        <w:rPr>
          <w:rFonts w:ascii="宋体" w:hAnsi="宋体" w:cs="宋体" w:eastAsia="宋体" w:hint="default"/>
          <w:sz w:val="24"/>
          <w:szCs w:val="24"/>
        </w:rPr>
      </w:pPr>
      <w:r>
        <w:rPr>
          <w:rFonts w:ascii="宋体" w:hAnsi="宋体" w:cs="宋体" w:eastAsia="宋体" w:hint="default"/>
          <w:b/>
          <w:bCs/>
          <w:sz w:val="24"/>
          <w:szCs w:val="24"/>
        </w:rPr>
        <w:t>4</w:t>
      </w:r>
      <w:r>
        <w:rPr>
          <w:rFonts w:ascii="宋体" w:hAnsi="宋体" w:cs="宋体" w:eastAsia="宋体" w:hint="default"/>
          <w:b/>
          <w:bCs/>
          <w:sz w:val="24"/>
          <w:szCs w:val="24"/>
        </w:rPr>
        <w:t>、互联网运营服务</w:t>
      </w:r>
      <w:r>
        <w:rPr>
          <w:rFonts w:ascii="宋体" w:hAnsi="宋体" w:cs="宋体" w:eastAsia="宋体" w:hint="default"/>
          <w:b/>
          <w:bCs/>
          <w:w w:val="99"/>
          <w:sz w:val="24"/>
          <w:szCs w:val="24"/>
        </w:rPr>
        <w:t> </w:t>
      </w:r>
      <w:r>
        <w:rPr>
          <w:rFonts w:ascii="宋体" w:hAnsi="宋体" w:cs="宋体" w:eastAsia="宋体" w:hint="default"/>
          <w:sz w:val="24"/>
          <w:szCs w:val="24"/>
        </w:rPr>
        <w:t>公司基于不断拓展的智慧一卡通系统业务，拥有稳定的用户群体和庞大基数的持卡人，</w:t>
      </w:r>
    </w:p>
    <w:p>
      <w:pPr>
        <w:pStyle w:val="BodyText"/>
        <w:spacing w:line="357" w:lineRule="auto"/>
        <w:ind w:right="1129"/>
        <w:jc w:val="both"/>
      </w:pPr>
      <w:r>
        <w:rPr/>
        <w:t>通过创新服务形式与内容，丰富线上应用，推进互联网运营服务。公司采用多种方式将线下</w:t>
      </w:r>
      <w:r>
        <w:rPr>
          <w:spacing w:val="-114"/>
        </w:rPr>
        <w:t> </w:t>
      </w:r>
      <w:r>
        <w:rPr>
          <w:spacing w:val="-114"/>
        </w:rPr>
      </w:r>
      <w:r>
        <w:rPr/>
        <w:t>应用向线上拓展，将移动支付技术和移动互联网特征相融合，</w:t>
      </w:r>
      <w:r>
        <w:rPr>
          <w:color w:val="181F24"/>
        </w:rPr>
        <w:t>加大对云平台的投入，</w:t>
      </w:r>
      <w:r>
        <w:rPr/>
        <w:t>推出了</w:t>
      </w:r>
      <w:r>
        <w:rPr>
          <w:spacing w:val="-108"/>
        </w:rPr>
        <w:t> </w:t>
      </w:r>
      <w:r>
        <w:rPr>
          <w:spacing w:val="-108"/>
        </w:rPr>
      </w:r>
      <w:r>
        <w:rPr/>
        <w:t>集一卡通、校园公共服务等为一体的</w:t>
      </w:r>
      <w:r>
        <w:rPr>
          <w:spacing w:val="-14"/>
        </w:rPr>
        <w:t> </w:t>
      </w:r>
      <w:r>
        <w:rPr>
          <w:spacing w:val="-3"/>
        </w:rPr>
        <w:t>“易校园”；丰富了自助洗衣等智慧后勤运营服务；切</w:t>
      </w:r>
      <w:r>
        <w:rPr/>
        <w:t> 入了校园食品安全智能监管业务；继续推进学堂里在线教育平台运营。</w:t>
      </w:r>
    </w:p>
    <w:p>
      <w:pPr>
        <w:spacing w:line="357" w:lineRule="auto" w:before="36"/>
        <w:ind w:left="634" w:right="0" w:firstLine="2"/>
        <w:jc w:val="left"/>
        <w:rPr>
          <w:rFonts w:ascii="宋体" w:hAnsi="宋体" w:cs="宋体" w:eastAsia="宋体" w:hint="default"/>
          <w:sz w:val="24"/>
          <w:szCs w:val="24"/>
        </w:rPr>
      </w:pPr>
      <w:r>
        <w:rPr>
          <w:rFonts w:ascii="宋体" w:hAnsi="宋体" w:cs="宋体" w:eastAsia="宋体" w:hint="default"/>
          <w:b/>
          <w:bCs/>
          <w:color w:val="181F24"/>
          <w:sz w:val="24"/>
          <w:szCs w:val="24"/>
        </w:rPr>
        <w:t>（二）公司所处行业的基本情况</w:t>
      </w:r>
      <w:r>
        <w:rPr>
          <w:rFonts w:ascii="宋体" w:hAnsi="宋体" w:cs="宋体" w:eastAsia="宋体" w:hint="default"/>
          <w:b/>
          <w:bCs/>
          <w:color w:val="181F24"/>
          <w:w w:val="99"/>
          <w:sz w:val="24"/>
          <w:szCs w:val="24"/>
        </w:rPr>
        <w:t> </w:t>
      </w:r>
      <w:r>
        <w:rPr>
          <w:rFonts w:ascii="宋体" w:hAnsi="宋体" w:cs="宋体" w:eastAsia="宋体" w:hint="default"/>
          <w:sz w:val="24"/>
          <w:szCs w:val="24"/>
        </w:rPr>
        <w:t>公司所处行业为软件与信息技术服务业，其行政主管部门是国家工业和信息化部，同时</w:t>
      </w:r>
    </w:p>
    <w:p>
      <w:pPr>
        <w:pStyle w:val="BodyText"/>
        <w:spacing w:line="357" w:lineRule="auto"/>
        <w:ind w:right="1132"/>
        <w:jc w:val="both"/>
      </w:pPr>
      <w:r>
        <w:rPr/>
        <w:t>还受科学技术部、教育部及国家住房和城乡建设部等部委颁布的相关政策影响。随着国家大</w:t>
      </w:r>
      <w:r>
        <w:rPr>
          <w:spacing w:val="-110"/>
        </w:rPr>
        <w:t> </w:t>
      </w:r>
      <w:r>
        <w:rPr>
          <w:spacing w:val="-110"/>
        </w:rPr>
      </w:r>
      <w:r>
        <w:rPr/>
        <w:t>力推进信息化建设，有关智慧城市建设、教育信息化建设、智能化建设、节能化建设等方面</w:t>
      </w:r>
      <w:r>
        <w:rPr>
          <w:spacing w:val="-113"/>
        </w:rPr>
        <w:t> </w:t>
      </w:r>
      <w:r>
        <w:rPr>
          <w:spacing w:val="-113"/>
        </w:rPr>
      </w:r>
      <w:r>
        <w:rPr/>
        <w:t>均得到国家及地方政策的大力支持，有利于一卡通行业及公司业务的发展。</w:t>
      </w:r>
    </w:p>
    <w:tbl>
      <w:tblPr>
        <w:tblW w:w="0" w:type="auto"/>
        <w:jc w:val="left"/>
        <w:tblInd w:w="212" w:type="dxa"/>
        <w:tblLayout w:type="fixed"/>
        <w:tblCellMar>
          <w:top w:w="0" w:type="dxa"/>
          <w:left w:w="0" w:type="dxa"/>
          <w:bottom w:w="0" w:type="dxa"/>
          <w:right w:w="0" w:type="dxa"/>
        </w:tblCellMar>
        <w:tblLook w:val="01E0"/>
      </w:tblPr>
      <w:tblGrid>
        <w:gridCol w:w="708"/>
        <w:gridCol w:w="1806"/>
        <w:gridCol w:w="1134"/>
        <w:gridCol w:w="994"/>
        <w:gridCol w:w="4869"/>
      </w:tblGrid>
      <w:tr>
        <w:trPr>
          <w:trHeight w:val="402" w:hRule="exact"/>
        </w:trPr>
        <w:tc>
          <w:tcPr>
            <w:tcW w:w="70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7"/>
              <w:ind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180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7"/>
              <w:ind w:left="536" w:right="0"/>
              <w:jc w:val="left"/>
              <w:rPr>
                <w:rFonts w:ascii="宋体" w:hAnsi="宋体" w:cs="宋体" w:eastAsia="宋体" w:hint="default"/>
                <w:sz w:val="18"/>
                <w:szCs w:val="18"/>
              </w:rPr>
            </w:pPr>
            <w:r>
              <w:rPr>
                <w:rFonts w:ascii="宋体" w:hAnsi="宋体" w:cs="宋体" w:eastAsia="宋体" w:hint="default"/>
                <w:b/>
                <w:bCs/>
                <w:sz w:val="18"/>
                <w:szCs w:val="18"/>
              </w:rPr>
              <w:t>政策名称</w:t>
            </w:r>
            <w:r>
              <w:rPr>
                <w:rFonts w:ascii="宋体" w:hAnsi="宋体" w:cs="宋体" w:eastAsia="宋体" w:hint="default"/>
                <w:sz w:val="18"/>
                <w:szCs w:val="18"/>
              </w:rPr>
            </w: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7"/>
              <w:ind w:right="1"/>
              <w:jc w:val="center"/>
              <w:rPr>
                <w:rFonts w:ascii="宋体" w:hAnsi="宋体" w:cs="宋体" w:eastAsia="宋体" w:hint="default"/>
                <w:sz w:val="18"/>
                <w:szCs w:val="18"/>
              </w:rPr>
            </w:pPr>
            <w:r>
              <w:rPr>
                <w:rFonts w:ascii="宋体" w:hAnsi="宋体" w:cs="宋体" w:eastAsia="宋体" w:hint="default"/>
                <w:b/>
                <w:bCs/>
                <w:sz w:val="18"/>
                <w:szCs w:val="18"/>
              </w:rPr>
              <w:t>颁布部门</w:t>
            </w:r>
            <w:r>
              <w:rPr>
                <w:rFonts w:ascii="宋体" w:hAnsi="宋体" w:cs="宋体" w:eastAsia="宋体" w:hint="default"/>
                <w:sz w:val="18"/>
                <w:szCs w:val="18"/>
              </w:rPr>
            </w:r>
          </w:p>
        </w:tc>
        <w:tc>
          <w:tcPr>
            <w:tcW w:w="9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7"/>
              <w:ind w:right="0"/>
              <w:jc w:val="center"/>
              <w:rPr>
                <w:rFonts w:ascii="宋体" w:hAnsi="宋体" w:cs="宋体" w:eastAsia="宋体" w:hint="default"/>
                <w:sz w:val="18"/>
                <w:szCs w:val="18"/>
              </w:rPr>
            </w:pPr>
            <w:r>
              <w:rPr>
                <w:rFonts w:ascii="宋体" w:hAnsi="宋体" w:cs="宋体" w:eastAsia="宋体" w:hint="default"/>
                <w:b/>
                <w:bCs/>
                <w:sz w:val="18"/>
                <w:szCs w:val="18"/>
              </w:rPr>
              <w:t>颁布时间</w:t>
            </w:r>
            <w:r>
              <w:rPr>
                <w:rFonts w:ascii="宋体" w:hAnsi="宋体" w:cs="宋体" w:eastAsia="宋体" w:hint="default"/>
                <w:sz w:val="18"/>
                <w:szCs w:val="18"/>
              </w:rPr>
            </w:r>
          </w:p>
        </w:tc>
        <w:tc>
          <w:tcPr>
            <w:tcW w:w="48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7"/>
              <w:ind w:right="1"/>
              <w:jc w:val="center"/>
              <w:rPr>
                <w:rFonts w:ascii="宋体" w:hAnsi="宋体" w:cs="宋体" w:eastAsia="宋体" w:hint="default"/>
                <w:sz w:val="18"/>
                <w:szCs w:val="18"/>
              </w:rPr>
            </w:pPr>
            <w:r>
              <w:rPr>
                <w:rFonts w:ascii="宋体" w:hAnsi="宋体" w:cs="宋体" w:eastAsia="宋体" w:hint="default"/>
                <w:b/>
                <w:bCs/>
                <w:sz w:val="18"/>
                <w:szCs w:val="18"/>
              </w:rPr>
              <w:t>与行业相关内容</w:t>
            </w:r>
            <w:r>
              <w:rPr>
                <w:rFonts w:ascii="宋体" w:hAnsi="宋体" w:cs="宋体" w:eastAsia="宋体" w:hint="default"/>
                <w:sz w:val="18"/>
                <w:szCs w:val="18"/>
              </w:rPr>
            </w:r>
          </w:p>
        </w:tc>
      </w:tr>
      <w:tr>
        <w:trPr>
          <w:trHeight w:val="1650"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1</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103" w:right="101"/>
              <w:jc w:val="both"/>
              <w:rPr>
                <w:rFonts w:ascii="宋体" w:hAnsi="宋体" w:cs="宋体" w:eastAsia="宋体" w:hint="default"/>
                <w:sz w:val="18"/>
                <w:szCs w:val="18"/>
              </w:rPr>
            </w:pPr>
            <w:r>
              <w:rPr>
                <w:rFonts w:ascii="宋体" w:hAnsi="宋体" w:cs="宋体" w:eastAsia="宋体" w:hint="default"/>
                <w:sz w:val="18"/>
                <w:szCs w:val="18"/>
              </w:rPr>
              <w:t>《教育信息化</w:t>
            </w:r>
            <w:r>
              <w:rPr>
                <w:rFonts w:ascii="宋体" w:hAnsi="宋体" w:cs="宋体" w:eastAsia="宋体" w:hint="default"/>
                <w:spacing w:val="-60"/>
                <w:sz w:val="18"/>
                <w:szCs w:val="18"/>
              </w:rPr>
              <w:t> </w:t>
            </w:r>
            <w:r>
              <w:rPr>
                <w:rFonts w:ascii="宋体" w:hAnsi="宋体" w:cs="宋体" w:eastAsia="宋体" w:hint="default"/>
                <w:sz w:val="18"/>
                <w:szCs w:val="18"/>
              </w:rPr>
              <w:t>2.0</w:t>
            </w:r>
            <w:r>
              <w:rPr>
                <w:rFonts w:ascii="宋体" w:hAnsi="宋体" w:cs="宋体" w:eastAsia="宋体" w:hint="default"/>
                <w:spacing w:val="-60"/>
                <w:sz w:val="18"/>
                <w:szCs w:val="18"/>
              </w:rPr>
              <w:t> </w:t>
            </w:r>
            <w:r>
              <w:rPr>
                <w:rFonts w:ascii="宋体" w:hAnsi="宋体" w:cs="宋体" w:eastAsia="宋体" w:hint="default"/>
                <w:sz w:val="18"/>
                <w:szCs w:val="18"/>
              </w:rPr>
              <w:t>行 动</w:t>
            </w:r>
            <w:r>
              <w:rPr>
                <w:rFonts w:ascii="宋体" w:hAnsi="宋体" w:cs="宋体" w:eastAsia="宋体" w:hint="default"/>
                <w:spacing w:val="-21"/>
                <w:sz w:val="18"/>
                <w:szCs w:val="18"/>
              </w:rPr>
              <w:t> </w:t>
            </w:r>
            <w:r>
              <w:rPr>
                <w:rFonts w:ascii="宋体" w:hAnsi="宋体" w:cs="宋体" w:eastAsia="宋体" w:hint="default"/>
                <w:sz w:val="18"/>
                <w:szCs w:val="18"/>
              </w:rPr>
              <w:t>计</w:t>
            </w:r>
            <w:r>
              <w:rPr>
                <w:rFonts w:ascii="宋体" w:hAnsi="宋体" w:cs="宋体" w:eastAsia="宋体" w:hint="default"/>
                <w:spacing w:val="-21"/>
                <w:sz w:val="18"/>
                <w:szCs w:val="18"/>
              </w:rPr>
              <w:t> </w:t>
            </w:r>
            <w:r>
              <w:rPr>
                <w:rFonts w:ascii="宋体" w:hAnsi="宋体" w:cs="宋体" w:eastAsia="宋体" w:hint="default"/>
                <w:sz w:val="18"/>
                <w:szCs w:val="18"/>
              </w:rPr>
              <w:t>划</w:t>
            </w:r>
            <w:r>
              <w:rPr>
                <w:rFonts w:ascii="宋体" w:hAnsi="宋体" w:cs="宋体" w:eastAsia="宋体" w:hint="default"/>
                <w:spacing w:val="-21"/>
                <w:sz w:val="18"/>
                <w:szCs w:val="18"/>
              </w:rPr>
              <w:t> </w:t>
            </w:r>
            <w:r>
              <w:rPr>
                <w:rFonts w:ascii="宋体" w:hAnsi="宋体" w:cs="宋体" w:eastAsia="宋体" w:hint="default"/>
                <w:spacing w:val="-10"/>
                <w:sz w:val="18"/>
                <w:szCs w:val="18"/>
              </w:rPr>
              <w:t>》（</w:t>
            </w:r>
            <w:r>
              <w:rPr>
                <w:rFonts w:ascii="宋体" w:hAnsi="宋体" w:cs="宋体" w:eastAsia="宋体" w:hint="default"/>
                <w:spacing w:val="-20"/>
                <w:sz w:val="18"/>
                <w:szCs w:val="18"/>
              </w:rPr>
              <w:t> </w:t>
            </w:r>
            <w:r>
              <w:rPr>
                <w:rFonts w:ascii="宋体" w:hAnsi="宋体" w:cs="宋体" w:eastAsia="宋体" w:hint="default"/>
                <w:sz w:val="18"/>
                <w:szCs w:val="18"/>
              </w:rPr>
              <w:t>教</w:t>
            </w:r>
            <w:r>
              <w:rPr>
                <w:rFonts w:ascii="宋体" w:hAnsi="宋体" w:cs="宋体" w:eastAsia="宋体" w:hint="default"/>
                <w:spacing w:val="-21"/>
                <w:sz w:val="18"/>
                <w:szCs w:val="18"/>
              </w:rPr>
              <w:t> </w:t>
            </w:r>
            <w:r>
              <w:rPr>
                <w:rFonts w:ascii="宋体" w:hAnsi="宋体" w:cs="宋体" w:eastAsia="宋体" w:hint="default"/>
                <w:sz w:val="18"/>
                <w:szCs w:val="18"/>
              </w:rPr>
              <w:t>技</w:t>
            </w:r>
            <w:r>
              <w:rPr>
                <w:rFonts w:ascii="宋体" w:hAnsi="宋体" w:cs="宋体" w:eastAsia="宋体" w:hint="default"/>
                <w:sz w:val="18"/>
                <w:szCs w:val="18"/>
              </w:rPr>
              <w:t> </w:t>
            </w:r>
            <w:r>
              <w:rPr>
                <w:rFonts w:ascii="宋体" w:hAnsi="宋体" w:cs="宋体" w:eastAsia="宋体" w:hint="default"/>
                <w:sz w:val="18"/>
                <w:szCs w:val="18"/>
              </w:rPr>
              <w:t>[2018]6</w:t>
            </w:r>
            <w:r>
              <w:rPr>
                <w:rFonts w:ascii="宋体" w:hAnsi="宋体" w:cs="宋体" w:eastAsia="宋体" w:hint="default"/>
                <w:spacing w:val="-46"/>
                <w:sz w:val="18"/>
                <w:szCs w:val="18"/>
              </w:rPr>
              <w:t> </w:t>
            </w:r>
            <w:r>
              <w:rPr>
                <w:rFonts w:ascii="宋体" w:hAnsi="宋体" w:cs="宋体" w:eastAsia="宋体" w:hint="default"/>
                <w:sz w:val="18"/>
                <w:szCs w:val="18"/>
              </w:rPr>
              <w:t>号）</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教育部</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48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7"/>
              <w:ind w:left="103" w:right="101"/>
              <w:jc w:val="both"/>
              <w:rPr>
                <w:rFonts w:ascii="宋体" w:hAnsi="宋体" w:cs="宋体" w:eastAsia="宋体" w:hint="default"/>
                <w:sz w:val="18"/>
                <w:szCs w:val="18"/>
              </w:rPr>
            </w:pPr>
            <w:r>
              <w:rPr>
                <w:rFonts w:ascii="宋体" w:hAnsi="宋体" w:cs="宋体" w:eastAsia="宋体" w:hint="default"/>
                <w:sz w:val="18"/>
                <w:szCs w:val="18"/>
              </w:rPr>
              <w:t>到 </w:t>
            </w:r>
            <w:r>
              <w:rPr>
                <w:rFonts w:ascii="宋体" w:hAnsi="宋体" w:cs="宋体" w:eastAsia="宋体" w:hint="default"/>
                <w:sz w:val="18"/>
                <w:szCs w:val="18"/>
              </w:rPr>
              <w:t>2022</w:t>
            </w:r>
            <w:r>
              <w:rPr>
                <w:rFonts w:ascii="宋体" w:hAnsi="宋体" w:cs="宋体" w:eastAsia="宋体" w:hint="default"/>
                <w:spacing w:val="-30"/>
                <w:sz w:val="18"/>
                <w:szCs w:val="18"/>
              </w:rPr>
              <w:t> </w:t>
            </w:r>
            <w:r>
              <w:rPr>
                <w:rFonts w:ascii="宋体" w:hAnsi="宋体" w:cs="宋体" w:eastAsia="宋体" w:hint="default"/>
                <w:sz w:val="18"/>
                <w:szCs w:val="18"/>
              </w:rPr>
              <w:t>年基本实现“三全两高一大”的发展目标，继续推 </w:t>
            </w:r>
            <w:r>
              <w:rPr>
                <w:rFonts w:ascii="宋体" w:hAnsi="宋体" w:cs="宋体" w:eastAsia="宋体" w:hint="default"/>
                <w:spacing w:val="-2"/>
                <w:sz w:val="18"/>
                <w:szCs w:val="18"/>
              </w:rPr>
              <w:t>进“三通两平台”，所有学校全部接入互联网，构建一体化</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2"/>
                <w:sz w:val="18"/>
                <w:szCs w:val="18"/>
              </w:rPr>
              <w:t>的“互联网</w:t>
            </w:r>
            <w:r>
              <w:rPr>
                <w:rFonts w:ascii="宋体" w:hAnsi="宋体" w:cs="宋体" w:eastAsia="宋体" w:hint="default"/>
                <w:spacing w:val="2"/>
                <w:sz w:val="18"/>
                <w:szCs w:val="18"/>
              </w:rPr>
              <w:t>+</w:t>
            </w:r>
            <w:r>
              <w:rPr>
                <w:rFonts w:ascii="宋体" w:hAnsi="宋体" w:cs="宋体" w:eastAsia="宋体" w:hint="default"/>
                <w:spacing w:val="2"/>
                <w:sz w:val="18"/>
                <w:szCs w:val="18"/>
              </w:rPr>
              <w:t>教育”大平台，逐步实现资源平台的互通，普</w:t>
            </w:r>
            <w:r>
              <w:rPr>
                <w:rFonts w:ascii="宋体" w:hAnsi="宋体" w:cs="宋体" w:eastAsia="宋体" w:hint="default"/>
                <w:sz w:val="18"/>
                <w:szCs w:val="18"/>
              </w:rPr>
              <w:t> </w:t>
            </w:r>
            <w:r>
              <w:rPr>
                <w:rFonts w:ascii="宋体" w:hAnsi="宋体" w:cs="宋体" w:eastAsia="宋体" w:hint="default"/>
                <w:spacing w:val="-2"/>
                <w:sz w:val="18"/>
                <w:szCs w:val="18"/>
              </w:rPr>
              <w:t>及推广网络学习空间应用，组织师生利用网络空间开展教学</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和学习。</w:t>
            </w:r>
          </w:p>
        </w:tc>
      </w:tr>
      <w:tr>
        <w:trPr>
          <w:trHeight w:val="1338"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sz w:val="18"/>
              </w:rPr>
              <w:t>2</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8"/>
              <w:ind w:left="103" w:right="71"/>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68"/>
                <w:sz w:val="18"/>
                <w:szCs w:val="18"/>
              </w:rPr>
              <w:t> </w:t>
            </w:r>
            <w:r>
              <w:rPr>
                <w:rFonts w:ascii="宋体" w:hAnsi="宋体" w:cs="宋体" w:eastAsia="宋体" w:hint="default"/>
                <w:spacing w:val="17"/>
                <w:sz w:val="18"/>
                <w:szCs w:val="18"/>
              </w:rPr>
              <w:t>教师教育振兴行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
                <w:sz w:val="18"/>
                <w:szCs w:val="18"/>
              </w:rPr>
              <w:t>动计划（</w:t>
            </w:r>
            <w:r>
              <w:rPr>
                <w:rFonts w:ascii="宋体" w:hAnsi="宋体" w:cs="宋体" w:eastAsia="宋体" w:hint="default"/>
                <w:spacing w:val="4"/>
                <w:sz w:val="18"/>
                <w:szCs w:val="18"/>
              </w:rPr>
              <w:t>2018-2022</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5"/>
                <w:sz w:val="18"/>
                <w:szCs w:val="18"/>
              </w:rPr>
              <w:t>年）》（教师〔</w:t>
            </w:r>
            <w:r>
              <w:rPr>
                <w:rFonts w:ascii="宋体" w:hAnsi="宋体" w:cs="宋体" w:eastAsia="宋体" w:hint="default"/>
                <w:spacing w:val="-15"/>
                <w:sz w:val="18"/>
                <w:szCs w:val="18"/>
              </w:rPr>
              <w:t>2018</w:t>
            </w:r>
            <w:r>
              <w:rPr>
                <w:rFonts w:ascii="宋体" w:hAnsi="宋体" w:cs="宋体" w:eastAsia="宋体" w:hint="default"/>
                <w:spacing w:val="-15"/>
                <w:sz w:val="18"/>
                <w:szCs w:val="18"/>
              </w:rPr>
              <w:t>〕</w:t>
            </w:r>
            <w:r>
              <w:rPr>
                <w:rFonts w:ascii="宋体" w:hAnsi="宋体" w:cs="宋体" w:eastAsia="宋体" w:hint="default"/>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号）</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103" w:right="11"/>
              <w:jc w:val="left"/>
              <w:rPr>
                <w:rFonts w:ascii="宋体" w:hAnsi="宋体" w:cs="宋体" w:eastAsia="宋体" w:hint="default"/>
                <w:sz w:val="18"/>
                <w:szCs w:val="18"/>
              </w:rPr>
            </w:pPr>
            <w:r>
              <w:rPr>
                <w:rFonts w:ascii="宋体" w:hAnsi="宋体" w:cs="宋体" w:eastAsia="宋体" w:hint="default"/>
                <w:spacing w:val="4"/>
                <w:sz w:val="18"/>
                <w:szCs w:val="18"/>
              </w:rPr>
              <w:t>教育部、国 家发展改革 </w:t>
            </w:r>
            <w:r>
              <w:rPr>
                <w:rFonts w:ascii="宋体" w:hAnsi="宋体" w:cs="宋体" w:eastAsia="宋体" w:hint="default"/>
                <w:spacing w:val="-12"/>
                <w:sz w:val="18"/>
                <w:szCs w:val="18"/>
              </w:rPr>
              <w:t>委、财政部、</w:t>
            </w:r>
            <w:r>
              <w:rPr>
                <w:rFonts w:ascii="宋体" w:hAnsi="宋体" w:cs="宋体" w:eastAsia="宋体" w:hint="default"/>
                <w:sz w:val="18"/>
                <w:szCs w:val="18"/>
              </w:rPr>
              <w:t> </w:t>
            </w:r>
            <w:r>
              <w:rPr>
                <w:rFonts w:ascii="宋体" w:hAnsi="宋体" w:cs="宋体" w:eastAsia="宋体" w:hint="default"/>
                <w:spacing w:val="4"/>
                <w:sz w:val="18"/>
                <w:szCs w:val="18"/>
              </w:rPr>
              <w:t>人力资源社</w:t>
            </w:r>
            <w:r>
              <w:rPr>
                <w:rFonts w:ascii="宋体" w:hAnsi="宋体" w:cs="宋体" w:eastAsia="宋体" w:hint="default"/>
                <w:sz w:val="18"/>
                <w:szCs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48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8"/>
              <w:ind w:left="103" w:right="102"/>
              <w:jc w:val="both"/>
              <w:rPr>
                <w:rFonts w:ascii="宋体" w:hAnsi="宋体" w:cs="宋体" w:eastAsia="宋体" w:hint="default"/>
                <w:sz w:val="18"/>
                <w:szCs w:val="18"/>
              </w:rPr>
            </w:pPr>
            <w:r>
              <w:rPr>
                <w:rFonts w:ascii="宋体" w:hAnsi="宋体" w:cs="宋体" w:eastAsia="宋体" w:hint="default"/>
                <w:spacing w:val="2"/>
                <w:sz w:val="18"/>
                <w:szCs w:val="18"/>
              </w:rPr>
              <w:t>针对“互联网</w:t>
            </w:r>
            <w:r>
              <w:rPr>
                <w:rFonts w:ascii="宋体" w:hAnsi="宋体" w:cs="宋体" w:eastAsia="宋体" w:hint="default"/>
                <w:spacing w:val="2"/>
                <w:sz w:val="18"/>
                <w:szCs w:val="18"/>
              </w:rPr>
              <w:t>+</w:t>
            </w:r>
            <w:r>
              <w:rPr>
                <w:rFonts w:ascii="宋体" w:hAnsi="宋体" w:cs="宋体" w:eastAsia="宋体" w:hint="default"/>
                <w:spacing w:val="2"/>
                <w:sz w:val="18"/>
                <w:szCs w:val="18"/>
              </w:rPr>
              <w:t>教师教育”创新行动，充分利用云计算、大</w:t>
            </w:r>
            <w:r>
              <w:rPr>
                <w:rFonts w:ascii="宋体" w:hAnsi="宋体" w:cs="宋体" w:eastAsia="宋体" w:hint="default"/>
                <w:sz w:val="18"/>
                <w:szCs w:val="18"/>
              </w:rPr>
              <w:t> </w:t>
            </w:r>
            <w:r>
              <w:rPr>
                <w:rFonts w:ascii="宋体" w:hAnsi="宋体" w:cs="宋体" w:eastAsia="宋体" w:hint="default"/>
                <w:spacing w:val="-2"/>
                <w:sz w:val="18"/>
                <w:szCs w:val="18"/>
              </w:rPr>
              <w:t>数据、虚拟现实、人工智能等新技术，推进教师教育信息化</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教学服务平台建设和应用，推动以自主、合作、探究为主要</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特征的教学方式变革。</w:t>
            </w:r>
          </w:p>
        </w:tc>
      </w:tr>
    </w:tbl>
    <w:p>
      <w:pPr>
        <w:spacing w:after="0" w:line="319"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212" w:type="dxa"/>
        <w:tblLayout w:type="fixed"/>
        <w:tblCellMar>
          <w:top w:w="0" w:type="dxa"/>
          <w:left w:w="0" w:type="dxa"/>
          <w:bottom w:w="0" w:type="dxa"/>
          <w:right w:w="0" w:type="dxa"/>
        </w:tblCellMar>
        <w:tblLook w:val="01E0"/>
      </w:tblPr>
      <w:tblGrid>
        <w:gridCol w:w="708"/>
        <w:gridCol w:w="1806"/>
        <w:gridCol w:w="1134"/>
        <w:gridCol w:w="994"/>
        <w:gridCol w:w="4869"/>
      </w:tblGrid>
      <w:tr>
        <w:trPr>
          <w:trHeight w:val="402" w:hRule="exact"/>
        </w:trPr>
        <w:tc>
          <w:tcPr>
            <w:tcW w:w="70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180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536" w:right="0"/>
              <w:jc w:val="left"/>
              <w:rPr>
                <w:rFonts w:ascii="宋体" w:hAnsi="宋体" w:cs="宋体" w:eastAsia="宋体" w:hint="default"/>
                <w:sz w:val="18"/>
                <w:szCs w:val="18"/>
              </w:rPr>
            </w:pPr>
            <w:r>
              <w:rPr>
                <w:rFonts w:ascii="宋体" w:hAnsi="宋体" w:cs="宋体" w:eastAsia="宋体" w:hint="default"/>
                <w:b/>
                <w:bCs/>
                <w:sz w:val="18"/>
                <w:szCs w:val="18"/>
              </w:rPr>
              <w:t>政策名称</w:t>
            </w:r>
            <w:r>
              <w:rPr>
                <w:rFonts w:ascii="宋体" w:hAnsi="宋体" w:cs="宋体" w:eastAsia="宋体" w:hint="default"/>
                <w:sz w:val="18"/>
                <w:szCs w:val="18"/>
              </w:rPr>
            </w: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b/>
                <w:bCs/>
                <w:sz w:val="18"/>
                <w:szCs w:val="18"/>
              </w:rPr>
              <w:t>颁布部门</w:t>
            </w:r>
            <w:r>
              <w:rPr>
                <w:rFonts w:ascii="宋体" w:hAnsi="宋体" w:cs="宋体" w:eastAsia="宋体" w:hint="default"/>
                <w:sz w:val="18"/>
                <w:szCs w:val="18"/>
              </w:rPr>
            </w:r>
          </w:p>
        </w:tc>
        <w:tc>
          <w:tcPr>
            <w:tcW w:w="9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颁布时间</w:t>
            </w:r>
            <w:r>
              <w:rPr>
                <w:rFonts w:ascii="宋体" w:hAnsi="宋体" w:cs="宋体" w:eastAsia="宋体" w:hint="default"/>
                <w:sz w:val="18"/>
                <w:szCs w:val="18"/>
              </w:rPr>
            </w:r>
          </w:p>
        </w:tc>
        <w:tc>
          <w:tcPr>
            <w:tcW w:w="48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b/>
                <w:bCs/>
                <w:sz w:val="18"/>
                <w:szCs w:val="18"/>
              </w:rPr>
              <w:t>与行业相关内容</w:t>
            </w:r>
            <w:r>
              <w:rPr>
                <w:rFonts w:ascii="宋体" w:hAnsi="宋体" w:cs="宋体" w:eastAsia="宋体" w:hint="default"/>
                <w:sz w:val="18"/>
                <w:szCs w:val="18"/>
              </w:rPr>
            </w:r>
          </w:p>
        </w:tc>
      </w:tr>
      <w:tr>
        <w:trPr>
          <w:trHeight w:val="674" w:hRule="exact"/>
        </w:trPr>
        <w:tc>
          <w:tcPr>
            <w:tcW w:w="708" w:type="dxa"/>
            <w:tcBorders>
              <w:top w:val="single" w:sz="4" w:space="0" w:color="000000"/>
              <w:left w:val="single" w:sz="4" w:space="0" w:color="000000"/>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3" w:right="95"/>
              <w:jc w:val="left"/>
              <w:rPr>
                <w:rFonts w:ascii="宋体" w:hAnsi="宋体" w:cs="宋体" w:eastAsia="宋体" w:hint="default"/>
                <w:sz w:val="18"/>
                <w:szCs w:val="18"/>
              </w:rPr>
            </w:pPr>
            <w:r>
              <w:rPr>
                <w:rFonts w:ascii="宋体" w:hAnsi="宋体" w:cs="宋体" w:eastAsia="宋体" w:hint="default"/>
                <w:spacing w:val="4"/>
                <w:sz w:val="18"/>
                <w:szCs w:val="18"/>
              </w:rPr>
              <w:t>会保障部、 </w:t>
            </w:r>
            <w:r>
              <w:rPr>
                <w:rFonts w:ascii="宋体" w:hAnsi="宋体" w:cs="宋体" w:eastAsia="宋体" w:hint="default"/>
                <w:sz w:val="18"/>
                <w:szCs w:val="18"/>
              </w:rPr>
              <w:t>中央编办</w:t>
            </w:r>
          </w:p>
        </w:tc>
        <w:tc>
          <w:tcPr>
            <w:tcW w:w="994" w:type="dxa"/>
            <w:tcBorders>
              <w:top w:val="single" w:sz="4" w:space="0" w:color="000000"/>
              <w:left w:val="single" w:sz="4" w:space="0" w:color="000000"/>
              <w:bottom w:val="single" w:sz="4" w:space="0" w:color="000000"/>
              <w:right w:val="single" w:sz="4" w:space="0" w:color="000000"/>
            </w:tcBorders>
          </w:tcPr>
          <w:p>
            <w:pPr/>
          </w:p>
        </w:tc>
        <w:tc>
          <w:tcPr>
            <w:tcW w:w="4869"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宋体"/>
                <w:sz w:val="18"/>
              </w:rPr>
              <w:t>3</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1"/>
              <w:jc w:val="both"/>
              <w:rPr>
                <w:rFonts w:ascii="宋体" w:hAnsi="宋体" w:cs="宋体" w:eastAsia="宋体" w:hint="default"/>
                <w:sz w:val="18"/>
                <w:szCs w:val="18"/>
              </w:rPr>
            </w:pPr>
            <w:r>
              <w:rPr>
                <w:rFonts w:ascii="宋体" w:hAnsi="宋体" w:cs="宋体" w:eastAsia="宋体" w:hint="default"/>
                <w:spacing w:val="6"/>
                <w:sz w:val="18"/>
                <w:szCs w:val="18"/>
              </w:rPr>
              <w:t>《教育部关于颁布</w:t>
            </w:r>
            <w:r>
              <w:rPr>
                <w:rFonts w:ascii="宋体" w:hAnsi="宋体" w:cs="宋体" w:eastAsia="宋体" w:hint="default"/>
                <w:spacing w:val="6"/>
                <w:sz w:val="18"/>
                <w:szCs w:val="18"/>
              </w:rPr>
              <w:t>&lt;</w:t>
            </w:r>
            <w:r>
              <w:rPr>
                <w:rFonts w:ascii="宋体" w:hAnsi="宋体" w:cs="宋体" w:eastAsia="宋体" w:hint="default"/>
                <w:spacing w:val="-87"/>
                <w:sz w:val="18"/>
                <w:szCs w:val="18"/>
              </w:rPr>
              <w:t> </w:t>
            </w:r>
            <w:r>
              <w:rPr>
                <w:rFonts w:ascii="宋体" w:hAnsi="宋体" w:cs="宋体" w:eastAsia="宋体" w:hint="default"/>
                <w:spacing w:val="18"/>
                <w:sz w:val="18"/>
                <w:szCs w:val="18"/>
              </w:rPr>
              <w:t>中小学数字校园建</w:t>
            </w:r>
            <w:r>
              <w:rPr>
                <w:rFonts w:ascii="宋体" w:hAnsi="宋体" w:cs="宋体" w:eastAsia="宋体" w:hint="default"/>
                <w:sz w:val="18"/>
                <w:szCs w:val="18"/>
              </w:rPr>
              <w:t> </w:t>
            </w:r>
            <w:r>
              <w:rPr>
                <w:rFonts w:ascii="宋体" w:hAnsi="宋体" w:cs="宋体" w:eastAsia="宋体" w:hint="default"/>
                <w:spacing w:val="6"/>
                <w:sz w:val="18"/>
                <w:szCs w:val="18"/>
              </w:rPr>
              <w:t>设规范（试行）</w:t>
            </w:r>
            <w:r>
              <w:rPr>
                <w:rFonts w:ascii="宋体" w:hAnsi="宋体" w:cs="宋体" w:eastAsia="宋体" w:hint="default"/>
                <w:spacing w:val="6"/>
                <w:sz w:val="18"/>
                <w:szCs w:val="18"/>
              </w:rPr>
              <w:t>&gt;</w:t>
            </w:r>
            <w:r>
              <w:rPr>
                <w:rFonts w:ascii="宋体" w:hAnsi="宋体" w:cs="宋体" w:eastAsia="宋体" w:hint="default"/>
                <w:spacing w:val="6"/>
                <w:sz w:val="18"/>
                <w:szCs w:val="18"/>
              </w:rPr>
              <w:t>的</w:t>
            </w:r>
            <w:r>
              <w:rPr>
                <w:rFonts w:ascii="宋体" w:hAnsi="宋体" w:cs="宋体" w:eastAsia="宋体" w:hint="default"/>
                <w:spacing w:val="-87"/>
                <w:sz w:val="18"/>
                <w:szCs w:val="18"/>
              </w:rPr>
              <w:t> </w:t>
            </w:r>
            <w:r>
              <w:rPr>
                <w:rFonts w:ascii="宋体" w:hAnsi="宋体" w:cs="宋体" w:eastAsia="宋体" w:hint="default"/>
                <w:spacing w:val="-10"/>
                <w:sz w:val="18"/>
                <w:szCs w:val="18"/>
              </w:rPr>
              <w:t>通知》（教技</w:t>
            </w:r>
            <w:r>
              <w:rPr>
                <w:rFonts w:ascii="宋体" w:hAnsi="宋体" w:cs="宋体" w:eastAsia="宋体" w:hint="default"/>
                <w:spacing w:val="-10"/>
                <w:sz w:val="18"/>
                <w:szCs w:val="18"/>
              </w:rPr>
              <w:t>[2018]5</w:t>
            </w:r>
            <w:r>
              <w:rPr>
                <w:rFonts w:ascii="宋体" w:hAnsi="宋体" w:cs="宋体" w:eastAsia="宋体" w:hint="default"/>
                <w:spacing w:val="-81"/>
                <w:sz w:val="18"/>
                <w:szCs w:val="18"/>
              </w:rPr>
              <w:t> </w:t>
            </w:r>
            <w:r>
              <w:rPr>
                <w:rFonts w:ascii="宋体" w:hAnsi="宋体" w:cs="宋体" w:eastAsia="宋体" w:hint="default"/>
                <w:sz w:val="18"/>
                <w:szCs w:val="18"/>
              </w:rPr>
              <w:t>号）</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教育部</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4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103" w:right="10"/>
              <w:jc w:val="left"/>
              <w:rPr>
                <w:rFonts w:ascii="宋体" w:hAnsi="宋体" w:cs="宋体" w:eastAsia="宋体" w:hint="default"/>
                <w:sz w:val="18"/>
                <w:szCs w:val="18"/>
              </w:rPr>
            </w:pPr>
            <w:r>
              <w:rPr>
                <w:rFonts w:ascii="宋体" w:hAnsi="宋体" w:cs="宋体" w:eastAsia="宋体" w:hint="default"/>
                <w:sz w:val="18"/>
                <w:szCs w:val="18"/>
              </w:rPr>
              <w:t>推动中小学数字校园建设与应用的指导性文件，对各地中小 学校数字校园建设提出了建设的总目标和总原则。提出“四 </w:t>
            </w:r>
            <w:r>
              <w:rPr>
                <w:rFonts w:ascii="宋体" w:hAnsi="宋体" w:cs="宋体" w:eastAsia="宋体" w:hint="default"/>
                <w:spacing w:val="-5"/>
                <w:sz w:val="18"/>
                <w:szCs w:val="18"/>
              </w:rPr>
              <w:t>个建设目标”，即实现校园环境数字化、信息系统互联互通、</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用户信息素养提升、学习方式和教育教学模式创新。</w:t>
            </w:r>
          </w:p>
        </w:tc>
      </w:tr>
      <w:tr>
        <w:trPr>
          <w:trHeight w:val="1962"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sz w:val="18"/>
              </w:rPr>
              <w:t>4</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68"/>
                <w:sz w:val="18"/>
                <w:szCs w:val="18"/>
              </w:rPr>
              <w:t> </w:t>
            </w:r>
            <w:r>
              <w:rPr>
                <w:rFonts w:ascii="宋体" w:hAnsi="宋体" w:cs="宋体" w:eastAsia="宋体" w:hint="default"/>
                <w:spacing w:val="17"/>
                <w:sz w:val="18"/>
                <w:szCs w:val="18"/>
              </w:rPr>
              <w:t>教育部办公厅关</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于印发</w:t>
            </w:r>
            <w:r>
              <w:rPr>
                <w:rFonts w:ascii="宋体" w:hAnsi="宋体" w:cs="宋体" w:eastAsia="宋体" w:hint="default"/>
                <w:sz w:val="18"/>
                <w:szCs w:val="18"/>
              </w:rPr>
              <w:t>&lt;2018</w:t>
            </w:r>
            <w:r>
              <w:rPr>
                <w:rFonts w:ascii="宋体" w:hAnsi="宋体" w:cs="宋体" w:eastAsia="宋体" w:hint="default"/>
                <w:spacing w:val="-30"/>
                <w:sz w:val="18"/>
                <w:szCs w:val="18"/>
              </w:rPr>
              <w:t> </w:t>
            </w:r>
            <w:r>
              <w:rPr>
                <w:rFonts w:ascii="宋体" w:hAnsi="宋体" w:cs="宋体" w:eastAsia="宋体" w:hint="default"/>
                <w:sz w:val="18"/>
                <w:szCs w:val="18"/>
              </w:rPr>
              <w:t>年教育 </w:t>
            </w:r>
            <w:r>
              <w:rPr>
                <w:rFonts w:ascii="宋体" w:hAnsi="宋体" w:cs="宋体" w:eastAsia="宋体" w:hint="default"/>
                <w:spacing w:val="18"/>
                <w:sz w:val="18"/>
                <w:szCs w:val="18"/>
              </w:rPr>
              <w:t>信息化和网络安全</w:t>
            </w:r>
            <w:r>
              <w:rPr>
                <w:rFonts w:ascii="宋体" w:hAnsi="宋体" w:cs="宋体" w:eastAsia="宋体" w:hint="default"/>
                <w:sz w:val="18"/>
                <w:szCs w:val="18"/>
              </w:rPr>
              <w:t> </w:t>
            </w:r>
            <w:r>
              <w:rPr>
                <w:rFonts w:ascii="宋体" w:hAnsi="宋体" w:cs="宋体" w:eastAsia="宋体" w:hint="default"/>
                <w:spacing w:val="14"/>
                <w:sz w:val="18"/>
                <w:szCs w:val="18"/>
              </w:rPr>
              <w:t>工作要点</w:t>
            </w:r>
            <w:r>
              <w:rPr>
                <w:rFonts w:ascii="宋体" w:hAnsi="宋体" w:cs="宋体" w:eastAsia="宋体" w:hint="default"/>
                <w:spacing w:val="14"/>
                <w:sz w:val="18"/>
                <w:szCs w:val="18"/>
              </w:rPr>
              <w:t>&gt;</w:t>
            </w:r>
            <w:r>
              <w:rPr>
                <w:rFonts w:ascii="宋体" w:hAnsi="宋体" w:cs="宋体" w:eastAsia="宋体" w:hint="default"/>
                <w:spacing w:val="-65"/>
                <w:sz w:val="18"/>
                <w:szCs w:val="18"/>
              </w:rPr>
              <w:t> </w:t>
            </w:r>
            <w:r>
              <w:rPr>
                <w:rFonts w:ascii="宋体" w:hAnsi="宋体" w:cs="宋体" w:eastAsia="宋体" w:hint="default"/>
                <w:spacing w:val="13"/>
                <w:sz w:val="18"/>
                <w:szCs w:val="18"/>
              </w:rPr>
              <w:t>的通知》</w:t>
            </w:r>
          </w:p>
          <w:p>
            <w:pPr>
              <w:pStyle w:val="TableParagraph"/>
              <w:spacing w:line="319" w:lineRule="auto" w:before="19"/>
              <w:ind w:left="103" w:right="101"/>
              <w:jc w:val="both"/>
              <w:rPr>
                <w:rFonts w:ascii="宋体" w:hAnsi="宋体" w:cs="宋体" w:eastAsia="宋体" w:hint="default"/>
                <w:sz w:val="18"/>
                <w:szCs w:val="18"/>
              </w:rPr>
            </w:pPr>
            <w:r>
              <w:rPr>
                <w:rFonts w:ascii="宋体" w:hAnsi="宋体" w:cs="宋体" w:eastAsia="宋体" w:hint="default"/>
                <w:spacing w:val="45"/>
                <w:sz w:val="18"/>
                <w:szCs w:val="18"/>
              </w:rPr>
              <w:t>（教技厅</w:t>
            </w:r>
            <w:r>
              <w:rPr>
                <w:rFonts w:ascii="宋体" w:hAnsi="宋体" w:cs="宋体" w:eastAsia="宋体" w:hint="default"/>
                <w:spacing w:val="-30"/>
                <w:sz w:val="18"/>
                <w:szCs w:val="18"/>
              </w:rPr>
              <w:t> </w:t>
            </w:r>
            <w:r>
              <w:rPr>
                <w:rFonts w:ascii="宋体" w:hAnsi="宋体" w:cs="宋体" w:eastAsia="宋体" w:hint="default"/>
                <w:sz w:val="18"/>
                <w:szCs w:val="18"/>
              </w:rPr>
              <w:t>[2018]1 </w:t>
            </w:r>
            <w:r>
              <w:rPr>
                <w:rFonts w:ascii="宋体" w:hAnsi="宋体" w:cs="宋体" w:eastAsia="宋体" w:hint="default"/>
                <w:sz w:val="18"/>
                <w:szCs w:val="18"/>
              </w:rPr>
              <w:t>号）</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教育部</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4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100"/>
              <w:jc w:val="both"/>
              <w:rPr>
                <w:rFonts w:ascii="宋体" w:hAnsi="宋体" w:cs="宋体" w:eastAsia="宋体" w:hint="default"/>
                <w:sz w:val="18"/>
                <w:szCs w:val="18"/>
              </w:rPr>
            </w:pPr>
            <w:r>
              <w:rPr>
                <w:rFonts w:ascii="宋体" w:hAnsi="宋体" w:cs="宋体" w:eastAsia="宋体" w:hint="default"/>
                <w:spacing w:val="-2"/>
                <w:sz w:val="18"/>
                <w:szCs w:val="18"/>
              </w:rPr>
              <w:t>围绕解决教育改革发展的重大问题，以促进教育公平、提高</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5"/>
                <w:sz w:val="18"/>
                <w:szCs w:val="18"/>
              </w:rPr>
              <w:t>教育质量为重点，发展“互联网</w:t>
            </w:r>
            <w:r>
              <w:rPr>
                <w:rFonts w:ascii="宋体" w:hAnsi="宋体" w:cs="宋体" w:eastAsia="宋体" w:hint="default"/>
                <w:spacing w:val="-5"/>
                <w:sz w:val="18"/>
                <w:szCs w:val="18"/>
              </w:rPr>
              <w:t>+</w:t>
            </w:r>
            <w:r>
              <w:rPr>
                <w:rFonts w:ascii="宋体" w:hAnsi="宋体" w:cs="宋体" w:eastAsia="宋体" w:hint="default"/>
                <w:spacing w:val="-5"/>
                <w:sz w:val="18"/>
                <w:szCs w:val="18"/>
              </w:rPr>
              <w:t>教育”，实现教育信息化的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转段升级。要求完善教育信息化基础环境建设，充分发挥地</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方与学校的积极性与主动性，引导各级各类学校结合实际特</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色发展，开展数字校园、智慧校园建设与应用。</w:t>
            </w:r>
          </w:p>
        </w:tc>
      </w:tr>
      <w:tr>
        <w:trPr>
          <w:trHeight w:val="1650"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宋体"/>
                <w:sz w:val="18"/>
              </w:rPr>
              <w:t>5</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3" w:right="101"/>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2018</w:t>
            </w:r>
            <w:r>
              <w:rPr>
                <w:rFonts w:ascii="宋体" w:hAnsi="宋体" w:cs="宋体" w:eastAsia="宋体" w:hint="default"/>
                <w:spacing w:val="19"/>
                <w:sz w:val="18"/>
                <w:szCs w:val="18"/>
              </w:rPr>
              <w:t> </w:t>
            </w:r>
            <w:r>
              <w:rPr>
                <w:rFonts w:ascii="宋体" w:hAnsi="宋体" w:cs="宋体" w:eastAsia="宋体" w:hint="default"/>
                <w:spacing w:val="7"/>
                <w:sz w:val="18"/>
                <w:szCs w:val="18"/>
              </w:rPr>
              <w:t>年教育工作</w:t>
            </w:r>
            <w:r>
              <w:rPr>
                <w:rFonts w:ascii="宋体" w:hAnsi="宋体" w:cs="宋体" w:eastAsia="宋体" w:hint="default"/>
                <w:sz w:val="18"/>
                <w:szCs w:val="18"/>
              </w:rPr>
              <w:t> </w:t>
            </w:r>
            <w:r>
              <w:rPr>
                <w:rFonts w:ascii="宋体" w:hAnsi="宋体" w:cs="宋体" w:eastAsia="宋体" w:hint="default"/>
                <w:spacing w:val="-4"/>
                <w:sz w:val="18"/>
                <w:szCs w:val="18"/>
              </w:rPr>
              <w:t>总体要求》（教政法</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[2018]1</w:t>
            </w:r>
            <w:r>
              <w:rPr>
                <w:rFonts w:ascii="宋体" w:hAnsi="宋体" w:cs="宋体" w:eastAsia="宋体" w:hint="default"/>
                <w:spacing w:val="-46"/>
                <w:sz w:val="18"/>
                <w:szCs w:val="18"/>
              </w:rPr>
              <w:t> </w:t>
            </w:r>
            <w:r>
              <w:rPr>
                <w:rFonts w:ascii="宋体" w:hAnsi="宋体" w:cs="宋体" w:eastAsia="宋体" w:hint="default"/>
                <w:sz w:val="18"/>
                <w:szCs w:val="18"/>
              </w:rPr>
              <w:t>号）</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教育部</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48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73"/>
              <w:jc w:val="both"/>
              <w:rPr>
                <w:rFonts w:ascii="宋体" w:hAnsi="宋体" w:cs="宋体" w:eastAsia="宋体" w:hint="default"/>
                <w:sz w:val="18"/>
                <w:szCs w:val="18"/>
              </w:rPr>
            </w:pPr>
            <w:r>
              <w:rPr>
                <w:rFonts w:ascii="宋体" w:hAnsi="宋体" w:cs="宋体" w:eastAsia="宋体" w:hint="default"/>
                <w:sz w:val="18"/>
                <w:szCs w:val="18"/>
              </w:rPr>
              <w:t>要求深入推进教育信息化。启动教育信息化</w:t>
            </w:r>
            <w:r>
              <w:rPr>
                <w:rFonts w:ascii="宋体" w:hAnsi="宋体" w:cs="宋体" w:eastAsia="宋体" w:hint="default"/>
                <w:spacing w:val="-46"/>
                <w:sz w:val="18"/>
                <w:szCs w:val="18"/>
              </w:rPr>
              <w:t> </w:t>
            </w:r>
            <w:r>
              <w:rPr>
                <w:rFonts w:ascii="宋体" w:hAnsi="宋体" w:cs="宋体" w:eastAsia="宋体" w:hint="default"/>
                <w:sz w:val="18"/>
                <w:szCs w:val="18"/>
              </w:rPr>
              <w:t>2.0</w:t>
            </w:r>
            <w:r>
              <w:rPr>
                <w:rFonts w:ascii="宋体" w:hAnsi="宋体" w:cs="宋体" w:eastAsia="宋体" w:hint="default"/>
                <w:spacing w:val="-46"/>
                <w:sz w:val="18"/>
                <w:szCs w:val="18"/>
              </w:rPr>
              <w:t> </w:t>
            </w:r>
            <w:r>
              <w:rPr>
                <w:rFonts w:ascii="宋体" w:hAnsi="宋体" w:cs="宋体" w:eastAsia="宋体" w:hint="default"/>
                <w:sz w:val="18"/>
                <w:szCs w:val="18"/>
              </w:rPr>
              <w:t>行动计划， </w:t>
            </w:r>
            <w:r>
              <w:rPr>
                <w:rFonts w:ascii="宋体" w:hAnsi="宋体" w:cs="宋体" w:eastAsia="宋体" w:hint="default"/>
                <w:spacing w:val="-2"/>
                <w:sz w:val="18"/>
                <w:szCs w:val="18"/>
              </w:rPr>
              <w:t>实施宽带卫星联校试点行动、大教育资源共享计划、百区千</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校万课信息化示范工程、网络扶智工程，推进智慧教育创新</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示范，普及推广网络学习空间应用。加强基础教育信息化顶</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层设计，更好服务师生和教育管理工作。</w:t>
            </w:r>
          </w:p>
        </w:tc>
      </w:tr>
      <w:tr>
        <w:trPr>
          <w:trHeight w:val="1650"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宋体"/>
                <w:sz w:val="18"/>
              </w:rPr>
              <w:t>6</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51"/>
              <w:jc w:val="left"/>
              <w:rPr>
                <w:rFonts w:ascii="宋体" w:hAnsi="宋体" w:cs="宋体" w:eastAsia="宋体" w:hint="default"/>
                <w:sz w:val="18"/>
                <w:szCs w:val="18"/>
              </w:rPr>
            </w:pPr>
            <w:r>
              <w:rPr>
                <w:rFonts w:ascii="宋体" w:hAnsi="宋体" w:cs="宋体" w:eastAsia="宋体" w:hint="default"/>
                <w:sz w:val="18"/>
                <w:szCs w:val="18"/>
              </w:rPr>
              <w:t>《关于推进网络扶 贫的实施方案</w:t>
            </w:r>
          </w:p>
          <w:p>
            <w:pPr>
              <w:pStyle w:val="TableParagraph"/>
              <w:spacing w:line="319" w:lineRule="auto" w:before="19"/>
              <w:ind w:left="103" w:right="101"/>
              <w:jc w:val="left"/>
              <w:rPr>
                <w:rFonts w:ascii="宋体" w:hAnsi="宋体" w:cs="宋体" w:eastAsia="宋体" w:hint="default"/>
                <w:sz w:val="18"/>
                <w:szCs w:val="18"/>
              </w:rPr>
            </w:pPr>
            <w:r>
              <w:rPr>
                <w:rFonts w:ascii="宋体" w:hAnsi="宋体" w:cs="宋体" w:eastAsia="宋体" w:hint="default"/>
                <w:spacing w:val="-13"/>
                <w:sz w:val="18"/>
                <w:szCs w:val="18"/>
              </w:rPr>
              <w:t>（</w:t>
            </w:r>
            <w:r>
              <w:rPr>
                <w:rFonts w:ascii="宋体" w:hAnsi="宋体" w:cs="宋体" w:eastAsia="宋体" w:hint="default"/>
                <w:spacing w:val="-13"/>
                <w:sz w:val="18"/>
                <w:szCs w:val="18"/>
              </w:rPr>
              <w:t>2018-2020</w:t>
            </w:r>
            <w:r>
              <w:rPr>
                <w:rFonts w:ascii="宋体" w:hAnsi="宋体" w:cs="宋体" w:eastAsia="宋体" w:hint="default"/>
                <w:spacing w:val="-13"/>
                <w:sz w:val="18"/>
                <w:szCs w:val="18"/>
              </w:rPr>
              <w:t>）》（工</w:t>
            </w:r>
            <w:r>
              <w:rPr>
                <w:rFonts w:ascii="宋体" w:hAnsi="宋体" w:cs="宋体" w:eastAsia="宋体" w:hint="default"/>
                <w:sz w:val="18"/>
                <w:szCs w:val="18"/>
              </w:rPr>
              <w:t> </w:t>
            </w:r>
            <w:r>
              <w:rPr>
                <w:rFonts w:ascii="宋体" w:hAnsi="宋体" w:cs="宋体" w:eastAsia="宋体" w:hint="default"/>
                <w:spacing w:val="-3"/>
                <w:sz w:val="18"/>
                <w:szCs w:val="18"/>
              </w:rPr>
              <w:t>信部通信〔</w:t>
            </w:r>
            <w:r>
              <w:rPr>
                <w:rFonts w:ascii="宋体" w:hAnsi="宋体" w:cs="宋体" w:eastAsia="宋体" w:hint="default"/>
                <w:spacing w:val="-3"/>
                <w:sz w:val="18"/>
                <w:szCs w:val="18"/>
              </w:rPr>
              <w:t>2018</w:t>
            </w:r>
            <w:r>
              <w:rPr>
                <w:rFonts w:ascii="宋体" w:hAnsi="宋体" w:cs="宋体" w:eastAsia="宋体" w:hint="default"/>
                <w:spacing w:val="-3"/>
                <w:sz w:val="18"/>
                <w:szCs w:val="18"/>
              </w:rPr>
              <w:t>〕</w:t>
            </w:r>
            <w:r>
              <w:rPr>
                <w:rFonts w:ascii="宋体" w:hAnsi="宋体" w:cs="宋体" w:eastAsia="宋体" w:hint="default"/>
                <w:spacing w:val="-3"/>
                <w:sz w:val="18"/>
                <w:szCs w:val="18"/>
              </w:rPr>
              <w:t>83</w:t>
            </w:r>
            <w:r>
              <w:rPr>
                <w:rFonts w:ascii="宋体" w:hAnsi="宋体" w:cs="宋体" w:eastAsia="宋体" w:hint="default"/>
                <w:spacing w:val="-86"/>
                <w:sz w:val="18"/>
                <w:szCs w:val="18"/>
              </w:rPr>
              <w:t> </w:t>
            </w:r>
            <w:r>
              <w:rPr>
                <w:rFonts w:ascii="宋体" w:hAnsi="宋体" w:cs="宋体" w:eastAsia="宋体" w:hint="default"/>
                <w:sz w:val="18"/>
                <w:szCs w:val="18"/>
              </w:rPr>
              <w:t>号）</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工信部</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4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both"/>
              <w:rPr>
                <w:rFonts w:ascii="宋体" w:hAnsi="宋体" w:cs="宋体" w:eastAsia="宋体" w:hint="default"/>
                <w:sz w:val="18"/>
                <w:szCs w:val="18"/>
              </w:rPr>
            </w:pPr>
            <w:r>
              <w:rPr>
                <w:rFonts w:ascii="宋体" w:hAnsi="宋体" w:cs="宋体" w:eastAsia="宋体" w:hint="default"/>
                <w:sz w:val="18"/>
                <w:szCs w:val="18"/>
              </w:rPr>
              <w:t>加强贫困地区各类学校高速宽带网络建设，实现两类学校</w:t>
            </w:r>
          </w:p>
          <w:p>
            <w:pPr>
              <w:pStyle w:val="TableParagraph"/>
              <w:spacing w:line="319" w:lineRule="auto" w:before="75"/>
              <w:ind w:left="103" w:right="100"/>
              <w:jc w:val="both"/>
              <w:rPr>
                <w:rFonts w:ascii="宋体" w:hAnsi="宋体" w:cs="宋体" w:eastAsia="宋体" w:hint="default"/>
                <w:sz w:val="18"/>
                <w:szCs w:val="18"/>
              </w:rPr>
            </w:pPr>
            <w:r>
              <w:rPr>
                <w:rFonts w:ascii="宋体" w:hAnsi="宋体" w:cs="宋体" w:eastAsia="宋体" w:hint="default"/>
                <w:spacing w:val="-2"/>
                <w:sz w:val="18"/>
                <w:szCs w:val="18"/>
              </w:rPr>
              <w:t>（乡村小规模学校和乡镇寄宿制学校）宽带网络全覆盖。配</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合教育部门加强远程教育应用推广，推动优质教育资源在贫</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困地区的共享应用。</w:t>
            </w:r>
          </w:p>
        </w:tc>
      </w:tr>
      <w:tr>
        <w:trPr>
          <w:trHeight w:val="1962"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sz w:val="18"/>
              </w:rPr>
              <w:t>7</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101"/>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66"/>
                <w:sz w:val="18"/>
                <w:szCs w:val="18"/>
              </w:rPr>
              <w:t> </w:t>
            </w:r>
            <w:r>
              <w:rPr>
                <w:rFonts w:ascii="宋体" w:hAnsi="宋体" w:cs="宋体" w:eastAsia="宋体" w:hint="default"/>
                <w:spacing w:val="17"/>
                <w:sz w:val="18"/>
                <w:szCs w:val="18"/>
              </w:rPr>
              <w:t>国务院关于印发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8"/>
                <w:sz w:val="18"/>
                <w:szCs w:val="18"/>
              </w:rPr>
              <w:t>国家教育事业发展</w:t>
            </w:r>
            <w:r>
              <w:rPr>
                <w:rFonts w:ascii="宋体" w:hAnsi="宋体" w:cs="宋体" w:eastAsia="宋体" w:hint="default"/>
                <w:sz w:val="18"/>
                <w:szCs w:val="18"/>
              </w:rPr>
              <w:t> </w:t>
            </w:r>
            <w:r>
              <w:rPr>
                <w:rFonts w:ascii="宋体" w:hAnsi="宋体" w:cs="宋体" w:eastAsia="宋体" w:hint="default"/>
                <w:spacing w:val="-4"/>
                <w:sz w:val="18"/>
                <w:szCs w:val="18"/>
              </w:rPr>
              <w:t>“十三五”规划的通</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1"/>
                <w:sz w:val="18"/>
                <w:szCs w:val="18"/>
              </w:rPr>
              <w:t>知》（国发〔</w:t>
            </w:r>
            <w:r>
              <w:rPr>
                <w:rFonts w:ascii="宋体" w:hAnsi="宋体" w:cs="宋体" w:eastAsia="宋体" w:hint="default"/>
                <w:spacing w:val="-11"/>
                <w:sz w:val="18"/>
                <w:szCs w:val="18"/>
              </w:rPr>
              <w:t>2017</w:t>
            </w:r>
            <w:r>
              <w:rPr>
                <w:rFonts w:ascii="宋体" w:hAnsi="宋体" w:cs="宋体" w:eastAsia="宋体" w:hint="default"/>
                <w:spacing w:val="-11"/>
                <w:sz w:val="18"/>
                <w:szCs w:val="18"/>
              </w:rPr>
              <w:t>〕</w:t>
            </w:r>
            <w:r>
              <w:rPr>
                <w:rFonts w:ascii="宋体" w:hAnsi="宋体" w:cs="宋体" w:eastAsia="宋体" w:hint="default"/>
                <w:spacing w:val="-11"/>
                <w:sz w:val="18"/>
                <w:szCs w:val="18"/>
              </w:rPr>
              <w:t>4</w:t>
            </w:r>
            <w:r>
              <w:rPr>
                <w:rFonts w:ascii="宋体" w:hAnsi="宋体" w:cs="宋体" w:eastAsia="宋体" w:hint="default"/>
                <w:spacing w:val="-81"/>
                <w:sz w:val="18"/>
                <w:szCs w:val="18"/>
              </w:rPr>
              <w:t> </w:t>
            </w:r>
            <w:r>
              <w:rPr>
                <w:rFonts w:ascii="宋体" w:hAnsi="宋体" w:cs="宋体" w:eastAsia="宋体" w:hint="default"/>
                <w:sz w:val="18"/>
                <w:szCs w:val="18"/>
              </w:rPr>
              <w:t>号）</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国务院</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48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1"/>
              <w:jc w:val="left"/>
              <w:rPr>
                <w:rFonts w:ascii="宋体" w:hAnsi="宋体" w:cs="宋体" w:eastAsia="宋体" w:hint="default"/>
                <w:sz w:val="18"/>
                <w:szCs w:val="18"/>
              </w:rPr>
            </w:pPr>
            <w:r>
              <w:rPr>
                <w:rFonts w:ascii="宋体" w:hAnsi="宋体" w:cs="宋体" w:eastAsia="宋体" w:hint="default"/>
                <w:sz w:val="18"/>
                <w:szCs w:val="18"/>
              </w:rPr>
              <w:t>拓展教育新形态，以教育信息化推动教育现代化，积极促进 </w:t>
            </w:r>
            <w:r>
              <w:rPr>
                <w:rFonts w:ascii="宋体" w:hAnsi="宋体" w:cs="宋体" w:eastAsia="宋体" w:hint="default"/>
                <w:spacing w:val="-5"/>
                <w:sz w:val="18"/>
                <w:szCs w:val="18"/>
              </w:rPr>
              <w:t>信息技术与教育的融合创新发展，努力构建网络化、数字化、</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5"/>
                <w:sz w:val="18"/>
                <w:szCs w:val="18"/>
              </w:rPr>
              <w:t>个性化、终身化的教育体系；积极发展“互联网</w:t>
            </w:r>
            <w:r>
              <w:rPr>
                <w:rFonts w:ascii="宋体" w:hAnsi="宋体" w:cs="宋体" w:eastAsia="宋体" w:hint="default"/>
                <w:spacing w:val="-5"/>
                <w:sz w:val="18"/>
                <w:szCs w:val="18"/>
              </w:rPr>
              <w:t>+</w:t>
            </w:r>
            <w:r>
              <w:rPr>
                <w:rFonts w:ascii="宋体" w:hAnsi="宋体" w:cs="宋体" w:eastAsia="宋体" w:hint="default"/>
                <w:spacing w:val="-5"/>
                <w:sz w:val="18"/>
                <w:szCs w:val="18"/>
              </w:rPr>
              <w:t>教育”，优</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化校园育人环境，创建平安校园，巩固高等学校后勤改革成</w:t>
            </w:r>
            <w:r>
              <w:rPr>
                <w:rFonts w:ascii="宋体" w:hAnsi="宋体" w:cs="宋体" w:eastAsia="宋体" w:hint="default"/>
                <w:sz w:val="18"/>
                <w:szCs w:val="18"/>
              </w:rPr>
              <w:t> 果，推进学校公共安全视频监控建设及联网应用工作，加强 人防、物防、技防设施建设。</w:t>
            </w:r>
          </w:p>
        </w:tc>
      </w:tr>
      <w:tr>
        <w:trPr>
          <w:trHeight w:val="1650"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宋体"/>
                <w:sz w:val="18"/>
              </w:rPr>
              <w:t>8</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2"/>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66"/>
                <w:sz w:val="18"/>
                <w:szCs w:val="18"/>
              </w:rPr>
              <w:t> </w:t>
            </w:r>
            <w:r>
              <w:rPr>
                <w:rFonts w:ascii="宋体" w:hAnsi="宋体" w:cs="宋体" w:eastAsia="宋体" w:hint="default"/>
                <w:spacing w:val="17"/>
                <w:sz w:val="18"/>
                <w:szCs w:val="18"/>
              </w:rPr>
              <w:t>教育部关于数字</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8"/>
                <w:sz w:val="18"/>
                <w:szCs w:val="18"/>
              </w:rPr>
              <w:t>教育资源公共服务</w:t>
            </w:r>
            <w:r>
              <w:rPr>
                <w:rFonts w:ascii="宋体" w:hAnsi="宋体" w:cs="宋体" w:eastAsia="宋体" w:hint="default"/>
                <w:sz w:val="18"/>
                <w:szCs w:val="18"/>
              </w:rPr>
              <w:t> </w:t>
            </w:r>
            <w:r>
              <w:rPr>
                <w:rFonts w:ascii="宋体" w:hAnsi="宋体" w:cs="宋体" w:eastAsia="宋体" w:hint="default"/>
                <w:spacing w:val="18"/>
                <w:sz w:val="18"/>
                <w:szCs w:val="18"/>
              </w:rPr>
              <w:t>体系建设与应用的</w:t>
            </w:r>
            <w:r>
              <w:rPr>
                <w:rFonts w:ascii="宋体" w:hAnsi="宋体" w:cs="宋体" w:eastAsia="宋体" w:hint="default"/>
                <w:sz w:val="18"/>
                <w:szCs w:val="18"/>
              </w:rPr>
              <w:t> 指</w:t>
            </w:r>
            <w:r>
              <w:rPr>
                <w:rFonts w:ascii="宋体" w:hAnsi="宋体" w:cs="宋体" w:eastAsia="宋体" w:hint="default"/>
                <w:spacing w:val="-56"/>
                <w:sz w:val="18"/>
                <w:szCs w:val="18"/>
              </w:rPr>
              <w:t> </w:t>
            </w:r>
            <w:r>
              <w:rPr>
                <w:rFonts w:ascii="宋体" w:hAnsi="宋体" w:cs="宋体" w:eastAsia="宋体" w:hint="default"/>
                <w:sz w:val="18"/>
                <w:szCs w:val="18"/>
              </w:rPr>
              <w:t>导</w:t>
            </w:r>
            <w:r>
              <w:rPr>
                <w:rFonts w:ascii="宋体" w:hAnsi="宋体" w:cs="宋体" w:eastAsia="宋体" w:hint="default"/>
                <w:spacing w:val="-56"/>
                <w:sz w:val="18"/>
                <w:szCs w:val="18"/>
              </w:rPr>
              <w:t> </w:t>
            </w:r>
            <w:r>
              <w:rPr>
                <w:rFonts w:ascii="宋体" w:hAnsi="宋体" w:cs="宋体" w:eastAsia="宋体" w:hint="default"/>
                <w:sz w:val="18"/>
                <w:szCs w:val="18"/>
              </w:rPr>
              <w:t>意</w:t>
            </w:r>
            <w:r>
              <w:rPr>
                <w:rFonts w:ascii="宋体" w:hAnsi="宋体" w:cs="宋体" w:eastAsia="宋体" w:hint="default"/>
                <w:spacing w:val="-57"/>
                <w:sz w:val="18"/>
                <w:szCs w:val="18"/>
              </w:rPr>
              <w:t> </w:t>
            </w:r>
            <w:r>
              <w:rPr>
                <w:rFonts w:ascii="宋体" w:hAnsi="宋体" w:cs="宋体" w:eastAsia="宋体" w:hint="default"/>
                <w:sz w:val="18"/>
                <w:szCs w:val="18"/>
              </w:rPr>
              <w:t>见</w:t>
            </w:r>
            <w:r>
              <w:rPr>
                <w:rFonts w:ascii="宋体" w:hAnsi="宋体" w:cs="宋体" w:eastAsia="宋体" w:hint="default"/>
                <w:spacing w:val="-56"/>
                <w:sz w:val="18"/>
                <w:szCs w:val="18"/>
              </w:rPr>
              <w:t> </w:t>
            </w:r>
            <w:r>
              <w:rPr>
                <w:rFonts w:ascii="宋体" w:hAnsi="宋体" w:cs="宋体" w:eastAsia="宋体" w:hint="default"/>
                <w:spacing w:val="-29"/>
                <w:sz w:val="18"/>
                <w:szCs w:val="18"/>
              </w:rPr>
              <w:t>》（</w:t>
            </w:r>
            <w:r>
              <w:rPr>
                <w:rFonts w:ascii="宋体" w:hAnsi="宋体" w:cs="宋体" w:eastAsia="宋体" w:hint="default"/>
                <w:spacing w:val="-57"/>
                <w:sz w:val="18"/>
                <w:szCs w:val="18"/>
              </w:rPr>
              <w:t> </w:t>
            </w:r>
            <w:r>
              <w:rPr>
                <w:rFonts w:ascii="宋体" w:hAnsi="宋体" w:cs="宋体" w:eastAsia="宋体" w:hint="default"/>
                <w:sz w:val="18"/>
                <w:szCs w:val="18"/>
              </w:rPr>
              <w:t>教</w:t>
            </w:r>
            <w:r>
              <w:rPr>
                <w:rFonts w:ascii="宋体" w:hAnsi="宋体" w:cs="宋体" w:eastAsia="宋体" w:hint="default"/>
                <w:spacing w:val="-56"/>
                <w:sz w:val="18"/>
                <w:szCs w:val="18"/>
              </w:rPr>
              <w:t> </w:t>
            </w:r>
            <w:r>
              <w:rPr>
                <w:rFonts w:ascii="宋体" w:hAnsi="宋体" w:cs="宋体" w:eastAsia="宋体" w:hint="default"/>
                <w:sz w:val="18"/>
                <w:szCs w:val="18"/>
              </w:rPr>
              <w:t>技</w:t>
            </w:r>
            <w:r>
              <w:rPr>
                <w:rFonts w:ascii="宋体" w:hAnsi="宋体" w:cs="宋体" w:eastAsia="宋体" w:hint="default"/>
                <w:sz w:val="18"/>
                <w:szCs w:val="18"/>
              </w:rPr>
              <w:t> </w:t>
            </w:r>
            <w:r>
              <w:rPr>
                <w:rFonts w:ascii="宋体" w:hAnsi="宋体" w:cs="宋体" w:eastAsia="宋体" w:hint="default"/>
                <w:sz w:val="18"/>
                <w:szCs w:val="18"/>
              </w:rPr>
              <w:t>[2017]7</w:t>
            </w:r>
            <w:r>
              <w:rPr>
                <w:rFonts w:ascii="宋体" w:hAnsi="宋体" w:cs="宋体" w:eastAsia="宋体" w:hint="default"/>
                <w:spacing w:val="-46"/>
                <w:sz w:val="18"/>
                <w:szCs w:val="18"/>
              </w:rPr>
              <w:t> </w:t>
            </w:r>
            <w:r>
              <w:rPr>
                <w:rFonts w:ascii="宋体" w:hAnsi="宋体" w:cs="宋体" w:eastAsia="宋体" w:hint="default"/>
                <w:sz w:val="18"/>
                <w:szCs w:val="18"/>
              </w:rPr>
              <w:t>号）</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教育部</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4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97"/>
              <w:jc w:val="both"/>
              <w:rPr>
                <w:rFonts w:ascii="宋体" w:hAnsi="宋体" w:cs="宋体" w:eastAsia="宋体" w:hint="default"/>
                <w:sz w:val="18"/>
                <w:szCs w:val="18"/>
              </w:rPr>
            </w:pPr>
            <w:r>
              <w:rPr>
                <w:rFonts w:ascii="宋体" w:hAnsi="宋体" w:cs="宋体" w:eastAsia="宋体" w:hint="default"/>
                <w:spacing w:val="2"/>
                <w:sz w:val="18"/>
                <w:szCs w:val="18"/>
              </w:rPr>
              <w:t>为深入贯彻落实党的十九大精神，积极推进“互联网</w:t>
            </w:r>
            <w:r>
              <w:rPr>
                <w:rFonts w:ascii="宋体" w:hAnsi="宋体" w:cs="宋体" w:eastAsia="宋体" w:hint="default"/>
                <w:spacing w:val="2"/>
                <w:sz w:val="18"/>
                <w:szCs w:val="18"/>
              </w:rPr>
              <w:t>+</w:t>
            </w:r>
            <w:r>
              <w:rPr>
                <w:rFonts w:ascii="宋体" w:hAnsi="宋体" w:cs="宋体" w:eastAsia="宋体" w:hint="default"/>
                <w:spacing w:val="2"/>
                <w:sz w:val="18"/>
                <w:szCs w:val="18"/>
              </w:rPr>
              <w:t>”行</w:t>
            </w:r>
            <w:r>
              <w:rPr>
                <w:rFonts w:ascii="宋体" w:hAnsi="宋体" w:cs="宋体" w:eastAsia="宋体" w:hint="default"/>
                <w:spacing w:val="-83"/>
                <w:sz w:val="18"/>
                <w:szCs w:val="18"/>
              </w:rPr>
              <w:t> </w:t>
            </w:r>
            <w:r>
              <w:rPr>
                <w:rFonts w:ascii="宋体" w:hAnsi="宋体" w:cs="宋体" w:eastAsia="宋体" w:hint="default"/>
                <w:spacing w:val="-2"/>
                <w:sz w:val="18"/>
                <w:szCs w:val="18"/>
              </w:rPr>
              <w:t>动，切实加快教育信息化进程，以教育信息化支撑和引领教</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育现代化，服务教育强国建设，现就加强数字教育资源公共</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服务体系建设与应用。</w:t>
            </w:r>
          </w:p>
        </w:tc>
      </w:tr>
      <w:tr>
        <w:trPr>
          <w:trHeight w:val="1650"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宋体"/>
                <w:sz w:val="18"/>
              </w:rPr>
              <w:t>9</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1"/>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68"/>
                <w:sz w:val="18"/>
                <w:szCs w:val="18"/>
              </w:rPr>
              <w:t> </w:t>
            </w:r>
            <w:r>
              <w:rPr>
                <w:rFonts w:ascii="宋体" w:hAnsi="宋体" w:cs="宋体" w:eastAsia="宋体" w:hint="default"/>
                <w:spacing w:val="17"/>
                <w:sz w:val="18"/>
                <w:szCs w:val="18"/>
              </w:rPr>
              <w:t>教育部关于进一</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8"/>
                <w:sz w:val="18"/>
                <w:szCs w:val="18"/>
              </w:rPr>
              <w:t>步推进职业教育信</w:t>
            </w:r>
            <w:r>
              <w:rPr>
                <w:rFonts w:ascii="宋体" w:hAnsi="宋体" w:cs="宋体" w:eastAsia="宋体" w:hint="default"/>
                <w:sz w:val="18"/>
                <w:szCs w:val="18"/>
              </w:rPr>
              <w:t> </w:t>
            </w:r>
            <w:r>
              <w:rPr>
                <w:rFonts w:ascii="宋体" w:hAnsi="宋体" w:cs="宋体" w:eastAsia="宋体" w:hint="default"/>
                <w:spacing w:val="18"/>
                <w:sz w:val="18"/>
                <w:szCs w:val="18"/>
              </w:rPr>
              <w:t>息化发展的指导意</w:t>
            </w:r>
            <w:r>
              <w:rPr>
                <w:rFonts w:ascii="宋体" w:hAnsi="宋体" w:cs="宋体" w:eastAsia="宋体" w:hint="default"/>
                <w:sz w:val="18"/>
                <w:szCs w:val="18"/>
              </w:rPr>
              <w:t> </w:t>
            </w:r>
            <w:r>
              <w:rPr>
                <w:rFonts w:ascii="宋体" w:hAnsi="宋体" w:cs="宋体" w:eastAsia="宋体" w:hint="default"/>
                <w:spacing w:val="-11"/>
                <w:sz w:val="18"/>
                <w:szCs w:val="18"/>
              </w:rPr>
              <w:t>见》（教职成〔</w:t>
            </w:r>
            <w:r>
              <w:rPr>
                <w:rFonts w:ascii="宋体" w:hAnsi="宋体" w:cs="宋体" w:eastAsia="宋体" w:hint="default"/>
                <w:spacing w:val="-11"/>
                <w:sz w:val="18"/>
                <w:szCs w:val="18"/>
              </w:rPr>
              <w:t>2017</w:t>
            </w:r>
            <w:r>
              <w:rPr>
                <w:rFonts w:ascii="宋体" w:hAnsi="宋体" w:cs="宋体" w:eastAsia="宋体" w:hint="default"/>
                <w:spacing w:val="-11"/>
                <w:sz w:val="18"/>
                <w:szCs w:val="18"/>
              </w:rPr>
              <w:t>〕</w:t>
            </w:r>
            <w:r>
              <w:rPr>
                <w:rFonts w:ascii="宋体" w:hAnsi="宋体" w:cs="宋体" w:eastAsia="宋体" w:hint="default"/>
                <w:spacing w:val="-80"/>
                <w:sz w:val="18"/>
                <w:szCs w:val="18"/>
              </w:rPr>
              <w:t> </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号）</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教育部</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4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103" w:right="100"/>
              <w:jc w:val="both"/>
              <w:rPr>
                <w:rFonts w:ascii="宋体" w:hAnsi="宋体" w:cs="宋体" w:eastAsia="宋体" w:hint="default"/>
                <w:sz w:val="18"/>
                <w:szCs w:val="18"/>
              </w:rPr>
            </w:pPr>
            <w:r>
              <w:rPr>
                <w:rFonts w:ascii="宋体" w:hAnsi="宋体" w:cs="宋体" w:eastAsia="宋体" w:hint="default"/>
                <w:spacing w:val="5"/>
                <w:sz w:val="18"/>
                <w:szCs w:val="18"/>
              </w:rPr>
              <w:t>准确把握进一步推进职业教育信息化发展的重要机遇与基</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2"/>
                <w:sz w:val="18"/>
                <w:szCs w:val="18"/>
              </w:rPr>
              <w:t>本要求；全面落实推进职业教育信息化发展的重点任务；着</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力完善推进职业教育信息化发展的各项保障措施。</w:t>
            </w:r>
          </w:p>
        </w:tc>
      </w:tr>
      <w:tr>
        <w:trPr>
          <w:trHeight w:val="674"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《国家智慧城市试 </w:t>
            </w:r>
            <w:r>
              <w:rPr>
                <w:rFonts w:ascii="宋体" w:hAnsi="宋体" w:cs="宋体" w:eastAsia="宋体" w:hint="default"/>
                <w:spacing w:val="-4"/>
                <w:sz w:val="18"/>
                <w:szCs w:val="18"/>
              </w:rPr>
              <w:t>点暂行管理办法》及</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住建部</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8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2"/>
              <w:jc w:val="left"/>
              <w:rPr>
                <w:rFonts w:ascii="宋体" w:hAnsi="宋体" w:cs="宋体" w:eastAsia="宋体" w:hint="default"/>
                <w:sz w:val="18"/>
                <w:szCs w:val="18"/>
              </w:rPr>
            </w:pPr>
            <w:r>
              <w:rPr>
                <w:rFonts w:ascii="宋体" w:hAnsi="宋体" w:cs="宋体" w:eastAsia="宋体" w:hint="default"/>
                <w:sz w:val="18"/>
                <w:szCs w:val="18"/>
              </w:rPr>
              <w:t>提出建设智慧城市是贯彻党中央、国务院关于创新驱动发 </w:t>
            </w:r>
            <w:r>
              <w:rPr>
                <w:rFonts w:ascii="宋体" w:hAnsi="宋体" w:cs="宋体" w:eastAsia="宋体" w:hint="default"/>
                <w:spacing w:val="-2"/>
                <w:sz w:val="18"/>
                <w:szCs w:val="18"/>
              </w:rPr>
              <w:t>展、推动新型城镇化、全面建成小康社会的重要举措。智慧</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212" w:type="dxa"/>
        <w:tblLayout w:type="fixed"/>
        <w:tblCellMar>
          <w:top w:w="0" w:type="dxa"/>
          <w:left w:w="0" w:type="dxa"/>
          <w:bottom w:w="0" w:type="dxa"/>
          <w:right w:w="0" w:type="dxa"/>
        </w:tblCellMar>
        <w:tblLook w:val="01E0"/>
      </w:tblPr>
      <w:tblGrid>
        <w:gridCol w:w="708"/>
        <w:gridCol w:w="1806"/>
        <w:gridCol w:w="1134"/>
        <w:gridCol w:w="994"/>
        <w:gridCol w:w="4869"/>
      </w:tblGrid>
      <w:tr>
        <w:trPr>
          <w:trHeight w:val="402" w:hRule="exact"/>
        </w:trPr>
        <w:tc>
          <w:tcPr>
            <w:tcW w:w="70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180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536" w:right="0"/>
              <w:jc w:val="left"/>
              <w:rPr>
                <w:rFonts w:ascii="宋体" w:hAnsi="宋体" w:cs="宋体" w:eastAsia="宋体" w:hint="default"/>
                <w:sz w:val="18"/>
                <w:szCs w:val="18"/>
              </w:rPr>
            </w:pPr>
            <w:r>
              <w:rPr>
                <w:rFonts w:ascii="宋体" w:hAnsi="宋体" w:cs="宋体" w:eastAsia="宋体" w:hint="default"/>
                <w:b/>
                <w:bCs/>
                <w:sz w:val="18"/>
                <w:szCs w:val="18"/>
              </w:rPr>
              <w:t>政策名称</w:t>
            </w:r>
            <w:r>
              <w:rPr>
                <w:rFonts w:ascii="宋体" w:hAnsi="宋体" w:cs="宋体" w:eastAsia="宋体" w:hint="default"/>
                <w:sz w:val="18"/>
                <w:szCs w:val="18"/>
              </w:rPr>
            </w: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00" w:right="0"/>
              <w:jc w:val="left"/>
              <w:rPr>
                <w:rFonts w:ascii="宋体" w:hAnsi="宋体" w:cs="宋体" w:eastAsia="宋体" w:hint="default"/>
                <w:sz w:val="18"/>
                <w:szCs w:val="18"/>
              </w:rPr>
            </w:pPr>
            <w:r>
              <w:rPr>
                <w:rFonts w:ascii="宋体" w:hAnsi="宋体" w:cs="宋体" w:eastAsia="宋体" w:hint="default"/>
                <w:b/>
                <w:bCs/>
                <w:sz w:val="18"/>
                <w:szCs w:val="18"/>
              </w:rPr>
              <w:t>颁布部门</w:t>
            </w:r>
            <w:r>
              <w:rPr>
                <w:rFonts w:ascii="宋体" w:hAnsi="宋体" w:cs="宋体" w:eastAsia="宋体" w:hint="default"/>
                <w:sz w:val="18"/>
                <w:szCs w:val="18"/>
              </w:rPr>
            </w:r>
          </w:p>
        </w:tc>
        <w:tc>
          <w:tcPr>
            <w:tcW w:w="9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31" w:right="0"/>
              <w:jc w:val="left"/>
              <w:rPr>
                <w:rFonts w:ascii="宋体" w:hAnsi="宋体" w:cs="宋体" w:eastAsia="宋体" w:hint="default"/>
                <w:sz w:val="18"/>
                <w:szCs w:val="18"/>
              </w:rPr>
            </w:pPr>
            <w:r>
              <w:rPr>
                <w:rFonts w:ascii="宋体" w:hAnsi="宋体" w:cs="宋体" w:eastAsia="宋体" w:hint="default"/>
                <w:b/>
                <w:bCs/>
                <w:sz w:val="18"/>
                <w:szCs w:val="18"/>
              </w:rPr>
              <w:t>颁布时间</w:t>
            </w:r>
            <w:r>
              <w:rPr>
                <w:rFonts w:ascii="宋体" w:hAnsi="宋体" w:cs="宋体" w:eastAsia="宋体" w:hint="default"/>
                <w:sz w:val="18"/>
                <w:szCs w:val="18"/>
              </w:rPr>
            </w:r>
          </w:p>
        </w:tc>
        <w:tc>
          <w:tcPr>
            <w:tcW w:w="48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b/>
                <w:bCs/>
                <w:sz w:val="18"/>
                <w:szCs w:val="18"/>
              </w:rPr>
              <w:t>与行业相关内容</w:t>
            </w:r>
            <w:r>
              <w:rPr>
                <w:rFonts w:ascii="宋体" w:hAnsi="宋体" w:cs="宋体" w:eastAsia="宋体" w:hint="default"/>
                <w:sz w:val="18"/>
                <w:szCs w:val="18"/>
              </w:rPr>
            </w:r>
          </w:p>
        </w:tc>
      </w:tr>
      <w:tr>
        <w:trPr>
          <w:trHeight w:val="1338" w:hRule="exact"/>
        </w:trPr>
        <w:tc>
          <w:tcPr>
            <w:tcW w:w="708" w:type="dxa"/>
            <w:tcBorders>
              <w:top w:val="single" w:sz="4" w:space="0" w:color="000000"/>
              <w:left w:val="single" w:sz="4" w:space="0" w:color="000000"/>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both"/>
              <w:rPr>
                <w:rFonts w:ascii="宋体" w:hAnsi="宋体" w:cs="宋体" w:eastAsia="宋体" w:hint="default"/>
                <w:sz w:val="18"/>
                <w:szCs w:val="18"/>
              </w:rPr>
            </w:pPr>
            <w:r>
              <w:rPr>
                <w:rFonts w:ascii="宋体" w:hAnsi="宋体" w:cs="宋体" w:eastAsia="宋体" w:hint="default"/>
                <w:sz w:val="18"/>
                <w:szCs w:val="18"/>
              </w:rPr>
              <w:t>《国家智慧城市</w:t>
            </w:r>
          </w:p>
          <w:p>
            <w:pPr>
              <w:pStyle w:val="TableParagraph"/>
              <w:spacing w:line="319" w:lineRule="auto" w:before="76"/>
              <w:ind w:left="103" w:right="101"/>
              <w:jc w:val="both"/>
              <w:rPr>
                <w:rFonts w:ascii="宋体" w:hAnsi="宋体" w:cs="宋体" w:eastAsia="宋体" w:hint="default"/>
                <w:sz w:val="18"/>
                <w:szCs w:val="18"/>
              </w:rPr>
            </w:pPr>
            <w:r>
              <w:rPr>
                <w:rFonts w:ascii="宋体" w:hAnsi="宋体" w:cs="宋体" w:eastAsia="宋体" w:hint="default"/>
                <w:spacing w:val="-4"/>
                <w:sz w:val="18"/>
                <w:szCs w:val="18"/>
              </w:rPr>
              <w:t>（区、镇）试点指标</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2"/>
                <w:sz w:val="18"/>
                <w:szCs w:val="18"/>
              </w:rPr>
              <w:t>体系（试行）》（建办</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科〔</w:t>
            </w:r>
            <w:r>
              <w:rPr>
                <w:rFonts w:ascii="Times New Roman" w:hAnsi="Times New Roman" w:cs="Times New Roman" w:eastAsia="Times New Roman" w:hint="default"/>
                <w:sz w:val="18"/>
                <w:szCs w:val="18"/>
              </w:rPr>
              <w:t>2012</w:t>
            </w:r>
            <w:r>
              <w:rPr>
                <w:rFonts w:ascii="宋体" w:hAnsi="宋体" w:cs="宋体" w:eastAsia="宋体" w:hint="default"/>
                <w:sz w:val="18"/>
                <w:szCs w:val="18"/>
              </w:rPr>
              <w:t>〕</w:t>
            </w:r>
            <w:r>
              <w:rPr>
                <w:rFonts w:ascii="Times New Roman" w:hAnsi="Times New Roman" w:cs="Times New Roman" w:eastAsia="Times New Roman" w:hint="default"/>
                <w:sz w:val="18"/>
                <w:szCs w:val="18"/>
              </w:rPr>
              <w:t>42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13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4869"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10"/>
              <w:ind w:left="103" w:right="102"/>
              <w:jc w:val="left"/>
              <w:rPr>
                <w:rFonts w:ascii="宋体" w:hAnsi="宋体" w:cs="宋体" w:eastAsia="宋体" w:hint="default"/>
                <w:sz w:val="18"/>
                <w:szCs w:val="18"/>
              </w:rPr>
            </w:pPr>
            <w:r>
              <w:rPr>
                <w:rFonts w:ascii="宋体" w:hAnsi="宋体" w:cs="宋体" w:eastAsia="宋体" w:hint="default"/>
                <w:sz w:val="18"/>
                <w:szCs w:val="18"/>
              </w:rPr>
              <w:t>城市建设目标包括智慧管理与服务的专项应用——智慧支 </w:t>
            </w:r>
            <w:r>
              <w:rPr>
                <w:rFonts w:ascii="宋体" w:hAnsi="宋体" w:cs="宋体" w:eastAsia="宋体" w:hint="default"/>
                <w:spacing w:val="-2"/>
                <w:sz w:val="18"/>
                <w:szCs w:val="18"/>
              </w:rPr>
              <w:t>付，智慧支付包含一卡通、手机支付、市民卡等智慧化支付</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2"/>
                <w:sz w:val="18"/>
                <w:szCs w:val="18"/>
              </w:rPr>
              <w:t>新方式，支付终端卡设备、顾客支付服务便捷性、安全性和</w:t>
            </w:r>
          </w:p>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z w:val="18"/>
                <w:szCs w:val="18"/>
              </w:rPr>
              <w:t>商家支付便捷性、安全性等方面的建设。</w:t>
            </w:r>
          </w:p>
        </w:tc>
      </w:tr>
      <w:tr>
        <w:trPr>
          <w:trHeight w:val="2898"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sz w:val="18"/>
              </w:rPr>
              <w:t>11</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316" w:lineRule="auto"/>
              <w:ind w:left="103" w:right="101"/>
              <w:jc w:val="both"/>
              <w:rPr>
                <w:rFonts w:ascii="宋体" w:hAnsi="宋体" w:cs="宋体" w:eastAsia="宋体" w:hint="default"/>
                <w:sz w:val="18"/>
                <w:szCs w:val="18"/>
              </w:rPr>
            </w:pPr>
            <w:r>
              <w:rPr>
                <w:rFonts w:ascii="宋体" w:hAnsi="宋体" w:cs="宋体" w:eastAsia="宋体" w:hint="default"/>
                <w:spacing w:val="18"/>
                <w:sz w:val="18"/>
                <w:szCs w:val="18"/>
              </w:rPr>
              <w:t>关于印发软件和信</w:t>
            </w:r>
            <w:r>
              <w:rPr>
                <w:rFonts w:ascii="宋体" w:hAnsi="宋体" w:cs="宋体" w:eastAsia="宋体" w:hint="default"/>
                <w:sz w:val="18"/>
                <w:szCs w:val="18"/>
              </w:rPr>
              <w:t> </w:t>
            </w:r>
            <w:r>
              <w:rPr>
                <w:rFonts w:ascii="宋体" w:hAnsi="宋体" w:cs="宋体" w:eastAsia="宋体" w:hint="default"/>
                <w:spacing w:val="18"/>
                <w:sz w:val="18"/>
                <w:szCs w:val="18"/>
              </w:rPr>
              <w:t>息技术服务业发展</w:t>
            </w:r>
            <w:r>
              <w:rPr>
                <w:rFonts w:ascii="宋体" w:hAnsi="宋体" w:cs="宋体" w:eastAsia="宋体" w:hint="default"/>
                <w:sz w:val="18"/>
                <w:szCs w:val="18"/>
              </w:rPr>
              <w:t> </w:t>
            </w:r>
            <w:r>
              <w:rPr>
                <w:rFonts w:ascii="宋体" w:hAnsi="宋体" w:cs="宋体" w:eastAsia="宋体" w:hint="default"/>
                <w:spacing w:val="15"/>
                <w:sz w:val="18"/>
                <w:szCs w:val="18"/>
              </w:rPr>
              <w:t>规划</w:t>
            </w:r>
            <w:r>
              <w:rPr>
                <w:rFonts w:ascii="宋体" w:hAnsi="宋体" w:cs="宋体" w:eastAsia="宋体" w:hint="default"/>
                <w:spacing w:val="-60"/>
                <w:sz w:val="18"/>
                <w:szCs w:val="18"/>
              </w:rPr>
              <w:t> </w:t>
            </w:r>
            <w:r>
              <w:rPr>
                <w:rFonts w:ascii="宋体" w:hAnsi="宋体" w:cs="宋体" w:eastAsia="宋体" w:hint="default"/>
                <w:sz w:val="18"/>
                <w:szCs w:val="18"/>
              </w:rPr>
              <w:t>（</w:t>
            </w:r>
            <w:r>
              <w:rPr>
                <w:rFonts w:ascii="宋体" w:hAnsi="宋体" w:cs="宋体" w:eastAsia="宋体" w:hint="default"/>
                <w:spacing w:val="-60"/>
                <w:sz w:val="18"/>
                <w:szCs w:val="18"/>
              </w:rPr>
              <w:t> </w:t>
            </w:r>
            <w:r>
              <w:rPr>
                <w:rFonts w:ascii="宋体" w:hAnsi="宋体" w:cs="宋体" w:eastAsia="宋体" w:hint="default"/>
                <w:sz w:val="18"/>
                <w:szCs w:val="18"/>
              </w:rPr>
              <w:t>2016</w:t>
            </w:r>
            <w:r>
              <w:rPr>
                <w:rFonts w:ascii="宋体" w:hAnsi="宋体" w:cs="宋体" w:eastAsia="宋体" w:hint="default"/>
                <w:spacing w:val="-60"/>
                <w:sz w:val="18"/>
                <w:szCs w:val="18"/>
              </w:rPr>
              <w:t> </w:t>
            </w:r>
            <w:r>
              <w:rPr>
                <w:rFonts w:ascii="宋体" w:hAnsi="宋体" w:cs="宋体" w:eastAsia="宋体" w:hint="default"/>
                <w:sz w:val="18"/>
                <w:szCs w:val="18"/>
              </w:rPr>
              <w:t>－</w:t>
            </w:r>
            <w:r>
              <w:rPr>
                <w:rFonts w:ascii="宋体" w:hAnsi="宋体" w:cs="宋体" w:eastAsia="宋体" w:hint="default"/>
                <w:spacing w:val="-60"/>
                <w:sz w:val="18"/>
                <w:szCs w:val="18"/>
              </w:rPr>
              <w:t> </w:t>
            </w:r>
            <w:r>
              <w:rPr>
                <w:rFonts w:ascii="宋体" w:hAnsi="宋体" w:cs="宋体" w:eastAsia="宋体" w:hint="default"/>
                <w:sz w:val="18"/>
                <w:szCs w:val="18"/>
              </w:rPr>
              <w:t>2020 </w:t>
            </w:r>
            <w:r>
              <w:rPr>
                <w:rFonts w:ascii="宋体" w:hAnsi="宋体" w:cs="宋体" w:eastAsia="宋体" w:hint="default"/>
                <w:sz w:val="18"/>
                <w:szCs w:val="18"/>
              </w:rPr>
              <w:t>年）的通知</w:t>
            </w:r>
          </w:p>
          <w:p>
            <w:pPr>
              <w:pStyle w:val="TableParagraph"/>
              <w:spacing w:line="319" w:lineRule="auto" w:before="57"/>
              <w:ind w:left="103" w:right="101"/>
              <w:jc w:val="both"/>
              <w:rPr>
                <w:rFonts w:ascii="宋体" w:hAnsi="宋体" w:cs="宋体" w:eastAsia="宋体" w:hint="default"/>
                <w:sz w:val="18"/>
                <w:szCs w:val="18"/>
              </w:rPr>
            </w:pPr>
            <w:r>
              <w:rPr>
                <w:rFonts w:ascii="宋体" w:hAnsi="宋体" w:cs="宋体" w:eastAsia="宋体" w:hint="default"/>
                <w:spacing w:val="4"/>
                <w:sz w:val="18"/>
                <w:szCs w:val="18"/>
              </w:rPr>
              <w:t>工信部规</w:t>
            </w:r>
            <w:r>
              <w:rPr>
                <w:rFonts w:ascii="宋体" w:hAnsi="宋体" w:cs="宋体" w:eastAsia="宋体" w:hint="default"/>
                <w:spacing w:val="4"/>
                <w:sz w:val="18"/>
                <w:szCs w:val="18"/>
              </w:rPr>
              <w:t>[2016]425</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号</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8"/>
              <w:ind w:left="103" w:right="95"/>
              <w:jc w:val="left"/>
              <w:rPr>
                <w:rFonts w:ascii="宋体" w:hAnsi="宋体" w:cs="宋体" w:eastAsia="宋体" w:hint="default"/>
                <w:sz w:val="18"/>
                <w:szCs w:val="18"/>
              </w:rPr>
            </w:pPr>
            <w:r>
              <w:rPr>
                <w:rFonts w:ascii="宋体" w:hAnsi="宋体" w:cs="宋体" w:eastAsia="宋体" w:hint="default"/>
                <w:spacing w:val="4"/>
                <w:sz w:val="18"/>
                <w:szCs w:val="18"/>
              </w:rPr>
              <w:t>工业和信息 </w:t>
            </w:r>
            <w:r>
              <w:rPr>
                <w:rFonts w:ascii="宋体" w:hAnsi="宋体" w:cs="宋体" w:eastAsia="宋体" w:hint="default"/>
                <w:sz w:val="18"/>
                <w:szCs w:val="18"/>
              </w:rPr>
              <w:t>化部</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48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1" w:firstLine="360"/>
              <w:jc w:val="both"/>
              <w:rPr>
                <w:rFonts w:ascii="宋体" w:hAnsi="宋体" w:cs="宋体" w:eastAsia="宋体" w:hint="default"/>
                <w:sz w:val="18"/>
                <w:szCs w:val="18"/>
              </w:rPr>
            </w:pPr>
            <w:r>
              <w:rPr>
                <w:rFonts w:ascii="宋体" w:hAnsi="宋体" w:cs="宋体" w:eastAsia="宋体" w:hint="default"/>
                <w:sz w:val="18"/>
                <w:szCs w:val="18"/>
              </w:rPr>
              <w:t>到 </w:t>
            </w:r>
            <w:r>
              <w:rPr>
                <w:rFonts w:ascii="宋体" w:hAnsi="宋体" w:cs="宋体" w:eastAsia="宋体" w:hint="default"/>
                <w:sz w:val="18"/>
                <w:szCs w:val="18"/>
              </w:rPr>
              <w:t>2020</w:t>
            </w:r>
            <w:r>
              <w:rPr>
                <w:rFonts w:ascii="宋体" w:hAnsi="宋体" w:cs="宋体" w:eastAsia="宋体" w:hint="default"/>
                <w:spacing w:val="-30"/>
                <w:sz w:val="18"/>
                <w:szCs w:val="18"/>
              </w:rPr>
              <w:t> </w:t>
            </w:r>
            <w:r>
              <w:rPr>
                <w:rFonts w:ascii="宋体" w:hAnsi="宋体" w:cs="宋体" w:eastAsia="宋体" w:hint="default"/>
                <w:sz w:val="18"/>
                <w:szCs w:val="18"/>
              </w:rPr>
              <w:t>年，产业规模进一步扩大，技术创新体系更加 </w:t>
            </w:r>
            <w:r>
              <w:rPr>
                <w:rFonts w:ascii="宋体" w:hAnsi="宋体" w:cs="宋体" w:eastAsia="宋体" w:hint="default"/>
                <w:spacing w:val="-2"/>
                <w:sz w:val="18"/>
                <w:szCs w:val="18"/>
              </w:rPr>
              <w:t>完备，产业有效供给能力大幅提升，融合支撑效益进一步突</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2"/>
                <w:sz w:val="18"/>
                <w:szCs w:val="18"/>
              </w:rPr>
              <w:t>显，培育壮大一批国际影响力大、竞争力强的龙头企业，基</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2"/>
                <w:sz w:val="18"/>
                <w:szCs w:val="18"/>
              </w:rPr>
              <w:t>本形成具有国际竞争力的产业生态体系。其中产业规模，到</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2020</w:t>
            </w:r>
            <w:r>
              <w:rPr>
                <w:rFonts w:ascii="宋体" w:hAnsi="宋体" w:cs="宋体" w:eastAsia="宋体" w:hint="default"/>
                <w:spacing w:val="-53"/>
                <w:sz w:val="18"/>
                <w:szCs w:val="18"/>
              </w:rPr>
              <w:t> </w:t>
            </w:r>
            <w:r>
              <w:rPr>
                <w:rFonts w:ascii="宋体" w:hAnsi="宋体" w:cs="宋体" w:eastAsia="宋体" w:hint="default"/>
                <w:sz w:val="18"/>
                <w:szCs w:val="18"/>
              </w:rPr>
              <w:t>年，业务收入突破</w:t>
            </w:r>
            <w:r>
              <w:rPr>
                <w:rFonts w:ascii="宋体" w:hAnsi="宋体" w:cs="宋体" w:eastAsia="宋体" w:hint="default"/>
                <w:spacing w:val="-53"/>
                <w:sz w:val="18"/>
                <w:szCs w:val="18"/>
              </w:rPr>
              <w:t> </w:t>
            </w:r>
            <w:r>
              <w:rPr>
                <w:rFonts w:ascii="宋体" w:hAnsi="宋体" w:cs="宋体" w:eastAsia="宋体" w:hint="default"/>
                <w:sz w:val="18"/>
                <w:szCs w:val="18"/>
              </w:rPr>
              <w:t>8</w:t>
            </w:r>
            <w:r>
              <w:rPr>
                <w:rFonts w:ascii="宋体" w:hAnsi="宋体" w:cs="宋体" w:eastAsia="宋体" w:hint="default"/>
                <w:spacing w:val="-53"/>
                <w:sz w:val="18"/>
                <w:szCs w:val="18"/>
              </w:rPr>
              <w:t> </w:t>
            </w:r>
            <w:r>
              <w:rPr>
                <w:rFonts w:ascii="宋体" w:hAnsi="宋体" w:cs="宋体" w:eastAsia="宋体" w:hint="default"/>
                <w:sz w:val="18"/>
                <w:szCs w:val="18"/>
              </w:rPr>
              <w:t>万亿元，年均增长</w:t>
            </w:r>
            <w:r>
              <w:rPr>
                <w:rFonts w:ascii="宋体" w:hAnsi="宋体" w:cs="宋体" w:eastAsia="宋体" w:hint="default"/>
                <w:spacing w:val="-53"/>
                <w:sz w:val="18"/>
                <w:szCs w:val="18"/>
              </w:rPr>
              <w:t> </w:t>
            </w:r>
            <w:r>
              <w:rPr>
                <w:rFonts w:ascii="宋体" w:hAnsi="宋体" w:cs="宋体" w:eastAsia="宋体" w:hint="default"/>
                <w:sz w:val="18"/>
                <w:szCs w:val="18"/>
              </w:rPr>
              <w:t>13%</w:t>
            </w:r>
            <w:r>
              <w:rPr>
                <w:rFonts w:ascii="宋体" w:hAnsi="宋体" w:cs="宋体" w:eastAsia="宋体" w:hint="default"/>
                <w:sz w:val="18"/>
                <w:szCs w:val="18"/>
              </w:rPr>
              <w:t>以上，占信 息产业比重超过</w:t>
            </w:r>
            <w:r>
              <w:rPr>
                <w:rFonts w:ascii="宋体" w:hAnsi="宋体" w:cs="宋体" w:eastAsia="宋体" w:hint="default"/>
                <w:spacing w:val="-28"/>
                <w:sz w:val="18"/>
                <w:szCs w:val="18"/>
              </w:rPr>
              <w:t> </w:t>
            </w:r>
            <w:r>
              <w:rPr>
                <w:rFonts w:ascii="宋体" w:hAnsi="宋体" w:cs="宋体" w:eastAsia="宋体" w:hint="default"/>
                <w:sz w:val="18"/>
                <w:szCs w:val="18"/>
              </w:rPr>
              <w:t>30%</w:t>
            </w:r>
            <w:r>
              <w:rPr>
                <w:rFonts w:ascii="宋体" w:hAnsi="宋体" w:cs="宋体" w:eastAsia="宋体" w:hint="default"/>
                <w:sz w:val="18"/>
                <w:szCs w:val="18"/>
              </w:rPr>
              <w:t>，其中信息技术服务收入占业务收入比 重达到 </w:t>
            </w:r>
            <w:r>
              <w:rPr>
                <w:rFonts w:ascii="宋体" w:hAnsi="宋体" w:cs="宋体" w:eastAsia="宋体" w:hint="default"/>
                <w:sz w:val="18"/>
                <w:szCs w:val="18"/>
              </w:rPr>
              <w:t>55%</w:t>
            </w:r>
            <w:r>
              <w:rPr>
                <w:rFonts w:ascii="宋体" w:hAnsi="宋体" w:cs="宋体" w:eastAsia="宋体" w:hint="default"/>
                <w:sz w:val="18"/>
                <w:szCs w:val="18"/>
              </w:rPr>
              <w:t>。信息安全产品收入达到 </w:t>
            </w:r>
            <w:r>
              <w:rPr>
                <w:rFonts w:ascii="宋体" w:hAnsi="宋体" w:cs="宋体" w:eastAsia="宋体" w:hint="default"/>
                <w:sz w:val="18"/>
                <w:szCs w:val="18"/>
              </w:rPr>
              <w:t>2000</w:t>
            </w:r>
            <w:r>
              <w:rPr>
                <w:rFonts w:ascii="宋体" w:hAnsi="宋体" w:cs="宋体" w:eastAsia="宋体" w:hint="default"/>
                <w:spacing w:val="-30"/>
                <w:sz w:val="18"/>
                <w:szCs w:val="18"/>
              </w:rPr>
              <w:t> </w:t>
            </w:r>
            <w:r>
              <w:rPr>
                <w:rFonts w:ascii="宋体" w:hAnsi="宋体" w:cs="宋体" w:eastAsia="宋体" w:hint="default"/>
                <w:sz w:val="18"/>
                <w:szCs w:val="18"/>
              </w:rPr>
              <w:t>亿元，年均增长 </w:t>
            </w:r>
            <w:r>
              <w:rPr>
                <w:rFonts w:ascii="宋体" w:hAnsi="宋体" w:cs="宋体" w:eastAsia="宋体" w:hint="default"/>
                <w:spacing w:val="-3"/>
                <w:sz w:val="18"/>
                <w:szCs w:val="18"/>
              </w:rPr>
              <w:t>20%</w:t>
            </w:r>
            <w:r>
              <w:rPr>
                <w:rFonts w:ascii="宋体" w:hAnsi="宋体" w:cs="宋体" w:eastAsia="宋体" w:hint="default"/>
                <w:spacing w:val="-3"/>
                <w:sz w:val="18"/>
                <w:szCs w:val="18"/>
              </w:rPr>
              <w:t>以上。软件出口超过</w:t>
            </w:r>
            <w:r>
              <w:rPr>
                <w:rFonts w:ascii="宋体" w:hAnsi="宋体" w:cs="宋体" w:eastAsia="宋体" w:hint="default"/>
                <w:spacing w:val="-46"/>
                <w:sz w:val="18"/>
                <w:szCs w:val="18"/>
              </w:rPr>
              <w:t> </w:t>
            </w:r>
            <w:r>
              <w:rPr>
                <w:rFonts w:ascii="宋体" w:hAnsi="宋体" w:cs="宋体" w:eastAsia="宋体" w:hint="default"/>
                <w:sz w:val="18"/>
                <w:szCs w:val="18"/>
              </w:rPr>
              <w:t>680</w:t>
            </w:r>
            <w:r>
              <w:rPr>
                <w:rFonts w:ascii="宋体" w:hAnsi="宋体" w:cs="宋体" w:eastAsia="宋体" w:hint="default"/>
                <w:spacing w:val="-44"/>
                <w:sz w:val="18"/>
                <w:szCs w:val="18"/>
              </w:rPr>
              <w:t> </w:t>
            </w:r>
            <w:r>
              <w:rPr>
                <w:rFonts w:ascii="宋体" w:hAnsi="宋体" w:cs="宋体" w:eastAsia="宋体" w:hint="default"/>
                <w:spacing w:val="-3"/>
                <w:sz w:val="18"/>
                <w:szCs w:val="18"/>
              </w:rPr>
              <w:t>亿美元。软件从业人员达到</w:t>
            </w:r>
            <w:r>
              <w:rPr>
                <w:rFonts w:ascii="宋体" w:hAnsi="宋体" w:cs="宋体" w:eastAsia="宋体" w:hint="default"/>
                <w:spacing w:val="-46"/>
                <w:sz w:val="18"/>
                <w:szCs w:val="18"/>
              </w:rPr>
              <w:t> </w:t>
            </w:r>
            <w:r>
              <w:rPr>
                <w:rFonts w:ascii="宋体" w:hAnsi="宋体" w:cs="宋体" w:eastAsia="宋体" w:hint="default"/>
                <w:sz w:val="18"/>
                <w:szCs w:val="18"/>
              </w:rPr>
              <w:t>900 </w:t>
            </w:r>
            <w:r>
              <w:rPr>
                <w:rFonts w:ascii="宋体" w:hAnsi="宋体" w:cs="宋体" w:eastAsia="宋体" w:hint="default"/>
                <w:sz w:val="18"/>
                <w:szCs w:val="18"/>
              </w:rPr>
              <w:t>万人。</w:t>
            </w:r>
          </w:p>
        </w:tc>
      </w:tr>
    </w:tbl>
    <w:p>
      <w:pPr>
        <w:spacing w:line="240" w:lineRule="auto" w:before="9"/>
        <w:rPr>
          <w:rFonts w:ascii="Times New Roman" w:hAnsi="Times New Roman" w:cs="Times New Roman" w:eastAsia="Times New Roman" w:hint="default"/>
          <w:sz w:val="14"/>
          <w:szCs w:val="14"/>
        </w:rPr>
      </w:pPr>
    </w:p>
    <w:p>
      <w:pPr>
        <w:spacing w:line="357" w:lineRule="auto" w:before="26"/>
        <w:ind w:left="634" w:right="0" w:firstLine="2"/>
        <w:jc w:val="left"/>
        <w:rPr>
          <w:rFonts w:ascii="宋体" w:hAnsi="宋体" w:cs="宋体" w:eastAsia="宋体" w:hint="default"/>
          <w:sz w:val="24"/>
          <w:szCs w:val="24"/>
        </w:rPr>
      </w:pPr>
      <w:r>
        <w:rPr>
          <w:rFonts w:ascii="宋体" w:hAnsi="宋体" w:cs="宋体" w:eastAsia="宋体" w:hint="default"/>
          <w:b/>
          <w:bCs/>
          <w:sz w:val="24"/>
          <w:szCs w:val="24"/>
        </w:rPr>
        <w:t>（三）公司在行业中的竞争地位</w:t>
      </w:r>
      <w:r>
        <w:rPr>
          <w:rFonts w:ascii="宋体" w:hAnsi="宋体" w:cs="宋体" w:eastAsia="宋体" w:hint="default"/>
          <w:b/>
          <w:bCs/>
          <w:w w:val="99"/>
          <w:sz w:val="24"/>
          <w:szCs w:val="24"/>
        </w:rPr>
        <w:t> </w:t>
      </w:r>
      <w:r>
        <w:rPr>
          <w:rFonts w:ascii="宋体" w:hAnsi="宋体" w:cs="宋体" w:eastAsia="宋体" w:hint="default"/>
          <w:sz w:val="24"/>
          <w:szCs w:val="24"/>
        </w:rPr>
        <w:t>公司坚持主动创新，积极应变，紧紧围绕用户需求，着力打造和提升基础教育公共云平</w:t>
      </w:r>
    </w:p>
    <w:p>
      <w:pPr>
        <w:pStyle w:val="BodyText"/>
        <w:spacing w:line="357" w:lineRule="auto"/>
        <w:ind w:right="1139"/>
        <w:jc w:val="both"/>
      </w:pPr>
      <w:r>
        <w:rPr/>
        <w:t>台、易校园高校生活服务云平台，不断完善智慧校园、智慧园区的物联网终端产品系列和整 体解决方案，不断拓展新的市场区域，基本完成全国布局，持续保持公司在行业内的优势地 位。主要表现在：</w:t>
      </w:r>
    </w:p>
    <w:p>
      <w:pPr>
        <w:pStyle w:val="BodyText"/>
        <w:spacing w:line="357" w:lineRule="auto" w:before="77"/>
        <w:ind w:right="1131" w:firstLine="480"/>
        <w:jc w:val="both"/>
      </w:pPr>
      <w:r>
        <w:rPr/>
        <w:t>公司通过智慧校园生态体系支撑平台——易通平台</w:t>
      </w:r>
      <w:r>
        <w:rPr>
          <w:rFonts w:ascii="宋体" w:hAnsi="宋体" w:cs="宋体" w:eastAsia="宋体" w:hint="default"/>
        </w:rPr>
        <w:t>(EasyTong)</w:t>
      </w:r>
      <w:r>
        <w:rPr/>
        <w:t>，实现统一身份认证、统 一支付结算、统一服务门户，实现智能终端互联互通，实现人、财、物的管理和服务支撑； </w:t>
      </w:r>
      <w:r>
        <w:rPr>
          <w:spacing w:val="-5"/>
        </w:rPr>
        <w:t>通过移动应用及开放平台——易智平台（</w:t>
      </w:r>
      <w:r>
        <w:rPr>
          <w:rFonts w:ascii="宋体" w:hAnsi="宋体" w:cs="宋体" w:eastAsia="宋体" w:hint="default"/>
          <w:spacing w:val="-5"/>
        </w:rPr>
        <w:t>EasySmartApp</w:t>
      </w:r>
      <w:r>
        <w:rPr>
          <w:spacing w:val="-5"/>
        </w:rPr>
        <w:t>），实现微服务、流程信息化应用的统</w:t>
      </w:r>
      <w:r>
        <w:rPr>
          <w:spacing w:val="-89"/>
        </w:rPr>
        <w:t> </w:t>
      </w:r>
      <w:r>
        <w:rPr>
          <w:spacing w:val="-89"/>
        </w:rPr>
      </w:r>
      <w:r>
        <w:rPr>
          <w:spacing w:val="-2"/>
        </w:rPr>
        <w:t>一集成和门户入口；通过聚合支付平台——易付平台</w:t>
      </w:r>
      <w:r>
        <w:rPr>
          <w:rFonts w:ascii="宋体" w:hAnsi="宋体" w:cs="宋体" w:eastAsia="宋体" w:hint="default"/>
          <w:spacing w:val="-2"/>
        </w:rPr>
        <w:t>(EasyPay)</w:t>
      </w:r>
      <w:r>
        <w:rPr>
          <w:spacing w:val="-2"/>
        </w:rPr>
        <w:t>，实现社会化金融支付体系的</w:t>
      </w:r>
      <w:r>
        <w:rPr>
          <w:spacing w:val="-112"/>
        </w:rPr>
        <w:t> </w:t>
      </w:r>
      <w:r>
        <w:rPr>
          <w:spacing w:val="-112"/>
        </w:rPr>
      </w:r>
      <w:r>
        <w:rPr/>
        <w:t>打通和金融、清分清算、授信等服务支撑，使公司继续保持平台优势，并为未来发展夯实基 础。</w:t>
      </w:r>
    </w:p>
    <w:p>
      <w:pPr>
        <w:pStyle w:val="BodyText"/>
        <w:spacing w:line="357" w:lineRule="auto" w:before="74"/>
        <w:ind w:right="1132" w:firstLine="480"/>
        <w:jc w:val="both"/>
      </w:pPr>
      <w:r>
        <w:rPr/>
        <w:t>公司研发出集卡、码、脸识别为一体的消费终端、身份识别终端，推出基于无线物联网 </w:t>
      </w:r>
      <w:r>
        <w:rPr>
          <w:rFonts w:ascii="宋体" w:hAnsi="宋体" w:cs="宋体" w:eastAsia="宋体" w:hint="default"/>
        </w:rPr>
        <w:t>LORA </w:t>
      </w:r>
      <w:r>
        <w:rPr/>
        <w:t>及 </w:t>
      </w:r>
      <w:r>
        <w:rPr>
          <w:rFonts w:ascii="宋体" w:hAnsi="宋体" w:cs="宋体" w:eastAsia="宋体" w:hint="default"/>
        </w:rPr>
        <w:t>NB</w:t>
      </w:r>
      <w:r>
        <w:rPr>
          <w:rFonts w:ascii="宋体" w:hAnsi="宋体" w:cs="宋体" w:eastAsia="宋体" w:hint="default"/>
          <w:spacing w:val="-84"/>
        </w:rPr>
        <w:t> </w:t>
      </w:r>
      <w:r>
        <w:rPr/>
        <w:t>联网技术的节水控制器，在移动支付领域、身份认证领域、校园节能管控领域得 到了广泛的推广和应用，促进公司业务发展，保持行业优势地位。</w:t>
      </w:r>
    </w:p>
    <w:p>
      <w:pPr>
        <w:spacing w:line="240" w:lineRule="auto" w:before="11"/>
        <w:rPr>
          <w:rFonts w:ascii="宋体" w:hAnsi="宋体" w:cs="宋体" w:eastAsia="宋体" w:hint="default"/>
          <w:sz w:val="19"/>
          <w:szCs w:val="19"/>
        </w:rPr>
      </w:pPr>
    </w:p>
    <w:p>
      <w:pPr>
        <w:pStyle w:val="Heading2"/>
        <w:spacing w:line="240" w:lineRule="auto"/>
        <w:ind w:right="0"/>
        <w:jc w:val="both"/>
        <w:rPr>
          <w:b w:val="0"/>
          <w:bCs w:val="0"/>
        </w:rPr>
      </w:pPr>
      <w:bookmarkStart w:name="二、主要资产重大变化情况" w:id="17"/>
      <w:bookmarkEnd w:id="17"/>
      <w:r>
        <w:rPr>
          <w:b w:val="0"/>
          <w:bCs w:val="0"/>
        </w:rPr>
      </w:r>
      <w:r>
        <w:rPr/>
        <w:t>二、主要资产重大变化情况</w:t>
      </w:r>
      <w:r>
        <w:rPr>
          <w:b w:val="0"/>
          <w:bCs w:val="0"/>
        </w:rPr>
      </w:r>
    </w:p>
    <w:p>
      <w:pPr>
        <w:spacing w:line="240" w:lineRule="auto" w:before="9"/>
        <w:rPr>
          <w:rFonts w:ascii="宋体" w:hAnsi="宋体" w:cs="宋体" w:eastAsia="宋体" w:hint="default"/>
          <w:b/>
          <w:bCs/>
          <w:sz w:val="24"/>
          <w:szCs w:val="24"/>
        </w:rPr>
      </w:pPr>
    </w:p>
    <w:p>
      <w:pPr>
        <w:spacing w:before="0"/>
        <w:ind w:left="154" w:right="0" w:firstLine="0"/>
        <w:jc w:val="both"/>
        <w:rPr>
          <w:rFonts w:ascii="宋体" w:hAnsi="宋体" w:cs="宋体" w:eastAsia="宋体" w:hint="default"/>
          <w:sz w:val="21"/>
          <w:szCs w:val="21"/>
        </w:rPr>
      </w:pPr>
      <w:bookmarkStart w:name="1、主要资产重大变化情况" w:id="18"/>
      <w:bookmarkEnd w:id="18"/>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、主要资产重大变化情况</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052"/>
        <w:gridCol w:w="6517"/>
      </w:tblGrid>
      <w:tr>
        <w:trPr>
          <w:trHeight w:val="764" w:hRule="exact"/>
        </w:trPr>
        <w:tc>
          <w:tcPr>
            <w:tcW w:w="3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3052"/>
        <w:gridCol w:w="6517"/>
      </w:tblGrid>
      <w:tr>
        <w:trPr>
          <w:trHeight w:val="402" w:hRule="exact"/>
        </w:trPr>
        <w:tc>
          <w:tcPr>
            <w:tcW w:w="3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主要系本期子公司小兰智慧、青岛天高购入固定资产所致。</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主要系本期新增知识产权所致。</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主要系本期业务增加，项目增加，备货增加所致。</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主要系已支付装修费，车位费需摊销所致。</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主要系本期计提资产减值准备增加所致。</w:t>
            </w:r>
          </w:p>
        </w:tc>
      </w:tr>
    </w:tbl>
    <w:p>
      <w:pPr>
        <w:spacing w:line="240" w:lineRule="auto" w:before="2"/>
        <w:rPr>
          <w:rFonts w:ascii="宋体" w:hAnsi="宋体" w:cs="宋体" w:eastAsia="宋体" w:hint="default"/>
          <w:b/>
          <w:bCs/>
          <w:sz w:val="19"/>
          <w:szCs w:val="19"/>
        </w:rPr>
      </w:pPr>
    </w:p>
    <w:p>
      <w:pPr>
        <w:spacing w:before="35"/>
        <w:ind w:left="154" w:right="0" w:firstLine="0"/>
        <w:jc w:val="both"/>
        <w:rPr>
          <w:rFonts w:ascii="宋体" w:hAnsi="宋体" w:cs="宋体" w:eastAsia="宋体" w:hint="default"/>
          <w:sz w:val="21"/>
          <w:szCs w:val="21"/>
        </w:rPr>
      </w:pPr>
      <w:bookmarkStart w:name="2、主要境外资产情况" w:id="19"/>
      <w:bookmarkEnd w:id="19"/>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、主要境外资产情况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0"/>
        <w:jc w:val="both"/>
        <w:rPr>
          <w:b w:val="0"/>
          <w:bCs w:val="0"/>
        </w:rPr>
      </w:pPr>
      <w:bookmarkStart w:name="三、核心竞争力分析" w:id="20"/>
      <w:bookmarkEnd w:id="20"/>
      <w:r>
        <w:rPr>
          <w:b w:val="0"/>
          <w:bCs w:val="0"/>
        </w:rPr>
      </w:r>
      <w:r>
        <w:rPr/>
        <w:t>三、核心竞争力分析</w:t>
      </w:r>
      <w:r>
        <w:rPr>
          <w:b w:val="0"/>
          <w:bCs w:val="0"/>
        </w:rPr>
      </w:r>
    </w:p>
    <w:p>
      <w:pPr>
        <w:spacing w:line="240" w:lineRule="auto" w:before="7"/>
        <w:rPr>
          <w:rFonts w:ascii="宋体" w:hAnsi="宋体" w:cs="宋体" w:eastAsia="宋体" w:hint="default"/>
          <w:b/>
          <w:bCs/>
          <w:sz w:val="26"/>
          <w:szCs w:val="26"/>
        </w:rPr>
      </w:pPr>
    </w:p>
    <w:p>
      <w:pPr>
        <w:spacing w:line="360" w:lineRule="auto" w:before="0"/>
        <w:ind w:left="154" w:right="7692"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是</w:t>
      </w:r>
    </w:p>
    <w:p>
      <w:pPr>
        <w:spacing w:before="26"/>
        <w:ind w:left="154" w:right="0" w:firstLine="0"/>
        <w:jc w:val="both"/>
        <w:rPr>
          <w:rFonts w:ascii="宋体" w:hAnsi="宋体" w:cs="宋体" w:eastAsia="宋体" w:hint="default"/>
          <w:sz w:val="18"/>
          <w:szCs w:val="18"/>
        </w:rPr>
      </w:pPr>
      <w:r>
        <w:rPr>
          <w:rFonts w:ascii="宋体" w:hAnsi="宋体" w:cs="宋体" w:eastAsia="宋体" w:hint="default"/>
          <w:sz w:val="18"/>
          <w:szCs w:val="18"/>
        </w:rPr>
        <w:t>软件与信息技术服务业</w:t>
      </w:r>
    </w:p>
    <w:p>
      <w:pPr>
        <w:spacing w:line="240" w:lineRule="auto" w:before="9"/>
        <w:rPr>
          <w:rFonts w:ascii="宋体" w:hAnsi="宋体" w:cs="宋体" w:eastAsia="宋体" w:hint="default"/>
          <w:sz w:val="14"/>
          <w:szCs w:val="14"/>
        </w:rPr>
      </w:pPr>
    </w:p>
    <w:p>
      <w:pPr>
        <w:spacing w:line="352" w:lineRule="auto" w:before="0"/>
        <w:ind w:left="634" w:right="0" w:firstLine="2"/>
        <w:jc w:val="left"/>
        <w:rPr>
          <w:rFonts w:ascii="宋体" w:hAnsi="宋体" w:cs="宋体" w:eastAsia="宋体" w:hint="default"/>
          <w:sz w:val="24"/>
          <w:szCs w:val="24"/>
        </w:rPr>
      </w:pPr>
      <w:bookmarkStart w:name="_bookmark2" w:id="21"/>
      <w:bookmarkEnd w:id="21"/>
      <w:r>
        <w:rPr/>
      </w:r>
      <w:r>
        <w:rPr>
          <w:rFonts w:ascii="宋体" w:hAnsi="宋体" w:cs="宋体" w:eastAsia="宋体" w:hint="default"/>
          <w:b/>
          <w:bCs/>
          <w:sz w:val="24"/>
          <w:szCs w:val="24"/>
        </w:rPr>
        <w:t>1</w:t>
      </w:r>
      <w:r>
        <w:rPr>
          <w:rFonts w:ascii="宋体" w:hAnsi="宋体" w:cs="宋体" w:eastAsia="宋体" w:hint="default"/>
          <w:b/>
          <w:bCs/>
          <w:sz w:val="24"/>
          <w:szCs w:val="24"/>
        </w:rPr>
        <w:t>、研发实力及技术优势</w:t>
      </w:r>
      <w:r>
        <w:rPr>
          <w:rFonts w:ascii="宋体" w:hAnsi="宋体" w:cs="宋体" w:eastAsia="宋体" w:hint="default"/>
          <w:b/>
          <w:bCs/>
          <w:w w:val="99"/>
          <w:sz w:val="24"/>
          <w:szCs w:val="24"/>
        </w:rPr>
        <w:t> </w:t>
      </w:r>
      <w:r>
        <w:rPr>
          <w:rFonts w:ascii="宋体" w:hAnsi="宋体" w:cs="宋体" w:eastAsia="宋体" w:hint="default"/>
          <w:color w:val="181F24"/>
          <w:spacing w:val="-3"/>
          <w:sz w:val="24"/>
          <w:szCs w:val="24"/>
        </w:rPr>
        <w:t>公司专注于教育等行业的智慧化建设，二十多年来一直注重研发投入和引进高素质人才，</w:t>
      </w:r>
      <w:r>
        <w:rPr>
          <w:rFonts w:ascii="宋体" w:hAnsi="宋体" w:cs="宋体" w:eastAsia="宋体" w:hint="default"/>
          <w:spacing w:val="-3"/>
          <w:sz w:val="24"/>
          <w:szCs w:val="24"/>
        </w:rPr>
      </w:r>
    </w:p>
    <w:p>
      <w:pPr>
        <w:pStyle w:val="BodyText"/>
        <w:spacing w:line="352" w:lineRule="auto" w:before="32"/>
        <w:ind w:right="1049"/>
        <w:jc w:val="both"/>
      </w:pPr>
      <w:r>
        <w:rPr>
          <w:color w:val="181F24"/>
        </w:rPr>
        <w:t>提高技术创新能力。核心技术人员具有丰富的专业经验，在智慧校园、智慧园区与行业智能</w:t>
      </w:r>
      <w:r>
        <w:rPr>
          <w:color w:val="181F24"/>
          <w:spacing w:val="-113"/>
        </w:rPr>
        <w:t> </w:t>
      </w:r>
      <w:r>
        <w:rPr>
          <w:color w:val="181F24"/>
          <w:spacing w:val="-113"/>
        </w:rPr>
      </w:r>
      <w:r>
        <w:rPr>
          <w:color w:val="181F24"/>
        </w:rPr>
        <w:t>化建设等领域具有较强的技术创新能力。公司是国家火炬计划重点高新技术企业、国家规划</w:t>
      </w:r>
      <w:r>
        <w:rPr>
          <w:color w:val="181F24"/>
          <w:spacing w:val="-115"/>
        </w:rPr>
        <w:t> </w:t>
      </w:r>
      <w:r>
        <w:rPr>
          <w:color w:val="181F24"/>
          <w:spacing w:val="-115"/>
        </w:rPr>
      </w:r>
      <w:r>
        <w:rPr>
          <w:color w:val="181F24"/>
        </w:rPr>
        <w:t>布局内重点软件企业</w:t>
      </w:r>
      <w:r>
        <w:rPr/>
        <w:t>，为进一步加强大数据应用及智慧校园产品的研发，成立了智慧教育大</w:t>
      </w:r>
      <w:r>
        <w:rPr>
          <w:spacing w:val="-115"/>
        </w:rPr>
        <w:t> </w:t>
      </w:r>
      <w:r>
        <w:rPr>
          <w:spacing w:val="-115"/>
        </w:rPr>
      </w:r>
      <w:r>
        <w:rPr/>
        <w:t>数据应用研究院，设立西安研发中心。截至</w:t>
      </w:r>
      <w:r>
        <w:rPr>
          <w:spacing w:val="-60"/>
        </w:rPr>
        <w:t> </w:t>
      </w:r>
      <w:r>
        <w:rPr>
          <w:rFonts w:ascii="宋体" w:hAnsi="宋体" w:cs="宋体" w:eastAsia="宋体" w:hint="default"/>
        </w:rPr>
        <w:t>2018</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w:t>
      </w:r>
      <w:r>
        <w:rPr>
          <w:color w:val="181F24"/>
        </w:rPr>
        <w:t>公司共有研发人员</w:t>
      </w:r>
      <w:r>
        <w:rPr>
          <w:color w:val="181F24"/>
          <w:spacing w:val="-60"/>
        </w:rPr>
        <w:t> </w:t>
      </w:r>
      <w:r>
        <w:rPr>
          <w:rFonts w:ascii="宋体" w:hAnsi="宋体" w:cs="宋体" w:eastAsia="宋体" w:hint="default"/>
          <w:color w:val="181F24"/>
        </w:rPr>
        <w:t>380</w:t>
      </w:r>
      <w:r>
        <w:rPr>
          <w:rFonts w:ascii="宋体" w:hAnsi="宋体" w:cs="宋体" w:eastAsia="宋体" w:hint="default"/>
          <w:color w:val="181F24"/>
          <w:spacing w:val="-60"/>
        </w:rPr>
        <w:t> </w:t>
      </w:r>
      <w:r>
        <w:rPr>
          <w:color w:val="181F24"/>
        </w:rPr>
        <w:t>人，</w:t>
      </w:r>
      <w:r>
        <w:rPr/>
      </w:r>
    </w:p>
    <w:p>
      <w:pPr>
        <w:pStyle w:val="BodyText"/>
        <w:spacing w:line="352" w:lineRule="auto" w:before="32"/>
        <w:ind w:left="634" w:right="0" w:hanging="480"/>
        <w:jc w:val="left"/>
      </w:pPr>
      <w:r>
        <w:rPr>
          <w:color w:val="181F24"/>
        </w:rPr>
        <w:t>占职工总数的</w:t>
      </w:r>
      <w:r>
        <w:rPr>
          <w:color w:val="181F24"/>
          <w:spacing w:val="-60"/>
        </w:rPr>
        <w:t> </w:t>
      </w:r>
      <w:r>
        <w:rPr>
          <w:rFonts w:ascii="宋体" w:hAnsi="宋体" w:cs="宋体" w:eastAsia="宋体" w:hint="default"/>
          <w:color w:val="181F24"/>
        </w:rPr>
        <w:t>37.22%</w:t>
      </w:r>
      <w:r>
        <w:rPr>
          <w:color w:val="181F24"/>
        </w:rPr>
        <w:t>，</w:t>
      </w:r>
      <w:r>
        <w:rPr/>
        <w:t>拥有软件著作权</w:t>
      </w:r>
      <w:r>
        <w:rPr>
          <w:spacing w:val="-60"/>
        </w:rPr>
        <w:t> </w:t>
      </w:r>
      <w:r>
        <w:rPr>
          <w:rFonts w:ascii="宋体" w:hAnsi="宋体" w:cs="宋体" w:eastAsia="宋体" w:hint="default"/>
        </w:rPr>
        <w:t>251</w:t>
      </w:r>
      <w:r>
        <w:rPr>
          <w:rFonts w:ascii="宋体" w:hAnsi="宋体" w:cs="宋体" w:eastAsia="宋体" w:hint="default"/>
          <w:spacing w:val="-60"/>
        </w:rPr>
        <w:t> </w:t>
      </w:r>
      <w:r>
        <w:rPr/>
        <w:t>项、商标权</w:t>
      </w:r>
      <w:r>
        <w:rPr>
          <w:spacing w:val="-60"/>
        </w:rPr>
        <w:t> </w:t>
      </w:r>
      <w:r>
        <w:rPr>
          <w:rFonts w:ascii="宋体" w:hAnsi="宋体" w:cs="宋体" w:eastAsia="宋体" w:hint="default"/>
        </w:rPr>
        <w:t>50</w:t>
      </w:r>
      <w:r>
        <w:rPr>
          <w:rFonts w:ascii="宋体" w:hAnsi="宋体" w:cs="宋体" w:eastAsia="宋体" w:hint="default"/>
          <w:spacing w:val="-60"/>
        </w:rPr>
        <w:t> </w:t>
      </w:r>
      <w:r>
        <w:rPr/>
        <w:t>项、专利权</w:t>
      </w:r>
      <w:r>
        <w:rPr>
          <w:spacing w:val="-60"/>
        </w:rPr>
        <w:t> </w:t>
      </w:r>
      <w:r>
        <w:rPr>
          <w:rFonts w:ascii="宋体" w:hAnsi="宋体" w:cs="宋体" w:eastAsia="宋体" w:hint="default"/>
        </w:rPr>
        <w:t>36</w:t>
      </w:r>
      <w:r>
        <w:rPr>
          <w:rFonts w:ascii="宋体" w:hAnsi="宋体" w:cs="宋体" w:eastAsia="宋体" w:hint="default"/>
          <w:spacing w:val="-60"/>
        </w:rPr>
        <w:t> </w:t>
      </w:r>
      <w:r>
        <w:rPr/>
        <w:t>项。 </w:t>
      </w:r>
      <w:r>
        <w:rPr>
          <w:spacing w:val="-3"/>
        </w:rPr>
        <w:t>公司充分应用聚合支付、生物识别、移动互联等技术，推出智慧校园生态体系支撑平台、</w:t>
      </w:r>
    </w:p>
    <w:p>
      <w:pPr>
        <w:pStyle w:val="BodyText"/>
        <w:spacing w:line="350" w:lineRule="auto" w:before="32"/>
        <w:ind w:right="1129"/>
        <w:jc w:val="both"/>
      </w:pPr>
      <w:r>
        <w:rPr/>
        <w:t>移动应用及开放平台、聚合支付平台，研发出集卡、码、脸识别为一体的消费终端和身份识</w:t>
      </w:r>
      <w:r>
        <w:rPr>
          <w:spacing w:val="-108"/>
        </w:rPr>
        <w:t> </w:t>
      </w:r>
      <w:r>
        <w:rPr>
          <w:spacing w:val="-108"/>
        </w:rPr>
      </w:r>
      <w:r>
        <w:rPr/>
        <w:t>别终端，及基于无线物联网</w:t>
      </w:r>
      <w:r>
        <w:rPr>
          <w:spacing w:val="-51"/>
        </w:rPr>
        <w:t> </w:t>
      </w:r>
      <w:r>
        <w:rPr>
          <w:rFonts w:ascii="宋体" w:hAnsi="宋体" w:cs="宋体" w:eastAsia="宋体" w:hint="default"/>
        </w:rPr>
        <w:t>LORA</w:t>
      </w:r>
      <w:r>
        <w:rPr>
          <w:rFonts w:ascii="宋体" w:hAnsi="宋体" w:cs="宋体" w:eastAsia="宋体" w:hint="default"/>
          <w:spacing w:val="-51"/>
        </w:rPr>
        <w:t> </w:t>
      </w:r>
      <w:r>
        <w:rPr/>
        <w:t>及</w:t>
      </w:r>
      <w:r>
        <w:rPr>
          <w:spacing w:val="-50"/>
        </w:rPr>
        <w:t> </w:t>
      </w:r>
      <w:r>
        <w:rPr>
          <w:rFonts w:ascii="宋体" w:hAnsi="宋体" w:cs="宋体" w:eastAsia="宋体" w:hint="default"/>
        </w:rPr>
        <w:t>NB</w:t>
      </w:r>
      <w:r>
        <w:rPr>
          <w:rFonts w:ascii="宋体" w:hAnsi="宋体" w:cs="宋体" w:eastAsia="宋体" w:hint="default"/>
          <w:spacing w:val="-51"/>
        </w:rPr>
        <w:t> </w:t>
      </w:r>
      <w:r>
        <w:rPr/>
        <w:t>联网技术的节水控制器等物联网产品。公司产品应用 于教育、政府、军警、电力等各行业，在移动支付领域、身份认证领域、校园节能管控领域</w:t>
      </w:r>
      <w:r>
        <w:rPr>
          <w:spacing w:val="-117"/>
        </w:rPr>
        <w:t> </w:t>
      </w:r>
      <w:r>
        <w:rPr>
          <w:spacing w:val="-117"/>
        </w:rPr>
      </w:r>
      <w:r>
        <w:rPr/>
        <w:t>得到了广泛的推广和使用，提升了在各种应用场景下的智能化程度，为用户带来更加便捷、</w:t>
      </w:r>
      <w:r>
        <w:rPr>
          <w:spacing w:val="-116"/>
        </w:rPr>
        <w:t> </w:t>
      </w:r>
      <w:r>
        <w:rPr>
          <w:spacing w:val="-116"/>
        </w:rPr>
      </w:r>
      <w:r>
        <w:rPr/>
        <w:t>高效、安全、协同的服务体验。公司结合各行业的需求，利用公司技术优势，打破同质化竞</w:t>
      </w:r>
      <w:r>
        <w:rPr>
          <w:spacing w:val="-106"/>
        </w:rPr>
        <w:t> </w:t>
      </w:r>
      <w:r>
        <w:rPr>
          <w:spacing w:val="-106"/>
        </w:rPr>
      </w:r>
      <w:r>
        <w:rPr/>
        <w:t>争，不断构建新的竞争能力，巩固和扩大竞争优势。</w:t>
      </w:r>
    </w:p>
    <w:p>
      <w:pPr>
        <w:spacing w:line="350" w:lineRule="auto" w:before="35"/>
        <w:ind w:left="634" w:right="0" w:firstLine="2"/>
        <w:jc w:val="left"/>
        <w:rPr>
          <w:rFonts w:ascii="宋体" w:hAnsi="宋体" w:cs="宋体" w:eastAsia="宋体" w:hint="default"/>
          <w:sz w:val="24"/>
          <w:szCs w:val="24"/>
        </w:rPr>
      </w:pPr>
      <w:r>
        <w:rPr>
          <w:rFonts w:ascii="宋体" w:hAnsi="宋体" w:cs="宋体" w:eastAsia="宋体" w:hint="default"/>
          <w:b/>
          <w:bCs/>
          <w:sz w:val="24"/>
          <w:szCs w:val="24"/>
        </w:rPr>
        <w:t>2</w:t>
      </w:r>
      <w:r>
        <w:rPr>
          <w:rFonts w:ascii="宋体" w:hAnsi="宋体" w:cs="宋体" w:eastAsia="宋体" w:hint="default"/>
          <w:b/>
          <w:bCs/>
          <w:sz w:val="24"/>
          <w:szCs w:val="24"/>
        </w:rPr>
        <w:t>、稳固的客户资源和完善的营销网络</w:t>
      </w:r>
      <w:r>
        <w:rPr>
          <w:rFonts w:ascii="宋体" w:hAnsi="宋体" w:cs="宋体" w:eastAsia="宋体" w:hint="default"/>
          <w:b/>
          <w:bCs/>
          <w:w w:val="99"/>
          <w:sz w:val="24"/>
          <w:szCs w:val="24"/>
        </w:rPr>
        <w:t> </w:t>
      </w:r>
      <w:r>
        <w:rPr>
          <w:rFonts w:ascii="宋体" w:hAnsi="宋体" w:cs="宋体" w:eastAsia="宋体" w:hint="default"/>
          <w:color w:val="181F24"/>
          <w:sz w:val="24"/>
          <w:szCs w:val="24"/>
        </w:rPr>
        <w:t>经过长期的市场经营与运营服务，公司在国内区域市场份额得到了进一步的扩大，积累</w:t>
      </w:r>
      <w:r>
        <w:rPr>
          <w:rFonts w:ascii="宋体" w:hAnsi="宋体" w:cs="宋体" w:eastAsia="宋体" w:hint="default"/>
          <w:sz w:val="24"/>
          <w:szCs w:val="24"/>
        </w:rPr>
      </w:r>
    </w:p>
    <w:p>
      <w:pPr>
        <w:pStyle w:val="BodyText"/>
        <w:spacing w:line="350" w:lineRule="auto"/>
        <w:ind w:right="1132"/>
        <w:jc w:val="both"/>
      </w:pPr>
      <w:r>
        <w:rPr>
          <w:color w:val="181F24"/>
        </w:rPr>
        <w:t>并沉淀了一大批优质客户，逐步形成了较强的品牌影响力。除在教育行业拥有广泛的市场基</w:t>
      </w:r>
      <w:r>
        <w:rPr>
          <w:color w:val="181F24"/>
          <w:spacing w:val="-113"/>
        </w:rPr>
        <w:t> </w:t>
      </w:r>
      <w:r>
        <w:rPr>
          <w:color w:val="181F24"/>
          <w:spacing w:val="-113"/>
        </w:rPr>
      </w:r>
      <w:r>
        <w:rPr>
          <w:color w:val="181F24"/>
        </w:rPr>
        <w:t>础外，公司还在</w:t>
      </w:r>
      <w:r>
        <w:rPr/>
        <w:t>电力、医疗、政府、军警</w:t>
      </w:r>
      <w:r>
        <w:rPr>
          <w:color w:val="181F24"/>
        </w:rPr>
        <w:t>等其他领域也有成功的行业案例。公司通过对已有</w:t>
      </w:r>
      <w:r>
        <w:rPr>
          <w:color w:val="181F24"/>
          <w:spacing w:val="-109"/>
        </w:rPr>
        <w:t> </w:t>
      </w:r>
      <w:r>
        <w:rPr>
          <w:color w:val="181F24"/>
          <w:spacing w:val="-109"/>
        </w:rPr>
      </w:r>
      <w:r>
        <w:rPr>
          <w:color w:val="181F24"/>
        </w:rPr>
        <w:t>客户的优质服务，不断实现产品迭代，延伸产品服务链，在增强客户黏性的同时，确保公司</w:t>
      </w:r>
      <w:r>
        <w:rPr/>
      </w:r>
    </w:p>
    <w:p>
      <w:pPr>
        <w:spacing w:after="0" w:line="350"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350" w:lineRule="auto" w:before="199"/>
        <w:ind w:left="634" w:right="0" w:hanging="480"/>
        <w:jc w:val="left"/>
      </w:pPr>
      <w:r>
        <w:rPr>
          <w:color w:val="181F24"/>
        </w:rPr>
        <w:t>主营业务的持续稳定增长。 </w:t>
      </w:r>
      <w:r>
        <w:rPr/>
        <w:t>公司实行直销的销售模式，便于公司自主掌控市场资源。</w:t>
      </w:r>
      <w:r>
        <w:rPr>
          <w:color w:val="181F24"/>
        </w:rPr>
        <w:t>在营销方面，公司多管齐下，</w:t>
      </w:r>
      <w:r>
        <w:rPr/>
      </w:r>
    </w:p>
    <w:p>
      <w:pPr>
        <w:pStyle w:val="BodyText"/>
        <w:spacing w:line="352" w:lineRule="auto"/>
        <w:ind w:right="1129"/>
        <w:jc w:val="both"/>
      </w:pPr>
      <w:r>
        <w:rPr>
          <w:color w:val="181F24"/>
        </w:rPr>
        <w:t>积极开辟新区域新市场，形成了全国营销网络体系。同时，公司与区域型、产品型优势企业</w:t>
      </w:r>
      <w:r>
        <w:rPr>
          <w:color w:val="181F24"/>
          <w:spacing w:val="-101"/>
        </w:rPr>
        <w:t> </w:t>
      </w:r>
      <w:r>
        <w:rPr>
          <w:color w:val="181F24"/>
          <w:spacing w:val="-101"/>
        </w:rPr>
      </w:r>
      <w:r>
        <w:rPr>
          <w:color w:val="181F24"/>
        </w:rPr>
        <w:t>进行合作，实现市场的快速切入与扩张。在优势市场，公司坚持根据地式的市场建设策略，</w:t>
      </w:r>
      <w:r>
        <w:rPr>
          <w:color w:val="181F24"/>
          <w:spacing w:val="-115"/>
        </w:rPr>
        <w:t> </w:t>
      </w:r>
      <w:r>
        <w:rPr>
          <w:color w:val="181F24"/>
          <w:spacing w:val="-115"/>
        </w:rPr>
      </w:r>
      <w:r>
        <w:rPr>
          <w:color w:val="181F24"/>
        </w:rPr>
        <w:t>逐步形成了若干密集、稳固、平稳增长的用户群，使公司拥有更大的市场主动权，同时又可 整合资源</w:t>
      </w:r>
      <w:r>
        <w:rPr/>
        <w:t>进行行业业务拓展。</w:t>
      </w:r>
    </w:p>
    <w:p>
      <w:pPr>
        <w:spacing w:line="350" w:lineRule="auto" w:before="32"/>
        <w:ind w:left="634" w:right="0" w:firstLine="2"/>
        <w:jc w:val="left"/>
        <w:rPr>
          <w:rFonts w:ascii="宋体" w:hAnsi="宋体" w:cs="宋体" w:eastAsia="宋体" w:hint="default"/>
          <w:sz w:val="24"/>
          <w:szCs w:val="24"/>
        </w:rPr>
      </w:pPr>
      <w:r>
        <w:rPr>
          <w:rFonts w:ascii="宋体" w:hAnsi="宋体" w:cs="宋体" w:eastAsia="宋体" w:hint="default"/>
          <w:b/>
          <w:bCs/>
          <w:sz w:val="24"/>
          <w:szCs w:val="24"/>
        </w:rPr>
        <w:t>3</w:t>
      </w:r>
      <w:r>
        <w:rPr>
          <w:rFonts w:ascii="宋体" w:hAnsi="宋体" w:cs="宋体" w:eastAsia="宋体" w:hint="default"/>
          <w:b/>
          <w:bCs/>
          <w:sz w:val="24"/>
          <w:szCs w:val="24"/>
        </w:rPr>
        <w:t>、具备多层次的盈利模式</w:t>
      </w:r>
      <w:r>
        <w:rPr>
          <w:rFonts w:ascii="宋体" w:hAnsi="宋体" w:cs="宋体" w:eastAsia="宋体" w:hint="default"/>
          <w:b/>
          <w:bCs/>
          <w:w w:val="99"/>
          <w:sz w:val="24"/>
          <w:szCs w:val="24"/>
        </w:rPr>
        <w:t> </w:t>
      </w:r>
      <w:r>
        <w:rPr>
          <w:rFonts w:ascii="宋体" w:hAnsi="宋体" w:cs="宋体" w:eastAsia="宋体" w:hint="default"/>
          <w:color w:val="181F24"/>
          <w:sz w:val="24"/>
          <w:szCs w:val="24"/>
        </w:rPr>
        <w:t>公司经过多年的发展，结合行业发展趋势和客户的多层次需求，运用自身的竞争优势和</w:t>
      </w:r>
      <w:r>
        <w:rPr>
          <w:rFonts w:ascii="宋体" w:hAnsi="宋体" w:cs="宋体" w:eastAsia="宋体" w:hint="default"/>
          <w:sz w:val="24"/>
          <w:szCs w:val="24"/>
        </w:rPr>
      </w:r>
    </w:p>
    <w:p>
      <w:pPr>
        <w:pStyle w:val="BodyText"/>
        <w:spacing w:line="350" w:lineRule="auto"/>
        <w:ind w:left="634" w:right="0" w:hanging="480"/>
        <w:jc w:val="left"/>
      </w:pPr>
      <w:r>
        <w:rPr>
          <w:color w:val="181F24"/>
        </w:rPr>
        <w:t>可持续发展能力，逐步形成了多层次的盈利模式： </w:t>
      </w:r>
      <w:r>
        <w:rPr/>
        <w:t>公司具有智慧易通等核心平台，具有电子支付、访问控制、水电节能、金融服务、管理</w:t>
      </w:r>
    </w:p>
    <w:p>
      <w:pPr>
        <w:pStyle w:val="BodyText"/>
        <w:spacing w:line="352" w:lineRule="auto" w:before="35"/>
        <w:ind w:right="1130"/>
        <w:jc w:val="both"/>
      </w:pPr>
      <w:r>
        <w:rPr/>
        <w:t>服务、移动服务、管理决策、系统集成等八大类应用软件产品，具有集卡、码、脸识别为一</w:t>
      </w:r>
      <w:r>
        <w:rPr>
          <w:spacing w:val="-114"/>
        </w:rPr>
        <w:t> </w:t>
      </w:r>
      <w:r>
        <w:rPr>
          <w:spacing w:val="-114"/>
        </w:rPr>
      </w:r>
      <w:r>
        <w:rPr>
          <w:spacing w:val="-2"/>
        </w:rPr>
        <w:t>体的智能化终端及多款无线物联网节水控制器等硬件产品。公司</w:t>
      </w:r>
      <w:r>
        <w:rPr>
          <w:color w:val="181F24"/>
          <w:spacing w:val="-2"/>
        </w:rPr>
        <w:t>通过为</w:t>
      </w:r>
      <w:r>
        <w:rPr>
          <w:rFonts w:ascii="宋体" w:hAnsi="宋体" w:cs="宋体" w:eastAsia="宋体" w:hint="default"/>
          <w:color w:val="181F24"/>
          <w:spacing w:val="-2"/>
        </w:rPr>
        <w:t>B</w:t>
      </w:r>
      <w:r>
        <w:rPr>
          <w:color w:val="181F24"/>
          <w:spacing w:val="-2"/>
        </w:rPr>
        <w:t>端客户提供多样化的</w:t>
      </w:r>
      <w:r>
        <w:rPr>
          <w:color w:val="181F24"/>
        </w:rPr>
        <w:t> 解决方案，向客户提供智能化软硬件产品并完成项目建设，取得项目收益；</w:t>
      </w:r>
      <w:r>
        <w:rPr/>
      </w:r>
    </w:p>
    <w:p>
      <w:pPr>
        <w:pStyle w:val="BodyText"/>
        <w:spacing w:line="352" w:lineRule="auto" w:before="32"/>
        <w:ind w:right="1132" w:firstLine="480"/>
        <w:jc w:val="both"/>
      </w:pPr>
      <w:r>
        <w:rPr/>
        <w:t>公司</w:t>
      </w:r>
      <w:r>
        <w:rPr>
          <w:color w:val="181F24"/>
        </w:rPr>
        <w:t>建立了成熟的客户服务体系，拥有稳定的售后服务队伍。</w:t>
      </w:r>
      <w:r>
        <w:rPr/>
        <w:t>项目建设完成后，</w:t>
      </w:r>
      <w:r>
        <w:rPr>
          <w:color w:val="181F24"/>
        </w:rPr>
        <w:t>通过为</w:t>
      </w:r>
      <w:r>
        <w:rPr>
          <w:color w:val="181F24"/>
        </w:rPr>
        <w:t> 用户提供优质高效的产品售后服务，同时开展后续产品延伸销售，实现服务收益；</w:t>
      </w:r>
      <w:r>
        <w:rPr/>
      </w:r>
    </w:p>
    <w:p>
      <w:pPr>
        <w:pStyle w:val="BodyText"/>
        <w:spacing w:line="352" w:lineRule="auto" w:before="33"/>
        <w:ind w:right="1130" w:firstLine="480"/>
        <w:jc w:val="both"/>
      </w:pPr>
      <w:r>
        <w:rPr>
          <w:color w:val="181F24"/>
        </w:rPr>
        <w:t>公司通过整合高校运营资源，提供自助洗衣、自助打印等服务，开展线下运营。通过采 </w:t>
      </w:r>
      <w:r>
        <w:rPr>
          <w:color w:val="181F24"/>
          <w:spacing w:val="-2"/>
        </w:rPr>
        <w:t>用</w:t>
      </w:r>
      <w:r>
        <w:rPr>
          <w:rFonts w:ascii="宋体" w:hAnsi="宋体" w:cs="宋体" w:eastAsia="宋体" w:hint="default"/>
          <w:color w:val="181F24"/>
          <w:spacing w:val="-2"/>
        </w:rPr>
        <w:t>BOT</w:t>
      </w:r>
      <w:r>
        <w:rPr>
          <w:color w:val="181F24"/>
          <w:spacing w:val="-2"/>
        </w:rPr>
        <w:t>模式向高校提供无线网络运营、水电运营等增值服务及整体解决方案。通过构建公共云</w:t>
      </w:r>
      <w:r>
        <w:rPr>
          <w:color w:val="181F24"/>
          <w:spacing w:val="-118"/>
        </w:rPr>
        <w:t> </w:t>
      </w:r>
      <w:r>
        <w:rPr>
          <w:color w:val="181F24"/>
          <w:spacing w:val="-118"/>
        </w:rPr>
      </w:r>
      <w:r>
        <w:rPr>
          <w:color w:val="181F24"/>
        </w:rPr>
        <w:t>服务平台，为</w:t>
      </w:r>
      <w:r>
        <w:rPr>
          <w:rFonts w:ascii="宋体" w:hAnsi="宋体" w:cs="宋体" w:eastAsia="宋体" w:hint="default"/>
          <w:color w:val="181F24"/>
        </w:rPr>
        <w:t>C</w:t>
      </w:r>
      <w:r>
        <w:rPr>
          <w:color w:val="181F24"/>
        </w:rPr>
        <w:t>端用户提供精准、高效、便捷的线上线下一体化服务，公司业务从（</w:t>
      </w:r>
      <w:r>
        <w:rPr>
          <w:rFonts w:ascii="宋体" w:hAnsi="宋体" w:cs="宋体" w:eastAsia="宋体" w:hint="default"/>
          <w:color w:val="181F24"/>
        </w:rPr>
        <w:t>To</w:t>
      </w:r>
      <w:r>
        <w:rPr>
          <w:rFonts w:ascii="宋体" w:hAnsi="宋体" w:cs="宋体" w:eastAsia="宋体" w:hint="default"/>
          <w:color w:val="181F24"/>
          <w:spacing w:val="-79"/>
        </w:rPr>
        <w:t> </w:t>
      </w:r>
      <w:r>
        <w:rPr>
          <w:rFonts w:ascii="宋体" w:hAnsi="宋体" w:cs="宋体" w:eastAsia="宋体" w:hint="default"/>
          <w:color w:val="181F24"/>
          <w:spacing w:val="-3"/>
        </w:rPr>
        <w:t>B</w:t>
      </w:r>
      <w:r>
        <w:rPr>
          <w:color w:val="181F24"/>
          <w:spacing w:val="-3"/>
        </w:rPr>
        <w:t>）到</w:t>
      </w:r>
      <w:r>
        <w:rPr/>
      </w:r>
    </w:p>
    <w:p>
      <w:pPr>
        <w:spacing w:line="350" w:lineRule="auto" w:before="32"/>
        <w:ind w:left="636" w:right="6673" w:hanging="483"/>
        <w:jc w:val="left"/>
        <w:rPr>
          <w:rFonts w:ascii="宋体" w:hAnsi="宋体" w:cs="宋体" w:eastAsia="宋体" w:hint="default"/>
          <w:sz w:val="24"/>
          <w:szCs w:val="24"/>
        </w:rPr>
      </w:pPr>
      <w:r>
        <w:rPr>
          <w:rFonts w:ascii="宋体" w:hAnsi="宋体" w:cs="宋体" w:eastAsia="宋体" w:hint="default"/>
          <w:color w:val="181F24"/>
          <w:sz w:val="24"/>
          <w:szCs w:val="24"/>
        </w:rPr>
        <w:t>（</w:t>
      </w:r>
      <w:r>
        <w:rPr>
          <w:rFonts w:ascii="宋体" w:hAnsi="宋体" w:cs="宋体" w:eastAsia="宋体" w:hint="default"/>
          <w:color w:val="181F24"/>
          <w:sz w:val="24"/>
          <w:szCs w:val="24"/>
        </w:rPr>
        <w:t>To C</w:t>
      </w:r>
      <w:r>
        <w:rPr>
          <w:rFonts w:ascii="宋体" w:hAnsi="宋体" w:cs="宋体" w:eastAsia="宋体" w:hint="default"/>
          <w:color w:val="181F24"/>
          <w:sz w:val="24"/>
          <w:szCs w:val="24"/>
        </w:rPr>
        <w:t>）的服务延伸，实现运营收益。 </w:t>
      </w:r>
      <w:r>
        <w:rPr>
          <w:rFonts w:ascii="宋体" w:hAnsi="宋体" w:cs="宋体" w:eastAsia="宋体" w:hint="default"/>
          <w:b/>
          <w:bCs/>
          <w:sz w:val="24"/>
          <w:szCs w:val="24"/>
        </w:rPr>
        <w:t>4</w:t>
      </w:r>
      <w:r>
        <w:rPr>
          <w:rFonts w:ascii="宋体" w:hAnsi="宋体" w:cs="宋体" w:eastAsia="宋体" w:hint="default"/>
          <w:b/>
          <w:bCs/>
          <w:sz w:val="24"/>
          <w:szCs w:val="24"/>
        </w:rPr>
        <w:t>、具有健全的客户服务体系</w:t>
      </w:r>
      <w:r>
        <w:rPr>
          <w:rFonts w:ascii="宋体" w:hAnsi="宋体" w:cs="宋体" w:eastAsia="宋体" w:hint="default"/>
          <w:sz w:val="24"/>
          <w:szCs w:val="24"/>
        </w:rPr>
      </w:r>
    </w:p>
    <w:p>
      <w:pPr>
        <w:pStyle w:val="BodyText"/>
        <w:spacing w:line="350" w:lineRule="auto"/>
        <w:ind w:right="1132" w:firstLine="480"/>
        <w:jc w:val="both"/>
      </w:pPr>
      <w:r>
        <w:rPr>
          <w:color w:val="181F24"/>
        </w:rPr>
        <w:t>公司在发展过程中注重与客户建立紧密的合作关系，共同发展、共同成长，逐步形成了 良好的公司美誉和较强的品牌影响力。</w:t>
      </w:r>
      <w:r>
        <w:rPr/>
      </w:r>
    </w:p>
    <w:p>
      <w:pPr>
        <w:pStyle w:val="BodyText"/>
        <w:spacing w:line="350" w:lineRule="auto" w:before="35"/>
        <w:ind w:right="1131" w:firstLine="480"/>
        <w:jc w:val="both"/>
      </w:pPr>
      <w:r>
        <w:rPr/>
        <w:t>公司深入了解客户状况，形成了多层面的互动交流沟通机制与客户服务应急保障机制， </w:t>
      </w:r>
      <w:r>
        <w:rPr>
          <w:color w:val="181F24"/>
        </w:rPr>
        <w:t>建立了成熟的客户服务体系</w:t>
      </w:r>
      <w:r>
        <w:rPr/>
        <w:t>；明确客户服务标准，组建稳定的客户服务队伍，</w:t>
      </w:r>
      <w:r>
        <w:rPr>
          <w:color w:val="181F24"/>
        </w:rPr>
        <w:t>实现了扁平化</w:t>
      </w:r>
      <w:r>
        <w:rPr>
          <w:color w:val="181F24"/>
          <w:spacing w:val="-109"/>
        </w:rPr>
        <w:t> </w:t>
      </w:r>
      <w:r>
        <w:rPr>
          <w:color w:val="181F24"/>
          <w:spacing w:val="-109"/>
        </w:rPr>
      </w:r>
      <w:r>
        <w:rPr>
          <w:color w:val="181F24"/>
        </w:rPr>
        <w:t>响应机制，运用全国呼叫中心、属地化服务、驻场服务、远程服务、在线服务云平台等多种</w:t>
      </w:r>
      <w:r>
        <w:rPr>
          <w:color w:val="181F24"/>
          <w:spacing w:val="-116"/>
        </w:rPr>
        <w:t> </w:t>
      </w:r>
      <w:r>
        <w:rPr>
          <w:color w:val="181F24"/>
          <w:spacing w:val="-116"/>
        </w:rPr>
      </w:r>
      <w:r>
        <w:rPr>
          <w:color w:val="181F24"/>
        </w:rPr>
        <w:t>方式</w:t>
      </w:r>
      <w:r>
        <w:rPr/>
        <w:t>及时处理客户的问题；健全客户服务督查机制，根据</w:t>
      </w:r>
      <w:r>
        <w:rPr>
          <w:rFonts w:ascii="宋体" w:hAnsi="宋体" w:cs="宋体" w:eastAsia="宋体" w:hint="default"/>
        </w:rPr>
        <w:t>ITSS</w:t>
      </w:r>
      <w:r>
        <w:rPr/>
        <w:t>服务体系要求，建立客户服务</w:t>
      </w:r>
      <w:r>
        <w:rPr>
          <w:spacing w:val="-110"/>
        </w:rPr>
        <w:t> </w:t>
      </w:r>
      <w:r>
        <w:rPr>
          <w:spacing w:val="-110"/>
        </w:rPr>
      </w:r>
      <w:r>
        <w:rPr/>
        <w:t>反馈与检查机制，加强对客户服务的后台回访，对服务过程、质量、记录进行定期巡查和不</w:t>
      </w:r>
      <w:r>
        <w:rPr>
          <w:spacing w:val="-114"/>
        </w:rPr>
        <w:t> </w:t>
      </w:r>
      <w:r>
        <w:rPr>
          <w:spacing w:val="-114"/>
        </w:rPr>
      </w:r>
      <w:r>
        <w:rPr/>
        <w:t>定期抽查，针对客户满意度进行反馈、记录、考核</w:t>
      </w:r>
      <w:r>
        <w:rPr>
          <w:color w:val="181F24"/>
        </w:rPr>
        <w:t>，提升整体服务效率和客户满意度，确保</w:t>
      </w:r>
      <w:r>
        <w:rPr>
          <w:color w:val="181F24"/>
          <w:spacing w:val="-113"/>
        </w:rPr>
        <w:t> </w:t>
      </w:r>
      <w:r>
        <w:rPr>
          <w:color w:val="181F24"/>
          <w:spacing w:val="-113"/>
        </w:rPr>
      </w:r>
      <w:r>
        <w:rPr>
          <w:color w:val="181F24"/>
        </w:rPr>
        <w:t>为客户提供优质高效的服务。</w:t>
      </w:r>
      <w:r>
        <w:rPr/>
      </w:r>
    </w:p>
    <w:p>
      <w:pPr>
        <w:pStyle w:val="Heading2"/>
        <w:spacing w:line="240" w:lineRule="auto" w:before="36"/>
        <w:ind w:left="636" w:right="0"/>
        <w:jc w:val="left"/>
        <w:rPr>
          <w:b w:val="0"/>
          <w:bCs w:val="0"/>
        </w:rPr>
      </w:pPr>
      <w:r>
        <w:rPr>
          <w:rFonts w:ascii="宋体" w:hAnsi="宋体" w:cs="宋体" w:eastAsia="宋体" w:hint="default"/>
        </w:rPr>
        <w:t>5</w:t>
      </w:r>
      <w:r>
        <w:rPr/>
        <w:t>、具有独特的企业文化与团队建设优势</w:t>
      </w:r>
      <w:r>
        <w:rPr>
          <w:b w:val="0"/>
          <w:bCs w:val="0"/>
        </w:rPr>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pStyle w:val="BodyText"/>
        <w:spacing w:line="350" w:lineRule="auto" w:before="199"/>
        <w:ind w:right="994" w:firstLine="480"/>
        <w:jc w:val="left"/>
      </w:pPr>
      <w:r>
        <w:rPr/>
        <w:t>公司注重将军事化管理与科学化管理相结合，形成了具有军人特质企业文化。在管理上 强调以人为本，注重引才、育才、用才，关注员工成长与发展，努力构建“天高任鸟飞，海 阔凭鱼跃”的发展环境。公司引入人力资源咨询机构，加快推进人力资源体系建设，建立职 岗薪酬体系，完善以市场为导向的考核激励制度。出台奖励政策，鼓励员工参加执业资格考 试与职称认定。开设“正元学堂”，定期开展新员工军训，针对技术研发、市场营销、职能</w:t>
      </w:r>
      <w:r>
        <w:rPr>
          <w:spacing w:val="-114"/>
        </w:rPr>
        <w:t> </w:t>
      </w:r>
      <w:r>
        <w:rPr>
          <w:spacing w:val="-114"/>
        </w:rPr>
      </w:r>
      <w:r>
        <w:rPr>
          <w:spacing w:val="-2"/>
        </w:rPr>
        <w:t>管理人员实施多层级培训，打造学习型组织。建立专业的任职资格评价体系和人才评鉴体系，</w:t>
      </w:r>
      <w:r>
        <w:rPr/>
        <w:t> 形成了完整的后备力量培养和储备机制，以满足公司快速发展过程中对人才的需求。</w:t>
      </w:r>
    </w:p>
    <w:p>
      <w:pPr>
        <w:spacing w:after="0" w:line="35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2966" w:right="0"/>
        <w:jc w:val="left"/>
        <w:rPr>
          <w:b w:val="0"/>
          <w:bCs w:val="0"/>
        </w:rPr>
      </w:pPr>
      <w:bookmarkStart w:name="第四节 经营情况讨论与分析" w:id="22"/>
      <w:bookmarkEnd w:id="22"/>
      <w:r>
        <w:rPr>
          <w:b w:val="0"/>
          <w:bCs w:val="0"/>
        </w:rPr>
      </w:r>
      <w:r>
        <w:rPr/>
        <w:t>第四节</w:t>
      </w:r>
      <w:r>
        <w:rPr>
          <w:spacing w:val="-10"/>
        </w:rPr>
        <w:t> </w:t>
      </w:r>
      <w:r>
        <w:rPr/>
        <w:t>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both"/>
        <w:rPr>
          <w:b w:val="0"/>
          <w:bCs w:val="0"/>
        </w:rPr>
      </w:pPr>
      <w:bookmarkStart w:name="一、概述" w:id="23"/>
      <w:bookmarkEnd w:id="23"/>
      <w:r>
        <w:rPr>
          <w:b w:val="0"/>
          <w:bCs w:val="0"/>
        </w:rPr>
      </w:r>
      <w:r>
        <w:rPr/>
        <w:t>一、概述</w:t>
      </w:r>
      <w:r>
        <w:rPr>
          <w:b w:val="0"/>
          <w:bCs w:val="0"/>
        </w:rPr>
      </w:r>
    </w:p>
    <w:p>
      <w:pPr>
        <w:spacing w:line="240" w:lineRule="auto" w:before="11"/>
        <w:rPr>
          <w:rFonts w:ascii="宋体" w:hAnsi="宋体" w:cs="宋体" w:eastAsia="宋体" w:hint="default"/>
          <w:b/>
          <w:bCs/>
          <w:sz w:val="28"/>
          <w:szCs w:val="28"/>
        </w:rPr>
      </w:pPr>
    </w:p>
    <w:p>
      <w:pPr>
        <w:pStyle w:val="BodyText"/>
        <w:spacing w:line="357" w:lineRule="auto" w:before="0"/>
        <w:ind w:right="0" w:firstLine="480"/>
        <w:jc w:val="left"/>
      </w:pPr>
      <w:r>
        <w:rPr/>
        <w:t>报告期内，面对多变的外部环境、快速的技术迭代和激烈的行业竞争，公司乘势发展、 </w:t>
      </w:r>
      <w:r>
        <w:rPr>
          <w:spacing w:val="-3"/>
        </w:rPr>
        <w:t>主动应变，加大市场投入，加快市场拓展力度，市场占有率进一步提高；积极进行市场整合、</w:t>
      </w:r>
      <w:r>
        <w:rPr>
          <w:spacing w:val="-81"/>
        </w:rPr>
        <w:t> </w:t>
      </w:r>
      <w:r>
        <w:rPr>
          <w:spacing w:val="-81"/>
        </w:rPr>
      </w:r>
      <w:r>
        <w:rPr/>
        <w:t>资源整合，打造协同发展生态链；深入研究新兴技术，不断推出新产品，产品体系进一步完 善；加强企业管理规范，优化人力资源管理体系，公司发展稳步推进。</w:t>
      </w:r>
    </w:p>
    <w:p>
      <w:pPr>
        <w:pStyle w:val="BodyText"/>
        <w:spacing w:line="357" w:lineRule="auto"/>
        <w:ind w:right="1131" w:firstLine="480"/>
        <w:jc w:val="both"/>
      </w:pPr>
      <w:r>
        <w:rPr>
          <w:spacing w:val="-2"/>
        </w:rPr>
        <w:t>报告期内，公司实现营业收入</w:t>
      </w:r>
      <w:r>
        <w:rPr>
          <w:rFonts w:ascii="宋体" w:hAnsi="宋体" w:cs="宋体" w:eastAsia="宋体" w:hint="default"/>
          <w:spacing w:val="-2"/>
        </w:rPr>
        <w:t>56,683.65</w:t>
      </w:r>
      <w:r>
        <w:rPr>
          <w:spacing w:val="-2"/>
        </w:rPr>
        <w:t>万元，比上年同期增长</w:t>
      </w:r>
      <w:r>
        <w:rPr>
          <w:rFonts w:ascii="宋体" w:hAnsi="宋体" w:cs="宋体" w:eastAsia="宋体" w:hint="default"/>
          <w:spacing w:val="-2"/>
        </w:rPr>
        <w:t>26.27%</w:t>
      </w:r>
      <w:r>
        <w:rPr>
          <w:spacing w:val="-2"/>
        </w:rPr>
        <w:t>；实现归属于上市</w:t>
      </w:r>
      <w:r>
        <w:rPr/>
        <w:t> 公司股东的净利润</w:t>
      </w:r>
      <w:r>
        <w:rPr>
          <w:rFonts w:ascii="宋体" w:hAnsi="宋体" w:cs="宋体" w:eastAsia="宋体" w:hint="default"/>
        </w:rPr>
        <w:t>5,035.38</w:t>
      </w:r>
      <w:r>
        <w:rPr/>
        <w:t>万元，比上年同期增长</w:t>
      </w:r>
      <w:r>
        <w:rPr>
          <w:rFonts w:ascii="宋体" w:hAnsi="宋体" w:cs="宋体" w:eastAsia="宋体" w:hint="default"/>
        </w:rPr>
        <w:t>19.98%</w:t>
      </w:r>
      <w:r>
        <w:rPr/>
        <w:t>；扣非后归属于上市公司股东的净</w:t>
      </w:r>
      <w:r>
        <w:rPr>
          <w:spacing w:val="-88"/>
        </w:rPr>
        <w:t> </w:t>
      </w:r>
      <w:r>
        <w:rPr>
          <w:spacing w:val="-88"/>
        </w:rPr>
      </w:r>
      <w:r>
        <w:rPr/>
        <w:t>利润</w:t>
      </w:r>
      <w:r>
        <w:rPr>
          <w:rFonts w:ascii="宋体" w:hAnsi="宋体" w:cs="宋体" w:eastAsia="宋体" w:hint="default"/>
        </w:rPr>
        <w:t>4,740.28</w:t>
      </w:r>
      <w:r>
        <w:rPr/>
        <w:t>万元，增长</w:t>
      </w:r>
      <w:r>
        <w:rPr>
          <w:rFonts w:ascii="宋体" w:hAnsi="宋体" w:cs="宋体" w:eastAsia="宋体" w:hint="default"/>
        </w:rPr>
        <w:t>22.59%</w:t>
      </w:r>
      <w:r>
        <w:rPr/>
        <w:t>。报告期内公司营业收入及归属于上市公司股东的净利润较</w:t>
      </w:r>
      <w:r>
        <w:rPr>
          <w:spacing w:val="-88"/>
        </w:rPr>
        <w:t> </w:t>
      </w:r>
      <w:r>
        <w:rPr>
          <w:spacing w:val="-88"/>
        </w:rPr>
      </w:r>
      <w:r>
        <w:rPr/>
        <w:t>上年同期均有一定增长。</w:t>
      </w:r>
    </w:p>
    <w:p>
      <w:pPr>
        <w:pStyle w:val="BodyText"/>
        <w:spacing w:line="357" w:lineRule="auto"/>
        <w:ind w:right="1128" w:firstLine="480"/>
        <w:jc w:val="both"/>
      </w:pPr>
      <w:r>
        <w:rPr/>
        <w:t>报告期内，公司实施了</w:t>
      </w:r>
      <w:r>
        <w:rPr>
          <w:rFonts w:ascii="宋体" w:hAnsi="宋体" w:cs="宋体" w:eastAsia="宋体" w:hint="default"/>
        </w:rPr>
        <w:t>2017</w:t>
      </w:r>
      <w:r>
        <w:rPr/>
        <w:t>年度利润分配方案，以总股本</w:t>
      </w:r>
      <w:r>
        <w:rPr>
          <w:rFonts w:ascii="宋体" w:hAnsi="宋体" w:cs="宋体" w:eastAsia="宋体" w:hint="default"/>
        </w:rPr>
        <w:t>66,666,667</w:t>
      </w:r>
      <w:r>
        <w:rPr/>
        <w:t>股为基数，向全体</w:t>
      </w:r>
      <w:r>
        <w:rPr>
          <w:spacing w:val="1"/>
        </w:rPr>
        <w:t> </w:t>
      </w:r>
      <w:r>
        <w:rPr>
          <w:spacing w:val="-2"/>
        </w:rPr>
        <w:t>股东按每</w:t>
      </w:r>
      <w:r>
        <w:rPr>
          <w:rFonts w:ascii="宋体" w:hAnsi="宋体" w:cs="宋体" w:eastAsia="宋体" w:hint="default"/>
          <w:spacing w:val="-2"/>
        </w:rPr>
        <w:t>10</w:t>
      </w:r>
      <w:r>
        <w:rPr>
          <w:spacing w:val="-2"/>
        </w:rPr>
        <w:t>股派发现金股利人民币</w:t>
      </w:r>
      <w:r>
        <w:rPr>
          <w:rFonts w:ascii="宋体" w:hAnsi="宋体" w:cs="宋体" w:eastAsia="宋体" w:hint="default"/>
          <w:spacing w:val="-2"/>
        </w:rPr>
        <w:t>2.00</w:t>
      </w:r>
      <w:r>
        <w:rPr>
          <w:spacing w:val="-2"/>
        </w:rPr>
        <w:t>元（含税），合计派发现金股利</w:t>
      </w:r>
      <w:r>
        <w:rPr>
          <w:rFonts w:ascii="宋体" w:hAnsi="宋体" w:cs="宋体" w:eastAsia="宋体" w:hint="default"/>
          <w:spacing w:val="-2"/>
        </w:rPr>
        <w:t>13,333,333.40</w:t>
      </w:r>
      <w:r>
        <w:rPr>
          <w:spacing w:val="-2"/>
        </w:rPr>
        <w:t>元（含</w:t>
      </w:r>
      <w:r>
        <w:rPr>
          <w:spacing w:val="-116"/>
        </w:rPr>
        <w:t> </w:t>
      </w:r>
      <w:r>
        <w:rPr>
          <w:spacing w:val="-40"/>
        </w:rPr>
        <w:t>税）。</w:t>
      </w:r>
    </w:p>
    <w:p>
      <w:pPr>
        <w:spacing w:line="357" w:lineRule="auto" w:before="36"/>
        <w:ind w:left="634" w:right="0" w:firstLine="2"/>
        <w:jc w:val="left"/>
        <w:rPr>
          <w:rFonts w:ascii="宋体" w:hAnsi="宋体" w:cs="宋体" w:eastAsia="宋体" w:hint="default"/>
          <w:sz w:val="24"/>
          <w:szCs w:val="24"/>
        </w:rPr>
      </w:pPr>
      <w:r>
        <w:rPr>
          <w:rFonts w:ascii="宋体" w:hAnsi="宋体" w:cs="宋体" w:eastAsia="宋体" w:hint="default"/>
          <w:b/>
          <w:bCs/>
          <w:color w:val="181F24"/>
          <w:sz w:val="24"/>
          <w:szCs w:val="24"/>
        </w:rPr>
        <w:t>（一）加大市场拓展力度，着力推进全国市场</w:t>
      </w:r>
      <w:r>
        <w:rPr>
          <w:rFonts w:ascii="宋体" w:hAnsi="宋体" w:cs="宋体" w:eastAsia="宋体" w:hint="default"/>
          <w:b/>
          <w:bCs/>
          <w:color w:val="181F24"/>
          <w:w w:val="99"/>
          <w:sz w:val="24"/>
          <w:szCs w:val="24"/>
        </w:rPr>
        <w:t> </w:t>
      </w:r>
      <w:r>
        <w:rPr>
          <w:rFonts w:ascii="宋体" w:hAnsi="宋体" w:cs="宋体" w:eastAsia="宋体" w:hint="default"/>
          <w:color w:val="181F24"/>
          <w:sz w:val="24"/>
          <w:szCs w:val="24"/>
        </w:rPr>
        <w:t>公司发挥区域优势，原有市场稳步发展，增幅保持较高水平；积极开辟全国新区域新市</w:t>
      </w:r>
      <w:r>
        <w:rPr>
          <w:rFonts w:ascii="宋体" w:hAnsi="宋体" w:cs="宋体" w:eastAsia="宋体" w:hint="default"/>
          <w:sz w:val="24"/>
          <w:szCs w:val="24"/>
        </w:rPr>
      </w:r>
    </w:p>
    <w:p>
      <w:pPr>
        <w:pStyle w:val="BodyText"/>
        <w:spacing w:line="357" w:lineRule="auto" w:before="35"/>
        <w:ind w:right="1131"/>
        <w:jc w:val="both"/>
      </w:pPr>
      <w:r>
        <w:rPr>
          <w:color w:val="181F24"/>
        </w:rPr>
        <w:t>场，并在部分省市取得较大突破。公司整体业绩持续稳步增长。</w:t>
      </w:r>
      <w:r>
        <w:rPr>
          <w:rFonts w:ascii="宋体" w:hAnsi="宋体" w:cs="宋体" w:eastAsia="宋体" w:hint="default"/>
          <w:color w:val="181F24"/>
        </w:rPr>
        <w:t>2018</w:t>
      </w:r>
      <w:r>
        <w:rPr>
          <w:color w:val="181F24"/>
        </w:rPr>
        <w:t>年公司在广东、云南、</w:t>
      </w:r>
      <w:r>
        <w:rPr>
          <w:color w:val="181F24"/>
          <w:spacing w:val="-100"/>
        </w:rPr>
        <w:t> </w:t>
      </w:r>
      <w:r>
        <w:rPr>
          <w:color w:val="181F24"/>
          <w:spacing w:val="-100"/>
        </w:rPr>
      </w:r>
      <w:r>
        <w:rPr>
          <w:color w:val="181F24"/>
        </w:rPr>
        <w:t>吉林、黑龙江等省新设分支机构，且均有项目落地；山西、河南、湖北、天津及东北市场均</w:t>
      </w:r>
      <w:r>
        <w:rPr>
          <w:color w:val="181F24"/>
        </w:rPr>
        <w:t> 有较大发展。成熟市场全面提升，全国布局基本形成。</w:t>
      </w:r>
      <w:r>
        <w:rPr/>
      </w:r>
    </w:p>
    <w:p>
      <w:pPr>
        <w:spacing w:line="357" w:lineRule="auto" w:before="36"/>
        <w:ind w:left="634" w:right="0" w:firstLine="2"/>
        <w:jc w:val="left"/>
        <w:rPr>
          <w:rFonts w:ascii="宋体" w:hAnsi="宋体" w:cs="宋体" w:eastAsia="宋体" w:hint="default"/>
          <w:sz w:val="24"/>
          <w:szCs w:val="24"/>
        </w:rPr>
      </w:pPr>
      <w:r>
        <w:rPr>
          <w:rFonts w:ascii="宋体" w:hAnsi="宋体" w:cs="宋体" w:eastAsia="宋体" w:hint="default"/>
          <w:b/>
          <w:bCs/>
          <w:color w:val="181F24"/>
          <w:sz w:val="24"/>
          <w:szCs w:val="24"/>
        </w:rPr>
        <w:t>（二）探索新业务新模式，线上线下运营取得突破</w:t>
      </w:r>
      <w:r>
        <w:rPr>
          <w:rFonts w:ascii="宋体" w:hAnsi="宋体" w:cs="宋体" w:eastAsia="宋体" w:hint="default"/>
          <w:b/>
          <w:bCs/>
          <w:color w:val="181F24"/>
          <w:w w:val="99"/>
          <w:sz w:val="24"/>
          <w:szCs w:val="24"/>
        </w:rPr>
        <w:t> </w:t>
      </w:r>
      <w:r>
        <w:rPr>
          <w:rFonts w:ascii="宋体" w:hAnsi="宋体" w:cs="宋体" w:eastAsia="宋体" w:hint="default"/>
          <w:color w:val="181F24"/>
          <w:sz w:val="24"/>
          <w:szCs w:val="24"/>
        </w:rPr>
        <w:t>开放整合，探索运营服务新模式，加大对云平台的投入，推出“易校园”，线上运营呈</w:t>
      </w:r>
      <w:r>
        <w:rPr>
          <w:rFonts w:ascii="宋体" w:hAnsi="宋体" w:cs="宋体" w:eastAsia="宋体" w:hint="default"/>
          <w:sz w:val="24"/>
          <w:szCs w:val="24"/>
        </w:rPr>
      </w:r>
    </w:p>
    <w:p>
      <w:pPr>
        <w:pStyle w:val="BodyText"/>
        <w:spacing w:line="357" w:lineRule="auto"/>
        <w:ind w:right="1137"/>
        <w:jc w:val="both"/>
      </w:pPr>
      <w:r>
        <w:rPr>
          <w:color w:val="181F24"/>
        </w:rPr>
        <w:t>现新态势；投资成立浙江小兰智慧科技有限公司，引入互联网技术对传统校园自助洗衣服务</w:t>
      </w:r>
      <w:r>
        <w:rPr>
          <w:color w:val="181F24"/>
          <w:spacing w:val="-113"/>
        </w:rPr>
        <w:t> </w:t>
      </w:r>
      <w:r>
        <w:rPr>
          <w:color w:val="181F24"/>
          <w:spacing w:val="-113"/>
        </w:rPr>
      </w:r>
      <w:r>
        <w:rPr>
          <w:color w:val="181F24"/>
        </w:rPr>
        <w:t>进行全面的革新升级；投资成立浙江坚果智慧科技有限公司，切入基础教育食品安全智能监 管业务；与网络运营公司合作，开展智慧校园投资运营业务，尝试新的发展模式。</w:t>
      </w:r>
      <w:r>
        <w:rPr/>
      </w:r>
    </w:p>
    <w:p>
      <w:pPr>
        <w:spacing w:line="357" w:lineRule="auto" w:before="36"/>
        <w:ind w:left="634" w:right="0" w:firstLine="2"/>
        <w:jc w:val="left"/>
        <w:rPr>
          <w:rFonts w:ascii="宋体" w:hAnsi="宋体" w:cs="宋体" w:eastAsia="宋体" w:hint="default"/>
          <w:sz w:val="24"/>
          <w:szCs w:val="24"/>
        </w:rPr>
      </w:pPr>
      <w:r>
        <w:rPr>
          <w:rFonts w:ascii="宋体" w:hAnsi="宋体" w:cs="宋体" w:eastAsia="宋体" w:hint="default"/>
          <w:b/>
          <w:bCs/>
          <w:color w:val="181F24"/>
          <w:sz w:val="24"/>
          <w:szCs w:val="24"/>
        </w:rPr>
        <w:t>（三）持续推进行业建设，加快开拓应用新领域</w:t>
      </w:r>
      <w:r>
        <w:rPr>
          <w:rFonts w:ascii="宋体" w:hAnsi="宋体" w:cs="宋体" w:eastAsia="宋体" w:hint="default"/>
          <w:b/>
          <w:bCs/>
          <w:color w:val="181F24"/>
          <w:w w:val="99"/>
          <w:sz w:val="24"/>
          <w:szCs w:val="24"/>
        </w:rPr>
        <w:t> </w:t>
      </w:r>
      <w:r>
        <w:rPr>
          <w:rFonts w:ascii="宋体" w:hAnsi="宋体" w:cs="宋体" w:eastAsia="宋体" w:hint="default"/>
          <w:sz w:val="24"/>
          <w:szCs w:val="24"/>
        </w:rPr>
        <w:t>公司积极向电力、水利、军警、卫生等其他行业的信息化领域覆盖，形成了综合的信息</w:t>
      </w:r>
    </w:p>
    <w:p>
      <w:pPr>
        <w:pStyle w:val="BodyText"/>
        <w:spacing w:line="357" w:lineRule="auto"/>
        <w:ind w:right="1129"/>
        <w:jc w:val="both"/>
      </w:pPr>
      <w:r>
        <w:rPr/>
        <w:t>化管理、服务和运维的行业整体解决方案。构建并实施了智慧易通多园区服务平台，</w:t>
      </w:r>
      <w:r>
        <w:rPr>
          <w:color w:val="181F24"/>
        </w:rPr>
        <w:t>面向行</w:t>
      </w:r>
      <w:r>
        <w:rPr>
          <w:color w:val="181F24"/>
          <w:spacing w:val="-108"/>
        </w:rPr>
        <w:t> </w:t>
      </w:r>
      <w:r>
        <w:rPr>
          <w:color w:val="181F24"/>
          <w:spacing w:val="-108"/>
        </w:rPr>
      </w:r>
      <w:r>
        <w:rPr>
          <w:color w:val="181F24"/>
        </w:rPr>
        <w:t>业或地域的多园区多客户</w:t>
      </w:r>
      <w:r>
        <w:rPr/>
        <w:t>提供</w:t>
      </w:r>
      <w:r>
        <w:rPr>
          <w:color w:val="181F24"/>
        </w:rPr>
        <w:t>统一的平台接入服务；</w:t>
      </w:r>
      <w:r>
        <w:rPr/>
        <w:t>构建了智慧后勤一体化服务平台，全面</w:t>
      </w:r>
    </w:p>
    <w:p>
      <w:pPr>
        <w:spacing w:after="0" w:line="357" w:lineRule="auto"/>
        <w:jc w:val="both"/>
        <w:sectPr>
          <w:pgSz w:w="11910" w:h="16840"/>
          <w:pgMar w:header="747" w:footer="979" w:top="1060" w:bottom="1160" w:left="980" w:right="0"/>
        </w:sectPr>
      </w:pPr>
    </w:p>
    <w:p>
      <w:pPr>
        <w:spacing w:line="240" w:lineRule="auto" w:before="7"/>
        <w:rPr>
          <w:rFonts w:ascii="宋体" w:hAnsi="宋体" w:cs="宋体" w:eastAsia="宋体" w:hint="default"/>
          <w:sz w:val="29"/>
          <w:szCs w:val="29"/>
        </w:rPr>
      </w:pPr>
    </w:p>
    <w:p>
      <w:pPr>
        <w:pStyle w:val="BodyText"/>
        <w:spacing w:line="357" w:lineRule="auto" w:before="26"/>
        <w:ind w:right="994"/>
        <w:jc w:val="left"/>
      </w:pPr>
      <w:r>
        <w:rPr>
          <w:spacing w:val="-2"/>
        </w:rPr>
        <w:t>提升后勤服务信息化保障水平；推出了电力基建现场安全管控系统，促进电力企业规范生产，</w:t>
      </w:r>
      <w:r>
        <w:rPr/>
        <w:t> 提升基建施工安全管理水平。</w:t>
      </w:r>
    </w:p>
    <w:p>
      <w:pPr>
        <w:spacing w:line="357" w:lineRule="auto" w:before="36"/>
        <w:ind w:left="634" w:right="0" w:firstLine="2"/>
        <w:jc w:val="left"/>
        <w:rPr>
          <w:rFonts w:ascii="宋体" w:hAnsi="宋体" w:cs="宋体" w:eastAsia="宋体" w:hint="default"/>
          <w:sz w:val="24"/>
          <w:szCs w:val="24"/>
        </w:rPr>
      </w:pPr>
      <w:r>
        <w:rPr>
          <w:rFonts w:ascii="宋体" w:hAnsi="宋体" w:cs="宋体" w:eastAsia="宋体" w:hint="default"/>
          <w:b/>
          <w:bCs/>
          <w:color w:val="181F24"/>
          <w:sz w:val="24"/>
          <w:szCs w:val="24"/>
        </w:rPr>
        <w:t>（四）深化合作互利共赢，携手推动业务发展</w:t>
      </w:r>
      <w:r>
        <w:rPr>
          <w:rFonts w:ascii="宋体" w:hAnsi="宋体" w:cs="宋体" w:eastAsia="宋体" w:hint="default"/>
          <w:b/>
          <w:bCs/>
          <w:color w:val="181F24"/>
          <w:w w:val="99"/>
          <w:sz w:val="24"/>
          <w:szCs w:val="24"/>
        </w:rPr>
        <w:t> </w:t>
      </w:r>
      <w:r>
        <w:rPr>
          <w:rFonts w:ascii="宋体" w:hAnsi="宋体" w:cs="宋体" w:eastAsia="宋体" w:hint="default"/>
          <w:color w:val="181F24"/>
          <w:sz w:val="24"/>
          <w:szCs w:val="24"/>
        </w:rPr>
        <w:t>积极推进与互联网运营商及金融机构的深度合作，共同探索和研究新的业务发展领域。</w:t>
      </w:r>
      <w:r>
        <w:rPr>
          <w:rFonts w:ascii="宋体" w:hAnsi="宋体" w:cs="宋体" w:eastAsia="宋体" w:hint="default"/>
          <w:sz w:val="24"/>
          <w:szCs w:val="24"/>
        </w:rPr>
      </w:r>
    </w:p>
    <w:p>
      <w:pPr>
        <w:pStyle w:val="BodyText"/>
        <w:spacing w:line="357" w:lineRule="auto"/>
        <w:ind w:right="1131"/>
        <w:jc w:val="both"/>
      </w:pPr>
      <w:r>
        <w:rPr>
          <w:color w:val="181F24"/>
          <w:spacing w:val="-2"/>
        </w:rPr>
        <w:t>与支付宝在高校业务场景合作的基础上重点推进</w:t>
      </w:r>
      <w:r>
        <w:rPr>
          <w:rFonts w:ascii="宋体" w:hAnsi="宋体" w:cs="宋体" w:eastAsia="宋体" w:hint="default"/>
          <w:color w:val="181F24"/>
          <w:spacing w:val="-2"/>
        </w:rPr>
        <w:t>K12</w:t>
      </w:r>
      <w:r>
        <w:rPr>
          <w:color w:val="181F24"/>
          <w:spacing w:val="-2"/>
        </w:rPr>
        <w:t>合作方案；与腾讯在推进微校解决方案的</w:t>
      </w:r>
      <w:r>
        <w:rPr>
          <w:color w:val="181F24"/>
          <w:spacing w:val="-118"/>
        </w:rPr>
        <w:t> </w:t>
      </w:r>
      <w:r>
        <w:rPr>
          <w:color w:val="181F24"/>
          <w:spacing w:val="-118"/>
        </w:rPr>
      </w:r>
      <w:r>
        <w:rPr>
          <w:color w:val="181F24"/>
        </w:rPr>
        <w:t>基础上共同探索研究针对企业的微企卡解决方案；与中国银联在推进食堂场景支付解决方案 产品的基础上重点推进全场景解决方案。</w:t>
      </w:r>
      <w:r>
        <w:rPr/>
      </w:r>
    </w:p>
    <w:p>
      <w:pPr>
        <w:spacing w:line="357" w:lineRule="auto" w:before="36"/>
        <w:ind w:left="634" w:right="0" w:firstLine="2"/>
        <w:jc w:val="left"/>
        <w:rPr>
          <w:rFonts w:ascii="宋体" w:hAnsi="宋体" w:cs="宋体" w:eastAsia="宋体" w:hint="default"/>
          <w:sz w:val="24"/>
          <w:szCs w:val="24"/>
        </w:rPr>
      </w:pPr>
      <w:r>
        <w:rPr>
          <w:rFonts w:ascii="宋体" w:hAnsi="宋体" w:cs="宋体" w:eastAsia="宋体" w:hint="default"/>
          <w:b/>
          <w:bCs/>
          <w:color w:val="181F24"/>
          <w:sz w:val="24"/>
          <w:szCs w:val="24"/>
        </w:rPr>
        <w:t>（五）持续加大研发投入，不断完善产品体系</w:t>
      </w:r>
      <w:r>
        <w:rPr>
          <w:rFonts w:ascii="宋体" w:hAnsi="宋体" w:cs="宋体" w:eastAsia="宋体" w:hint="default"/>
          <w:b/>
          <w:bCs/>
          <w:color w:val="181F24"/>
          <w:w w:val="99"/>
          <w:sz w:val="24"/>
          <w:szCs w:val="24"/>
        </w:rPr>
        <w:t> </w:t>
      </w:r>
      <w:r>
        <w:rPr>
          <w:rFonts w:ascii="宋体" w:hAnsi="宋体" w:cs="宋体" w:eastAsia="宋体" w:hint="default"/>
          <w:color w:val="181F24"/>
          <w:sz w:val="24"/>
          <w:szCs w:val="24"/>
        </w:rPr>
        <w:t>持续加大研发投入，成立大数据研究院，设立西安研发中心，加强了大数据应用及智慧</w:t>
      </w:r>
      <w:r>
        <w:rPr>
          <w:rFonts w:ascii="宋体" w:hAnsi="宋体" w:cs="宋体" w:eastAsia="宋体" w:hint="default"/>
          <w:sz w:val="24"/>
          <w:szCs w:val="24"/>
        </w:rPr>
      </w:r>
    </w:p>
    <w:p>
      <w:pPr>
        <w:pStyle w:val="BodyText"/>
        <w:spacing w:line="357" w:lineRule="auto"/>
        <w:ind w:right="1139"/>
        <w:jc w:val="both"/>
      </w:pPr>
      <w:r>
        <w:rPr>
          <w:color w:val="181F24"/>
        </w:rPr>
        <w:t>校园产品研发，不断完善平台建设。紧跟技术发展，不断推出智能终端。运用二维码支付、 人脸识别技术，开发了集成刷卡、扫码、人脸识别于一体的考勤、门禁、消费等多款智能终 端。研发了基于</w:t>
      </w:r>
      <w:r>
        <w:rPr>
          <w:rFonts w:ascii="宋体" w:hAnsi="宋体" w:cs="宋体" w:eastAsia="宋体" w:hint="default"/>
          <w:color w:val="181F24"/>
        </w:rPr>
        <w:t>Lora</w:t>
      </w:r>
      <w:r>
        <w:rPr>
          <w:color w:val="181F24"/>
        </w:rPr>
        <w:t>、</w:t>
      </w:r>
      <w:r>
        <w:rPr>
          <w:rFonts w:ascii="宋体" w:hAnsi="宋体" w:cs="宋体" w:eastAsia="宋体" w:hint="default"/>
          <w:color w:val="181F24"/>
        </w:rPr>
        <w:t>NB-IoT</w:t>
      </w:r>
      <w:r>
        <w:rPr>
          <w:color w:val="181F24"/>
        </w:rPr>
        <w:t>通讯模式的水控器等智能终端，丰富了公司产品链。</w:t>
      </w:r>
      <w:r>
        <w:rPr/>
      </w:r>
    </w:p>
    <w:p>
      <w:pPr>
        <w:spacing w:line="357" w:lineRule="auto" w:before="36"/>
        <w:ind w:left="634" w:right="0" w:firstLine="2"/>
        <w:jc w:val="left"/>
        <w:rPr>
          <w:rFonts w:ascii="宋体" w:hAnsi="宋体" w:cs="宋体" w:eastAsia="宋体" w:hint="default"/>
          <w:sz w:val="24"/>
          <w:szCs w:val="24"/>
        </w:rPr>
      </w:pPr>
      <w:r>
        <w:rPr>
          <w:rFonts w:ascii="宋体" w:hAnsi="宋体" w:cs="宋体" w:eastAsia="宋体" w:hint="default"/>
          <w:b/>
          <w:bCs/>
          <w:color w:val="181F24"/>
          <w:sz w:val="24"/>
          <w:szCs w:val="24"/>
        </w:rPr>
        <w:t>（六）重视企业发展规划，加强人才队伍建设</w:t>
      </w:r>
      <w:r>
        <w:rPr>
          <w:rFonts w:ascii="宋体" w:hAnsi="宋体" w:cs="宋体" w:eastAsia="宋体" w:hint="default"/>
          <w:b/>
          <w:bCs/>
          <w:color w:val="181F24"/>
          <w:w w:val="99"/>
          <w:sz w:val="24"/>
          <w:szCs w:val="24"/>
        </w:rPr>
        <w:t> </w:t>
      </w:r>
      <w:r>
        <w:rPr>
          <w:rFonts w:ascii="宋体" w:hAnsi="宋体" w:cs="宋体" w:eastAsia="宋体" w:hint="default"/>
          <w:color w:val="181F24"/>
          <w:spacing w:val="-3"/>
          <w:sz w:val="24"/>
          <w:szCs w:val="24"/>
        </w:rPr>
        <w:t>进一步优化公司战略，规划产品发展体系；加强人力资源体系建设，完善职岗薪酬体系，</w:t>
      </w:r>
      <w:r>
        <w:rPr>
          <w:rFonts w:ascii="宋体" w:hAnsi="宋体" w:cs="宋体" w:eastAsia="宋体" w:hint="default"/>
          <w:spacing w:val="-3"/>
          <w:sz w:val="24"/>
          <w:szCs w:val="24"/>
        </w:rPr>
      </w:r>
    </w:p>
    <w:p>
      <w:pPr>
        <w:pStyle w:val="BodyText"/>
        <w:spacing w:line="357" w:lineRule="auto"/>
        <w:ind w:right="1134"/>
        <w:jc w:val="both"/>
      </w:pPr>
      <w:r>
        <w:rPr>
          <w:color w:val="181F24"/>
        </w:rPr>
        <w:t>明晰岗位任职要求。优化培训课程设计，开展分层分类培训，加强一线队伍建设。建立以市 场为导向的研发考评体系，完善营销考核与技术支持考核制度，发挥考核导向作用；出台了</w:t>
      </w:r>
      <w:r>
        <w:rPr>
          <w:color w:val="181F24"/>
          <w:spacing w:val="-115"/>
        </w:rPr>
        <w:t> </w:t>
      </w:r>
      <w:r>
        <w:rPr>
          <w:color w:val="181F24"/>
          <w:spacing w:val="-115"/>
        </w:rPr>
      </w:r>
      <w:r>
        <w:rPr>
          <w:color w:val="181F24"/>
        </w:rPr>
        <w:t>上市后首份股权激励计划，向</w:t>
      </w:r>
      <w:r>
        <w:rPr>
          <w:rFonts w:ascii="宋体" w:hAnsi="宋体" w:cs="宋体" w:eastAsia="宋体" w:hint="default"/>
          <w:color w:val="181F24"/>
        </w:rPr>
        <w:t>176</w:t>
      </w:r>
      <w:r>
        <w:rPr>
          <w:color w:val="181F24"/>
        </w:rPr>
        <w:t>名激励对象授予</w:t>
      </w:r>
      <w:r>
        <w:rPr>
          <w:rFonts w:ascii="宋体" w:hAnsi="宋体" w:cs="宋体" w:eastAsia="宋体" w:hint="default"/>
          <w:color w:val="181F24"/>
        </w:rPr>
        <w:t>300</w:t>
      </w:r>
      <w:r>
        <w:rPr>
          <w:color w:val="181F24"/>
        </w:rPr>
        <w:t>万份股票期权，提升团队凝聚力。</w:t>
      </w:r>
      <w:r>
        <w:rPr/>
      </w:r>
    </w:p>
    <w:p>
      <w:pPr>
        <w:spacing w:line="240" w:lineRule="auto" w:before="11"/>
        <w:rPr>
          <w:rFonts w:ascii="宋体" w:hAnsi="宋体" w:cs="宋体" w:eastAsia="宋体" w:hint="default"/>
          <w:sz w:val="19"/>
          <w:szCs w:val="19"/>
        </w:rPr>
      </w:pPr>
    </w:p>
    <w:p>
      <w:pPr>
        <w:pStyle w:val="Heading2"/>
        <w:spacing w:line="240" w:lineRule="auto"/>
        <w:ind w:right="0"/>
        <w:jc w:val="both"/>
        <w:rPr>
          <w:b w:val="0"/>
          <w:bCs w:val="0"/>
        </w:rPr>
      </w:pPr>
      <w:bookmarkStart w:name="二、主营业务分析" w:id="24"/>
      <w:bookmarkEnd w:id="24"/>
      <w:r>
        <w:rPr>
          <w:b w:val="0"/>
          <w:bCs w:val="0"/>
        </w:rPr>
      </w:r>
      <w:r>
        <w:rPr/>
        <w:t>二、主营业务分析</w:t>
      </w:r>
      <w:r>
        <w:rPr>
          <w:b w:val="0"/>
          <w:bCs w:val="0"/>
        </w:rPr>
      </w:r>
    </w:p>
    <w:p>
      <w:pPr>
        <w:spacing w:line="240" w:lineRule="auto" w:before="8"/>
        <w:rPr>
          <w:rFonts w:ascii="宋体" w:hAnsi="宋体" w:cs="宋体" w:eastAsia="宋体" w:hint="default"/>
          <w:b/>
          <w:bCs/>
          <w:sz w:val="24"/>
          <w:szCs w:val="24"/>
        </w:rPr>
      </w:pPr>
    </w:p>
    <w:p>
      <w:pPr>
        <w:spacing w:line="544" w:lineRule="auto" w:before="0"/>
        <w:ind w:left="154" w:right="6472" w:firstLine="0"/>
        <w:jc w:val="left"/>
        <w:rPr>
          <w:rFonts w:ascii="宋体" w:hAnsi="宋体" w:cs="宋体" w:eastAsia="宋体" w:hint="default"/>
          <w:sz w:val="21"/>
          <w:szCs w:val="21"/>
        </w:rPr>
      </w:pPr>
      <w:bookmarkStart w:name="1、概述" w:id="25"/>
      <w:bookmarkEnd w:id="25"/>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spacing w:val="1"/>
          <w:w w:val="99"/>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经营情况讨论与分析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bookmarkStart w:name="2、收入与成本" w:id="26"/>
      <w:bookmarkEnd w:id="26"/>
      <w:r>
        <w:rPr>
          <w:rFonts w:ascii="宋体" w:hAnsi="宋体" w:cs="宋体" w:eastAsia="宋体" w:hint="default"/>
          <w:sz w:val="18"/>
          <w:szCs w:val="18"/>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spacing w:before="28"/>
        <w:ind w:left="154" w:right="0" w:firstLine="0"/>
        <w:jc w:val="both"/>
        <w:rPr>
          <w:rFonts w:ascii="宋体" w:hAnsi="宋体" w:cs="宋体" w:eastAsia="宋体" w:hint="default"/>
          <w:sz w:val="21"/>
          <w:szCs w:val="21"/>
        </w:rPr>
      </w:pPr>
      <w:bookmarkStart w:name="（1）营业收入构成" w:id="27"/>
      <w:bookmarkEnd w:id="2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）营业收入构成</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line="360" w:lineRule="auto" w:before="0"/>
        <w:ind w:left="154" w:right="6972" w:firstLine="0"/>
        <w:jc w:val="left"/>
        <w:rPr>
          <w:rFonts w:ascii="宋体" w:hAnsi="宋体" w:cs="宋体" w:eastAsia="宋体" w:hint="default"/>
          <w:sz w:val="18"/>
          <w:szCs w:val="18"/>
        </w:rPr>
      </w:pPr>
      <w:r>
        <w:rPr>
          <w:rFonts w:ascii="宋体" w:hAnsi="宋体" w:cs="宋体" w:eastAsia="宋体" w:hint="default"/>
          <w:sz w:val="18"/>
          <w:szCs w:val="18"/>
        </w:rPr>
        <w:t>公司是否需要遵守光伏产业链相关业的披露要求 否</w:t>
      </w:r>
    </w:p>
    <w:p>
      <w:pPr>
        <w:spacing w:line="338" w:lineRule="auto" w:before="26"/>
        <w:ind w:left="154" w:right="1393"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公司是否需遵守《深圳证券交易所创业板行业信息披露指引第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上市公司从事广播电影电视业务》的披露要求： 否</w:t>
      </w:r>
    </w:p>
    <w:p>
      <w:pPr>
        <w:spacing w:line="338" w:lineRule="auto" w:before="43"/>
        <w:ind w:left="154" w:right="1573"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公司是否需遵守《深圳证券交易所创业板行业信息披露指引第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上市公司从事互联网游戏业务》的披露要求： 否</w:t>
      </w:r>
    </w:p>
    <w:p>
      <w:pPr>
        <w:spacing w:before="42"/>
        <w:ind w:left="154" w:right="0" w:firstLine="0"/>
        <w:jc w:val="both"/>
        <w:rPr>
          <w:rFonts w:ascii="宋体" w:hAnsi="宋体" w:cs="宋体" w:eastAsia="宋体" w:hint="default"/>
          <w:sz w:val="18"/>
          <w:szCs w:val="18"/>
        </w:rPr>
      </w:pPr>
      <w:r>
        <w:rPr>
          <w:rFonts w:ascii="宋体" w:hAnsi="宋体" w:cs="宋体" w:eastAsia="宋体" w:hint="default"/>
          <w:sz w:val="18"/>
          <w:szCs w:val="18"/>
        </w:rPr>
        <w:t>公司是否需遵守《深圳证券交易所创业板行业信息披露指引第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产业链相关业务》的披露要求：</w:t>
      </w:r>
    </w:p>
    <w:p>
      <w:pPr>
        <w:spacing w:after="0"/>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否</w:t>
      </w:r>
    </w:p>
    <w:p>
      <w:pPr>
        <w:spacing w:line="340" w:lineRule="auto" w:before="116"/>
        <w:ind w:left="154" w:right="1663"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公司是否需遵守《深圳证券交易所创业板行业信息披露指引第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上市公司从事医疗器械业务》的披露要求： 否</w:t>
      </w:r>
    </w:p>
    <w:p>
      <w:pPr>
        <w:spacing w:line="338" w:lineRule="auto" w:before="40"/>
        <w:ind w:left="154" w:right="1663"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上市公司从软件与信息技术服务业务》的披露要求 是</w:t>
      </w:r>
    </w:p>
    <w:p>
      <w:pPr>
        <w:spacing w:before="4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18"/>
        <w:gridCol w:w="1008"/>
        <w:gridCol w:w="1010"/>
        <w:gridCol w:w="1011"/>
        <w:gridCol w:w="1012"/>
        <w:gridCol w:w="1003"/>
        <w:gridCol w:w="1005"/>
        <w:gridCol w:w="1002"/>
        <w:gridCol w:w="1002"/>
      </w:tblGrid>
      <w:tr>
        <w:trPr>
          <w:trHeight w:val="206" w:hRule="exact"/>
        </w:trPr>
        <w:tc>
          <w:tcPr>
            <w:tcW w:w="1518" w:type="dxa"/>
            <w:tcBorders>
              <w:top w:val="single" w:sz="4" w:space="0" w:color="000000"/>
              <w:left w:val="single" w:sz="4" w:space="0" w:color="000000"/>
              <w:bottom w:val="nil" w:sz="6" w:space="0" w:color="auto"/>
              <w:right w:val="single" w:sz="4" w:space="0" w:color="000000"/>
            </w:tcBorders>
            <w:shd w:val="clear" w:color="auto" w:fill="D2D2D2"/>
          </w:tcPr>
          <w:p>
            <w:pPr/>
          </w:p>
        </w:tc>
        <w:tc>
          <w:tcPr>
            <w:tcW w:w="4041"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4012"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191" w:hRule="exact"/>
        </w:trPr>
        <w:tc>
          <w:tcPr>
            <w:tcW w:w="1518" w:type="dxa"/>
            <w:vMerge w:val="restart"/>
            <w:tcBorders>
              <w:top w:val="nil" w:sz="6" w:space="0" w:color="auto"/>
              <w:left w:val="single" w:sz="4" w:space="0" w:color="000000"/>
              <w:right w:val="single" w:sz="4" w:space="0" w:color="000000"/>
            </w:tcBorders>
            <w:shd w:val="clear" w:color="auto" w:fill="D2D2D2"/>
          </w:tcPr>
          <w:p>
            <w:pPr/>
          </w:p>
        </w:tc>
        <w:tc>
          <w:tcPr>
            <w:tcW w:w="4041" w:type="dxa"/>
            <w:gridSpan w:val="4"/>
            <w:vMerge/>
            <w:tcBorders>
              <w:left w:val="single" w:sz="4" w:space="0" w:color="000000"/>
              <w:bottom w:val="single" w:sz="4" w:space="0" w:color="000000"/>
              <w:right w:val="single" w:sz="4" w:space="0" w:color="000000"/>
            </w:tcBorders>
            <w:shd w:val="clear" w:color="auto" w:fill="D2D2D2"/>
          </w:tcPr>
          <w:p>
            <w:pPr/>
          </w:p>
        </w:tc>
        <w:tc>
          <w:tcPr>
            <w:tcW w:w="4012" w:type="dxa"/>
            <w:gridSpan w:val="4"/>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518" w:type="dxa"/>
            <w:vMerge/>
            <w:tcBorders>
              <w:left w:val="single" w:sz="4" w:space="0" w:color="000000"/>
              <w:bottom w:val="nil" w:sz="6" w:space="0" w:color="auto"/>
              <w:right w:val="single" w:sz="4" w:space="0" w:color="000000"/>
            </w:tcBorders>
            <w:shd w:val="clear" w:color="auto" w:fill="D2D2D2"/>
          </w:tcPr>
          <w:p>
            <w:pPr/>
          </w:p>
        </w:tc>
        <w:tc>
          <w:tcPr>
            <w:tcW w:w="10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37"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01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39"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0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0"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0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0" w:right="0"/>
              <w:jc w:val="left"/>
              <w:rPr>
                <w:rFonts w:ascii="宋体" w:hAnsi="宋体" w:cs="宋体" w:eastAsia="宋体" w:hint="default"/>
                <w:sz w:val="18"/>
                <w:szCs w:val="18"/>
              </w:rPr>
            </w:pPr>
            <w:r>
              <w:rPr>
                <w:rFonts w:ascii="宋体" w:hAnsi="宋体" w:cs="宋体" w:eastAsia="宋体" w:hint="default"/>
                <w:sz w:val="18"/>
                <w:szCs w:val="18"/>
              </w:rPr>
              <w:t>第四季度</w:t>
            </w:r>
          </w:p>
        </w:tc>
        <w:tc>
          <w:tcPr>
            <w:tcW w:w="10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36"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0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37"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0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3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0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35"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206" w:hRule="exact"/>
        </w:trPr>
        <w:tc>
          <w:tcPr>
            <w:tcW w:w="1518" w:type="dxa"/>
            <w:tcBorders>
              <w:top w:val="nil" w:sz="6" w:space="0" w:color="auto"/>
              <w:left w:val="single" w:sz="4" w:space="0" w:color="000000"/>
              <w:bottom w:val="single" w:sz="4" w:space="0" w:color="000000"/>
              <w:right w:val="single" w:sz="4" w:space="0" w:color="000000"/>
            </w:tcBorders>
            <w:shd w:val="clear" w:color="auto" w:fill="D2D2D2"/>
          </w:tcPr>
          <w:p>
            <w:pPr/>
          </w:p>
        </w:tc>
        <w:tc>
          <w:tcPr>
            <w:tcW w:w="1008" w:type="dxa"/>
            <w:vMerge/>
            <w:tcBorders>
              <w:left w:val="single" w:sz="4" w:space="0" w:color="000000"/>
              <w:bottom w:val="single" w:sz="4" w:space="0" w:color="000000"/>
              <w:right w:val="single" w:sz="4" w:space="0" w:color="000000"/>
            </w:tcBorders>
            <w:shd w:val="clear" w:color="auto" w:fill="D2D2D2"/>
          </w:tcPr>
          <w:p>
            <w:pPr/>
          </w:p>
        </w:tc>
        <w:tc>
          <w:tcPr>
            <w:tcW w:w="1010" w:type="dxa"/>
            <w:vMerge/>
            <w:tcBorders>
              <w:left w:val="single" w:sz="4" w:space="0" w:color="000000"/>
              <w:bottom w:val="single" w:sz="4" w:space="0" w:color="000000"/>
              <w:right w:val="single" w:sz="4" w:space="0" w:color="000000"/>
            </w:tcBorders>
            <w:shd w:val="clear" w:color="auto" w:fill="D2D2D2"/>
          </w:tcPr>
          <w:p>
            <w:pPr/>
          </w:p>
        </w:tc>
        <w:tc>
          <w:tcPr>
            <w:tcW w:w="1011" w:type="dxa"/>
            <w:vMerge/>
            <w:tcBorders>
              <w:left w:val="single" w:sz="4" w:space="0" w:color="000000"/>
              <w:bottom w:val="single" w:sz="4" w:space="0" w:color="000000"/>
              <w:right w:val="single" w:sz="4" w:space="0" w:color="000000"/>
            </w:tcBorders>
            <w:shd w:val="clear" w:color="auto" w:fill="D2D2D2"/>
          </w:tcPr>
          <w:p>
            <w:pPr/>
          </w:p>
        </w:tc>
        <w:tc>
          <w:tcPr>
            <w:tcW w:w="1012" w:type="dxa"/>
            <w:vMerge/>
            <w:tcBorders>
              <w:left w:val="single" w:sz="4" w:space="0" w:color="000000"/>
              <w:bottom w:val="single" w:sz="4" w:space="0" w:color="000000"/>
              <w:right w:val="single" w:sz="4" w:space="0" w:color="000000"/>
            </w:tcBorders>
            <w:shd w:val="clear" w:color="auto" w:fill="D2D2D2"/>
          </w:tcPr>
          <w:p>
            <w:pPr/>
          </w:p>
        </w:tc>
        <w:tc>
          <w:tcPr>
            <w:tcW w:w="1003" w:type="dxa"/>
            <w:vMerge/>
            <w:tcBorders>
              <w:left w:val="single" w:sz="4" w:space="0" w:color="000000"/>
              <w:bottom w:val="single" w:sz="4" w:space="0" w:color="000000"/>
              <w:right w:val="single" w:sz="4" w:space="0" w:color="000000"/>
            </w:tcBorders>
            <w:shd w:val="clear" w:color="auto" w:fill="D2D2D2"/>
          </w:tcPr>
          <w:p>
            <w:pPr/>
          </w:p>
        </w:tc>
        <w:tc>
          <w:tcPr>
            <w:tcW w:w="1005" w:type="dxa"/>
            <w:vMerge/>
            <w:tcBorders>
              <w:left w:val="single" w:sz="4" w:space="0" w:color="000000"/>
              <w:bottom w:val="single" w:sz="4" w:space="0" w:color="000000"/>
              <w:right w:val="single" w:sz="4" w:space="0" w:color="000000"/>
            </w:tcBorders>
            <w:shd w:val="clear" w:color="auto" w:fill="D2D2D2"/>
          </w:tcPr>
          <w:p>
            <w:pPr/>
          </w:p>
        </w:tc>
        <w:tc>
          <w:tcPr>
            <w:tcW w:w="1002" w:type="dxa"/>
            <w:vMerge/>
            <w:tcBorders>
              <w:left w:val="single" w:sz="4" w:space="0" w:color="000000"/>
              <w:bottom w:val="single" w:sz="4" w:space="0" w:color="000000"/>
              <w:right w:val="single" w:sz="4" w:space="0" w:color="000000"/>
            </w:tcBorders>
            <w:shd w:val="clear" w:color="auto" w:fill="D2D2D2"/>
          </w:tcPr>
          <w:p>
            <w:pPr/>
          </w:p>
        </w:tc>
        <w:tc>
          <w:tcPr>
            <w:tcW w:w="1002" w:type="dxa"/>
            <w:vMerge/>
            <w:tcBorders>
              <w:left w:val="single" w:sz="4" w:space="0" w:color="000000"/>
              <w:bottom w:val="single" w:sz="4" w:space="0" w:color="000000"/>
              <w:right w:val="single" w:sz="4" w:space="0" w:color="000000"/>
            </w:tcBorders>
            <w:shd w:val="clear" w:color="auto" w:fill="D2D2D2"/>
          </w:tcPr>
          <w:p>
            <w:pPr/>
          </w:p>
        </w:tc>
      </w:tr>
      <w:tr>
        <w:trPr>
          <w:trHeight w:val="493" w:hRule="exact"/>
        </w:trPr>
        <w:tc>
          <w:tcPr>
            <w:tcW w:w="1518" w:type="dxa"/>
            <w:tcBorders>
              <w:top w:val="single" w:sz="4" w:space="0" w:color="000000"/>
              <w:left w:val="single" w:sz="4" w:space="0" w:color="000000"/>
              <w:bottom w:val="nil" w:sz="6" w:space="0" w:color="auto"/>
              <w:right w:val="single" w:sz="4" w:space="0" w:color="000000"/>
            </w:tcBorders>
            <w:shd w:val="clear" w:color="auto" w:fill="D2D2D2"/>
          </w:tcPr>
          <w:p>
            <w:pPr/>
          </w:p>
        </w:tc>
        <w:tc>
          <w:tcPr>
            <w:tcW w:w="1008"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62,912,298.8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101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103,995,462.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03</w:t>
            </w:r>
          </w:p>
        </w:tc>
        <w:tc>
          <w:tcPr>
            <w:tcW w:w="101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112,729,018.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90</w:t>
            </w:r>
          </w:p>
        </w:tc>
        <w:tc>
          <w:tcPr>
            <w:tcW w:w="101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287,199,764.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38</w:t>
            </w:r>
          </w:p>
        </w:tc>
        <w:tc>
          <w:tcPr>
            <w:tcW w:w="100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52,190,131.8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0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81,979,547.9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94,777,817.4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10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219,974,771.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34</w:t>
            </w:r>
          </w:p>
        </w:tc>
      </w:tr>
      <w:tr>
        <w:trPr>
          <w:trHeight w:val="392" w:hRule="exact"/>
        </w:trPr>
        <w:tc>
          <w:tcPr>
            <w:tcW w:w="15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08" w:type="dxa"/>
            <w:vMerge/>
            <w:tcBorders>
              <w:left w:val="single" w:sz="9" w:space="0" w:color="D2D2D2"/>
              <w:right w:val="single" w:sz="4" w:space="0" w:color="000000"/>
            </w:tcBorders>
          </w:tcPr>
          <w:p>
            <w:pPr/>
          </w:p>
        </w:tc>
        <w:tc>
          <w:tcPr>
            <w:tcW w:w="1010" w:type="dxa"/>
            <w:vMerge/>
            <w:tcBorders>
              <w:left w:val="single" w:sz="4" w:space="0" w:color="000000"/>
              <w:right w:val="single" w:sz="4" w:space="0" w:color="000000"/>
            </w:tcBorders>
          </w:tcPr>
          <w:p>
            <w:pPr/>
          </w:p>
        </w:tc>
        <w:tc>
          <w:tcPr>
            <w:tcW w:w="1011" w:type="dxa"/>
            <w:vMerge/>
            <w:tcBorders>
              <w:left w:val="single" w:sz="4" w:space="0" w:color="000000"/>
              <w:right w:val="single" w:sz="4" w:space="0" w:color="000000"/>
            </w:tcBorders>
          </w:tcPr>
          <w:p>
            <w:pPr/>
          </w:p>
        </w:tc>
        <w:tc>
          <w:tcPr>
            <w:tcW w:w="1012" w:type="dxa"/>
            <w:vMerge/>
            <w:tcBorders>
              <w:left w:val="single" w:sz="4" w:space="0" w:color="000000"/>
              <w:right w:val="single" w:sz="4" w:space="0" w:color="000000"/>
            </w:tcBorders>
          </w:tcPr>
          <w:p>
            <w:pPr/>
          </w:p>
        </w:tc>
        <w:tc>
          <w:tcPr>
            <w:tcW w:w="1003" w:type="dxa"/>
            <w:vMerge/>
            <w:tcBorders>
              <w:left w:val="single" w:sz="4" w:space="0" w:color="000000"/>
              <w:right w:val="single" w:sz="4" w:space="0" w:color="000000"/>
            </w:tcBorders>
          </w:tcPr>
          <w:p>
            <w:pPr/>
          </w:p>
        </w:tc>
        <w:tc>
          <w:tcPr>
            <w:tcW w:w="1005" w:type="dxa"/>
            <w:vMerge/>
            <w:tcBorders>
              <w:left w:val="single" w:sz="4" w:space="0" w:color="000000"/>
              <w:right w:val="single" w:sz="4" w:space="0" w:color="000000"/>
            </w:tcBorders>
          </w:tcPr>
          <w:p>
            <w:pPr/>
          </w:p>
        </w:tc>
        <w:tc>
          <w:tcPr>
            <w:tcW w:w="1002" w:type="dxa"/>
            <w:vMerge/>
            <w:tcBorders>
              <w:left w:val="single" w:sz="4" w:space="0" w:color="000000"/>
              <w:right w:val="single" w:sz="4" w:space="0" w:color="000000"/>
            </w:tcBorders>
          </w:tcPr>
          <w:p>
            <w:pPr/>
          </w:p>
        </w:tc>
        <w:tc>
          <w:tcPr>
            <w:tcW w:w="1002" w:type="dxa"/>
            <w:vMerge/>
            <w:tcBorders>
              <w:left w:val="single" w:sz="4" w:space="0" w:color="000000"/>
              <w:right w:val="single" w:sz="4" w:space="0" w:color="000000"/>
            </w:tcBorders>
          </w:tcPr>
          <w:p>
            <w:pPr/>
          </w:p>
        </w:tc>
      </w:tr>
      <w:tr>
        <w:trPr>
          <w:trHeight w:val="492" w:hRule="exact"/>
        </w:trPr>
        <w:tc>
          <w:tcPr>
            <w:tcW w:w="1518" w:type="dxa"/>
            <w:tcBorders>
              <w:top w:val="nil" w:sz="6" w:space="0" w:color="auto"/>
              <w:left w:val="single" w:sz="4" w:space="0" w:color="000000"/>
              <w:bottom w:val="single" w:sz="4" w:space="0" w:color="000000"/>
              <w:right w:val="single" w:sz="4" w:space="0" w:color="000000"/>
            </w:tcBorders>
            <w:shd w:val="clear" w:color="auto" w:fill="D2D2D2"/>
          </w:tcPr>
          <w:p>
            <w:pPr/>
          </w:p>
        </w:tc>
        <w:tc>
          <w:tcPr>
            <w:tcW w:w="1008" w:type="dxa"/>
            <w:vMerge/>
            <w:tcBorders>
              <w:left w:val="single" w:sz="9" w:space="0" w:color="D2D2D2"/>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011" w:type="dxa"/>
            <w:vMerge/>
            <w:tcBorders>
              <w:left w:val="single" w:sz="4" w:space="0" w:color="000000"/>
              <w:bottom w:val="single" w:sz="4" w:space="0" w:color="000000"/>
              <w:right w:val="single" w:sz="4" w:space="0" w:color="000000"/>
            </w:tcBorders>
          </w:tcPr>
          <w:p>
            <w:pPr/>
          </w:p>
        </w:tc>
        <w:tc>
          <w:tcPr>
            <w:tcW w:w="1012" w:type="dxa"/>
            <w:vMerge/>
            <w:tcBorders>
              <w:left w:val="single" w:sz="4" w:space="0" w:color="000000"/>
              <w:bottom w:val="single" w:sz="4" w:space="0" w:color="000000"/>
              <w:right w:val="single" w:sz="4" w:space="0" w:color="000000"/>
            </w:tcBorders>
          </w:tcPr>
          <w:p>
            <w:pPr/>
          </w:p>
        </w:tc>
        <w:tc>
          <w:tcPr>
            <w:tcW w:w="1003" w:type="dxa"/>
            <w:vMerge/>
            <w:tcBorders>
              <w:left w:val="single" w:sz="4" w:space="0" w:color="000000"/>
              <w:bottom w:val="single" w:sz="4" w:space="0" w:color="000000"/>
              <w:right w:val="single" w:sz="4" w:space="0" w:color="000000"/>
            </w:tcBorders>
          </w:tcPr>
          <w:p>
            <w:pPr/>
          </w:p>
        </w:tc>
        <w:tc>
          <w:tcPr>
            <w:tcW w:w="1005" w:type="dxa"/>
            <w:vMerge/>
            <w:tcBorders>
              <w:left w:val="single" w:sz="4" w:space="0" w:color="000000"/>
              <w:bottom w:val="single" w:sz="4" w:space="0" w:color="000000"/>
              <w:right w:val="single" w:sz="4" w:space="0" w:color="000000"/>
            </w:tcBorders>
          </w:tcPr>
          <w:p>
            <w:pPr/>
          </w:p>
        </w:tc>
        <w:tc>
          <w:tcPr>
            <w:tcW w:w="1002" w:type="dxa"/>
            <w:vMerge/>
            <w:tcBorders>
              <w:left w:val="single" w:sz="4" w:space="0" w:color="000000"/>
              <w:bottom w:val="single" w:sz="4" w:space="0" w:color="000000"/>
              <w:right w:val="single" w:sz="4" w:space="0" w:color="000000"/>
            </w:tcBorders>
          </w:tcPr>
          <w:p>
            <w:pPr/>
          </w:p>
        </w:tc>
        <w:tc>
          <w:tcPr>
            <w:tcW w:w="1002" w:type="dxa"/>
            <w:vMerge/>
            <w:tcBorders>
              <w:left w:val="single" w:sz="4" w:space="0" w:color="000000"/>
              <w:bottom w:val="single" w:sz="4" w:space="0" w:color="000000"/>
              <w:right w:val="single" w:sz="4" w:space="0" w:color="000000"/>
            </w:tcBorders>
          </w:tcPr>
          <w:p>
            <w:pPr/>
          </w:p>
        </w:tc>
      </w:tr>
      <w:tr>
        <w:trPr>
          <w:trHeight w:val="715" w:hRule="exact"/>
        </w:trPr>
        <w:tc>
          <w:tcPr>
            <w:tcW w:w="15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45"/>
              <w:jc w:val="left"/>
              <w:rPr>
                <w:rFonts w:ascii="宋体" w:hAnsi="宋体" w:cs="宋体" w:eastAsia="宋体" w:hint="default"/>
                <w:sz w:val="18"/>
                <w:szCs w:val="18"/>
              </w:rPr>
            </w:pPr>
            <w:r>
              <w:rPr>
                <w:rFonts w:ascii="宋体" w:hAnsi="宋体" w:cs="宋体" w:eastAsia="宋体" w:hint="default"/>
                <w:sz w:val="18"/>
                <w:szCs w:val="18"/>
              </w:rPr>
              <w:t>归属于上市公司股 东的净利润</w:t>
            </w:r>
          </w:p>
        </w:tc>
        <w:tc>
          <w:tcPr>
            <w:tcW w:w="10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-3,284,821.5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2" w:right="0"/>
              <w:jc w:val="left"/>
              <w:rPr>
                <w:rFonts w:ascii="Times New Roman" w:hAnsi="Times New Roman" w:cs="Times New Roman" w:eastAsia="Times New Roman" w:hint="default"/>
                <w:sz w:val="18"/>
                <w:szCs w:val="18"/>
              </w:rPr>
            </w:pPr>
            <w:r>
              <w:rPr>
                <w:rFonts w:ascii="Times New Roman"/>
                <w:sz w:val="18"/>
              </w:rPr>
              <w:t>4,414,208.03</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3,388,882.29</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45,835,513.3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-4,692,412.7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2,837,963.86</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3,759,397.47</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40,063,908.1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说明经营季节性（或周期性）发生的原因及波动风险</w:t>
      </w:r>
    </w:p>
    <w:p>
      <w:pPr>
        <w:spacing w:line="240" w:lineRule="auto" w:before="8"/>
        <w:rPr>
          <w:rFonts w:ascii="宋体" w:hAnsi="宋体" w:cs="宋体" w:eastAsia="宋体" w:hint="default"/>
          <w:sz w:val="15"/>
          <w:szCs w:val="15"/>
        </w:rPr>
      </w:pPr>
    </w:p>
    <w:p>
      <w:pPr>
        <w:pStyle w:val="BodyText"/>
        <w:spacing w:line="357" w:lineRule="auto" w:before="0"/>
        <w:ind w:right="1139" w:firstLine="480"/>
        <w:jc w:val="both"/>
      </w:pPr>
      <w:r>
        <w:rPr/>
        <w:t>公司主营业务中教育行业占比较高，存在比较明显的季节性特征：因为校园项目建设受 学校寒暑假的影响，通常在第一季度启动建设计划，第二季度完成项目的商务谈判及合同确 认，在第三季度进入项目实施高峰，完成发货、安装、调试及验收等工作，在第四季度进入 收入确认及款项回收高峰。上述季节性特征使得公司的采购、生产、发货、安装、验收和收 付款出现明显的季节性波动，存在生产经营季节性风险。</w:t>
      </w:r>
    </w:p>
    <w:p>
      <w:pPr>
        <w:spacing w:before="107"/>
        <w:ind w:left="154" w:right="0" w:firstLine="0"/>
        <w:jc w:val="left"/>
        <w:rPr>
          <w:rFonts w:ascii="宋体" w:hAnsi="宋体" w:cs="宋体" w:eastAsia="宋体" w:hint="default"/>
          <w:sz w:val="18"/>
          <w:szCs w:val="18"/>
        </w:rPr>
      </w:pPr>
      <w:r>
        <w:rPr>
          <w:rFonts w:ascii="宋体" w:hAnsi="宋体" w:cs="宋体" w:eastAsia="宋体" w:hint="default"/>
          <w:sz w:val="18"/>
          <w:szCs w:val="18"/>
        </w:rPr>
        <w:t>营业收入整体情况</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6"/>
        <w:gridCol w:w="1597"/>
        <w:gridCol w:w="1592"/>
        <w:gridCol w:w="1597"/>
        <w:gridCol w:w="1588"/>
        <w:gridCol w:w="1598"/>
      </w:tblGrid>
      <w:tr>
        <w:trPr>
          <w:trHeight w:val="206"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6" w:hRule="exact"/>
        </w:trPr>
        <w:tc>
          <w:tcPr>
            <w:tcW w:w="1596" w:type="dxa"/>
            <w:vMerge w:val="restart"/>
            <w:tcBorders>
              <w:top w:val="nil" w:sz="6" w:space="0" w:color="auto"/>
              <w:left w:val="single" w:sz="4" w:space="0" w:color="000000"/>
              <w:right w:val="single" w:sz="4" w:space="0" w:color="000000"/>
            </w:tcBorders>
            <w:shd w:val="clear" w:color="auto" w:fill="D2D2D2"/>
          </w:tcPr>
          <w:p>
            <w:pPr/>
          </w:p>
        </w:tc>
        <w:tc>
          <w:tcPr>
            <w:tcW w:w="3189" w:type="dxa"/>
            <w:gridSpan w:val="2"/>
            <w:vMerge/>
            <w:tcBorders>
              <w:left w:val="single" w:sz="4" w:space="0" w:color="000000"/>
              <w:bottom w:val="single" w:sz="4" w:space="0" w:color="000000"/>
              <w:right w:val="single" w:sz="4" w:space="0" w:color="000000"/>
            </w:tcBorders>
            <w:shd w:val="clear" w:color="auto" w:fill="D2D2D2"/>
          </w:tcPr>
          <w:p>
            <w:pPr/>
          </w:p>
        </w:tc>
        <w:tc>
          <w:tcPr>
            <w:tcW w:w="3185" w:type="dxa"/>
            <w:gridSpan w:val="2"/>
            <w:vMerge/>
            <w:tcBorders>
              <w:left w:val="single" w:sz="4" w:space="0" w:color="000000"/>
              <w:bottom w:val="single" w:sz="4" w:space="0" w:color="000000"/>
              <w:right w:val="single" w:sz="4" w:space="0" w:color="000000"/>
            </w:tcBorders>
            <w:shd w:val="clear" w:color="auto" w:fill="D2D2D2"/>
          </w:tcPr>
          <w:p>
            <w:pPr/>
          </w:p>
        </w:tc>
        <w:tc>
          <w:tcPr>
            <w:tcW w:w="15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36"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196" w:hRule="exact"/>
        </w:trPr>
        <w:tc>
          <w:tcPr>
            <w:tcW w:w="1596" w:type="dxa"/>
            <w:vMerge/>
            <w:tcBorders>
              <w:left w:val="single" w:sz="4" w:space="0" w:color="000000"/>
              <w:bottom w:val="nil" w:sz="6" w:space="0" w:color="auto"/>
              <w:right w:val="single" w:sz="4" w:space="0" w:color="000000"/>
            </w:tcBorders>
            <w:shd w:val="clear" w:color="auto" w:fill="D2D2D2"/>
          </w:tcPr>
          <w:p>
            <w:pP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15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6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59"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8"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92" w:type="dxa"/>
            <w:vMerge/>
            <w:tcBorders>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88" w:type="dxa"/>
            <w:vMerge/>
            <w:tcBorders>
              <w:left w:val="single" w:sz="4" w:space="0" w:color="000000"/>
              <w:bottom w:val="single" w:sz="4" w:space="0" w:color="000000"/>
              <w:right w:val="single" w:sz="4" w:space="0" w:color="000000"/>
            </w:tcBorders>
            <w:shd w:val="clear" w:color="auto" w:fill="D2D2D2"/>
          </w:tcPr>
          <w:p>
            <w:pPr/>
          </w:p>
        </w:tc>
        <w:tc>
          <w:tcPr>
            <w:tcW w:w="159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8"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7" w:type="dxa"/>
            <w:tcBorders>
              <w:top w:val="single" w:sz="4" w:space="0" w:color="000000"/>
              <w:left w:val="single" w:sz="13" w:space="0" w:color="D2D2D2"/>
              <w:bottom w:val="single" w:sz="4" w:space="0" w:color="000000"/>
              <w:right w:val="single" w:sz="10" w:space="0" w:color="D2D2D2"/>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pacing w:val="-1"/>
                <w:sz w:val="18"/>
              </w:rPr>
              <w:t>566,836,544.20</w:t>
            </w: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7"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pacing w:val="-1"/>
                <w:sz w:val="18"/>
              </w:rPr>
              <w:t>448,922,268.58</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26.27%</w:t>
            </w:r>
          </w:p>
        </w:tc>
      </w:tr>
      <w:tr>
        <w:trPr>
          <w:trHeight w:val="396"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学校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344,359,848.15</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60.75%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265,657,520.23</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59.18%</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29.63%</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企事业</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222,476,696.05</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39.25%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183,264,748.35</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40.82%</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21.40%</w:t>
            </w:r>
          </w:p>
        </w:tc>
      </w:tr>
      <w:tr>
        <w:trPr>
          <w:trHeight w:val="401"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系统建设</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432,989,377.18</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76.39%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322,846,234.87</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71.92%</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34.12%</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运营和服务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55,480,491.31</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9.79%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39,725,228.32</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8.85%</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39.66%</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智能管控</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78,366,675.71</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13.83%</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86,350,805.39</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19.24%</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-9.25%</w:t>
            </w:r>
          </w:p>
        </w:tc>
      </w:tr>
      <w:tr>
        <w:trPr>
          <w:trHeight w:val="401"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14,955,465.79</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2.64%</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2,911,960.69</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0.65%</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413.59%</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9,841,398.15</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1.74%</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6,125,461.69</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1.36%</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60.66%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398,182,984.67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291,307,379.81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64.89%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36.69%</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42,633,291.63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29,436,190.14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44.83%</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55,271,683.56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62,872,154.23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14.01%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-12.09%</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29,616,352.72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45,215,923.14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-34.50%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16,335,367.68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11,053,198.88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47.79%</w:t>
            </w: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bookmarkStart w:name="（2）占公司营业收入或营业利润10%以上的行业、产品或地区情况" w:id="28"/>
      <w:bookmarkEnd w:id="2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）占公司营业收入或营业利润</w:t>
      </w:r>
      <w:r>
        <w:rPr>
          <w:rFonts w:ascii="宋体" w:hAnsi="宋体" w:cs="宋体" w:eastAsia="宋体" w:hint="default"/>
          <w:b/>
          <w:bCs/>
          <w:spacing w:val="-59"/>
          <w:sz w:val="21"/>
          <w:szCs w:val="21"/>
        </w:rPr>
        <w:t> </w:t>
      </w: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以上的行业、产品或地区情况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spacing w:line="348" w:lineRule="auto" w:before="44"/>
        <w:ind w:left="154" w:right="583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公司是否需要遵守特殊行业的披露要求 是</w:t>
      </w:r>
    </w:p>
    <w:p>
      <w:pPr>
        <w:spacing w:before="35"/>
        <w:ind w:left="154" w:right="5830" w:firstLine="0"/>
        <w:jc w:val="left"/>
        <w:rPr>
          <w:rFonts w:ascii="宋体" w:hAnsi="宋体" w:cs="宋体" w:eastAsia="宋体" w:hint="default"/>
          <w:sz w:val="18"/>
          <w:szCs w:val="18"/>
        </w:rPr>
      </w:pPr>
      <w:r>
        <w:rPr>
          <w:rFonts w:ascii="宋体" w:hAnsi="宋体" w:cs="宋体" w:eastAsia="宋体" w:hint="default"/>
          <w:sz w:val="18"/>
          <w:szCs w:val="18"/>
        </w:rPr>
        <w:t>软件与信息技术服务业</w:t>
      </w:r>
    </w:p>
    <w:p>
      <w:pPr>
        <w:spacing w:before="117"/>
        <w:ind w:left="154" w:right="-19" w:firstLine="0"/>
        <w:jc w:val="left"/>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上市公司从事软件与信息技术服务业务》的披露要求</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56"/>
        <w:ind w:left="-3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9065" w:space="40"/>
            <w:col w:w="1825"/>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18" w:right="47"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11"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1"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分客户所处行业</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学校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344,359,848.15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212,553,501.56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38.28%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29.63%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31.03%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-0.66%</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企事业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222,476,696.05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128,790,951.10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42.11%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21.40%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17.80%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1.77%</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系统建设</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432,989,377.18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268,251,914.35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38.05%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34.12%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35.69%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-0.72%</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运营和服务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55,480,491.31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9,385,373.92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83.08%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39.66%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135.62%</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-6.89%</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智能管控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78,366,675.71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63,707,164.39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18.71%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-8.82%</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-0.38%</w:t>
            </w:r>
          </w:p>
        </w:tc>
      </w:tr>
      <w:tr>
        <w:trPr>
          <w:trHeight w:val="401"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14,955,465.79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7,152,895.55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52.17%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413.59%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194.05%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35.71%</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9,841,398.15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5,988,227.86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39.15%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60.66%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105.56%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-13.29%</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398,182,984.67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235,300,196.79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40.91%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36.69%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35.80%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0.39%</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42,633,291.63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21,373,450.57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49.87%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44.83%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66.09%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-6.41%</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55,271,683.56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45,932,148.09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-2.19%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-8.41%</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29,616,352.72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14,844,512.24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49.88%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-34.50%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-43.89%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8.39%</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16,335,367.68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10,753,021.56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34.17%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47.79%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61.76%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-5.69%</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公司主营业务数据统计口径在报告期发生调整的情况下，公司最近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年按报告期末口径调整后的主营业务数据</w:t>
      </w:r>
    </w:p>
    <w:p>
      <w:pPr>
        <w:spacing w:before="102"/>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25"/>
          <w:szCs w:val="25"/>
        </w:rPr>
      </w:pPr>
    </w:p>
    <w:p>
      <w:pPr>
        <w:spacing w:before="0"/>
        <w:ind w:left="154" w:right="0" w:firstLine="0"/>
        <w:jc w:val="left"/>
        <w:rPr>
          <w:rFonts w:ascii="宋体" w:hAnsi="宋体" w:cs="宋体" w:eastAsia="宋体" w:hint="default"/>
          <w:sz w:val="21"/>
          <w:szCs w:val="21"/>
        </w:rPr>
      </w:pPr>
      <w:bookmarkStart w:name="（3）公司实物销售收入是否大于劳务收入" w:id="29"/>
      <w:bookmarkEnd w:id="2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）公司实物销售收入是否大于劳务收入</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9"/>
        <w:rPr>
          <w:rFonts w:ascii="宋体" w:hAnsi="宋体" w:cs="宋体" w:eastAsia="宋体" w:hint="default"/>
          <w:sz w:val="24"/>
          <w:szCs w:val="24"/>
        </w:rPr>
      </w:pPr>
    </w:p>
    <w:p>
      <w:pPr>
        <w:spacing w:before="35"/>
        <w:ind w:left="154" w:right="0" w:firstLine="0"/>
        <w:jc w:val="left"/>
        <w:rPr>
          <w:rFonts w:ascii="宋体" w:hAnsi="宋体" w:cs="宋体" w:eastAsia="宋体" w:hint="default"/>
          <w:sz w:val="21"/>
          <w:szCs w:val="21"/>
        </w:rPr>
      </w:pPr>
      <w:bookmarkStart w:name="（4）公司已签订的重大销售合同截至本报告期的履行情况" w:id="30"/>
      <w:bookmarkEnd w:id="3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）公司已签订的重大销售合同截至本报告期的履行情况</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spacing w:before="0"/>
        <w:ind w:left="154" w:right="0" w:firstLine="0"/>
        <w:jc w:val="left"/>
        <w:rPr>
          <w:rFonts w:ascii="宋体" w:hAnsi="宋体" w:cs="宋体" w:eastAsia="宋体" w:hint="default"/>
          <w:sz w:val="21"/>
          <w:szCs w:val="21"/>
        </w:rPr>
      </w:pPr>
      <w:bookmarkStart w:name="（5）营业成本构成" w:id="31"/>
      <w:bookmarkEnd w:id="3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）营业成本构成</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spacing w:line="338" w:lineRule="auto" w:before="44"/>
        <w:ind w:left="154" w:right="-19" w:firstLine="0"/>
        <w:jc w:val="left"/>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上市公司从事软件与信息技术服务业务》的披露要求 主营业务成本构成</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3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9065" w:space="40"/>
            <w:col w:w="1825"/>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成本构成</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本报告期</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上年同期</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同比增减金额</w:t>
            </w:r>
          </w:p>
        </w:tc>
      </w:tr>
      <w:tr>
        <w:trPr>
          <w:trHeight w:val="402"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1"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318,700,842.00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93.37%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249,965,073.21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92.05%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27.50%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施工费用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22,643,610.66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21,579,175.09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4.93%</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产品分类</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0" w:type="dxa"/>
            <w:vMerge w:val="restart"/>
            <w:tcBorders>
              <w:top w:val="single" w:sz="4" w:space="0" w:color="000000"/>
              <w:left w:val="single" w:sz="4" w:space="0" w:color="000000"/>
              <w:right w:val="single" w:sz="4" w:space="0" w:color="000000"/>
            </w:tcBorders>
          </w:tcPr>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系统建设</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249,827,155.26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73.19%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207,584,574.95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76.45%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20.35%</w:t>
            </w:r>
          </w:p>
        </w:tc>
      </w:tr>
      <w:tr>
        <w:trPr>
          <w:trHeight w:val="402" w:hRule="exact"/>
        </w:trPr>
        <w:tc>
          <w:tcPr>
            <w:tcW w:w="1370" w:type="dxa"/>
            <w:vMerge/>
            <w:tcBorders>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施工费用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18,424,759.09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17,628,581.63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4.52%</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运维服务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9,385,373.92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5,717,620.12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2.11%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64.15%</w:t>
            </w:r>
          </w:p>
        </w:tc>
      </w:tr>
      <w:tr>
        <w:trPr>
          <w:trHeight w:val="402" w:hRule="exact"/>
        </w:trPr>
        <w:tc>
          <w:tcPr>
            <w:tcW w:w="1370" w:type="dxa"/>
            <w:vMerge w:val="restart"/>
            <w:tcBorders>
              <w:top w:val="single" w:sz="4" w:space="0" w:color="000000"/>
              <w:left w:val="single" w:sz="4" w:space="0" w:color="000000"/>
              <w:right w:val="single" w:sz="4" w:space="0" w:color="000000"/>
            </w:tcBorders>
          </w:tcPr>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智能管控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59,488,312.82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17.43%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36,662,878.14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62.26%</w:t>
            </w:r>
          </w:p>
        </w:tc>
      </w:tr>
      <w:tr>
        <w:trPr>
          <w:trHeight w:val="403" w:hRule="exact"/>
        </w:trPr>
        <w:tc>
          <w:tcPr>
            <w:tcW w:w="1370" w:type="dxa"/>
            <w:vMerge/>
            <w:tcBorders>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施工费用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4,218,851.57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3,950,593.46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6.79%</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说明</w:t>
      </w:r>
    </w:p>
    <w:p>
      <w:pPr>
        <w:spacing w:line="316" w:lineRule="auto" w:before="115"/>
        <w:ind w:left="154" w:right="1131" w:firstLine="360"/>
        <w:jc w:val="both"/>
        <w:rPr>
          <w:rFonts w:ascii="宋体" w:hAnsi="宋体" w:cs="宋体" w:eastAsia="宋体" w:hint="default"/>
          <w:sz w:val="18"/>
          <w:szCs w:val="18"/>
        </w:rPr>
      </w:pPr>
      <w:r>
        <w:rPr>
          <w:rFonts w:ascii="宋体" w:hAnsi="宋体" w:cs="宋体" w:eastAsia="宋体" w:hint="default"/>
          <w:spacing w:val="-2"/>
          <w:sz w:val="18"/>
          <w:szCs w:val="18"/>
        </w:rPr>
        <w:t>报告期内公司主要成本为直接材料（含制造费用）和施工费用，其中施工费用主要内容为项目实施时外包费用，主要执</w:t>
      </w:r>
      <w:r>
        <w:rPr>
          <w:rFonts w:ascii="宋体" w:hAnsi="宋体" w:cs="宋体" w:eastAsia="宋体" w:hint="default"/>
          <w:sz w:val="18"/>
          <w:szCs w:val="18"/>
        </w:rPr>
        <w:t> </w:t>
      </w:r>
      <w:r>
        <w:rPr>
          <w:rFonts w:ascii="宋体" w:hAnsi="宋体" w:cs="宋体" w:eastAsia="宋体" w:hint="default"/>
          <w:spacing w:val="-2"/>
          <w:sz w:val="18"/>
          <w:szCs w:val="18"/>
        </w:rPr>
        <w:t>行的是安装、组装等简单工作，占成本比重较小。运维服务无施工费用主要原因是该类业务由研发技术人员直接提供，每个</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人负责的项目数量较多且金额较小，因此相关费用计入当期费用。</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35"/>
        <w:ind w:left="154" w:right="0" w:firstLine="0"/>
        <w:jc w:val="left"/>
        <w:rPr>
          <w:rFonts w:ascii="宋体" w:hAnsi="宋体" w:cs="宋体" w:eastAsia="宋体" w:hint="default"/>
          <w:sz w:val="21"/>
          <w:szCs w:val="21"/>
        </w:rPr>
      </w:pPr>
      <w:bookmarkStart w:name="（6）报告期内合并范围是否发生变动" w:id="32"/>
      <w:bookmarkEnd w:id="3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）报告期内合并范围是否发生变动</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before="75"/>
        <w:ind w:left="574" w:right="0" w:firstLine="0"/>
        <w:jc w:val="left"/>
        <w:rPr>
          <w:rFonts w:ascii="宋体" w:hAnsi="宋体" w:cs="宋体" w:eastAsia="宋体" w:hint="default"/>
          <w:sz w:val="21"/>
          <w:szCs w:val="21"/>
        </w:rPr>
      </w:pPr>
      <w:r>
        <w:rPr>
          <w:rFonts w:ascii="宋体" w:hAnsi="宋体" w:cs="宋体" w:eastAsia="宋体" w:hint="default"/>
          <w:sz w:val="21"/>
          <w:szCs w:val="21"/>
        </w:rPr>
        <w:t>较</w:t>
      </w:r>
      <w:r>
        <w:rPr>
          <w:rFonts w:ascii="Times New Roman" w:hAnsi="Times New Roman" w:cs="Times New Roman" w:eastAsia="Times New Roman" w:hint="default"/>
          <w:sz w:val="21"/>
          <w:szCs w:val="21"/>
        </w:rPr>
        <w:t>2017</w:t>
      </w:r>
      <w:r>
        <w:rPr>
          <w:rFonts w:ascii="宋体" w:hAnsi="宋体" w:cs="宋体" w:eastAsia="宋体" w:hint="default"/>
          <w:sz w:val="21"/>
          <w:szCs w:val="21"/>
        </w:rPr>
        <w:t>年度财务报表相比，公司</w:t>
      </w:r>
      <w:r>
        <w:rPr>
          <w:rFonts w:ascii="Times New Roman" w:hAnsi="Times New Roman" w:cs="Times New Roman" w:eastAsia="Times New Roman" w:hint="default"/>
          <w:sz w:val="21"/>
          <w:szCs w:val="21"/>
        </w:rPr>
        <w:t>2018</w:t>
      </w:r>
      <w:r>
        <w:rPr>
          <w:rFonts w:ascii="宋体" w:hAnsi="宋体" w:cs="宋体" w:eastAsia="宋体" w:hint="default"/>
          <w:sz w:val="21"/>
          <w:szCs w:val="21"/>
        </w:rPr>
        <w:t>年财务报表合并范围新增</w:t>
      </w:r>
      <w:r>
        <w:rPr>
          <w:rFonts w:ascii="Times New Roman" w:hAnsi="Times New Roman" w:cs="Times New Roman" w:eastAsia="Times New Roman" w:hint="default"/>
          <w:sz w:val="21"/>
          <w:szCs w:val="21"/>
        </w:rPr>
        <w:t>2</w:t>
      </w:r>
      <w:r>
        <w:rPr>
          <w:rFonts w:ascii="宋体" w:hAnsi="宋体" w:cs="宋体" w:eastAsia="宋体" w:hint="default"/>
          <w:sz w:val="21"/>
          <w:szCs w:val="21"/>
        </w:rPr>
        <w:t>家，为小兰智慧、坚果智慧。</w:t>
      </w:r>
    </w:p>
    <w:p>
      <w:pPr>
        <w:spacing w:line="240" w:lineRule="auto" w:before="8"/>
        <w:rPr>
          <w:rFonts w:ascii="宋体" w:hAnsi="宋体" w:cs="宋体" w:eastAsia="宋体" w:hint="default"/>
          <w:sz w:val="24"/>
          <w:szCs w:val="24"/>
        </w:rPr>
      </w:pPr>
    </w:p>
    <w:p>
      <w:pPr>
        <w:spacing w:before="0"/>
        <w:ind w:left="154" w:right="0" w:firstLine="0"/>
        <w:jc w:val="left"/>
        <w:rPr>
          <w:rFonts w:ascii="宋体" w:hAnsi="宋体" w:cs="宋体" w:eastAsia="宋体" w:hint="default"/>
          <w:sz w:val="21"/>
          <w:szCs w:val="21"/>
        </w:rPr>
      </w:pPr>
      <w:bookmarkStart w:name="（7）公司报告期内业务、产品或服务发生重大变化或调整有关情况" w:id="33"/>
      <w:bookmarkEnd w:id="3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）公司报告期内业务、产品或服务发生重大变化或调整有关情况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spacing w:before="0"/>
        <w:ind w:left="154" w:right="0" w:firstLine="0"/>
        <w:jc w:val="left"/>
        <w:rPr>
          <w:rFonts w:ascii="宋体" w:hAnsi="宋体" w:cs="宋体" w:eastAsia="宋体" w:hint="default"/>
          <w:sz w:val="21"/>
          <w:szCs w:val="21"/>
        </w:rPr>
      </w:pPr>
      <w:bookmarkStart w:name="（8）主要销售客户和主要供应商情况" w:id="34"/>
      <w:bookmarkEnd w:id="3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）主要销售客户和主要供应商情况</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公司主要销售客户情况</w:t>
      </w:r>
    </w:p>
    <w:p>
      <w:pPr>
        <w:spacing w:after="0"/>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12" w:type="dxa"/>
        <w:tblLayout w:type="fixed"/>
        <w:tblCellMar>
          <w:top w:w="0" w:type="dxa"/>
          <w:left w:w="0" w:type="dxa"/>
          <w:bottom w:w="0" w:type="dxa"/>
          <w:right w:w="0" w:type="dxa"/>
        </w:tblCellMar>
        <w:tblLook w:val="01E0"/>
      </w:tblPr>
      <w:tblGrid>
        <w:gridCol w:w="4258"/>
        <w:gridCol w:w="5312"/>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9"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7"/>
              <w:jc w:val="right"/>
              <w:rPr>
                <w:rFonts w:ascii="Times New Roman" w:hAnsi="Times New Roman" w:cs="Times New Roman" w:eastAsia="Times New Roman" w:hint="default"/>
                <w:sz w:val="18"/>
                <w:szCs w:val="18"/>
              </w:rPr>
            </w:pPr>
            <w:r>
              <w:rPr>
                <w:rFonts w:ascii="Times New Roman"/>
                <w:spacing w:val="-1"/>
                <w:sz w:val="18"/>
              </w:rPr>
              <w:t>167,639,374.82</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9"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7"/>
              <w:jc w:val="right"/>
              <w:rPr>
                <w:rFonts w:ascii="Times New Roman" w:hAnsi="Times New Roman" w:cs="Times New Roman" w:eastAsia="Times New Roman" w:hint="default"/>
                <w:sz w:val="18"/>
                <w:szCs w:val="18"/>
              </w:rPr>
            </w:pPr>
            <w:r>
              <w:rPr>
                <w:rFonts w:ascii="Times New Roman"/>
                <w:sz w:val="18"/>
              </w:rPr>
              <w:t>29.57%</w:t>
            </w:r>
          </w:p>
        </w:tc>
      </w:tr>
      <w:tr>
        <w:trPr>
          <w:trHeight w:val="714"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9" w:right="206"/>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 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77"/>
              <w:jc w:val="right"/>
              <w:rPr>
                <w:rFonts w:ascii="Times New Roman" w:hAnsi="Times New Roman" w:cs="Times New Roman" w:eastAsia="Times New Roman" w:hint="default"/>
                <w:sz w:val="18"/>
                <w:szCs w:val="18"/>
              </w:rPr>
            </w:pPr>
            <w:r>
              <w:rPr>
                <w:rFonts w:ascii="Times New Roman"/>
                <w:sz w:val="18"/>
              </w:rPr>
              <w:t>0.00%</w:t>
            </w:r>
          </w:p>
        </w:tc>
      </w:tr>
    </w:tbl>
    <w:p>
      <w:pPr>
        <w:spacing w:before="51"/>
        <w:ind w:left="174" w:right="1392"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大客户资料</w:t>
      </w:r>
    </w:p>
    <w:p>
      <w:pPr>
        <w:spacing w:line="240" w:lineRule="auto" w:before="0"/>
        <w:rPr>
          <w:rFonts w:ascii="宋体" w:hAnsi="宋体" w:cs="宋体" w:eastAsia="宋体" w:hint="default"/>
          <w:sz w:val="7"/>
          <w:szCs w:val="7"/>
        </w:rPr>
      </w:pPr>
    </w:p>
    <w:tbl>
      <w:tblPr>
        <w:tblW w:w="0" w:type="auto"/>
        <w:jc w:val="left"/>
        <w:tblInd w:w="111" w:type="dxa"/>
        <w:tblLayout w:type="fixed"/>
        <w:tblCellMar>
          <w:top w:w="0" w:type="dxa"/>
          <w:left w:w="0" w:type="dxa"/>
          <w:bottom w:w="0" w:type="dxa"/>
          <w:right w:w="0" w:type="dxa"/>
        </w:tblCellMar>
        <w:tblLook w:val="01E0"/>
      </w:tblPr>
      <w:tblGrid>
        <w:gridCol w:w="803"/>
        <w:gridCol w:w="3302"/>
        <w:gridCol w:w="2322"/>
        <w:gridCol w:w="3143"/>
      </w:tblGrid>
      <w:tr>
        <w:trPr>
          <w:trHeight w:val="402" w:hRule="exact"/>
        </w:trPr>
        <w:tc>
          <w:tcPr>
            <w:tcW w:w="8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序号</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8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7"/>
              <w:jc w:val="right"/>
              <w:rPr>
                <w:rFonts w:ascii="Times New Roman" w:hAnsi="Times New Roman" w:cs="Times New Roman" w:eastAsia="Times New Roman" w:hint="default"/>
                <w:sz w:val="18"/>
                <w:szCs w:val="18"/>
              </w:rPr>
            </w:pPr>
            <w:r>
              <w:rPr>
                <w:rFonts w:ascii="Times New Roman"/>
                <w:spacing w:val="-1"/>
                <w:sz w:val="18"/>
              </w:rPr>
              <w:t>51,790,130.68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8"/>
              <w:jc w:val="right"/>
              <w:rPr>
                <w:rFonts w:ascii="Times New Roman" w:hAnsi="Times New Roman" w:cs="Times New Roman" w:eastAsia="Times New Roman" w:hint="default"/>
                <w:sz w:val="18"/>
                <w:szCs w:val="18"/>
              </w:rPr>
            </w:pPr>
            <w:r>
              <w:rPr>
                <w:rFonts w:ascii="Times New Roman"/>
                <w:sz w:val="18"/>
              </w:rPr>
              <w:t>9.14%</w:t>
            </w:r>
          </w:p>
        </w:tc>
      </w:tr>
      <w:tr>
        <w:trPr>
          <w:trHeight w:val="402" w:hRule="exact"/>
        </w:trPr>
        <w:tc>
          <w:tcPr>
            <w:tcW w:w="8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7"/>
              <w:jc w:val="right"/>
              <w:rPr>
                <w:rFonts w:ascii="Times New Roman" w:hAnsi="Times New Roman" w:cs="Times New Roman" w:eastAsia="Times New Roman" w:hint="default"/>
                <w:sz w:val="18"/>
                <w:szCs w:val="18"/>
              </w:rPr>
            </w:pPr>
            <w:r>
              <w:rPr>
                <w:rFonts w:ascii="Times New Roman"/>
                <w:spacing w:val="-1"/>
                <w:sz w:val="18"/>
              </w:rPr>
              <w:t>36,689,395.46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8"/>
              <w:jc w:val="right"/>
              <w:rPr>
                <w:rFonts w:ascii="Times New Roman" w:hAnsi="Times New Roman" w:cs="Times New Roman" w:eastAsia="Times New Roman" w:hint="default"/>
                <w:sz w:val="18"/>
                <w:szCs w:val="18"/>
              </w:rPr>
            </w:pPr>
            <w:r>
              <w:rPr>
                <w:rFonts w:ascii="Times New Roman"/>
                <w:sz w:val="18"/>
              </w:rPr>
              <w:t>6.47%</w:t>
            </w:r>
          </w:p>
        </w:tc>
      </w:tr>
      <w:tr>
        <w:trPr>
          <w:trHeight w:val="402" w:hRule="exact"/>
        </w:trPr>
        <w:tc>
          <w:tcPr>
            <w:tcW w:w="8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7"/>
              <w:jc w:val="right"/>
              <w:rPr>
                <w:rFonts w:ascii="Times New Roman" w:hAnsi="Times New Roman" w:cs="Times New Roman" w:eastAsia="Times New Roman" w:hint="default"/>
                <w:sz w:val="18"/>
                <w:szCs w:val="18"/>
              </w:rPr>
            </w:pPr>
            <w:r>
              <w:rPr>
                <w:rFonts w:ascii="Times New Roman"/>
                <w:spacing w:val="-1"/>
                <w:sz w:val="18"/>
              </w:rPr>
              <w:t>35,212,368.54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8"/>
              <w:jc w:val="right"/>
              <w:rPr>
                <w:rFonts w:ascii="Times New Roman" w:hAnsi="Times New Roman" w:cs="Times New Roman" w:eastAsia="Times New Roman" w:hint="default"/>
                <w:sz w:val="18"/>
                <w:szCs w:val="18"/>
              </w:rPr>
            </w:pPr>
            <w:r>
              <w:rPr>
                <w:rFonts w:ascii="Times New Roman"/>
                <w:sz w:val="18"/>
              </w:rPr>
              <w:t>6.21%</w:t>
            </w:r>
          </w:p>
        </w:tc>
      </w:tr>
      <w:tr>
        <w:trPr>
          <w:trHeight w:val="402" w:hRule="exact"/>
        </w:trPr>
        <w:tc>
          <w:tcPr>
            <w:tcW w:w="8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7"/>
              <w:jc w:val="right"/>
              <w:rPr>
                <w:rFonts w:ascii="Times New Roman" w:hAnsi="Times New Roman" w:cs="Times New Roman" w:eastAsia="Times New Roman" w:hint="default"/>
                <w:sz w:val="18"/>
                <w:szCs w:val="18"/>
              </w:rPr>
            </w:pPr>
            <w:r>
              <w:rPr>
                <w:rFonts w:ascii="Times New Roman"/>
                <w:spacing w:val="-1"/>
                <w:sz w:val="18"/>
              </w:rPr>
              <w:t>29,669,062.94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8"/>
              <w:jc w:val="right"/>
              <w:rPr>
                <w:rFonts w:ascii="Times New Roman" w:hAnsi="Times New Roman" w:cs="Times New Roman" w:eastAsia="Times New Roman" w:hint="default"/>
                <w:sz w:val="18"/>
                <w:szCs w:val="18"/>
              </w:rPr>
            </w:pPr>
            <w:r>
              <w:rPr>
                <w:rFonts w:ascii="Times New Roman"/>
                <w:sz w:val="18"/>
              </w:rPr>
              <w:t>5.23%</w:t>
            </w:r>
          </w:p>
        </w:tc>
      </w:tr>
      <w:tr>
        <w:trPr>
          <w:trHeight w:val="402" w:hRule="exact"/>
        </w:trPr>
        <w:tc>
          <w:tcPr>
            <w:tcW w:w="8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7"/>
              <w:jc w:val="right"/>
              <w:rPr>
                <w:rFonts w:ascii="Times New Roman" w:hAnsi="Times New Roman" w:cs="Times New Roman" w:eastAsia="Times New Roman" w:hint="default"/>
                <w:sz w:val="18"/>
                <w:szCs w:val="18"/>
              </w:rPr>
            </w:pPr>
            <w:r>
              <w:rPr>
                <w:rFonts w:ascii="Times New Roman"/>
                <w:spacing w:val="-1"/>
                <w:sz w:val="18"/>
              </w:rPr>
              <w:t>14,278,417.20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8"/>
              <w:jc w:val="right"/>
              <w:rPr>
                <w:rFonts w:ascii="Times New Roman" w:hAnsi="Times New Roman" w:cs="Times New Roman" w:eastAsia="Times New Roman" w:hint="default"/>
                <w:sz w:val="18"/>
                <w:szCs w:val="18"/>
              </w:rPr>
            </w:pPr>
            <w:r>
              <w:rPr>
                <w:rFonts w:ascii="Times New Roman"/>
                <w:sz w:val="18"/>
              </w:rPr>
              <w:t>2.52%</w:t>
            </w:r>
          </w:p>
        </w:tc>
      </w:tr>
      <w:tr>
        <w:trPr>
          <w:trHeight w:val="402" w:hRule="exact"/>
        </w:trPr>
        <w:tc>
          <w:tcPr>
            <w:tcW w:w="8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7"/>
              <w:jc w:val="right"/>
              <w:rPr>
                <w:rFonts w:ascii="Times New Roman" w:hAnsi="Times New Roman" w:cs="Times New Roman" w:eastAsia="Times New Roman" w:hint="default"/>
                <w:sz w:val="18"/>
                <w:szCs w:val="18"/>
              </w:rPr>
            </w:pPr>
            <w:r>
              <w:rPr>
                <w:rFonts w:ascii="Times New Roman"/>
                <w:spacing w:val="-1"/>
                <w:sz w:val="18"/>
              </w:rPr>
              <w:t>167,639,374.82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8"/>
              <w:jc w:val="right"/>
              <w:rPr>
                <w:rFonts w:ascii="Times New Roman" w:hAnsi="Times New Roman" w:cs="Times New Roman" w:eastAsia="Times New Roman" w:hint="default"/>
                <w:sz w:val="18"/>
                <w:szCs w:val="18"/>
              </w:rPr>
            </w:pPr>
            <w:r>
              <w:rPr>
                <w:rFonts w:ascii="Times New Roman"/>
                <w:sz w:val="18"/>
              </w:rPr>
              <w:t>29.57%</w:t>
            </w:r>
          </w:p>
        </w:tc>
      </w:tr>
    </w:tbl>
    <w:p>
      <w:pPr>
        <w:spacing w:before="51"/>
        <w:ind w:left="174" w:right="1392" w:firstLine="0"/>
        <w:jc w:val="left"/>
        <w:rPr>
          <w:rFonts w:ascii="宋体" w:hAnsi="宋体" w:cs="宋体" w:eastAsia="宋体" w:hint="default"/>
          <w:sz w:val="18"/>
          <w:szCs w:val="18"/>
        </w:rPr>
      </w:pPr>
      <w:r>
        <w:rPr>
          <w:rFonts w:ascii="宋体" w:hAnsi="宋体" w:cs="宋体" w:eastAsia="宋体" w:hint="default"/>
          <w:sz w:val="18"/>
          <w:szCs w:val="18"/>
        </w:rPr>
        <w:t>主要客户其他情况说明</w:t>
      </w:r>
    </w:p>
    <w:p>
      <w:pPr>
        <w:spacing w:line="338" w:lineRule="auto" w:before="117"/>
        <w:ind w:left="174" w:right="913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公司主要供应商情况</w:t>
      </w:r>
    </w:p>
    <w:p>
      <w:pPr>
        <w:spacing w:line="240" w:lineRule="auto" w:before="6"/>
        <w:rPr>
          <w:rFonts w:ascii="宋体" w:hAnsi="宋体" w:cs="宋体" w:eastAsia="宋体" w:hint="default"/>
          <w:sz w:val="2"/>
          <w:szCs w:val="2"/>
        </w:rPr>
      </w:pPr>
    </w:p>
    <w:tbl>
      <w:tblPr>
        <w:tblW w:w="0" w:type="auto"/>
        <w:jc w:val="left"/>
        <w:tblInd w:w="112" w:type="dxa"/>
        <w:tblLayout w:type="fixed"/>
        <w:tblCellMar>
          <w:top w:w="0" w:type="dxa"/>
          <w:left w:w="0" w:type="dxa"/>
          <w:bottom w:w="0" w:type="dxa"/>
          <w:right w:w="0" w:type="dxa"/>
        </w:tblCellMar>
        <w:tblLook w:val="01E0"/>
      </w:tblPr>
      <w:tblGrid>
        <w:gridCol w:w="4258"/>
        <w:gridCol w:w="5312"/>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9"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7"/>
              <w:jc w:val="right"/>
              <w:rPr>
                <w:rFonts w:ascii="Times New Roman" w:hAnsi="Times New Roman" w:cs="Times New Roman" w:eastAsia="Times New Roman" w:hint="default"/>
                <w:sz w:val="18"/>
                <w:szCs w:val="18"/>
              </w:rPr>
            </w:pPr>
            <w:r>
              <w:rPr>
                <w:rFonts w:ascii="Times New Roman"/>
                <w:spacing w:val="-1"/>
                <w:sz w:val="18"/>
              </w:rPr>
              <w:t>58,897,574.12</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9"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7"/>
              <w:jc w:val="right"/>
              <w:rPr>
                <w:rFonts w:ascii="Times New Roman" w:hAnsi="Times New Roman" w:cs="Times New Roman" w:eastAsia="Times New Roman" w:hint="default"/>
                <w:sz w:val="18"/>
                <w:szCs w:val="18"/>
              </w:rPr>
            </w:pPr>
            <w:r>
              <w:rPr>
                <w:rFonts w:ascii="Times New Roman"/>
                <w:sz w:val="18"/>
              </w:rPr>
              <w:t>16.00%</w:t>
            </w:r>
          </w:p>
        </w:tc>
      </w:tr>
      <w:tr>
        <w:trPr>
          <w:trHeight w:val="714"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9" w:right="207"/>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 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77"/>
              <w:jc w:val="right"/>
              <w:rPr>
                <w:rFonts w:ascii="Times New Roman" w:hAnsi="Times New Roman" w:cs="Times New Roman" w:eastAsia="Times New Roman" w:hint="default"/>
                <w:sz w:val="18"/>
                <w:szCs w:val="18"/>
              </w:rPr>
            </w:pPr>
            <w:r>
              <w:rPr>
                <w:rFonts w:ascii="Times New Roman"/>
                <w:sz w:val="18"/>
              </w:rPr>
              <w:t>0.00%</w:t>
            </w:r>
          </w:p>
        </w:tc>
      </w:tr>
    </w:tbl>
    <w:p>
      <w:pPr>
        <w:spacing w:before="51"/>
        <w:ind w:left="174" w:right="1392"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名供应商资料</w:t>
      </w:r>
    </w:p>
    <w:p>
      <w:pPr>
        <w:spacing w:line="240" w:lineRule="auto" w:before="0"/>
        <w:rPr>
          <w:rFonts w:ascii="宋体" w:hAnsi="宋体" w:cs="宋体" w:eastAsia="宋体" w:hint="default"/>
          <w:sz w:val="7"/>
          <w:szCs w:val="7"/>
        </w:rPr>
      </w:pPr>
    </w:p>
    <w:tbl>
      <w:tblPr>
        <w:tblW w:w="0" w:type="auto"/>
        <w:jc w:val="left"/>
        <w:tblInd w:w="111" w:type="dxa"/>
        <w:tblLayout w:type="fixed"/>
        <w:tblCellMar>
          <w:top w:w="0" w:type="dxa"/>
          <w:left w:w="0" w:type="dxa"/>
          <w:bottom w:w="0" w:type="dxa"/>
          <w:right w:w="0" w:type="dxa"/>
        </w:tblCellMar>
        <w:tblLook w:val="01E0"/>
      </w:tblPr>
      <w:tblGrid>
        <w:gridCol w:w="936"/>
        <w:gridCol w:w="3168"/>
        <w:gridCol w:w="2322"/>
        <w:gridCol w:w="3143"/>
      </w:tblGrid>
      <w:tr>
        <w:trPr>
          <w:trHeight w:val="402"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9" w:right="0"/>
              <w:jc w:val="left"/>
              <w:rPr>
                <w:rFonts w:ascii="宋体" w:hAnsi="宋体" w:cs="宋体" w:eastAsia="宋体" w:hint="default"/>
                <w:sz w:val="18"/>
                <w:szCs w:val="18"/>
              </w:rPr>
            </w:pPr>
            <w:r>
              <w:rPr>
                <w:rFonts w:ascii="宋体" w:hAnsi="宋体" w:cs="宋体" w:eastAsia="宋体" w:hint="default"/>
                <w:sz w:val="18"/>
                <w:szCs w:val="18"/>
              </w:rPr>
              <w:t>供应商一</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7"/>
              <w:jc w:val="right"/>
              <w:rPr>
                <w:rFonts w:ascii="Times New Roman" w:hAnsi="Times New Roman" w:cs="Times New Roman" w:eastAsia="Times New Roman" w:hint="default"/>
                <w:sz w:val="18"/>
                <w:szCs w:val="18"/>
              </w:rPr>
            </w:pPr>
            <w:r>
              <w:rPr>
                <w:rFonts w:ascii="Times New Roman"/>
                <w:spacing w:val="-1"/>
                <w:sz w:val="18"/>
              </w:rPr>
              <w:t>20,857,594.87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8"/>
              <w:jc w:val="right"/>
              <w:rPr>
                <w:rFonts w:ascii="Times New Roman" w:hAnsi="Times New Roman" w:cs="Times New Roman" w:eastAsia="Times New Roman" w:hint="default"/>
                <w:sz w:val="18"/>
                <w:szCs w:val="18"/>
              </w:rPr>
            </w:pPr>
            <w:r>
              <w:rPr>
                <w:rFonts w:ascii="Times New Roman"/>
                <w:sz w:val="18"/>
              </w:rPr>
              <w:t>5.66%</w:t>
            </w:r>
          </w:p>
        </w:tc>
      </w:tr>
      <w:tr>
        <w:trPr>
          <w:trHeight w:val="402"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9" w:right="0"/>
              <w:jc w:val="left"/>
              <w:rPr>
                <w:rFonts w:ascii="宋体" w:hAnsi="宋体" w:cs="宋体" w:eastAsia="宋体" w:hint="default"/>
                <w:sz w:val="18"/>
                <w:szCs w:val="18"/>
              </w:rPr>
            </w:pPr>
            <w:r>
              <w:rPr>
                <w:rFonts w:ascii="宋体" w:hAnsi="宋体" w:cs="宋体" w:eastAsia="宋体" w:hint="default"/>
                <w:sz w:val="18"/>
                <w:szCs w:val="18"/>
              </w:rPr>
              <w:t>供应商二</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7"/>
              <w:jc w:val="right"/>
              <w:rPr>
                <w:rFonts w:ascii="Times New Roman" w:hAnsi="Times New Roman" w:cs="Times New Roman" w:eastAsia="Times New Roman" w:hint="default"/>
                <w:sz w:val="18"/>
                <w:szCs w:val="18"/>
              </w:rPr>
            </w:pPr>
            <w:r>
              <w:rPr>
                <w:rFonts w:ascii="Times New Roman"/>
                <w:spacing w:val="-1"/>
                <w:sz w:val="18"/>
              </w:rPr>
              <w:t>10,525,010.91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8"/>
              <w:jc w:val="right"/>
              <w:rPr>
                <w:rFonts w:ascii="Times New Roman" w:hAnsi="Times New Roman" w:cs="Times New Roman" w:eastAsia="Times New Roman" w:hint="default"/>
                <w:sz w:val="18"/>
                <w:szCs w:val="18"/>
              </w:rPr>
            </w:pPr>
            <w:r>
              <w:rPr>
                <w:rFonts w:ascii="Times New Roman"/>
                <w:sz w:val="18"/>
              </w:rPr>
              <w:t>2.86%</w:t>
            </w:r>
          </w:p>
        </w:tc>
      </w:tr>
      <w:tr>
        <w:trPr>
          <w:trHeight w:val="402"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9" w:right="0"/>
              <w:jc w:val="left"/>
              <w:rPr>
                <w:rFonts w:ascii="宋体" w:hAnsi="宋体" w:cs="宋体" w:eastAsia="宋体" w:hint="default"/>
                <w:sz w:val="18"/>
                <w:szCs w:val="18"/>
              </w:rPr>
            </w:pPr>
            <w:r>
              <w:rPr>
                <w:rFonts w:ascii="宋体" w:hAnsi="宋体" w:cs="宋体" w:eastAsia="宋体" w:hint="default"/>
                <w:sz w:val="18"/>
                <w:szCs w:val="18"/>
              </w:rPr>
              <w:t>供应商三</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7"/>
              <w:jc w:val="right"/>
              <w:rPr>
                <w:rFonts w:ascii="Times New Roman" w:hAnsi="Times New Roman" w:cs="Times New Roman" w:eastAsia="Times New Roman" w:hint="default"/>
                <w:sz w:val="18"/>
                <w:szCs w:val="18"/>
              </w:rPr>
            </w:pPr>
            <w:r>
              <w:rPr>
                <w:rFonts w:ascii="Times New Roman"/>
                <w:spacing w:val="-1"/>
                <w:sz w:val="18"/>
              </w:rPr>
              <w:t>9,481,968.76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8"/>
              <w:jc w:val="right"/>
              <w:rPr>
                <w:rFonts w:ascii="Times New Roman" w:hAnsi="Times New Roman" w:cs="Times New Roman" w:eastAsia="Times New Roman" w:hint="default"/>
                <w:sz w:val="18"/>
                <w:szCs w:val="18"/>
              </w:rPr>
            </w:pPr>
            <w:r>
              <w:rPr>
                <w:rFonts w:ascii="Times New Roman"/>
                <w:sz w:val="18"/>
              </w:rPr>
              <w:t>2.58%</w:t>
            </w:r>
          </w:p>
        </w:tc>
      </w:tr>
      <w:tr>
        <w:trPr>
          <w:trHeight w:val="402"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9" w:right="0"/>
              <w:jc w:val="left"/>
              <w:rPr>
                <w:rFonts w:ascii="宋体" w:hAnsi="宋体" w:cs="宋体" w:eastAsia="宋体" w:hint="default"/>
                <w:sz w:val="18"/>
                <w:szCs w:val="18"/>
              </w:rPr>
            </w:pPr>
            <w:r>
              <w:rPr>
                <w:rFonts w:ascii="宋体" w:hAnsi="宋体" w:cs="宋体" w:eastAsia="宋体" w:hint="default"/>
                <w:sz w:val="18"/>
                <w:szCs w:val="18"/>
              </w:rPr>
              <w:t>供应商四</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7"/>
              <w:jc w:val="right"/>
              <w:rPr>
                <w:rFonts w:ascii="Times New Roman" w:hAnsi="Times New Roman" w:cs="Times New Roman" w:eastAsia="Times New Roman" w:hint="default"/>
                <w:sz w:val="18"/>
                <w:szCs w:val="18"/>
              </w:rPr>
            </w:pPr>
            <w:r>
              <w:rPr>
                <w:rFonts w:ascii="Times New Roman"/>
                <w:spacing w:val="-1"/>
                <w:sz w:val="18"/>
              </w:rPr>
              <w:t>9,375,120.28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8"/>
              <w:jc w:val="right"/>
              <w:rPr>
                <w:rFonts w:ascii="Times New Roman" w:hAnsi="Times New Roman" w:cs="Times New Roman" w:eastAsia="Times New Roman" w:hint="default"/>
                <w:sz w:val="18"/>
                <w:szCs w:val="18"/>
              </w:rPr>
            </w:pPr>
            <w:r>
              <w:rPr>
                <w:rFonts w:ascii="Times New Roman"/>
                <w:sz w:val="18"/>
              </w:rPr>
              <w:t>2.55%</w:t>
            </w:r>
          </w:p>
        </w:tc>
      </w:tr>
      <w:tr>
        <w:trPr>
          <w:trHeight w:val="402"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9" w:right="0"/>
              <w:jc w:val="left"/>
              <w:rPr>
                <w:rFonts w:ascii="宋体" w:hAnsi="宋体" w:cs="宋体" w:eastAsia="宋体" w:hint="default"/>
                <w:sz w:val="18"/>
                <w:szCs w:val="18"/>
              </w:rPr>
            </w:pPr>
            <w:r>
              <w:rPr>
                <w:rFonts w:ascii="宋体" w:hAnsi="宋体" w:cs="宋体" w:eastAsia="宋体" w:hint="default"/>
                <w:sz w:val="18"/>
                <w:szCs w:val="18"/>
              </w:rPr>
              <w:t>供应商五</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7"/>
              <w:jc w:val="right"/>
              <w:rPr>
                <w:rFonts w:ascii="Times New Roman" w:hAnsi="Times New Roman" w:cs="Times New Roman" w:eastAsia="Times New Roman" w:hint="default"/>
                <w:sz w:val="18"/>
                <w:szCs w:val="18"/>
              </w:rPr>
            </w:pPr>
            <w:r>
              <w:rPr>
                <w:rFonts w:ascii="Times New Roman"/>
                <w:spacing w:val="-1"/>
                <w:sz w:val="18"/>
              </w:rPr>
              <w:t>8,657,879.30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8"/>
              <w:jc w:val="right"/>
              <w:rPr>
                <w:rFonts w:ascii="Times New Roman" w:hAnsi="Times New Roman" w:cs="Times New Roman" w:eastAsia="Times New Roman" w:hint="default"/>
                <w:sz w:val="18"/>
                <w:szCs w:val="18"/>
              </w:rPr>
            </w:pPr>
            <w:r>
              <w:rPr>
                <w:rFonts w:ascii="Times New Roman"/>
                <w:sz w:val="18"/>
              </w:rPr>
              <w:t>2.35%</w:t>
            </w:r>
          </w:p>
        </w:tc>
      </w:tr>
      <w:tr>
        <w:trPr>
          <w:trHeight w:val="402"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7"/>
              <w:jc w:val="right"/>
              <w:rPr>
                <w:rFonts w:ascii="Times New Roman" w:hAnsi="Times New Roman" w:cs="Times New Roman" w:eastAsia="Times New Roman" w:hint="default"/>
                <w:sz w:val="18"/>
                <w:szCs w:val="18"/>
              </w:rPr>
            </w:pPr>
            <w:r>
              <w:rPr>
                <w:rFonts w:ascii="Times New Roman"/>
                <w:spacing w:val="-1"/>
                <w:sz w:val="18"/>
              </w:rPr>
              <w:t>58,897,574.12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8"/>
              <w:jc w:val="right"/>
              <w:rPr>
                <w:rFonts w:ascii="Times New Roman" w:hAnsi="Times New Roman" w:cs="Times New Roman" w:eastAsia="Times New Roman" w:hint="default"/>
                <w:sz w:val="18"/>
                <w:szCs w:val="18"/>
              </w:rPr>
            </w:pPr>
            <w:r>
              <w:rPr>
                <w:rFonts w:ascii="Times New Roman"/>
                <w:sz w:val="18"/>
              </w:rPr>
              <w:t>16.00%</w:t>
            </w:r>
          </w:p>
        </w:tc>
      </w:tr>
    </w:tbl>
    <w:p>
      <w:pPr>
        <w:spacing w:before="51"/>
        <w:ind w:left="174" w:right="1392" w:firstLine="0"/>
        <w:jc w:val="left"/>
        <w:rPr>
          <w:rFonts w:ascii="宋体" w:hAnsi="宋体" w:cs="宋体" w:eastAsia="宋体" w:hint="default"/>
          <w:sz w:val="18"/>
          <w:szCs w:val="18"/>
        </w:rPr>
      </w:pPr>
      <w:r>
        <w:rPr>
          <w:rFonts w:ascii="宋体" w:hAnsi="宋体" w:cs="宋体" w:eastAsia="宋体" w:hint="default"/>
          <w:sz w:val="18"/>
          <w:szCs w:val="18"/>
        </w:rPr>
        <w:t>主要供应商其他情况说明</w:t>
      </w:r>
    </w:p>
    <w:p>
      <w:pPr>
        <w:spacing w:before="117"/>
        <w:ind w:left="174" w:right="13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spacing w:before="0"/>
        <w:ind w:left="174" w:right="1392" w:firstLine="0"/>
        <w:jc w:val="left"/>
        <w:rPr>
          <w:rFonts w:ascii="宋体" w:hAnsi="宋体" w:cs="宋体" w:eastAsia="宋体" w:hint="default"/>
          <w:sz w:val="21"/>
          <w:szCs w:val="21"/>
        </w:rPr>
      </w:pPr>
      <w:bookmarkStart w:name="3、费用" w:id="35"/>
      <w:bookmarkEnd w:id="35"/>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、费用</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2" w:type="dxa"/>
        <w:tblLayout w:type="fixed"/>
        <w:tblCellMar>
          <w:top w:w="0" w:type="dxa"/>
          <w:left w:w="0" w:type="dxa"/>
          <w:bottom w:w="0" w:type="dxa"/>
          <w:right w:w="0" w:type="dxa"/>
        </w:tblCellMar>
        <w:tblLook w:val="01E0"/>
      </w:tblPr>
      <w:tblGrid>
        <w:gridCol w:w="1915"/>
        <w:gridCol w:w="1507"/>
        <w:gridCol w:w="1508"/>
        <w:gridCol w:w="1507"/>
        <w:gridCol w:w="3119"/>
      </w:tblGrid>
      <w:tr>
        <w:trPr>
          <w:trHeight w:val="402"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5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5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8"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3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714"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9"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2" w:right="0"/>
              <w:jc w:val="left"/>
              <w:rPr>
                <w:rFonts w:ascii="Times New Roman" w:hAnsi="Times New Roman" w:cs="Times New Roman" w:eastAsia="Times New Roman" w:hint="default"/>
                <w:sz w:val="18"/>
                <w:szCs w:val="18"/>
              </w:rPr>
            </w:pPr>
            <w:r>
              <w:rPr>
                <w:rFonts w:ascii="Times New Roman"/>
                <w:sz w:val="18"/>
              </w:rPr>
              <w:t>52,459,315.55</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3" w:right="0"/>
              <w:jc w:val="left"/>
              <w:rPr>
                <w:rFonts w:ascii="Times New Roman" w:hAnsi="Times New Roman" w:cs="Times New Roman" w:eastAsia="Times New Roman" w:hint="default"/>
                <w:sz w:val="18"/>
                <w:szCs w:val="18"/>
              </w:rPr>
            </w:pPr>
            <w:r>
              <w:rPr>
                <w:rFonts w:ascii="Times New Roman"/>
                <w:sz w:val="18"/>
              </w:rPr>
              <w:t>38,108,991.73</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62" w:right="0"/>
              <w:jc w:val="left"/>
              <w:rPr>
                <w:rFonts w:ascii="Times New Roman" w:hAnsi="Times New Roman" w:cs="Times New Roman" w:eastAsia="Times New Roman" w:hint="default"/>
                <w:sz w:val="18"/>
                <w:szCs w:val="18"/>
              </w:rPr>
            </w:pPr>
            <w:r>
              <w:rPr>
                <w:rFonts w:ascii="Times New Roman"/>
                <w:sz w:val="18"/>
              </w:rPr>
              <w:t>37.66%</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80" w:right="146"/>
              <w:jc w:val="left"/>
              <w:rPr>
                <w:rFonts w:ascii="宋体" w:hAnsi="宋体" w:cs="宋体" w:eastAsia="宋体" w:hint="default"/>
                <w:sz w:val="18"/>
                <w:szCs w:val="18"/>
              </w:rPr>
            </w:pPr>
            <w:r>
              <w:rPr>
                <w:rFonts w:ascii="宋体" w:hAnsi="宋体" w:cs="宋体" w:eastAsia="宋体" w:hint="default"/>
                <w:sz w:val="18"/>
                <w:szCs w:val="18"/>
              </w:rPr>
              <w:t>主要是业务增长，营销人员增加，薪 酬增加，差旅交通费增加所致。</w:t>
            </w:r>
          </w:p>
        </w:tc>
      </w:tr>
    </w:tbl>
    <w:p>
      <w:pPr>
        <w:spacing w:after="0" w:line="319" w:lineRule="auto"/>
        <w:jc w:val="left"/>
        <w:rPr>
          <w:rFonts w:ascii="宋体" w:hAnsi="宋体" w:cs="宋体" w:eastAsia="宋体" w:hint="default"/>
          <w:sz w:val="18"/>
          <w:szCs w:val="18"/>
        </w:rPr>
        <w:sectPr>
          <w:pgSz w:w="11910" w:h="16840"/>
          <w:pgMar w:header="747" w:footer="979" w:top="1060" w:bottom="1160" w:left="960" w:right="0"/>
        </w:sectPr>
      </w:pPr>
    </w:p>
    <w:p>
      <w:pPr>
        <w:spacing w:line="240" w:lineRule="auto" w:before="6"/>
        <w:rPr>
          <w:rFonts w:ascii="宋体" w:hAnsi="宋体" w:cs="宋体" w:eastAsia="宋体" w:hint="default"/>
          <w:sz w:val="28"/>
          <w:szCs w:val="28"/>
        </w:rPr>
      </w:pPr>
    </w:p>
    <w:tbl>
      <w:tblPr>
        <w:tblW w:w="0" w:type="auto"/>
        <w:jc w:val="left"/>
        <w:tblInd w:w="112" w:type="dxa"/>
        <w:tblLayout w:type="fixed"/>
        <w:tblCellMar>
          <w:top w:w="0" w:type="dxa"/>
          <w:left w:w="0" w:type="dxa"/>
          <w:bottom w:w="0" w:type="dxa"/>
          <w:right w:w="0" w:type="dxa"/>
        </w:tblCellMar>
        <w:tblLook w:val="01E0"/>
      </w:tblPr>
      <w:tblGrid>
        <w:gridCol w:w="1915"/>
        <w:gridCol w:w="1507"/>
        <w:gridCol w:w="1508"/>
        <w:gridCol w:w="1507"/>
        <w:gridCol w:w="3119"/>
      </w:tblGrid>
      <w:tr>
        <w:trPr>
          <w:trHeight w:val="714"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9"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77"/>
              <w:jc w:val="right"/>
              <w:rPr>
                <w:rFonts w:ascii="Times New Roman" w:hAnsi="Times New Roman" w:cs="Times New Roman" w:eastAsia="Times New Roman" w:hint="default"/>
                <w:sz w:val="18"/>
                <w:szCs w:val="18"/>
              </w:rPr>
            </w:pPr>
            <w:r>
              <w:rPr>
                <w:rFonts w:ascii="Times New Roman"/>
                <w:spacing w:val="-1"/>
                <w:sz w:val="18"/>
              </w:rPr>
              <w:t>51,104,839.47</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77"/>
              <w:jc w:val="right"/>
              <w:rPr>
                <w:rFonts w:ascii="Times New Roman" w:hAnsi="Times New Roman" w:cs="Times New Roman" w:eastAsia="Times New Roman" w:hint="default"/>
                <w:sz w:val="18"/>
                <w:szCs w:val="18"/>
              </w:rPr>
            </w:pPr>
            <w:r>
              <w:rPr>
                <w:rFonts w:ascii="Times New Roman"/>
                <w:spacing w:val="-1"/>
                <w:sz w:val="18"/>
              </w:rPr>
              <w:t>42,391,798.06</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77"/>
              <w:jc w:val="right"/>
              <w:rPr>
                <w:rFonts w:ascii="Times New Roman" w:hAnsi="Times New Roman" w:cs="Times New Roman" w:eastAsia="Times New Roman" w:hint="default"/>
                <w:sz w:val="18"/>
                <w:szCs w:val="18"/>
              </w:rPr>
            </w:pPr>
            <w:r>
              <w:rPr>
                <w:rFonts w:ascii="Times New Roman"/>
                <w:sz w:val="18"/>
              </w:rPr>
              <w:t>20.55%</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80" w:right="147"/>
              <w:jc w:val="left"/>
              <w:rPr>
                <w:rFonts w:ascii="宋体" w:hAnsi="宋体" w:cs="宋体" w:eastAsia="宋体" w:hint="default"/>
                <w:sz w:val="18"/>
                <w:szCs w:val="18"/>
              </w:rPr>
            </w:pPr>
            <w:r>
              <w:rPr>
                <w:rFonts w:ascii="宋体" w:hAnsi="宋体" w:cs="宋体" w:eastAsia="宋体" w:hint="default"/>
                <w:sz w:val="18"/>
                <w:szCs w:val="18"/>
              </w:rPr>
              <w:t>主要是职工薪酬，咨询、中介费增加 所致。</w:t>
            </w:r>
          </w:p>
        </w:tc>
      </w:tr>
      <w:tr>
        <w:trPr>
          <w:trHeight w:val="402"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9"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7"/>
              <w:jc w:val="right"/>
              <w:rPr>
                <w:rFonts w:ascii="Times New Roman" w:hAnsi="Times New Roman" w:cs="Times New Roman" w:eastAsia="Times New Roman" w:hint="default"/>
                <w:sz w:val="18"/>
                <w:szCs w:val="18"/>
              </w:rPr>
            </w:pPr>
            <w:r>
              <w:rPr>
                <w:rFonts w:ascii="Times New Roman"/>
                <w:spacing w:val="-1"/>
                <w:sz w:val="18"/>
              </w:rPr>
              <w:t>6,327,186.79</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7"/>
              <w:jc w:val="right"/>
              <w:rPr>
                <w:rFonts w:ascii="Times New Roman" w:hAnsi="Times New Roman" w:cs="Times New Roman" w:eastAsia="Times New Roman" w:hint="default"/>
                <w:sz w:val="18"/>
                <w:szCs w:val="18"/>
              </w:rPr>
            </w:pPr>
            <w:r>
              <w:rPr>
                <w:rFonts w:ascii="Times New Roman"/>
                <w:spacing w:val="-1"/>
                <w:sz w:val="18"/>
              </w:rPr>
              <w:t>2,387,054.94</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7"/>
              <w:jc w:val="right"/>
              <w:rPr>
                <w:rFonts w:ascii="Times New Roman" w:hAnsi="Times New Roman" w:cs="Times New Roman" w:eastAsia="Times New Roman" w:hint="default"/>
                <w:sz w:val="18"/>
                <w:szCs w:val="18"/>
              </w:rPr>
            </w:pPr>
            <w:r>
              <w:rPr>
                <w:rFonts w:ascii="Times New Roman"/>
                <w:sz w:val="18"/>
              </w:rPr>
              <w:t>165.06%</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主要系银行借款增加所致。</w:t>
            </w:r>
          </w:p>
        </w:tc>
      </w:tr>
      <w:tr>
        <w:trPr>
          <w:trHeight w:val="402"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9"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7"/>
              <w:jc w:val="right"/>
              <w:rPr>
                <w:rFonts w:ascii="Times New Roman" w:hAnsi="Times New Roman" w:cs="Times New Roman" w:eastAsia="Times New Roman" w:hint="default"/>
                <w:sz w:val="18"/>
                <w:szCs w:val="18"/>
              </w:rPr>
            </w:pPr>
            <w:r>
              <w:rPr>
                <w:rFonts w:ascii="Times New Roman"/>
                <w:spacing w:val="-1"/>
                <w:sz w:val="18"/>
              </w:rPr>
              <w:t>70,388,151.77</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7"/>
              <w:jc w:val="right"/>
              <w:rPr>
                <w:rFonts w:ascii="Times New Roman" w:hAnsi="Times New Roman" w:cs="Times New Roman" w:eastAsia="Times New Roman" w:hint="default"/>
                <w:sz w:val="18"/>
                <w:szCs w:val="18"/>
              </w:rPr>
            </w:pPr>
            <w:r>
              <w:rPr>
                <w:rFonts w:ascii="Times New Roman"/>
                <w:spacing w:val="-1"/>
                <w:sz w:val="18"/>
              </w:rPr>
              <w:t>55,405,696.81</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7"/>
              <w:jc w:val="right"/>
              <w:rPr>
                <w:rFonts w:ascii="Times New Roman" w:hAnsi="Times New Roman" w:cs="Times New Roman" w:eastAsia="Times New Roman" w:hint="default"/>
                <w:sz w:val="18"/>
                <w:szCs w:val="18"/>
              </w:rPr>
            </w:pPr>
            <w:r>
              <w:rPr>
                <w:rFonts w:ascii="Times New Roman"/>
                <w:sz w:val="18"/>
              </w:rPr>
              <w:t>27.04%</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0" w:right="-10"/>
              <w:jc w:val="left"/>
              <w:rPr>
                <w:rFonts w:ascii="宋体" w:hAnsi="宋体" w:cs="宋体" w:eastAsia="宋体" w:hint="default"/>
                <w:sz w:val="18"/>
                <w:szCs w:val="18"/>
              </w:rPr>
            </w:pPr>
            <w:r>
              <w:rPr>
                <w:rFonts w:ascii="宋体" w:hAnsi="宋体" w:cs="宋体" w:eastAsia="宋体" w:hint="default"/>
                <w:spacing w:val="-2"/>
                <w:sz w:val="18"/>
                <w:szCs w:val="18"/>
              </w:rPr>
              <w:t>主要是研发人员增加，薪酬增加所致。</w:t>
            </w:r>
          </w:p>
        </w:tc>
      </w:tr>
    </w:tbl>
    <w:p>
      <w:pPr>
        <w:spacing w:line="240" w:lineRule="auto" w:before="2"/>
        <w:rPr>
          <w:rFonts w:ascii="宋体" w:hAnsi="宋体" w:cs="宋体" w:eastAsia="宋体" w:hint="default"/>
          <w:sz w:val="19"/>
          <w:szCs w:val="19"/>
        </w:rPr>
      </w:pPr>
    </w:p>
    <w:p>
      <w:pPr>
        <w:spacing w:before="35"/>
        <w:ind w:left="174" w:right="1392" w:firstLine="0"/>
        <w:jc w:val="left"/>
        <w:rPr>
          <w:rFonts w:ascii="宋体" w:hAnsi="宋体" w:cs="宋体" w:eastAsia="宋体" w:hint="default"/>
          <w:sz w:val="21"/>
          <w:szCs w:val="21"/>
        </w:rPr>
      </w:pPr>
      <w:bookmarkStart w:name="4、研发投入" w:id="36"/>
      <w:bookmarkEnd w:id="36"/>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、研发投入</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74" w:right="13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357" w:lineRule="auto" w:before="132"/>
        <w:ind w:left="174" w:right="1013" w:firstLine="482"/>
        <w:jc w:val="both"/>
      </w:pPr>
      <w:r>
        <w:rPr/>
        <w:t>公司是国家火炬计划重点高新技术企业、国家规划布局内重点软件企业，并被认定为浙 江省省级企业技术中心、浙江省省级企业研究院。公司近年来不断引进优秀的技术人才，行 </w:t>
      </w:r>
      <w:r>
        <w:rPr>
          <w:spacing w:val="-3"/>
        </w:rPr>
        <w:t>业专业经验丰富，在智能卡应用、校园信息化、互联网等业务领域具有较强的技术创新能力。</w:t>
      </w:r>
    </w:p>
    <w:p>
      <w:pPr>
        <w:pStyle w:val="BodyText"/>
        <w:spacing w:line="357" w:lineRule="auto"/>
        <w:ind w:left="174" w:right="0" w:firstLine="482"/>
        <w:jc w:val="left"/>
      </w:pPr>
      <w:r>
        <w:rPr/>
        <w:t>报告期内，公司持续加大研发投入力度，在人脸识别、大数据及云计算方面组建专业团 </w:t>
      </w:r>
      <w:r>
        <w:rPr>
          <w:spacing w:val="-3"/>
        </w:rPr>
        <w:t>队研究和研发适应市场需求的产品，通过利用大数据、云计算、移动互联网等新兴信息技术，</w:t>
      </w:r>
      <w:r>
        <w:rPr>
          <w:spacing w:val="-81"/>
        </w:rPr>
        <w:t> </w:t>
      </w:r>
      <w:r>
        <w:rPr>
          <w:spacing w:val="-81"/>
        </w:rPr>
      </w:r>
      <w:r>
        <w:rPr/>
        <w:t>为客户提供更完善的整体解决方案，研发投入金额占营业收入比例为</w:t>
      </w:r>
      <w:r>
        <w:rPr>
          <w:rFonts w:ascii="宋体" w:hAnsi="宋体" w:cs="宋体" w:eastAsia="宋体" w:hint="default"/>
        </w:rPr>
        <w:t>12.42%</w:t>
      </w:r>
      <w:r>
        <w:rPr/>
        <w:t>。</w:t>
      </w:r>
    </w:p>
    <w:p>
      <w:pPr>
        <w:spacing w:before="47"/>
        <w:ind w:left="174" w:right="1392" w:firstLine="0"/>
        <w:jc w:val="left"/>
        <w:rPr>
          <w:rFonts w:ascii="宋体" w:hAnsi="宋体" w:cs="宋体" w:eastAsia="宋体" w:hint="default"/>
          <w:sz w:val="18"/>
          <w:szCs w:val="18"/>
        </w:rPr>
      </w:pPr>
      <w:r>
        <w:rPr>
          <w:rFonts w:ascii="宋体" w:hAnsi="宋体" w:cs="宋体" w:eastAsia="宋体" w:hint="default"/>
          <w:sz w:val="18"/>
          <w:szCs w:val="18"/>
        </w:rPr>
        <w:t>近三年公司研发投入金额及占营业收入的比例</w:t>
      </w:r>
    </w:p>
    <w:p>
      <w:pPr>
        <w:spacing w:line="240" w:lineRule="auto" w:before="0"/>
        <w:rPr>
          <w:rFonts w:ascii="宋体" w:hAnsi="宋体" w:cs="宋体" w:eastAsia="宋体" w:hint="default"/>
          <w:sz w:val="8"/>
          <w:szCs w:val="8"/>
        </w:rPr>
      </w:pPr>
    </w:p>
    <w:tbl>
      <w:tblPr>
        <w:tblW w:w="0" w:type="auto"/>
        <w:jc w:val="left"/>
        <w:tblInd w:w="111" w:type="dxa"/>
        <w:tblLayout w:type="fixed"/>
        <w:tblCellMar>
          <w:top w:w="0" w:type="dxa"/>
          <w:left w:w="0" w:type="dxa"/>
          <w:bottom w:w="0" w:type="dxa"/>
          <w:right w:w="0" w:type="dxa"/>
        </w:tblCellMar>
        <w:tblLook w:val="01E0"/>
      </w:tblPr>
      <w:tblGrid>
        <w:gridCol w:w="2393"/>
        <w:gridCol w:w="2392"/>
        <w:gridCol w:w="2393"/>
        <w:gridCol w:w="2392"/>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0"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77"/>
              <w:jc w:val="right"/>
              <w:rPr>
                <w:rFonts w:ascii="Times New Roman" w:hAnsi="Times New Roman" w:cs="Times New Roman" w:eastAsia="Times New Roman" w:hint="default"/>
                <w:sz w:val="18"/>
                <w:szCs w:val="18"/>
              </w:rPr>
            </w:pPr>
            <w:r>
              <w:rPr>
                <w:rFonts w:ascii="Times New Roman"/>
                <w:sz w:val="18"/>
              </w:rPr>
              <w:t>380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78"/>
              <w:jc w:val="right"/>
              <w:rPr>
                <w:rFonts w:ascii="Times New Roman" w:hAnsi="Times New Roman" w:cs="Times New Roman" w:eastAsia="Times New Roman" w:hint="default"/>
                <w:sz w:val="18"/>
                <w:szCs w:val="18"/>
              </w:rPr>
            </w:pPr>
            <w:r>
              <w:rPr>
                <w:rFonts w:ascii="Times New Roman"/>
                <w:sz w:val="18"/>
              </w:rPr>
              <w:t>346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78"/>
              <w:jc w:val="right"/>
              <w:rPr>
                <w:rFonts w:ascii="Times New Roman" w:hAnsi="Times New Roman" w:cs="Times New Roman" w:eastAsia="Times New Roman" w:hint="default"/>
                <w:sz w:val="18"/>
                <w:szCs w:val="18"/>
              </w:rPr>
            </w:pPr>
            <w:r>
              <w:rPr>
                <w:rFonts w:ascii="Times New Roman"/>
                <w:sz w:val="18"/>
              </w:rPr>
              <w:t>262</w:t>
            </w:r>
          </w:p>
        </w:tc>
      </w:tr>
      <w:tr>
        <w:trPr>
          <w:trHeight w:val="402"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0"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76"/>
              <w:jc w:val="right"/>
              <w:rPr>
                <w:rFonts w:ascii="Times New Roman" w:hAnsi="Times New Roman" w:cs="Times New Roman" w:eastAsia="Times New Roman" w:hint="default"/>
                <w:sz w:val="18"/>
                <w:szCs w:val="18"/>
              </w:rPr>
            </w:pPr>
            <w:r>
              <w:rPr>
                <w:rFonts w:ascii="Times New Roman"/>
                <w:sz w:val="18"/>
              </w:rPr>
              <w:t>37.22%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77"/>
              <w:jc w:val="right"/>
              <w:rPr>
                <w:rFonts w:ascii="Times New Roman" w:hAnsi="Times New Roman" w:cs="Times New Roman" w:eastAsia="Times New Roman" w:hint="default"/>
                <w:sz w:val="18"/>
                <w:szCs w:val="18"/>
              </w:rPr>
            </w:pPr>
            <w:r>
              <w:rPr>
                <w:rFonts w:ascii="Times New Roman"/>
                <w:sz w:val="18"/>
              </w:rPr>
              <w:t>39.23%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77"/>
              <w:jc w:val="right"/>
              <w:rPr>
                <w:rFonts w:ascii="Times New Roman" w:hAnsi="Times New Roman" w:cs="Times New Roman" w:eastAsia="Times New Roman" w:hint="default"/>
                <w:sz w:val="18"/>
                <w:szCs w:val="18"/>
              </w:rPr>
            </w:pPr>
            <w:r>
              <w:rPr>
                <w:rFonts w:ascii="Times New Roman"/>
                <w:sz w:val="18"/>
              </w:rPr>
              <w:t>36.85%</w:t>
            </w:r>
          </w:p>
        </w:tc>
      </w:tr>
      <w:tr>
        <w:trPr>
          <w:trHeight w:val="402"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0"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77"/>
              <w:jc w:val="right"/>
              <w:rPr>
                <w:rFonts w:ascii="Times New Roman" w:hAnsi="Times New Roman" w:cs="Times New Roman" w:eastAsia="Times New Roman" w:hint="default"/>
                <w:sz w:val="18"/>
                <w:szCs w:val="18"/>
              </w:rPr>
            </w:pPr>
            <w:r>
              <w:rPr>
                <w:rFonts w:ascii="Times New Roman"/>
                <w:spacing w:val="-1"/>
                <w:sz w:val="18"/>
              </w:rPr>
              <w:t>70,388,151.77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78"/>
              <w:jc w:val="right"/>
              <w:rPr>
                <w:rFonts w:ascii="Times New Roman" w:hAnsi="Times New Roman" w:cs="Times New Roman" w:eastAsia="Times New Roman" w:hint="default"/>
                <w:sz w:val="18"/>
                <w:szCs w:val="18"/>
              </w:rPr>
            </w:pPr>
            <w:r>
              <w:rPr>
                <w:rFonts w:ascii="Times New Roman"/>
                <w:spacing w:val="-1"/>
                <w:sz w:val="18"/>
              </w:rPr>
              <w:t>55,405,696.81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77"/>
              <w:jc w:val="right"/>
              <w:rPr>
                <w:rFonts w:ascii="Times New Roman" w:hAnsi="Times New Roman" w:cs="Times New Roman" w:eastAsia="Times New Roman" w:hint="default"/>
                <w:sz w:val="18"/>
                <w:szCs w:val="18"/>
              </w:rPr>
            </w:pPr>
            <w:r>
              <w:rPr>
                <w:rFonts w:ascii="Times New Roman"/>
                <w:spacing w:val="-1"/>
                <w:sz w:val="18"/>
              </w:rPr>
              <w:t>45,731,005.86</w:t>
            </w:r>
          </w:p>
        </w:tc>
      </w:tr>
      <w:tr>
        <w:trPr>
          <w:trHeight w:val="402"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0"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76"/>
              <w:jc w:val="right"/>
              <w:rPr>
                <w:rFonts w:ascii="Times New Roman" w:hAnsi="Times New Roman" w:cs="Times New Roman" w:eastAsia="Times New Roman" w:hint="default"/>
                <w:sz w:val="18"/>
                <w:szCs w:val="18"/>
              </w:rPr>
            </w:pPr>
            <w:r>
              <w:rPr>
                <w:rFonts w:ascii="Times New Roman"/>
                <w:sz w:val="18"/>
              </w:rPr>
              <w:t>12.42%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77"/>
              <w:jc w:val="right"/>
              <w:rPr>
                <w:rFonts w:ascii="Times New Roman" w:hAnsi="Times New Roman" w:cs="Times New Roman" w:eastAsia="Times New Roman" w:hint="default"/>
                <w:sz w:val="18"/>
                <w:szCs w:val="18"/>
              </w:rPr>
            </w:pPr>
            <w:r>
              <w:rPr>
                <w:rFonts w:ascii="Times New Roman"/>
                <w:sz w:val="18"/>
              </w:rPr>
              <w:t>12.34%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77"/>
              <w:jc w:val="right"/>
              <w:rPr>
                <w:rFonts w:ascii="Times New Roman" w:hAnsi="Times New Roman" w:cs="Times New Roman" w:eastAsia="Times New Roman" w:hint="default"/>
                <w:sz w:val="18"/>
                <w:szCs w:val="18"/>
              </w:rPr>
            </w:pPr>
            <w:r>
              <w:rPr>
                <w:rFonts w:ascii="Times New Roman"/>
                <w:sz w:val="18"/>
              </w:rPr>
              <w:t>12.59%</w:t>
            </w:r>
          </w:p>
        </w:tc>
      </w:tr>
      <w:tr>
        <w:trPr>
          <w:trHeight w:val="402"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0" w:right="-10"/>
              <w:jc w:val="left"/>
              <w:rPr>
                <w:rFonts w:ascii="宋体" w:hAnsi="宋体" w:cs="宋体" w:eastAsia="宋体" w:hint="default"/>
                <w:sz w:val="18"/>
                <w:szCs w:val="18"/>
              </w:rPr>
            </w:pPr>
            <w:r>
              <w:rPr>
                <w:rFonts w:ascii="宋体" w:hAnsi="宋体" w:cs="宋体" w:eastAsia="宋体" w:hint="default"/>
                <w:spacing w:val="-3"/>
                <w:sz w:val="18"/>
                <w:szCs w:val="18"/>
              </w:rPr>
              <w:t>研发支出资本化的金额（元）</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76"/>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77"/>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77"/>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80" w:right="141"/>
              <w:jc w:val="left"/>
              <w:rPr>
                <w:rFonts w:ascii="宋体" w:hAnsi="宋体" w:cs="宋体" w:eastAsia="宋体" w:hint="default"/>
                <w:sz w:val="18"/>
                <w:szCs w:val="18"/>
              </w:rPr>
            </w:pPr>
            <w:r>
              <w:rPr>
                <w:rFonts w:ascii="宋体" w:hAnsi="宋体" w:cs="宋体" w:eastAsia="宋体" w:hint="default"/>
                <w:sz w:val="18"/>
                <w:szCs w:val="18"/>
              </w:rPr>
              <w:t>资本化研发支出占研发投入 的比例</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76"/>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77"/>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77"/>
              <w:jc w:val="right"/>
              <w:rPr>
                <w:rFonts w:ascii="Times New Roman" w:hAnsi="Times New Roman" w:cs="Times New Roman" w:eastAsia="Times New Roman" w:hint="default"/>
                <w:sz w:val="18"/>
                <w:szCs w:val="18"/>
              </w:rPr>
            </w:pPr>
            <w:r>
              <w:rPr>
                <w:rFonts w:ascii="Times New Roman"/>
                <w:sz w:val="18"/>
              </w:rPr>
              <w:t>0.00%</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80" w:right="141"/>
              <w:jc w:val="left"/>
              <w:rPr>
                <w:rFonts w:ascii="宋体" w:hAnsi="宋体" w:cs="宋体" w:eastAsia="宋体" w:hint="default"/>
                <w:sz w:val="18"/>
                <w:szCs w:val="18"/>
              </w:rPr>
            </w:pPr>
            <w:r>
              <w:rPr>
                <w:rFonts w:ascii="宋体" w:hAnsi="宋体" w:cs="宋体" w:eastAsia="宋体" w:hint="default"/>
                <w:sz w:val="18"/>
                <w:szCs w:val="18"/>
              </w:rPr>
              <w:t>资本化研发支出占当期净利 润的比重</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76"/>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77"/>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77"/>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60" w:right="0"/>
        </w:sectPr>
      </w:pPr>
    </w:p>
    <w:p>
      <w:pPr>
        <w:spacing w:before="51"/>
        <w:ind w:left="174" w:right="-19" w:firstLine="0"/>
        <w:jc w:val="left"/>
        <w:rPr>
          <w:rFonts w:ascii="宋体" w:hAnsi="宋体" w:cs="宋体" w:eastAsia="宋体" w:hint="default"/>
          <w:sz w:val="18"/>
          <w:szCs w:val="18"/>
        </w:rPr>
      </w:pPr>
      <w:r>
        <w:rPr>
          <w:rFonts w:ascii="宋体" w:hAnsi="宋体" w:cs="宋体" w:eastAsia="宋体" w:hint="default"/>
          <w:sz w:val="18"/>
          <w:szCs w:val="18"/>
        </w:rPr>
        <w:t>研发投入总额占营业收入的比重较上年发生显著变化的原因</w:t>
      </w:r>
    </w:p>
    <w:p>
      <w:pPr>
        <w:spacing w:line="340" w:lineRule="auto" w:before="116"/>
        <w:ind w:left="174" w:right="493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研发投入资本化率大幅变动的原因及其合理性说明</w:t>
      </w:r>
    </w:p>
    <w:p>
      <w:pPr>
        <w:spacing w:before="40"/>
        <w:ind w:left="174" w:right="-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174" w:right="-19" w:firstLine="0"/>
        <w:jc w:val="left"/>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上市公司从事软件与信息技术服务业务》的披露要求</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spacing w:before="0"/>
        <w:ind w:left="-3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60" w:right="0"/>
          <w:cols w:num="2" w:equalWidth="0">
            <w:col w:w="9085" w:space="40"/>
            <w:col w:w="1825"/>
          </w:cols>
        </w:sectPr>
      </w:pPr>
    </w:p>
    <w:p>
      <w:pPr>
        <w:spacing w:line="240" w:lineRule="auto" w:before="13"/>
        <w:rPr>
          <w:rFonts w:ascii="宋体" w:hAnsi="宋体" w:cs="宋体" w:eastAsia="宋体" w:hint="default"/>
          <w:sz w:val="7"/>
          <w:szCs w:val="7"/>
        </w:rPr>
      </w:pPr>
    </w:p>
    <w:tbl>
      <w:tblPr>
        <w:tblW w:w="0" w:type="auto"/>
        <w:jc w:val="left"/>
        <w:tblInd w:w="16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1" w:right="0"/>
              <w:jc w:val="left"/>
              <w:rPr>
                <w:rFonts w:ascii="宋体" w:hAnsi="宋体" w:cs="宋体" w:eastAsia="宋体" w:hint="default"/>
                <w:sz w:val="18"/>
                <w:szCs w:val="18"/>
              </w:rPr>
            </w:pPr>
            <w:r>
              <w:rPr>
                <w:rFonts w:ascii="宋体" w:hAnsi="宋体" w:cs="宋体" w:eastAsia="宋体" w:hint="default"/>
                <w:sz w:val="18"/>
                <w:szCs w:val="18"/>
              </w:rPr>
              <w:t>研发资本化金额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0" w:right="0"/>
              <w:jc w:val="left"/>
              <w:rPr>
                <w:rFonts w:ascii="宋体" w:hAnsi="宋体" w:cs="宋体" w:eastAsia="宋体" w:hint="default"/>
                <w:sz w:val="18"/>
                <w:szCs w:val="18"/>
              </w:rPr>
            </w:pPr>
            <w:r>
              <w:rPr>
                <w:rFonts w:ascii="宋体" w:hAnsi="宋体" w:cs="宋体" w:eastAsia="宋体" w:hint="default"/>
                <w:sz w:val="18"/>
                <w:szCs w:val="18"/>
              </w:rPr>
              <w:t>相关项目的基本情况</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实施进度</w:t>
            </w:r>
          </w:p>
        </w:tc>
      </w:tr>
    </w:tbl>
    <w:p>
      <w:pPr>
        <w:spacing w:line="240" w:lineRule="auto" w:before="3"/>
        <w:rPr>
          <w:rFonts w:ascii="宋体" w:hAnsi="宋体" w:cs="宋体" w:eastAsia="宋体" w:hint="default"/>
          <w:sz w:val="19"/>
          <w:szCs w:val="19"/>
        </w:rPr>
      </w:pPr>
    </w:p>
    <w:p>
      <w:pPr>
        <w:spacing w:before="35"/>
        <w:ind w:left="174" w:right="1392" w:firstLine="0"/>
        <w:jc w:val="left"/>
        <w:rPr>
          <w:rFonts w:ascii="宋体" w:hAnsi="宋体" w:cs="宋体" w:eastAsia="宋体" w:hint="default"/>
          <w:sz w:val="21"/>
          <w:szCs w:val="21"/>
        </w:rPr>
      </w:pPr>
      <w:bookmarkStart w:name="5、现金流" w:id="37"/>
      <w:bookmarkEnd w:id="37"/>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、现金流</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after="0"/>
        <w:jc w:val="right"/>
        <w:rPr>
          <w:rFonts w:ascii="宋体" w:hAnsi="宋体" w:cs="宋体" w:eastAsia="宋体" w:hint="default"/>
          <w:sz w:val="18"/>
          <w:szCs w:val="18"/>
        </w:rPr>
        <w:sectPr>
          <w:type w:val="continuous"/>
          <w:pgSz w:w="11910" w:h="16840"/>
          <w:pgMar w:top="1060" w:bottom="1160" w:left="960" w:right="0"/>
        </w:sectPr>
      </w:pPr>
    </w:p>
    <w:p>
      <w:pPr>
        <w:spacing w:line="240" w:lineRule="auto" w:before="6"/>
        <w:rPr>
          <w:rFonts w:ascii="宋体" w:hAnsi="宋体" w:cs="宋体" w:eastAsia="宋体" w:hint="default"/>
          <w:sz w:val="28"/>
          <w:szCs w:val="28"/>
        </w:rPr>
      </w:pPr>
    </w:p>
    <w:tbl>
      <w:tblPr>
        <w:tblW w:w="0" w:type="auto"/>
        <w:jc w:val="left"/>
        <w:tblInd w:w="111" w:type="dxa"/>
        <w:tblLayout w:type="fixed"/>
        <w:tblCellMar>
          <w:top w:w="0" w:type="dxa"/>
          <w:left w:w="0" w:type="dxa"/>
          <w:bottom w:w="0" w:type="dxa"/>
          <w:right w:w="0" w:type="dxa"/>
        </w:tblCellMar>
        <w:tblLook w:val="01E0"/>
      </w:tblPr>
      <w:tblGrid>
        <w:gridCol w:w="2393"/>
        <w:gridCol w:w="2392"/>
        <w:gridCol w:w="2393"/>
        <w:gridCol w:w="2392"/>
      </w:tblGrid>
      <w:tr>
        <w:trPr>
          <w:trHeight w:val="402"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7"/>
              <w:jc w:val="right"/>
              <w:rPr>
                <w:rFonts w:ascii="Times New Roman" w:hAnsi="Times New Roman" w:cs="Times New Roman" w:eastAsia="Times New Roman" w:hint="default"/>
                <w:sz w:val="18"/>
                <w:szCs w:val="18"/>
              </w:rPr>
            </w:pPr>
            <w:r>
              <w:rPr>
                <w:rFonts w:ascii="Times New Roman"/>
                <w:spacing w:val="-1"/>
                <w:sz w:val="18"/>
              </w:rPr>
              <w:t>679,237,123.91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8"/>
              <w:jc w:val="right"/>
              <w:rPr>
                <w:rFonts w:ascii="Times New Roman" w:hAnsi="Times New Roman" w:cs="Times New Roman" w:eastAsia="Times New Roman" w:hint="default"/>
                <w:sz w:val="18"/>
                <w:szCs w:val="18"/>
              </w:rPr>
            </w:pPr>
            <w:r>
              <w:rPr>
                <w:rFonts w:ascii="Times New Roman"/>
                <w:spacing w:val="-1"/>
                <w:sz w:val="18"/>
              </w:rPr>
              <w:t>549,100,431.88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7"/>
              <w:jc w:val="right"/>
              <w:rPr>
                <w:rFonts w:ascii="Times New Roman" w:hAnsi="Times New Roman" w:cs="Times New Roman" w:eastAsia="Times New Roman" w:hint="default"/>
                <w:sz w:val="18"/>
                <w:szCs w:val="18"/>
              </w:rPr>
            </w:pPr>
            <w:r>
              <w:rPr>
                <w:rFonts w:ascii="Times New Roman"/>
                <w:sz w:val="18"/>
              </w:rPr>
              <w:t>23.70%</w:t>
            </w:r>
          </w:p>
        </w:tc>
      </w:tr>
      <w:tr>
        <w:trPr>
          <w:trHeight w:val="402"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7"/>
              <w:jc w:val="right"/>
              <w:rPr>
                <w:rFonts w:ascii="Times New Roman" w:hAnsi="Times New Roman" w:cs="Times New Roman" w:eastAsia="Times New Roman" w:hint="default"/>
                <w:sz w:val="18"/>
                <w:szCs w:val="18"/>
              </w:rPr>
            </w:pPr>
            <w:r>
              <w:rPr>
                <w:rFonts w:ascii="Times New Roman"/>
                <w:spacing w:val="-1"/>
                <w:sz w:val="18"/>
              </w:rPr>
              <w:t>672,698,463.50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8"/>
              <w:jc w:val="right"/>
              <w:rPr>
                <w:rFonts w:ascii="Times New Roman" w:hAnsi="Times New Roman" w:cs="Times New Roman" w:eastAsia="Times New Roman" w:hint="default"/>
                <w:sz w:val="18"/>
                <w:szCs w:val="18"/>
              </w:rPr>
            </w:pPr>
            <w:r>
              <w:rPr>
                <w:rFonts w:ascii="Times New Roman"/>
                <w:spacing w:val="-1"/>
                <w:sz w:val="18"/>
              </w:rPr>
              <w:t>589,121,173.27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7"/>
              <w:jc w:val="right"/>
              <w:rPr>
                <w:rFonts w:ascii="Times New Roman" w:hAnsi="Times New Roman" w:cs="Times New Roman" w:eastAsia="Times New Roman" w:hint="default"/>
                <w:sz w:val="18"/>
                <w:szCs w:val="18"/>
              </w:rPr>
            </w:pPr>
            <w:r>
              <w:rPr>
                <w:rFonts w:ascii="Times New Roman"/>
                <w:sz w:val="18"/>
              </w:rPr>
              <w:t>14.19%</w:t>
            </w:r>
          </w:p>
        </w:tc>
      </w:tr>
      <w:tr>
        <w:trPr>
          <w:trHeight w:val="714"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0" w:right="141"/>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77"/>
              <w:jc w:val="right"/>
              <w:rPr>
                <w:rFonts w:ascii="Times New Roman" w:hAnsi="Times New Roman" w:cs="Times New Roman" w:eastAsia="Times New Roman" w:hint="default"/>
                <w:sz w:val="18"/>
                <w:szCs w:val="18"/>
              </w:rPr>
            </w:pPr>
            <w:r>
              <w:rPr>
                <w:rFonts w:ascii="Times New Roman"/>
                <w:spacing w:val="-1"/>
                <w:sz w:val="18"/>
              </w:rPr>
              <w:t>6,538,660.41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78"/>
              <w:jc w:val="right"/>
              <w:rPr>
                <w:rFonts w:ascii="Times New Roman" w:hAnsi="Times New Roman" w:cs="Times New Roman" w:eastAsia="Times New Roman" w:hint="default"/>
                <w:sz w:val="18"/>
                <w:szCs w:val="18"/>
              </w:rPr>
            </w:pPr>
            <w:r>
              <w:rPr>
                <w:rFonts w:ascii="Times New Roman"/>
                <w:spacing w:val="-1"/>
                <w:sz w:val="18"/>
              </w:rPr>
              <w:t>-40,020,741.39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78"/>
              <w:jc w:val="right"/>
              <w:rPr>
                <w:rFonts w:ascii="Times New Roman" w:hAnsi="Times New Roman" w:cs="Times New Roman" w:eastAsia="Times New Roman" w:hint="default"/>
                <w:sz w:val="18"/>
                <w:szCs w:val="18"/>
              </w:rPr>
            </w:pPr>
            <w:r>
              <w:rPr>
                <w:rFonts w:ascii="Times New Roman"/>
                <w:spacing w:val="-2"/>
                <w:sz w:val="18"/>
              </w:rPr>
              <w:t>116.34%</w:t>
            </w:r>
          </w:p>
        </w:tc>
      </w:tr>
      <w:tr>
        <w:trPr>
          <w:trHeight w:val="402"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7"/>
              <w:jc w:val="right"/>
              <w:rPr>
                <w:rFonts w:ascii="Times New Roman" w:hAnsi="Times New Roman" w:cs="Times New Roman" w:eastAsia="Times New Roman" w:hint="default"/>
                <w:sz w:val="18"/>
                <w:szCs w:val="18"/>
              </w:rPr>
            </w:pPr>
            <w:r>
              <w:rPr>
                <w:rFonts w:ascii="Times New Roman"/>
                <w:spacing w:val="-1"/>
                <w:sz w:val="18"/>
              </w:rPr>
              <w:t>301,915,493.31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8"/>
              <w:jc w:val="right"/>
              <w:rPr>
                <w:rFonts w:ascii="Times New Roman" w:hAnsi="Times New Roman" w:cs="Times New Roman" w:eastAsia="Times New Roman" w:hint="default"/>
                <w:sz w:val="18"/>
                <w:szCs w:val="18"/>
              </w:rPr>
            </w:pPr>
            <w:r>
              <w:rPr>
                <w:rFonts w:ascii="Times New Roman"/>
                <w:spacing w:val="-1"/>
                <w:sz w:val="18"/>
              </w:rPr>
              <w:t>146,773,247.89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7"/>
              <w:jc w:val="right"/>
              <w:rPr>
                <w:rFonts w:ascii="Times New Roman" w:hAnsi="Times New Roman" w:cs="Times New Roman" w:eastAsia="Times New Roman" w:hint="default"/>
                <w:sz w:val="18"/>
                <w:szCs w:val="18"/>
              </w:rPr>
            </w:pPr>
            <w:r>
              <w:rPr>
                <w:rFonts w:ascii="Times New Roman"/>
                <w:sz w:val="18"/>
              </w:rPr>
              <w:t>105.70%</w:t>
            </w:r>
          </w:p>
        </w:tc>
      </w:tr>
      <w:tr>
        <w:trPr>
          <w:trHeight w:val="402"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7"/>
              <w:jc w:val="right"/>
              <w:rPr>
                <w:rFonts w:ascii="Times New Roman" w:hAnsi="Times New Roman" w:cs="Times New Roman" w:eastAsia="Times New Roman" w:hint="default"/>
                <w:sz w:val="18"/>
                <w:szCs w:val="18"/>
              </w:rPr>
            </w:pPr>
            <w:r>
              <w:rPr>
                <w:rFonts w:ascii="Times New Roman"/>
                <w:spacing w:val="-1"/>
                <w:sz w:val="18"/>
              </w:rPr>
              <w:t>381,167,333.57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8"/>
              <w:jc w:val="right"/>
              <w:rPr>
                <w:rFonts w:ascii="Times New Roman" w:hAnsi="Times New Roman" w:cs="Times New Roman" w:eastAsia="Times New Roman" w:hint="default"/>
                <w:sz w:val="18"/>
                <w:szCs w:val="18"/>
              </w:rPr>
            </w:pPr>
            <w:r>
              <w:rPr>
                <w:rFonts w:ascii="Times New Roman"/>
                <w:spacing w:val="-1"/>
                <w:sz w:val="18"/>
              </w:rPr>
              <w:t>229,319,469.99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7"/>
              <w:jc w:val="right"/>
              <w:rPr>
                <w:rFonts w:ascii="Times New Roman" w:hAnsi="Times New Roman" w:cs="Times New Roman" w:eastAsia="Times New Roman" w:hint="default"/>
                <w:sz w:val="18"/>
                <w:szCs w:val="18"/>
              </w:rPr>
            </w:pPr>
            <w:r>
              <w:rPr>
                <w:rFonts w:ascii="Times New Roman"/>
                <w:sz w:val="18"/>
              </w:rPr>
              <w:t>66.22%</w:t>
            </w:r>
          </w:p>
        </w:tc>
      </w:tr>
      <w:tr>
        <w:trPr>
          <w:trHeight w:val="714"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0" w:right="141"/>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77"/>
              <w:jc w:val="right"/>
              <w:rPr>
                <w:rFonts w:ascii="Times New Roman" w:hAnsi="Times New Roman" w:cs="Times New Roman" w:eastAsia="Times New Roman" w:hint="default"/>
                <w:sz w:val="18"/>
                <w:szCs w:val="18"/>
              </w:rPr>
            </w:pPr>
            <w:r>
              <w:rPr>
                <w:rFonts w:ascii="Times New Roman"/>
                <w:spacing w:val="-1"/>
                <w:sz w:val="18"/>
              </w:rPr>
              <w:t>-79,251,840.26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77"/>
              <w:jc w:val="right"/>
              <w:rPr>
                <w:rFonts w:ascii="Times New Roman" w:hAnsi="Times New Roman" w:cs="Times New Roman" w:eastAsia="Times New Roman" w:hint="default"/>
                <w:sz w:val="18"/>
                <w:szCs w:val="18"/>
              </w:rPr>
            </w:pPr>
            <w:r>
              <w:rPr>
                <w:rFonts w:ascii="Times New Roman"/>
                <w:spacing w:val="-1"/>
                <w:sz w:val="18"/>
              </w:rPr>
              <w:t>-82,546,222.10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77"/>
              <w:jc w:val="right"/>
              <w:rPr>
                <w:rFonts w:ascii="Times New Roman" w:hAnsi="Times New Roman" w:cs="Times New Roman" w:eastAsia="Times New Roman" w:hint="default"/>
                <w:sz w:val="18"/>
                <w:szCs w:val="18"/>
              </w:rPr>
            </w:pPr>
            <w:r>
              <w:rPr>
                <w:rFonts w:ascii="Times New Roman"/>
                <w:sz w:val="18"/>
              </w:rPr>
              <w:t>3.99%</w:t>
            </w:r>
          </w:p>
        </w:tc>
      </w:tr>
      <w:tr>
        <w:trPr>
          <w:trHeight w:val="402"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7"/>
              <w:jc w:val="right"/>
              <w:rPr>
                <w:rFonts w:ascii="Times New Roman" w:hAnsi="Times New Roman" w:cs="Times New Roman" w:eastAsia="Times New Roman" w:hint="default"/>
                <w:sz w:val="18"/>
                <w:szCs w:val="18"/>
              </w:rPr>
            </w:pPr>
            <w:r>
              <w:rPr>
                <w:rFonts w:ascii="Times New Roman"/>
                <w:spacing w:val="-1"/>
                <w:sz w:val="18"/>
              </w:rPr>
              <w:t>283,590,451.38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8"/>
              <w:jc w:val="right"/>
              <w:rPr>
                <w:rFonts w:ascii="Times New Roman" w:hAnsi="Times New Roman" w:cs="Times New Roman" w:eastAsia="Times New Roman" w:hint="default"/>
                <w:sz w:val="18"/>
                <w:szCs w:val="18"/>
              </w:rPr>
            </w:pPr>
            <w:r>
              <w:rPr>
                <w:rFonts w:ascii="Times New Roman"/>
                <w:spacing w:val="-1"/>
                <w:sz w:val="18"/>
              </w:rPr>
              <w:t>290,743,337.45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7"/>
              <w:jc w:val="right"/>
              <w:rPr>
                <w:rFonts w:ascii="Times New Roman" w:hAnsi="Times New Roman" w:cs="Times New Roman" w:eastAsia="Times New Roman" w:hint="default"/>
                <w:sz w:val="18"/>
                <w:szCs w:val="18"/>
              </w:rPr>
            </w:pPr>
            <w:r>
              <w:rPr>
                <w:rFonts w:ascii="Times New Roman"/>
                <w:sz w:val="18"/>
              </w:rPr>
              <w:t>-2.46%</w:t>
            </w:r>
          </w:p>
        </w:tc>
      </w:tr>
      <w:tr>
        <w:trPr>
          <w:trHeight w:val="402"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7"/>
              <w:jc w:val="right"/>
              <w:rPr>
                <w:rFonts w:ascii="Times New Roman" w:hAnsi="Times New Roman" w:cs="Times New Roman" w:eastAsia="Times New Roman" w:hint="default"/>
                <w:sz w:val="18"/>
                <w:szCs w:val="18"/>
              </w:rPr>
            </w:pPr>
            <w:r>
              <w:rPr>
                <w:rFonts w:ascii="Times New Roman"/>
                <w:spacing w:val="-1"/>
                <w:sz w:val="18"/>
              </w:rPr>
              <w:t>165,321,284.72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8"/>
              <w:jc w:val="right"/>
              <w:rPr>
                <w:rFonts w:ascii="Times New Roman" w:hAnsi="Times New Roman" w:cs="Times New Roman" w:eastAsia="Times New Roman" w:hint="default"/>
                <w:sz w:val="18"/>
                <w:szCs w:val="18"/>
              </w:rPr>
            </w:pPr>
            <w:r>
              <w:rPr>
                <w:rFonts w:ascii="Times New Roman"/>
                <w:spacing w:val="-1"/>
                <w:sz w:val="18"/>
              </w:rPr>
              <w:t>118,154,159.06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7"/>
              <w:jc w:val="right"/>
              <w:rPr>
                <w:rFonts w:ascii="Times New Roman" w:hAnsi="Times New Roman" w:cs="Times New Roman" w:eastAsia="Times New Roman" w:hint="default"/>
                <w:sz w:val="18"/>
                <w:szCs w:val="18"/>
              </w:rPr>
            </w:pPr>
            <w:r>
              <w:rPr>
                <w:rFonts w:ascii="Times New Roman"/>
                <w:sz w:val="18"/>
              </w:rPr>
              <w:t>39.92%</w:t>
            </w:r>
          </w:p>
        </w:tc>
      </w:tr>
      <w:tr>
        <w:trPr>
          <w:trHeight w:val="714"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0" w:right="141"/>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77"/>
              <w:jc w:val="right"/>
              <w:rPr>
                <w:rFonts w:ascii="Times New Roman" w:hAnsi="Times New Roman" w:cs="Times New Roman" w:eastAsia="Times New Roman" w:hint="default"/>
                <w:sz w:val="18"/>
                <w:szCs w:val="18"/>
              </w:rPr>
            </w:pPr>
            <w:r>
              <w:rPr>
                <w:rFonts w:ascii="Times New Roman"/>
                <w:spacing w:val="-1"/>
                <w:sz w:val="18"/>
              </w:rPr>
              <w:t>118,269,166.66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78"/>
              <w:jc w:val="right"/>
              <w:rPr>
                <w:rFonts w:ascii="Times New Roman" w:hAnsi="Times New Roman" w:cs="Times New Roman" w:eastAsia="Times New Roman" w:hint="default"/>
                <w:sz w:val="18"/>
                <w:szCs w:val="18"/>
              </w:rPr>
            </w:pPr>
            <w:r>
              <w:rPr>
                <w:rFonts w:ascii="Times New Roman"/>
                <w:spacing w:val="-1"/>
                <w:sz w:val="18"/>
              </w:rPr>
              <w:t>172,589,178.39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77"/>
              <w:jc w:val="right"/>
              <w:rPr>
                <w:rFonts w:ascii="Times New Roman" w:hAnsi="Times New Roman" w:cs="Times New Roman" w:eastAsia="Times New Roman" w:hint="default"/>
                <w:sz w:val="18"/>
                <w:szCs w:val="18"/>
              </w:rPr>
            </w:pPr>
            <w:r>
              <w:rPr>
                <w:rFonts w:ascii="Times New Roman"/>
                <w:sz w:val="18"/>
              </w:rPr>
              <w:t>-31.47%</w:t>
            </w:r>
          </w:p>
        </w:tc>
      </w:tr>
      <w:tr>
        <w:trPr>
          <w:trHeight w:val="402"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7"/>
              <w:jc w:val="right"/>
              <w:rPr>
                <w:rFonts w:ascii="Times New Roman" w:hAnsi="Times New Roman" w:cs="Times New Roman" w:eastAsia="Times New Roman" w:hint="default"/>
                <w:sz w:val="18"/>
                <w:szCs w:val="18"/>
              </w:rPr>
            </w:pPr>
            <w:r>
              <w:rPr>
                <w:rFonts w:ascii="Times New Roman"/>
                <w:spacing w:val="-1"/>
                <w:sz w:val="18"/>
              </w:rPr>
              <w:t>45,555,986.81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8"/>
              <w:jc w:val="right"/>
              <w:rPr>
                <w:rFonts w:ascii="Times New Roman" w:hAnsi="Times New Roman" w:cs="Times New Roman" w:eastAsia="Times New Roman" w:hint="default"/>
                <w:sz w:val="18"/>
                <w:szCs w:val="18"/>
              </w:rPr>
            </w:pPr>
            <w:r>
              <w:rPr>
                <w:rFonts w:ascii="Times New Roman"/>
                <w:spacing w:val="-1"/>
                <w:sz w:val="18"/>
              </w:rPr>
              <w:t>50,022,214.90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7"/>
              <w:jc w:val="right"/>
              <w:rPr>
                <w:rFonts w:ascii="Times New Roman" w:hAnsi="Times New Roman" w:cs="Times New Roman" w:eastAsia="Times New Roman" w:hint="default"/>
                <w:sz w:val="18"/>
                <w:szCs w:val="18"/>
              </w:rPr>
            </w:pPr>
            <w:r>
              <w:rPr>
                <w:rFonts w:ascii="Times New Roman"/>
                <w:sz w:val="18"/>
              </w:rPr>
              <w:t>-8.93%</w:t>
            </w:r>
          </w:p>
        </w:tc>
      </w:tr>
    </w:tbl>
    <w:p>
      <w:pPr>
        <w:spacing w:before="51"/>
        <w:ind w:left="174" w:right="1392" w:firstLine="0"/>
        <w:jc w:val="left"/>
        <w:rPr>
          <w:rFonts w:ascii="宋体" w:hAnsi="宋体" w:cs="宋体" w:eastAsia="宋体" w:hint="default"/>
          <w:sz w:val="18"/>
          <w:szCs w:val="18"/>
        </w:rPr>
      </w:pPr>
      <w:r>
        <w:rPr>
          <w:rFonts w:ascii="宋体" w:hAnsi="宋体" w:cs="宋体" w:eastAsia="宋体" w:hint="default"/>
          <w:sz w:val="18"/>
          <w:szCs w:val="18"/>
        </w:rPr>
        <w:t>相关数据同比发生重大变动的主要影响因素说明</w:t>
      </w:r>
    </w:p>
    <w:p>
      <w:pPr>
        <w:spacing w:line="338" w:lineRule="auto" w:before="117"/>
        <w:ind w:left="174" w:right="42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报告期内公司经营活动产生的现金净流量与本年度净利润存在重大差异的原因说明</w:t>
      </w:r>
    </w:p>
    <w:p>
      <w:pPr>
        <w:spacing w:before="43"/>
        <w:ind w:left="174" w:right="13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3"/>
          <w:szCs w:val="23"/>
        </w:rPr>
      </w:pPr>
    </w:p>
    <w:p>
      <w:pPr>
        <w:pStyle w:val="Heading2"/>
        <w:spacing w:line="240" w:lineRule="auto"/>
        <w:ind w:left="174" w:right="1392"/>
        <w:jc w:val="left"/>
        <w:rPr>
          <w:b w:val="0"/>
          <w:bCs w:val="0"/>
        </w:rPr>
      </w:pPr>
      <w:bookmarkStart w:name="三、非主营业务情况" w:id="38"/>
      <w:bookmarkEnd w:id="38"/>
      <w:r>
        <w:rPr>
          <w:b w:val="0"/>
          <w:bCs w:val="0"/>
        </w:rPr>
      </w:r>
      <w:r>
        <w:rPr/>
        <w:t>三、非主营业务情况</w:t>
      </w:r>
      <w:r>
        <w:rPr>
          <w:b w:val="0"/>
          <w:bCs w:val="0"/>
        </w:rPr>
      </w:r>
    </w:p>
    <w:p>
      <w:pPr>
        <w:spacing w:line="240" w:lineRule="auto" w:before="3"/>
        <w:rPr>
          <w:rFonts w:ascii="宋体" w:hAnsi="宋体" w:cs="宋体" w:eastAsia="宋体" w:hint="default"/>
          <w:b/>
          <w:bCs/>
          <w:sz w:val="23"/>
          <w:szCs w:val="23"/>
        </w:rPr>
      </w:pPr>
    </w:p>
    <w:p>
      <w:pPr>
        <w:spacing w:before="44"/>
        <w:ind w:left="174" w:right="13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69" w:type="dxa"/>
        <w:tblLayout w:type="fixed"/>
        <w:tblCellMar>
          <w:top w:w="0" w:type="dxa"/>
          <w:left w:w="0" w:type="dxa"/>
          <w:bottom w:w="0" w:type="dxa"/>
          <w:right w:w="0" w:type="dxa"/>
        </w:tblCellMar>
        <w:tblLook w:val="01E0"/>
      </w:tblPr>
      <w:tblGrid>
        <w:gridCol w:w="1523"/>
        <w:gridCol w:w="1916"/>
        <w:gridCol w:w="1623"/>
        <w:gridCol w:w="2166"/>
        <w:gridCol w:w="2340"/>
      </w:tblGrid>
      <w:tr>
        <w:trPr>
          <w:trHeight w:val="401"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76"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38"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2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45"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162" w:hRule="exact"/>
        </w:trPr>
        <w:tc>
          <w:tcPr>
            <w:tcW w:w="152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9" w:space="0" w:color="D2D2D2"/>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31" w:right="0"/>
              <w:jc w:val="left"/>
              <w:rPr>
                <w:rFonts w:ascii="Times New Roman" w:hAnsi="Times New Roman" w:cs="Times New Roman" w:eastAsia="Times New Roman" w:hint="default"/>
                <w:sz w:val="18"/>
                <w:szCs w:val="18"/>
              </w:rPr>
            </w:pPr>
            <w:r>
              <w:rPr>
                <w:rFonts w:ascii="Times New Roman"/>
                <w:sz w:val="18"/>
              </w:rPr>
              <w:t>3,198,020.76</w:t>
            </w:r>
          </w:p>
        </w:tc>
        <w:tc>
          <w:tcPr>
            <w:tcW w:w="162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6.46%</w:t>
            </w:r>
          </w:p>
        </w:tc>
        <w:tc>
          <w:tcPr>
            <w:tcW w:w="2166" w:type="dxa"/>
            <w:vMerge w:val="restart"/>
            <w:tcBorders>
              <w:top w:val="single" w:sz="4" w:space="0" w:color="000000"/>
              <w:left w:val="single" w:sz="4" w:space="0" w:color="000000"/>
              <w:right w:val="single" w:sz="4" w:space="0" w:color="000000"/>
            </w:tcBorders>
          </w:tcPr>
          <w:p>
            <w:pPr>
              <w:pStyle w:val="TableParagraph"/>
              <w:spacing w:line="316" w:lineRule="auto" w:before="52"/>
              <w:ind w:left="23" w:right="150"/>
              <w:jc w:val="left"/>
              <w:rPr>
                <w:rFonts w:ascii="宋体" w:hAnsi="宋体" w:cs="宋体" w:eastAsia="宋体" w:hint="default"/>
                <w:sz w:val="18"/>
                <w:szCs w:val="18"/>
              </w:rPr>
            </w:pPr>
            <w:r>
              <w:rPr>
                <w:rFonts w:ascii="宋体" w:hAnsi="宋体" w:cs="宋体" w:eastAsia="宋体" w:hint="default"/>
                <w:sz w:val="18"/>
                <w:szCs w:val="18"/>
              </w:rPr>
              <w:t>主要系银行理财收益和对 联营企业的投资收益。</w:t>
            </w:r>
          </w:p>
        </w:tc>
        <w:tc>
          <w:tcPr>
            <w:tcW w:w="234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91" w:hRule="exact"/>
        </w:trPr>
        <w:tc>
          <w:tcPr>
            <w:tcW w:w="15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16" w:type="dxa"/>
            <w:vMerge/>
            <w:tcBorders>
              <w:left w:val="single" w:sz="9" w:space="0" w:color="D2D2D2"/>
              <w:right w:val="single" w:sz="4" w:space="0" w:color="000000"/>
            </w:tcBorders>
          </w:tcPr>
          <w:p>
            <w:pPr/>
          </w:p>
        </w:tc>
        <w:tc>
          <w:tcPr>
            <w:tcW w:w="1623" w:type="dxa"/>
            <w:vMerge/>
            <w:tcBorders>
              <w:left w:val="single" w:sz="4" w:space="0" w:color="000000"/>
              <w:right w:val="single" w:sz="4" w:space="0" w:color="000000"/>
            </w:tcBorders>
          </w:tcPr>
          <w:p>
            <w:pPr/>
          </w:p>
        </w:tc>
        <w:tc>
          <w:tcPr>
            <w:tcW w:w="2166" w:type="dxa"/>
            <w:vMerge/>
            <w:tcBorders>
              <w:left w:val="single" w:sz="4" w:space="0" w:color="000000"/>
              <w:right w:val="single" w:sz="4" w:space="0" w:color="000000"/>
            </w:tcBorders>
          </w:tcPr>
          <w:p>
            <w:pPr/>
          </w:p>
        </w:tc>
        <w:tc>
          <w:tcPr>
            <w:tcW w:w="2340" w:type="dxa"/>
            <w:vMerge/>
            <w:tcBorders>
              <w:left w:val="single" w:sz="4" w:space="0" w:color="000000"/>
              <w:right w:val="single" w:sz="4" w:space="0" w:color="000000"/>
            </w:tcBorders>
          </w:tcPr>
          <w:p>
            <w:pPr/>
          </w:p>
        </w:tc>
      </w:tr>
      <w:tr>
        <w:trPr>
          <w:trHeight w:val="161" w:hRule="exact"/>
        </w:trPr>
        <w:tc>
          <w:tcPr>
            <w:tcW w:w="152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9" w:space="0" w:color="D2D2D2"/>
              <w:bottom w:val="single" w:sz="4" w:space="0" w:color="000000"/>
              <w:right w:val="single" w:sz="4" w:space="0" w:color="000000"/>
            </w:tcBorders>
          </w:tcPr>
          <w:p>
            <w:pPr/>
          </w:p>
        </w:tc>
        <w:tc>
          <w:tcPr>
            <w:tcW w:w="1623" w:type="dxa"/>
            <w:vMerge/>
            <w:tcBorders>
              <w:left w:val="single" w:sz="4" w:space="0" w:color="000000"/>
              <w:bottom w:val="single" w:sz="4" w:space="0" w:color="000000"/>
              <w:right w:val="single" w:sz="4" w:space="0" w:color="000000"/>
            </w:tcBorders>
          </w:tcPr>
          <w:p>
            <w:pPr/>
          </w:p>
        </w:tc>
        <w:tc>
          <w:tcPr>
            <w:tcW w:w="2166" w:type="dxa"/>
            <w:vMerge/>
            <w:tcBorders>
              <w:left w:val="single" w:sz="4" w:space="0" w:color="000000"/>
              <w:bottom w:val="single" w:sz="4" w:space="0" w:color="000000"/>
              <w:right w:val="single" w:sz="4" w:space="0" w:color="000000"/>
            </w:tcBorders>
          </w:tcPr>
          <w:p>
            <w:pPr/>
          </w:p>
        </w:tc>
        <w:tc>
          <w:tcPr>
            <w:tcW w:w="2340" w:type="dxa"/>
            <w:vMerge/>
            <w:tcBorders>
              <w:left w:val="single" w:sz="4" w:space="0" w:color="000000"/>
              <w:bottom w:val="single" w:sz="4" w:space="0" w:color="000000"/>
              <w:right w:val="single" w:sz="4" w:space="0" w:color="000000"/>
            </w:tcBorders>
          </w:tcPr>
          <w:p>
            <w:pPr/>
          </w:p>
        </w:tc>
      </w:tr>
      <w:tr>
        <w:trPr>
          <w:trHeight w:val="162" w:hRule="exact"/>
        </w:trPr>
        <w:tc>
          <w:tcPr>
            <w:tcW w:w="152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9" w:space="0" w:color="D2D2D2"/>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41" w:right="0"/>
              <w:jc w:val="left"/>
              <w:rPr>
                <w:rFonts w:ascii="Times New Roman" w:hAnsi="Times New Roman" w:cs="Times New Roman" w:eastAsia="Times New Roman" w:hint="default"/>
                <w:sz w:val="18"/>
                <w:szCs w:val="18"/>
              </w:rPr>
            </w:pPr>
            <w:r>
              <w:rPr>
                <w:rFonts w:ascii="Times New Roman"/>
                <w:sz w:val="18"/>
              </w:rPr>
              <w:t>13,993,033.40</w:t>
            </w:r>
          </w:p>
        </w:tc>
        <w:tc>
          <w:tcPr>
            <w:tcW w:w="162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36" w:right="0"/>
              <w:jc w:val="left"/>
              <w:rPr>
                <w:rFonts w:ascii="Times New Roman" w:hAnsi="Times New Roman" w:cs="Times New Roman" w:eastAsia="Times New Roman" w:hint="default"/>
                <w:sz w:val="18"/>
                <w:szCs w:val="18"/>
              </w:rPr>
            </w:pPr>
            <w:r>
              <w:rPr>
                <w:rFonts w:ascii="Times New Roman"/>
                <w:sz w:val="18"/>
              </w:rPr>
              <w:t>28.27%</w:t>
            </w:r>
          </w:p>
        </w:tc>
        <w:tc>
          <w:tcPr>
            <w:tcW w:w="2166" w:type="dxa"/>
            <w:vMerge w:val="restart"/>
            <w:tcBorders>
              <w:top w:val="single" w:sz="4" w:space="0" w:color="000000"/>
              <w:left w:val="single" w:sz="4" w:space="0" w:color="000000"/>
              <w:right w:val="single" w:sz="4" w:space="0" w:color="000000"/>
            </w:tcBorders>
          </w:tcPr>
          <w:p>
            <w:pPr>
              <w:pStyle w:val="TableParagraph"/>
              <w:spacing w:line="316" w:lineRule="auto" w:before="52"/>
              <w:ind w:left="23" w:right="150"/>
              <w:jc w:val="left"/>
              <w:rPr>
                <w:rFonts w:ascii="宋体" w:hAnsi="宋体" w:cs="宋体" w:eastAsia="宋体" w:hint="default"/>
                <w:sz w:val="18"/>
                <w:szCs w:val="18"/>
              </w:rPr>
            </w:pPr>
            <w:r>
              <w:rPr>
                <w:rFonts w:ascii="宋体" w:hAnsi="宋体" w:cs="宋体" w:eastAsia="宋体" w:hint="default"/>
                <w:sz w:val="18"/>
                <w:szCs w:val="18"/>
              </w:rPr>
              <w:t>主要系对应收账款和其他 应收款的减值准备。</w:t>
            </w:r>
          </w:p>
        </w:tc>
        <w:tc>
          <w:tcPr>
            <w:tcW w:w="234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91" w:hRule="exact"/>
        </w:trPr>
        <w:tc>
          <w:tcPr>
            <w:tcW w:w="15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16" w:type="dxa"/>
            <w:vMerge/>
            <w:tcBorders>
              <w:left w:val="single" w:sz="9" w:space="0" w:color="D2D2D2"/>
              <w:right w:val="single" w:sz="4" w:space="0" w:color="000000"/>
            </w:tcBorders>
          </w:tcPr>
          <w:p>
            <w:pPr/>
          </w:p>
        </w:tc>
        <w:tc>
          <w:tcPr>
            <w:tcW w:w="1623" w:type="dxa"/>
            <w:vMerge/>
            <w:tcBorders>
              <w:left w:val="single" w:sz="4" w:space="0" w:color="000000"/>
              <w:right w:val="single" w:sz="4" w:space="0" w:color="000000"/>
            </w:tcBorders>
          </w:tcPr>
          <w:p>
            <w:pPr/>
          </w:p>
        </w:tc>
        <w:tc>
          <w:tcPr>
            <w:tcW w:w="2166" w:type="dxa"/>
            <w:vMerge/>
            <w:tcBorders>
              <w:left w:val="single" w:sz="4" w:space="0" w:color="000000"/>
              <w:right w:val="single" w:sz="4" w:space="0" w:color="000000"/>
            </w:tcBorders>
          </w:tcPr>
          <w:p>
            <w:pPr/>
          </w:p>
        </w:tc>
        <w:tc>
          <w:tcPr>
            <w:tcW w:w="2340" w:type="dxa"/>
            <w:vMerge/>
            <w:tcBorders>
              <w:left w:val="single" w:sz="4" w:space="0" w:color="000000"/>
              <w:right w:val="single" w:sz="4" w:space="0" w:color="000000"/>
            </w:tcBorders>
          </w:tcPr>
          <w:p>
            <w:pPr/>
          </w:p>
        </w:tc>
      </w:tr>
      <w:tr>
        <w:trPr>
          <w:trHeight w:val="161" w:hRule="exact"/>
        </w:trPr>
        <w:tc>
          <w:tcPr>
            <w:tcW w:w="152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9" w:space="0" w:color="D2D2D2"/>
              <w:bottom w:val="single" w:sz="4" w:space="0" w:color="000000"/>
              <w:right w:val="single" w:sz="4" w:space="0" w:color="000000"/>
            </w:tcBorders>
          </w:tcPr>
          <w:p>
            <w:pPr/>
          </w:p>
        </w:tc>
        <w:tc>
          <w:tcPr>
            <w:tcW w:w="1623" w:type="dxa"/>
            <w:vMerge/>
            <w:tcBorders>
              <w:left w:val="single" w:sz="4" w:space="0" w:color="000000"/>
              <w:bottom w:val="single" w:sz="4" w:space="0" w:color="000000"/>
              <w:right w:val="single" w:sz="4" w:space="0" w:color="000000"/>
            </w:tcBorders>
          </w:tcPr>
          <w:p>
            <w:pPr/>
          </w:p>
        </w:tc>
        <w:tc>
          <w:tcPr>
            <w:tcW w:w="2166" w:type="dxa"/>
            <w:vMerge/>
            <w:tcBorders>
              <w:left w:val="single" w:sz="4" w:space="0" w:color="000000"/>
              <w:bottom w:val="single" w:sz="4" w:space="0" w:color="000000"/>
              <w:right w:val="single" w:sz="4" w:space="0" w:color="000000"/>
            </w:tcBorders>
          </w:tcPr>
          <w:p>
            <w:pPr/>
          </w:p>
        </w:tc>
        <w:tc>
          <w:tcPr>
            <w:tcW w:w="2340" w:type="dxa"/>
            <w:vMerge/>
            <w:tcBorders>
              <w:left w:val="single" w:sz="4" w:space="0" w:color="000000"/>
              <w:bottom w:val="single" w:sz="4" w:space="0" w:color="000000"/>
              <w:right w:val="single" w:sz="4" w:space="0" w:color="000000"/>
            </w:tcBorders>
          </w:tcPr>
          <w:p>
            <w:pPr/>
          </w:p>
        </w:tc>
      </w:tr>
      <w:tr>
        <w:trPr>
          <w:trHeight w:val="402"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178,136.33</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0.36%</w:t>
            </w:r>
          </w:p>
        </w:tc>
        <w:tc>
          <w:tcPr>
            <w:tcW w:w="2166"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3,401,667.98</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6.87%</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主要系对外捐赠等。</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21,832,874.34</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44.10%</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软件产品增值税退税。</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资产处置收益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226,119.71</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0.46%</w:t>
            </w:r>
          </w:p>
        </w:tc>
        <w:tc>
          <w:tcPr>
            <w:tcW w:w="2166"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60" w:right="0"/>
        </w:sectPr>
      </w:pPr>
    </w:p>
    <w:p>
      <w:pPr>
        <w:spacing w:line="240" w:lineRule="auto" w:before="8"/>
        <w:rPr>
          <w:rFonts w:ascii="宋体" w:hAnsi="宋体" w:cs="宋体" w:eastAsia="宋体" w:hint="default"/>
          <w:sz w:val="23"/>
          <w:szCs w:val="23"/>
        </w:rPr>
      </w:pPr>
    </w:p>
    <w:p>
      <w:pPr>
        <w:pStyle w:val="Heading2"/>
        <w:spacing w:line="240" w:lineRule="auto" w:before="26"/>
        <w:ind w:left="174" w:right="1392"/>
        <w:jc w:val="left"/>
        <w:rPr>
          <w:b w:val="0"/>
          <w:bCs w:val="0"/>
        </w:rPr>
      </w:pPr>
      <w:bookmarkStart w:name="四、资产及负债状况" w:id="39"/>
      <w:bookmarkEnd w:id="39"/>
      <w:r>
        <w:rPr>
          <w:b w:val="0"/>
          <w:bCs w:val="0"/>
        </w:rPr>
      </w:r>
      <w:r>
        <w:rPr/>
        <w:t>四、资产及负债状况</w:t>
      </w:r>
      <w:r>
        <w:rPr>
          <w:b w:val="0"/>
          <w:bCs w:val="0"/>
        </w:rPr>
      </w:r>
    </w:p>
    <w:p>
      <w:pPr>
        <w:spacing w:line="240" w:lineRule="auto" w:before="9"/>
        <w:rPr>
          <w:rFonts w:ascii="宋体" w:hAnsi="宋体" w:cs="宋体" w:eastAsia="宋体" w:hint="default"/>
          <w:b/>
          <w:bCs/>
          <w:sz w:val="24"/>
          <w:szCs w:val="24"/>
        </w:rPr>
      </w:pPr>
    </w:p>
    <w:p>
      <w:pPr>
        <w:spacing w:before="0"/>
        <w:ind w:left="174" w:right="1392" w:firstLine="0"/>
        <w:jc w:val="left"/>
        <w:rPr>
          <w:rFonts w:ascii="宋体" w:hAnsi="宋体" w:cs="宋体" w:eastAsia="宋体" w:hint="default"/>
          <w:sz w:val="21"/>
          <w:szCs w:val="21"/>
        </w:rPr>
      </w:pPr>
      <w:bookmarkStart w:name="1、资产构成重大变动情况" w:id="40"/>
      <w:bookmarkEnd w:id="40"/>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、资产构成重大变动情况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1" w:type="dxa"/>
        <w:tblLayout w:type="fixed"/>
        <w:tblCellMar>
          <w:top w:w="0" w:type="dxa"/>
          <w:left w:w="0" w:type="dxa"/>
          <w:bottom w:w="0" w:type="dxa"/>
          <w:right w:w="0" w:type="dxa"/>
        </w:tblCellMar>
        <w:tblLook w:val="01E0"/>
      </w:tblPr>
      <w:tblGrid>
        <w:gridCol w:w="1370"/>
        <w:gridCol w:w="1382"/>
        <w:gridCol w:w="1064"/>
        <w:gridCol w:w="1346"/>
        <w:gridCol w:w="1062"/>
        <w:gridCol w:w="798"/>
        <w:gridCol w:w="2919"/>
      </w:tblGrid>
      <w:tr>
        <w:trPr>
          <w:trHeight w:val="403" w:hRule="exact"/>
        </w:trPr>
        <w:tc>
          <w:tcPr>
            <w:tcW w:w="1370" w:type="dxa"/>
            <w:vMerge w:val="restart"/>
            <w:tcBorders>
              <w:top w:val="single" w:sz="4" w:space="0" w:color="000000"/>
              <w:left w:val="single" w:sz="4" w:space="0" w:color="000000"/>
              <w:right w:val="single" w:sz="4" w:space="0" w:color="000000"/>
            </w:tcBorders>
            <w:shd w:val="clear" w:color="auto" w:fill="D2D2D2"/>
          </w:tcPr>
          <w:p>
            <w:pPr/>
          </w:p>
        </w:tc>
        <w:tc>
          <w:tcPr>
            <w:tcW w:w="244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40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9" w:lineRule="auto"/>
              <w:ind w:left="303" w:right="122" w:hanging="180"/>
              <w:jc w:val="left"/>
              <w:rPr>
                <w:rFonts w:ascii="宋体" w:hAnsi="宋体" w:cs="宋体" w:eastAsia="宋体" w:hint="default"/>
                <w:sz w:val="18"/>
                <w:szCs w:val="18"/>
              </w:rPr>
            </w:pPr>
            <w:r>
              <w:rPr>
                <w:rFonts w:ascii="宋体" w:hAnsi="宋体" w:cs="宋体" w:eastAsia="宋体" w:hint="default"/>
                <w:sz w:val="18"/>
                <w:szCs w:val="18"/>
              </w:rPr>
              <w:t>比重增 减</w:t>
            </w:r>
          </w:p>
        </w:tc>
        <w:tc>
          <w:tcPr>
            <w:tcW w:w="291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713"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46" w:right="165"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45" w:right="164"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2919"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0"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77"/>
              <w:jc w:val="right"/>
              <w:rPr>
                <w:rFonts w:ascii="Times New Roman" w:hAnsi="Times New Roman" w:cs="Times New Roman" w:eastAsia="Times New Roman" w:hint="default"/>
                <w:sz w:val="18"/>
                <w:szCs w:val="18"/>
              </w:rPr>
            </w:pPr>
            <w:r>
              <w:rPr>
                <w:rFonts w:ascii="Times New Roman"/>
                <w:spacing w:val="-1"/>
                <w:sz w:val="18"/>
              </w:rPr>
              <w:t>224,257,088.55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77"/>
              <w:jc w:val="right"/>
              <w:rPr>
                <w:rFonts w:ascii="Times New Roman" w:hAnsi="Times New Roman" w:cs="Times New Roman" w:eastAsia="Times New Roman" w:hint="default"/>
                <w:sz w:val="18"/>
                <w:szCs w:val="18"/>
              </w:rPr>
            </w:pPr>
            <w:r>
              <w:rPr>
                <w:rFonts w:ascii="Times New Roman"/>
                <w:sz w:val="18"/>
              </w:rPr>
              <w:t>22.13%</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77"/>
              <w:jc w:val="right"/>
              <w:rPr>
                <w:rFonts w:ascii="Times New Roman" w:hAnsi="Times New Roman" w:cs="Times New Roman" w:eastAsia="Times New Roman" w:hint="default"/>
                <w:sz w:val="18"/>
                <w:szCs w:val="18"/>
              </w:rPr>
            </w:pPr>
            <w:r>
              <w:rPr>
                <w:rFonts w:ascii="Times New Roman"/>
                <w:spacing w:val="-1"/>
                <w:sz w:val="18"/>
              </w:rPr>
              <w:t>207,192,191.79</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77"/>
              <w:jc w:val="right"/>
              <w:rPr>
                <w:rFonts w:ascii="Times New Roman" w:hAnsi="Times New Roman" w:cs="Times New Roman" w:eastAsia="Times New Roman" w:hint="default"/>
                <w:sz w:val="18"/>
                <w:szCs w:val="18"/>
              </w:rPr>
            </w:pPr>
            <w:r>
              <w:rPr>
                <w:rFonts w:ascii="Times New Roman"/>
                <w:sz w:val="18"/>
              </w:rPr>
              <w:t>25.31%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77"/>
              <w:jc w:val="right"/>
              <w:rPr>
                <w:rFonts w:ascii="Times New Roman" w:hAnsi="Times New Roman" w:cs="Times New Roman" w:eastAsia="Times New Roman" w:hint="default"/>
                <w:sz w:val="18"/>
                <w:szCs w:val="18"/>
              </w:rPr>
            </w:pPr>
            <w:r>
              <w:rPr>
                <w:rFonts w:ascii="Times New Roman"/>
                <w:sz w:val="18"/>
              </w:rPr>
              <w:t>-3.18%</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80"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77"/>
              <w:jc w:val="right"/>
              <w:rPr>
                <w:rFonts w:ascii="Times New Roman" w:hAnsi="Times New Roman" w:cs="Times New Roman" w:eastAsia="Times New Roman" w:hint="default"/>
                <w:sz w:val="18"/>
                <w:szCs w:val="18"/>
              </w:rPr>
            </w:pPr>
            <w:r>
              <w:rPr>
                <w:rFonts w:ascii="Times New Roman"/>
                <w:spacing w:val="-1"/>
                <w:sz w:val="18"/>
              </w:rPr>
              <w:t>314,762,606.52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77"/>
              <w:jc w:val="right"/>
              <w:rPr>
                <w:rFonts w:ascii="Times New Roman" w:hAnsi="Times New Roman" w:cs="Times New Roman" w:eastAsia="Times New Roman" w:hint="default"/>
                <w:sz w:val="18"/>
                <w:szCs w:val="18"/>
              </w:rPr>
            </w:pPr>
            <w:r>
              <w:rPr>
                <w:rFonts w:ascii="Times New Roman"/>
                <w:sz w:val="18"/>
              </w:rPr>
              <w:t>31.06%</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79"/>
              <w:jc w:val="right"/>
              <w:rPr>
                <w:rFonts w:ascii="Times New Roman" w:hAnsi="Times New Roman" w:cs="Times New Roman" w:eastAsia="Times New Roman" w:hint="default"/>
                <w:sz w:val="18"/>
                <w:szCs w:val="18"/>
              </w:rPr>
            </w:pPr>
            <w:r>
              <w:rPr>
                <w:rFonts w:ascii="Times New Roman"/>
                <w:spacing w:val="-1"/>
                <w:sz w:val="18"/>
              </w:rPr>
              <w:t>273,934,565.11</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77"/>
              <w:jc w:val="right"/>
              <w:rPr>
                <w:rFonts w:ascii="Times New Roman" w:hAnsi="Times New Roman" w:cs="Times New Roman" w:eastAsia="Times New Roman" w:hint="default"/>
                <w:sz w:val="18"/>
                <w:szCs w:val="18"/>
              </w:rPr>
            </w:pPr>
            <w:r>
              <w:rPr>
                <w:rFonts w:ascii="Times New Roman"/>
                <w:sz w:val="18"/>
              </w:rPr>
              <w:t>33.47%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77"/>
              <w:jc w:val="right"/>
              <w:rPr>
                <w:rFonts w:ascii="Times New Roman" w:hAnsi="Times New Roman" w:cs="Times New Roman" w:eastAsia="Times New Roman" w:hint="default"/>
                <w:sz w:val="18"/>
                <w:szCs w:val="18"/>
              </w:rPr>
            </w:pPr>
            <w:r>
              <w:rPr>
                <w:rFonts w:ascii="Times New Roman"/>
                <w:sz w:val="18"/>
              </w:rPr>
              <w:t>-2.41%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80" w:right="126"/>
              <w:jc w:val="left"/>
              <w:rPr>
                <w:rFonts w:ascii="宋体" w:hAnsi="宋体" w:cs="宋体" w:eastAsia="宋体" w:hint="default"/>
                <w:sz w:val="18"/>
                <w:szCs w:val="18"/>
              </w:rPr>
            </w:pPr>
            <w:r>
              <w:rPr>
                <w:rFonts w:ascii="宋体" w:hAnsi="宋体" w:cs="宋体" w:eastAsia="宋体" w:hint="default"/>
                <w:sz w:val="18"/>
                <w:szCs w:val="18"/>
              </w:rPr>
              <w:t>主要系本期随着营业收入增长而增 加所致。</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80"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77"/>
              <w:jc w:val="right"/>
              <w:rPr>
                <w:rFonts w:ascii="Times New Roman" w:hAnsi="Times New Roman" w:cs="Times New Roman" w:eastAsia="Times New Roman" w:hint="default"/>
                <w:sz w:val="18"/>
                <w:szCs w:val="18"/>
              </w:rPr>
            </w:pPr>
            <w:r>
              <w:rPr>
                <w:rFonts w:ascii="Times New Roman"/>
                <w:spacing w:val="-1"/>
                <w:sz w:val="18"/>
              </w:rPr>
              <w:t>168,680,057.50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77"/>
              <w:jc w:val="right"/>
              <w:rPr>
                <w:rFonts w:ascii="Times New Roman" w:hAnsi="Times New Roman" w:cs="Times New Roman" w:eastAsia="Times New Roman" w:hint="default"/>
                <w:sz w:val="18"/>
                <w:szCs w:val="18"/>
              </w:rPr>
            </w:pPr>
            <w:r>
              <w:rPr>
                <w:rFonts w:ascii="Times New Roman"/>
                <w:sz w:val="18"/>
              </w:rPr>
              <w:t>16.65%</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77"/>
              <w:jc w:val="right"/>
              <w:rPr>
                <w:rFonts w:ascii="Times New Roman" w:hAnsi="Times New Roman" w:cs="Times New Roman" w:eastAsia="Times New Roman" w:hint="default"/>
                <w:sz w:val="18"/>
                <w:szCs w:val="18"/>
              </w:rPr>
            </w:pPr>
            <w:r>
              <w:rPr>
                <w:rFonts w:ascii="Times New Roman"/>
                <w:spacing w:val="-1"/>
                <w:sz w:val="18"/>
              </w:rPr>
              <w:t>112,985,384.23</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77"/>
              <w:jc w:val="right"/>
              <w:rPr>
                <w:rFonts w:ascii="Times New Roman" w:hAnsi="Times New Roman" w:cs="Times New Roman" w:eastAsia="Times New Roman" w:hint="default"/>
                <w:sz w:val="18"/>
                <w:szCs w:val="18"/>
              </w:rPr>
            </w:pPr>
            <w:r>
              <w:rPr>
                <w:rFonts w:ascii="Times New Roman"/>
                <w:sz w:val="18"/>
              </w:rPr>
              <w:t>13.80%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77"/>
              <w:jc w:val="right"/>
              <w:rPr>
                <w:rFonts w:ascii="Times New Roman" w:hAnsi="Times New Roman" w:cs="Times New Roman" w:eastAsia="Times New Roman" w:hint="default"/>
                <w:sz w:val="18"/>
                <w:szCs w:val="18"/>
              </w:rPr>
            </w:pPr>
            <w:r>
              <w:rPr>
                <w:rFonts w:ascii="Times New Roman"/>
                <w:sz w:val="18"/>
              </w:rPr>
              <w:t>2.85%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80" w:right="126"/>
              <w:jc w:val="left"/>
              <w:rPr>
                <w:rFonts w:ascii="宋体" w:hAnsi="宋体" w:cs="宋体" w:eastAsia="宋体" w:hint="default"/>
                <w:sz w:val="18"/>
                <w:szCs w:val="18"/>
              </w:rPr>
            </w:pPr>
            <w:r>
              <w:rPr>
                <w:rFonts w:ascii="宋体" w:hAnsi="宋体" w:cs="宋体" w:eastAsia="宋体" w:hint="default"/>
                <w:sz w:val="18"/>
                <w:szCs w:val="18"/>
              </w:rPr>
              <w:t>主要系本期业务增加，在建项目增 加所致。</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0"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77"/>
              <w:jc w:val="right"/>
              <w:rPr>
                <w:rFonts w:ascii="Times New Roman" w:hAnsi="Times New Roman" w:cs="Times New Roman" w:eastAsia="Times New Roman" w:hint="default"/>
                <w:sz w:val="18"/>
                <w:szCs w:val="18"/>
              </w:rPr>
            </w:pPr>
            <w:r>
              <w:rPr>
                <w:rFonts w:ascii="Times New Roman"/>
                <w:spacing w:val="-1"/>
                <w:sz w:val="18"/>
              </w:rPr>
              <w:t>79,078,151.51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77"/>
              <w:jc w:val="right"/>
              <w:rPr>
                <w:rFonts w:ascii="Times New Roman" w:hAnsi="Times New Roman" w:cs="Times New Roman" w:eastAsia="Times New Roman" w:hint="default"/>
                <w:sz w:val="18"/>
                <w:szCs w:val="18"/>
              </w:rPr>
            </w:pPr>
            <w:r>
              <w:rPr>
                <w:rFonts w:ascii="Times New Roman"/>
                <w:sz w:val="18"/>
              </w:rPr>
              <w:t>7.80%</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77"/>
              <w:jc w:val="right"/>
              <w:rPr>
                <w:rFonts w:ascii="Times New Roman" w:hAnsi="Times New Roman" w:cs="Times New Roman" w:eastAsia="Times New Roman" w:hint="default"/>
                <w:sz w:val="18"/>
                <w:szCs w:val="18"/>
              </w:rPr>
            </w:pPr>
            <w:r>
              <w:rPr>
                <w:rFonts w:ascii="Times New Roman"/>
                <w:spacing w:val="-1"/>
                <w:sz w:val="18"/>
              </w:rPr>
              <w:t>77,048,765.82</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77"/>
              <w:jc w:val="right"/>
              <w:rPr>
                <w:rFonts w:ascii="Times New Roman" w:hAnsi="Times New Roman" w:cs="Times New Roman" w:eastAsia="Times New Roman" w:hint="default"/>
                <w:sz w:val="18"/>
                <w:szCs w:val="18"/>
              </w:rPr>
            </w:pPr>
            <w:r>
              <w:rPr>
                <w:rFonts w:ascii="Times New Roman"/>
                <w:sz w:val="18"/>
              </w:rPr>
              <w:t>9.41%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77"/>
              <w:jc w:val="right"/>
              <w:rPr>
                <w:rFonts w:ascii="Times New Roman" w:hAnsi="Times New Roman" w:cs="Times New Roman" w:eastAsia="Times New Roman" w:hint="default"/>
                <w:sz w:val="18"/>
                <w:szCs w:val="18"/>
              </w:rPr>
            </w:pPr>
            <w:r>
              <w:rPr>
                <w:rFonts w:ascii="Times New Roman"/>
                <w:sz w:val="18"/>
              </w:rPr>
              <w:t>-1.61%</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80"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77"/>
              <w:jc w:val="right"/>
              <w:rPr>
                <w:rFonts w:ascii="Times New Roman" w:hAnsi="Times New Roman" w:cs="Times New Roman" w:eastAsia="Times New Roman" w:hint="default"/>
                <w:sz w:val="18"/>
                <w:szCs w:val="18"/>
              </w:rPr>
            </w:pPr>
            <w:r>
              <w:rPr>
                <w:rFonts w:ascii="Times New Roman"/>
                <w:spacing w:val="-1"/>
                <w:sz w:val="18"/>
              </w:rPr>
              <w:t>29,965,366.76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77"/>
              <w:jc w:val="right"/>
              <w:rPr>
                <w:rFonts w:ascii="Times New Roman" w:hAnsi="Times New Roman" w:cs="Times New Roman" w:eastAsia="Times New Roman" w:hint="default"/>
                <w:sz w:val="18"/>
                <w:szCs w:val="18"/>
              </w:rPr>
            </w:pPr>
            <w:r>
              <w:rPr>
                <w:rFonts w:ascii="Times New Roman"/>
                <w:sz w:val="18"/>
              </w:rPr>
              <w:t>2.96%</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77"/>
              <w:jc w:val="right"/>
              <w:rPr>
                <w:rFonts w:ascii="Times New Roman" w:hAnsi="Times New Roman" w:cs="Times New Roman" w:eastAsia="Times New Roman" w:hint="default"/>
                <w:sz w:val="18"/>
                <w:szCs w:val="18"/>
              </w:rPr>
            </w:pPr>
            <w:r>
              <w:rPr>
                <w:rFonts w:ascii="Times New Roman"/>
                <w:spacing w:val="-1"/>
                <w:sz w:val="18"/>
              </w:rPr>
              <w:t>6,514,702.13</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77"/>
              <w:jc w:val="right"/>
              <w:rPr>
                <w:rFonts w:ascii="Times New Roman" w:hAnsi="Times New Roman" w:cs="Times New Roman" w:eastAsia="Times New Roman" w:hint="default"/>
                <w:sz w:val="18"/>
                <w:szCs w:val="18"/>
              </w:rPr>
            </w:pPr>
            <w:r>
              <w:rPr>
                <w:rFonts w:ascii="Times New Roman"/>
                <w:sz w:val="18"/>
              </w:rPr>
              <w:t>0.80%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77"/>
              <w:jc w:val="right"/>
              <w:rPr>
                <w:rFonts w:ascii="Times New Roman" w:hAnsi="Times New Roman" w:cs="Times New Roman" w:eastAsia="Times New Roman" w:hint="default"/>
                <w:sz w:val="18"/>
                <w:szCs w:val="18"/>
              </w:rPr>
            </w:pPr>
            <w:r>
              <w:rPr>
                <w:rFonts w:ascii="Times New Roman"/>
                <w:sz w:val="18"/>
              </w:rPr>
              <w:t>2.16%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80" w:right="126"/>
              <w:jc w:val="left"/>
              <w:rPr>
                <w:rFonts w:ascii="宋体" w:hAnsi="宋体" w:cs="宋体" w:eastAsia="宋体" w:hint="default"/>
                <w:sz w:val="18"/>
                <w:szCs w:val="18"/>
              </w:rPr>
            </w:pPr>
            <w:r>
              <w:rPr>
                <w:rFonts w:ascii="宋体" w:hAnsi="宋体" w:cs="宋体" w:eastAsia="宋体" w:hint="default"/>
                <w:sz w:val="18"/>
                <w:szCs w:val="18"/>
              </w:rPr>
              <w:t>主要系子公司小兰智慧购入固定资 产所致。</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0"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77"/>
              <w:jc w:val="right"/>
              <w:rPr>
                <w:rFonts w:ascii="Times New Roman" w:hAnsi="Times New Roman" w:cs="Times New Roman" w:eastAsia="Times New Roman" w:hint="default"/>
                <w:sz w:val="18"/>
                <w:szCs w:val="18"/>
              </w:rPr>
            </w:pPr>
            <w:r>
              <w:rPr>
                <w:rFonts w:ascii="Times New Roman"/>
                <w:spacing w:val="-1"/>
                <w:sz w:val="18"/>
              </w:rPr>
              <w:t>7,833,188.58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77"/>
              <w:jc w:val="right"/>
              <w:rPr>
                <w:rFonts w:ascii="Times New Roman" w:hAnsi="Times New Roman" w:cs="Times New Roman" w:eastAsia="Times New Roman" w:hint="default"/>
                <w:sz w:val="18"/>
                <w:szCs w:val="18"/>
              </w:rPr>
            </w:pPr>
            <w:r>
              <w:rPr>
                <w:rFonts w:ascii="Times New Roman"/>
                <w:sz w:val="18"/>
              </w:rPr>
              <w:t>0.77%</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77"/>
              <w:jc w:val="right"/>
              <w:rPr>
                <w:rFonts w:ascii="Times New Roman" w:hAnsi="Times New Roman" w:cs="Times New Roman" w:eastAsia="Times New Roman" w:hint="default"/>
                <w:sz w:val="18"/>
                <w:szCs w:val="18"/>
              </w:rPr>
            </w:pPr>
            <w:r>
              <w:rPr>
                <w:rFonts w:ascii="Times New Roman"/>
                <w:spacing w:val="-1"/>
                <w:sz w:val="18"/>
              </w:rPr>
              <w:t>6,605,727.36</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77"/>
              <w:jc w:val="right"/>
              <w:rPr>
                <w:rFonts w:ascii="Times New Roman" w:hAnsi="Times New Roman" w:cs="Times New Roman" w:eastAsia="Times New Roman" w:hint="default"/>
                <w:sz w:val="18"/>
                <w:szCs w:val="18"/>
              </w:rPr>
            </w:pPr>
            <w:r>
              <w:rPr>
                <w:rFonts w:ascii="Times New Roman"/>
                <w:sz w:val="18"/>
              </w:rPr>
              <w:t>0.81%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77"/>
              <w:jc w:val="right"/>
              <w:rPr>
                <w:rFonts w:ascii="Times New Roman" w:hAnsi="Times New Roman" w:cs="Times New Roman" w:eastAsia="Times New Roman" w:hint="default"/>
                <w:sz w:val="18"/>
                <w:szCs w:val="18"/>
              </w:rPr>
            </w:pPr>
            <w:r>
              <w:rPr>
                <w:rFonts w:ascii="Times New Roman"/>
                <w:sz w:val="18"/>
              </w:rPr>
              <w:t>-0.04%</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80"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77"/>
              <w:jc w:val="right"/>
              <w:rPr>
                <w:rFonts w:ascii="Times New Roman" w:hAnsi="Times New Roman" w:cs="Times New Roman" w:eastAsia="Times New Roman" w:hint="default"/>
                <w:sz w:val="18"/>
                <w:szCs w:val="18"/>
              </w:rPr>
            </w:pPr>
            <w:r>
              <w:rPr>
                <w:rFonts w:ascii="Times New Roman"/>
                <w:spacing w:val="-1"/>
                <w:sz w:val="18"/>
              </w:rPr>
              <w:t>167,177,351.38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77"/>
              <w:jc w:val="right"/>
              <w:rPr>
                <w:rFonts w:ascii="Times New Roman" w:hAnsi="Times New Roman" w:cs="Times New Roman" w:eastAsia="Times New Roman" w:hint="default"/>
                <w:sz w:val="18"/>
                <w:szCs w:val="18"/>
              </w:rPr>
            </w:pPr>
            <w:r>
              <w:rPr>
                <w:rFonts w:ascii="Times New Roman"/>
                <w:sz w:val="18"/>
              </w:rPr>
              <w:t>16.50%</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77"/>
              <w:jc w:val="right"/>
              <w:rPr>
                <w:rFonts w:ascii="Times New Roman" w:hAnsi="Times New Roman" w:cs="Times New Roman" w:eastAsia="Times New Roman" w:hint="default"/>
                <w:sz w:val="18"/>
                <w:szCs w:val="18"/>
              </w:rPr>
            </w:pPr>
            <w:r>
              <w:rPr>
                <w:rFonts w:ascii="Times New Roman"/>
                <w:spacing w:val="-1"/>
                <w:sz w:val="18"/>
              </w:rPr>
              <w:t>79,000,000.00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77"/>
              <w:jc w:val="right"/>
              <w:rPr>
                <w:rFonts w:ascii="Times New Roman" w:hAnsi="Times New Roman" w:cs="Times New Roman" w:eastAsia="Times New Roman" w:hint="default"/>
                <w:sz w:val="18"/>
                <w:szCs w:val="18"/>
              </w:rPr>
            </w:pPr>
            <w:r>
              <w:rPr>
                <w:rFonts w:ascii="Times New Roman"/>
                <w:sz w:val="18"/>
              </w:rPr>
              <w:t>9.65%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77"/>
              <w:jc w:val="right"/>
              <w:rPr>
                <w:rFonts w:ascii="Times New Roman" w:hAnsi="Times New Roman" w:cs="Times New Roman" w:eastAsia="Times New Roman" w:hint="default"/>
                <w:sz w:val="18"/>
                <w:szCs w:val="18"/>
              </w:rPr>
            </w:pPr>
            <w:r>
              <w:rPr>
                <w:rFonts w:ascii="Times New Roman"/>
                <w:sz w:val="18"/>
              </w:rPr>
              <w:t>6.85%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80" w:right="126"/>
              <w:jc w:val="left"/>
              <w:rPr>
                <w:rFonts w:ascii="宋体" w:hAnsi="宋体" w:cs="宋体" w:eastAsia="宋体" w:hint="default"/>
                <w:sz w:val="18"/>
                <w:szCs w:val="18"/>
              </w:rPr>
            </w:pPr>
            <w:r>
              <w:rPr>
                <w:rFonts w:ascii="宋体" w:hAnsi="宋体" w:cs="宋体" w:eastAsia="宋体" w:hint="default"/>
                <w:sz w:val="18"/>
                <w:szCs w:val="18"/>
              </w:rPr>
              <w:t>主要系本期经营需要增加银行借款 所致。</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80"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77"/>
              <w:jc w:val="right"/>
              <w:rPr>
                <w:rFonts w:ascii="Times New Roman" w:hAnsi="Times New Roman" w:cs="Times New Roman" w:eastAsia="Times New Roman" w:hint="default"/>
                <w:sz w:val="18"/>
                <w:szCs w:val="18"/>
              </w:rPr>
            </w:pPr>
            <w:r>
              <w:rPr>
                <w:rFonts w:ascii="Times New Roman"/>
                <w:spacing w:val="-1"/>
                <w:sz w:val="18"/>
              </w:rPr>
              <w:t>18,143,758.57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77"/>
              <w:jc w:val="right"/>
              <w:rPr>
                <w:rFonts w:ascii="Times New Roman" w:hAnsi="Times New Roman" w:cs="Times New Roman" w:eastAsia="Times New Roman" w:hint="default"/>
                <w:sz w:val="18"/>
                <w:szCs w:val="18"/>
              </w:rPr>
            </w:pPr>
            <w:r>
              <w:rPr>
                <w:rFonts w:ascii="Times New Roman"/>
                <w:sz w:val="18"/>
              </w:rPr>
              <w:t>1.79%</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77"/>
              <w:jc w:val="right"/>
              <w:rPr>
                <w:rFonts w:ascii="Times New Roman" w:hAnsi="Times New Roman" w:cs="Times New Roman" w:eastAsia="Times New Roman" w:hint="default"/>
                <w:sz w:val="18"/>
                <w:szCs w:val="18"/>
              </w:rPr>
            </w:pPr>
            <w:r>
              <w:rPr>
                <w:rFonts w:ascii="Times New Roman"/>
                <w:spacing w:val="-1"/>
                <w:sz w:val="18"/>
              </w:rPr>
              <w:t>14,561,237.38</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77"/>
              <w:jc w:val="right"/>
              <w:rPr>
                <w:rFonts w:ascii="Times New Roman" w:hAnsi="Times New Roman" w:cs="Times New Roman" w:eastAsia="Times New Roman" w:hint="default"/>
                <w:sz w:val="18"/>
                <w:szCs w:val="18"/>
              </w:rPr>
            </w:pPr>
            <w:r>
              <w:rPr>
                <w:rFonts w:ascii="Times New Roman"/>
                <w:sz w:val="18"/>
              </w:rPr>
              <w:t>1.78%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77"/>
              <w:jc w:val="right"/>
              <w:rPr>
                <w:rFonts w:ascii="Times New Roman" w:hAnsi="Times New Roman" w:cs="Times New Roman" w:eastAsia="Times New Roman" w:hint="default"/>
                <w:sz w:val="18"/>
                <w:szCs w:val="18"/>
              </w:rPr>
            </w:pPr>
            <w:r>
              <w:rPr>
                <w:rFonts w:ascii="Times New Roman"/>
                <w:sz w:val="18"/>
              </w:rPr>
              <w:t>0.01%</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80"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77"/>
              <w:jc w:val="right"/>
              <w:rPr>
                <w:rFonts w:ascii="Times New Roman" w:hAnsi="Times New Roman" w:cs="Times New Roman" w:eastAsia="Times New Roman" w:hint="default"/>
                <w:sz w:val="18"/>
                <w:szCs w:val="18"/>
              </w:rPr>
            </w:pPr>
            <w:r>
              <w:rPr>
                <w:rFonts w:ascii="Times New Roman"/>
                <w:spacing w:val="-1"/>
                <w:sz w:val="18"/>
              </w:rPr>
              <w:t>32,418,763.19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77"/>
              <w:jc w:val="right"/>
              <w:rPr>
                <w:rFonts w:ascii="Times New Roman" w:hAnsi="Times New Roman" w:cs="Times New Roman" w:eastAsia="Times New Roman" w:hint="default"/>
                <w:sz w:val="18"/>
                <w:szCs w:val="18"/>
              </w:rPr>
            </w:pPr>
            <w:r>
              <w:rPr>
                <w:rFonts w:ascii="Times New Roman"/>
                <w:sz w:val="18"/>
              </w:rPr>
              <w:t>3.20%</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77"/>
              <w:jc w:val="right"/>
              <w:rPr>
                <w:rFonts w:ascii="Times New Roman" w:hAnsi="Times New Roman" w:cs="Times New Roman" w:eastAsia="Times New Roman" w:hint="default"/>
                <w:sz w:val="18"/>
                <w:szCs w:val="18"/>
              </w:rPr>
            </w:pPr>
            <w:r>
              <w:rPr>
                <w:rFonts w:ascii="Times New Roman"/>
                <w:spacing w:val="-1"/>
                <w:sz w:val="18"/>
              </w:rPr>
              <w:t>35,510,883.54</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77"/>
              <w:jc w:val="right"/>
              <w:rPr>
                <w:rFonts w:ascii="Times New Roman" w:hAnsi="Times New Roman" w:cs="Times New Roman" w:eastAsia="Times New Roman" w:hint="default"/>
                <w:sz w:val="18"/>
                <w:szCs w:val="18"/>
              </w:rPr>
            </w:pPr>
            <w:r>
              <w:rPr>
                <w:rFonts w:ascii="Times New Roman"/>
                <w:sz w:val="18"/>
              </w:rPr>
              <w:t>4.34%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77"/>
              <w:jc w:val="right"/>
              <w:rPr>
                <w:rFonts w:ascii="Times New Roman" w:hAnsi="Times New Roman" w:cs="Times New Roman" w:eastAsia="Times New Roman" w:hint="default"/>
                <w:sz w:val="18"/>
                <w:szCs w:val="18"/>
              </w:rPr>
            </w:pPr>
            <w:r>
              <w:rPr>
                <w:rFonts w:ascii="Times New Roman"/>
                <w:sz w:val="18"/>
              </w:rPr>
              <w:t>-1.14%</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80"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79"/>
              <w:jc w:val="right"/>
              <w:rPr>
                <w:rFonts w:ascii="Times New Roman" w:hAnsi="Times New Roman" w:cs="Times New Roman" w:eastAsia="Times New Roman" w:hint="default"/>
                <w:sz w:val="18"/>
                <w:szCs w:val="18"/>
              </w:rPr>
            </w:pPr>
            <w:r>
              <w:rPr>
                <w:rFonts w:ascii="Times New Roman"/>
                <w:spacing w:val="-1"/>
                <w:sz w:val="18"/>
              </w:rPr>
              <w:t>60,359,767.11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77"/>
              <w:jc w:val="right"/>
              <w:rPr>
                <w:rFonts w:ascii="Times New Roman" w:hAnsi="Times New Roman" w:cs="Times New Roman" w:eastAsia="Times New Roman" w:hint="default"/>
                <w:sz w:val="18"/>
                <w:szCs w:val="18"/>
              </w:rPr>
            </w:pPr>
            <w:r>
              <w:rPr>
                <w:rFonts w:ascii="Times New Roman"/>
                <w:sz w:val="18"/>
              </w:rPr>
              <w:t>5.96%</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77"/>
              <w:jc w:val="right"/>
              <w:rPr>
                <w:rFonts w:ascii="Times New Roman" w:hAnsi="Times New Roman" w:cs="Times New Roman" w:eastAsia="Times New Roman" w:hint="default"/>
                <w:sz w:val="18"/>
                <w:szCs w:val="18"/>
              </w:rPr>
            </w:pPr>
            <w:r>
              <w:rPr>
                <w:rFonts w:ascii="Times New Roman"/>
                <w:spacing w:val="-1"/>
                <w:sz w:val="18"/>
              </w:rPr>
              <w:t>51,896,257.27</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77"/>
              <w:jc w:val="right"/>
              <w:rPr>
                <w:rFonts w:ascii="Times New Roman" w:hAnsi="Times New Roman" w:cs="Times New Roman" w:eastAsia="Times New Roman" w:hint="default"/>
                <w:sz w:val="18"/>
                <w:szCs w:val="18"/>
              </w:rPr>
            </w:pPr>
            <w:r>
              <w:rPr>
                <w:rFonts w:ascii="Times New Roman"/>
                <w:sz w:val="18"/>
              </w:rPr>
              <w:t>6.34%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77"/>
              <w:jc w:val="right"/>
              <w:rPr>
                <w:rFonts w:ascii="Times New Roman" w:hAnsi="Times New Roman" w:cs="Times New Roman" w:eastAsia="Times New Roman" w:hint="default"/>
                <w:sz w:val="18"/>
                <w:szCs w:val="18"/>
              </w:rPr>
            </w:pPr>
            <w:r>
              <w:rPr>
                <w:rFonts w:ascii="Times New Roman"/>
                <w:sz w:val="18"/>
              </w:rPr>
              <w:t>-0.38%</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80"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77"/>
              <w:jc w:val="right"/>
              <w:rPr>
                <w:rFonts w:ascii="Times New Roman" w:hAnsi="Times New Roman" w:cs="Times New Roman" w:eastAsia="Times New Roman" w:hint="default"/>
                <w:sz w:val="18"/>
                <w:szCs w:val="18"/>
              </w:rPr>
            </w:pPr>
            <w:r>
              <w:rPr>
                <w:rFonts w:ascii="Times New Roman"/>
                <w:spacing w:val="-1"/>
                <w:sz w:val="18"/>
              </w:rPr>
              <w:t>51,064,626.84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77"/>
              <w:jc w:val="right"/>
              <w:rPr>
                <w:rFonts w:ascii="Times New Roman" w:hAnsi="Times New Roman" w:cs="Times New Roman" w:eastAsia="Times New Roman" w:hint="default"/>
                <w:sz w:val="18"/>
                <w:szCs w:val="18"/>
              </w:rPr>
            </w:pPr>
            <w:r>
              <w:rPr>
                <w:rFonts w:ascii="Times New Roman"/>
                <w:sz w:val="18"/>
              </w:rPr>
              <w:t>5.04%</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77"/>
              <w:jc w:val="right"/>
              <w:rPr>
                <w:rFonts w:ascii="Times New Roman" w:hAnsi="Times New Roman" w:cs="Times New Roman" w:eastAsia="Times New Roman" w:hint="default"/>
                <w:sz w:val="18"/>
                <w:szCs w:val="18"/>
              </w:rPr>
            </w:pPr>
            <w:r>
              <w:rPr>
                <w:rFonts w:ascii="Times New Roman"/>
                <w:spacing w:val="-1"/>
                <w:sz w:val="18"/>
              </w:rPr>
              <w:t>11,230,818.21</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77"/>
              <w:jc w:val="right"/>
              <w:rPr>
                <w:rFonts w:ascii="Times New Roman" w:hAnsi="Times New Roman" w:cs="Times New Roman" w:eastAsia="Times New Roman" w:hint="default"/>
                <w:sz w:val="18"/>
                <w:szCs w:val="18"/>
              </w:rPr>
            </w:pPr>
            <w:r>
              <w:rPr>
                <w:rFonts w:ascii="Times New Roman"/>
                <w:sz w:val="18"/>
              </w:rPr>
              <w:t>1.37%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77"/>
              <w:jc w:val="right"/>
              <w:rPr>
                <w:rFonts w:ascii="Times New Roman" w:hAnsi="Times New Roman" w:cs="Times New Roman" w:eastAsia="Times New Roman" w:hint="default"/>
                <w:sz w:val="18"/>
                <w:szCs w:val="18"/>
              </w:rPr>
            </w:pPr>
            <w:r>
              <w:rPr>
                <w:rFonts w:ascii="Times New Roman"/>
                <w:sz w:val="18"/>
              </w:rPr>
              <w:t>3.67%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80" w:right="126"/>
              <w:jc w:val="left"/>
              <w:rPr>
                <w:rFonts w:ascii="宋体" w:hAnsi="宋体" w:cs="宋体" w:eastAsia="宋体" w:hint="default"/>
                <w:sz w:val="18"/>
                <w:szCs w:val="18"/>
              </w:rPr>
            </w:pPr>
            <w:r>
              <w:rPr>
                <w:rFonts w:ascii="宋体" w:hAnsi="宋体" w:cs="宋体" w:eastAsia="宋体" w:hint="default"/>
                <w:sz w:val="18"/>
                <w:szCs w:val="18"/>
              </w:rPr>
              <w:t>主要系子公司小兰智慧购入无形资 产所致。</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80"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77"/>
              <w:jc w:val="right"/>
              <w:rPr>
                <w:rFonts w:ascii="Times New Roman" w:hAnsi="Times New Roman" w:cs="Times New Roman" w:eastAsia="Times New Roman" w:hint="default"/>
                <w:sz w:val="18"/>
                <w:szCs w:val="18"/>
              </w:rPr>
            </w:pPr>
            <w:r>
              <w:rPr>
                <w:rFonts w:ascii="Times New Roman"/>
                <w:spacing w:val="-1"/>
                <w:sz w:val="18"/>
              </w:rPr>
              <w:t>5,066,260.82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77"/>
              <w:jc w:val="right"/>
              <w:rPr>
                <w:rFonts w:ascii="Times New Roman" w:hAnsi="Times New Roman" w:cs="Times New Roman" w:eastAsia="Times New Roman" w:hint="default"/>
                <w:sz w:val="18"/>
                <w:szCs w:val="18"/>
              </w:rPr>
            </w:pPr>
            <w:r>
              <w:rPr>
                <w:rFonts w:ascii="Times New Roman"/>
                <w:sz w:val="18"/>
              </w:rPr>
              <w:t>0.50%</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77"/>
              <w:jc w:val="right"/>
              <w:rPr>
                <w:rFonts w:ascii="Times New Roman" w:hAnsi="Times New Roman" w:cs="Times New Roman" w:eastAsia="Times New Roman" w:hint="default"/>
                <w:sz w:val="18"/>
                <w:szCs w:val="18"/>
              </w:rPr>
            </w:pPr>
            <w:r>
              <w:rPr>
                <w:rFonts w:ascii="Times New Roman"/>
                <w:sz w:val="18"/>
              </w:rPr>
              <w:t>89,759.19</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77"/>
              <w:jc w:val="right"/>
              <w:rPr>
                <w:rFonts w:ascii="Times New Roman" w:hAnsi="Times New Roman" w:cs="Times New Roman" w:eastAsia="Times New Roman" w:hint="default"/>
                <w:sz w:val="18"/>
                <w:szCs w:val="18"/>
              </w:rPr>
            </w:pPr>
            <w:r>
              <w:rPr>
                <w:rFonts w:ascii="Times New Roman"/>
                <w:sz w:val="18"/>
              </w:rPr>
              <w:t>0.01%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77"/>
              <w:jc w:val="right"/>
              <w:rPr>
                <w:rFonts w:ascii="Times New Roman" w:hAnsi="Times New Roman" w:cs="Times New Roman" w:eastAsia="Times New Roman" w:hint="default"/>
                <w:sz w:val="18"/>
                <w:szCs w:val="18"/>
              </w:rPr>
            </w:pPr>
            <w:r>
              <w:rPr>
                <w:rFonts w:ascii="Times New Roman"/>
                <w:sz w:val="18"/>
              </w:rPr>
              <w:t>0.49%</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80" w:right="197"/>
              <w:jc w:val="left"/>
              <w:rPr>
                <w:rFonts w:ascii="宋体" w:hAnsi="宋体" w:cs="宋体" w:eastAsia="宋体" w:hint="default"/>
                <w:sz w:val="18"/>
                <w:szCs w:val="18"/>
              </w:rPr>
            </w:pPr>
            <w:r>
              <w:rPr>
                <w:rFonts w:ascii="宋体" w:hAnsi="宋体" w:cs="宋体" w:eastAsia="宋体" w:hint="default"/>
                <w:sz w:val="18"/>
                <w:szCs w:val="18"/>
              </w:rPr>
              <w:t>递延所得税资 产</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77"/>
              <w:jc w:val="right"/>
              <w:rPr>
                <w:rFonts w:ascii="Times New Roman" w:hAnsi="Times New Roman" w:cs="Times New Roman" w:eastAsia="Times New Roman" w:hint="default"/>
                <w:sz w:val="18"/>
                <w:szCs w:val="18"/>
              </w:rPr>
            </w:pPr>
            <w:r>
              <w:rPr>
                <w:rFonts w:ascii="Times New Roman"/>
                <w:spacing w:val="-1"/>
                <w:sz w:val="18"/>
              </w:rPr>
              <w:t>11,864,816.31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77"/>
              <w:jc w:val="right"/>
              <w:rPr>
                <w:rFonts w:ascii="Times New Roman" w:hAnsi="Times New Roman" w:cs="Times New Roman" w:eastAsia="Times New Roman" w:hint="default"/>
                <w:sz w:val="18"/>
                <w:szCs w:val="18"/>
              </w:rPr>
            </w:pPr>
            <w:r>
              <w:rPr>
                <w:rFonts w:ascii="Times New Roman"/>
                <w:sz w:val="18"/>
              </w:rPr>
              <w:t>1.17%</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77"/>
              <w:jc w:val="right"/>
              <w:rPr>
                <w:rFonts w:ascii="Times New Roman" w:hAnsi="Times New Roman" w:cs="Times New Roman" w:eastAsia="Times New Roman" w:hint="default"/>
                <w:sz w:val="18"/>
                <w:szCs w:val="18"/>
              </w:rPr>
            </w:pPr>
            <w:r>
              <w:rPr>
                <w:rFonts w:ascii="Times New Roman"/>
                <w:spacing w:val="-1"/>
                <w:sz w:val="18"/>
              </w:rPr>
              <w:t>7,610,094.86</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77"/>
              <w:jc w:val="right"/>
              <w:rPr>
                <w:rFonts w:ascii="Times New Roman" w:hAnsi="Times New Roman" w:cs="Times New Roman" w:eastAsia="Times New Roman" w:hint="default"/>
                <w:sz w:val="18"/>
                <w:szCs w:val="18"/>
              </w:rPr>
            </w:pPr>
            <w:r>
              <w:rPr>
                <w:rFonts w:ascii="Times New Roman"/>
                <w:sz w:val="18"/>
              </w:rPr>
              <w:t>0.93%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77"/>
              <w:jc w:val="right"/>
              <w:rPr>
                <w:rFonts w:ascii="Times New Roman" w:hAnsi="Times New Roman" w:cs="Times New Roman" w:eastAsia="Times New Roman" w:hint="default"/>
                <w:sz w:val="18"/>
                <w:szCs w:val="18"/>
              </w:rPr>
            </w:pPr>
            <w:r>
              <w:rPr>
                <w:rFonts w:ascii="Times New Roman"/>
                <w:sz w:val="18"/>
              </w:rPr>
              <w:t>0.24%</w:t>
            </w:r>
          </w:p>
        </w:tc>
        <w:tc>
          <w:tcPr>
            <w:tcW w:w="291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spacing w:before="35"/>
        <w:ind w:left="174" w:right="1392" w:firstLine="0"/>
        <w:jc w:val="left"/>
        <w:rPr>
          <w:rFonts w:ascii="宋体" w:hAnsi="宋体" w:cs="宋体" w:eastAsia="宋体" w:hint="default"/>
          <w:sz w:val="21"/>
          <w:szCs w:val="21"/>
        </w:rPr>
      </w:pPr>
      <w:bookmarkStart w:name="2、以公允价值计量的资产和负债" w:id="41"/>
      <w:bookmarkEnd w:id="41"/>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、以公允价值计量的资产和负债</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74" w:right="13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spacing w:before="0"/>
        <w:ind w:left="174" w:right="1392" w:firstLine="0"/>
        <w:jc w:val="left"/>
        <w:rPr>
          <w:rFonts w:ascii="宋体" w:hAnsi="宋体" w:cs="宋体" w:eastAsia="宋体" w:hint="default"/>
          <w:sz w:val="21"/>
          <w:szCs w:val="21"/>
        </w:rPr>
      </w:pPr>
      <w:bookmarkStart w:name="3、截至报告期末的资产权利受限情况" w:id="42"/>
      <w:bookmarkEnd w:id="42"/>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、截至报告期末的资产权利受限情况</w:t>
      </w:r>
      <w:r>
        <w:rPr>
          <w:rFonts w:ascii="宋体" w:hAnsi="宋体" w:cs="宋体" w:eastAsia="宋体" w:hint="default"/>
          <w:sz w:val="21"/>
          <w:szCs w:val="21"/>
        </w:rPr>
      </w:r>
    </w:p>
    <w:p>
      <w:pPr>
        <w:spacing w:line="240" w:lineRule="auto" w:before="11"/>
        <w:rPr>
          <w:rFonts w:ascii="宋体" w:hAnsi="宋体" w:cs="宋体" w:eastAsia="宋体" w:hint="default"/>
          <w:b/>
          <w:bCs/>
          <w:sz w:val="28"/>
          <w:szCs w:val="28"/>
        </w:rPr>
      </w:pPr>
    </w:p>
    <w:p>
      <w:pPr>
        <w:pStyle w:val="BodyText"/>
        <w:spacing w:line="240" w:lineRule="auto" w:before="0"/>
        <w:ind w:left="654" w:right="1392"/>
        <w:jc w:val="left"/>
      </w:pPr>
      <w:r>
        <w:rPr>
          <w:rFonts w:ascii="Times New Roman" w:hAnsi="Times New Roman" w:cs="Times New Roman" w:eastAsia="Times New Roman" w:hint="default"/>
        </w:rPr>
        <w:t>1</w:t>
      </w:r>
      <w:r>
        <w:rPr/>
        <w:t>）截至报告期末，公司存在</w:t>
      </w:r>
      <w:r>
        <w:rPr>
          <w:rFonts w:ascii="Times New Roman" w:hAnsi="Times New Roman" w:cs="Times New Roman" w:eastAsia="Times New Roman" w:hint="default"/>
        </w:rPr>
        <w:t>3,114,234.87</w:t>
      </w:r>
      <w:r>
        <w:rPr/>
        <w:t>元银行承兑保证金。</w:t>
      </w:r>
    </w:p>
    <w:p>
      <w:pPr>
        <w:pStyle w:val="BodyText"/>
        <w:spacing w:line="240" w:lineRule="auto" w:before="136"/>
        <w:ind w:left="654" w:right="0"/>
        <w:jc w:val="left"/>
      </w:pPr>
      <w:r>
        <w:rPr>
          <w:rFonts w:ascii="Times New Roman" w:hAnsi="Times New Roman" w:cs="Times New Roman" w:eastAsia="Times New Roman" w:hint="default"/>
          <w:spacing w:val="3"/>
        </w:rPr>
        <w:t>2</w:t>
      </w:r>
      <w:r>
        <w:rPr>
          <w:spacing w:val="3"/>
        </w:rPr>
        <w:t>）子公司青岛天高公司与上海浦东发展银行股份有限公司青岛分行签订最高额人民币</w:t>
      </w:r>
    </w:p>
    <w:p>
      <w:pPr>
        <w:pStyle w:val="BodyText"/>
        <w:spacing w:line="338" w:lineRule="auto" w:before="135"/>
        <w:ind w:left="174" w:right="0"/>
        <w:jc w:val="left"/>
      </w:pPr>
      <w:r>
        <w:rPr>
          <w:rFonts w:ascii="Times New Roman" w:hAnsi="Times New Roman" w:cs="Times New Roman" w:eastAsia="Times New Roman" w:hint="default"/>
        </w:rPr>
        <w:t>1,100.00</w:t>
      </w:r>
      <w:r>
        <w:rPr/>
        <w:t>万元的质押合同，青岛天高公司将</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28</w:t>
      </w:r>
      <w:r>
        <w:rPr/>
        <w:t>日至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27</w:t>
      </w:r>
      <w:r>
        <w:rPr/>
        <w:t>日形成的所有应收 </w:t>
      </w:r>
      <w:r>
        <w:rPr>
          <w:spacing w:val="-5"/>
        </w:rPr>
        <w:t>账款予以质押。截至</w:t>
      </w:r>
      <w:r>
        <w:rPr>
          <w:rFonts w:ascii="Times New Roman" w:hAnsi="Times New Roman" w:cs="Times New Roman" w:eastAsia="Times New Roman" w:hint="default"/>
          <w:spacing w:val="-5"/>
        </w:rPr>
        <w:t>2018</w:t>
      </w:r>
      <w:r>
        <w:rPr>
          <w:spacing w:val="-5"/>
        </w:rPr>
        <w:t>年</w:t>
      </w:r>
      <w:r>
        <w:rPr>
          <w:rFonts w:ascii="Times New Roman" w:hAnsi="Times New Roman" w:cs="Times New Roman" w:eastAsia="Times New Roman" w:hint="default"/>
          <w:spacing w:val="-5"/>
        </w:rPr>
        <w:t>12</w:t>
      </w:r>
      <w:r>
        <w:rPr>
          <w:spacing w:val="-5"/>
        </w:rPr>
        <w:t>月</w:t>
      </w:r>
      <w:r>
        <w:rPr>
          <w:rFonts w:ascii="Times New Roman" w:hAnsi="Times New Roman" w:cs="Times New Roman" w:eastAsia="Times New Roman" w:hint="default"/>
          <w:spacing w:val="-5"/>
        </w:rPr>
        <w:t>31</w:t>
      </w:r>
      <w:r>
        <w:rPr>
          <w:spacing w:val="-5"/>
        </w:rPr>
        <w:t>日，该质押合同下青岛天高公司短期借款余额</w:t>
      </w:r>
      <w:r>
        <w:rPr>
          <w:rFonts w:ascii="Times New Roman" w:hAnsi="Times New Roman" w:cs="Times New Roman" w:eastAsia="Times New Roman" w:hint="default"/>
          <w:spacing w:val="-5"/>
        </w:rPr>
        <w:t>1,000.00</w:t>
      </w:r>
      <w:r>
        <w:rPr>
          <w:spacing w:val="-5"/>
        </w:rPr>
        <w:t>万元，</w:t>
      </w:r>
    </w:p>
    <w:p>
      <w:pPr>
        <w:spacing w:after="0" w:line="338" w:lineRule="auto"/>
        <w:jc w:val="left"/>
        <w:sectPr>
          <w:pgSz w:w="11910" w:h="16840"/>
          <w:pgMar w:header="747" w:footer="979" w:top="1060" w:bottom="1160" w:left="960" w:right="0"/>
        </w:sectPr>
      </w:pPr>
    </w:p>
    <w:p>
      <w:pPr>
        <w:spacing w:line="240" w:lineRule="auto" w:before="7"/>
        <w:rPr>
          <w:rFonts w:ascii="宋体" w:hAnsi="宋体" w:cs="宋体" w:eastAsia="宋体" w:hint="default"/>
          <w:sz w:val="29"/>
          <w:szCs w:val="29"/>
        </w:rPr>
      </w:pPr>
    </w:p>
    <w:p>
      <w:pPr>
        <w:spacing w:line="499" w:lineRule="auto" w:before="26"/>
        <w:ind w:left="154" w:right="6972" w:firstLine="0"/>
        <w:jc w:val="left"/>
        <w:rPr>
          <w:rFonts w:ascii="宋体" w:hAnsi="宋体" w:cs="宋体" w:eastAsia="宋体" w:hint="default"/>
          <w:sz w:val="24"/>
          <w:szCs w:val="24"/>
        </w:rPr>
      </w:pPr>
      <w:r>
        <w:rPr>
          <w:rFonts w:ascii="宋体" w:hAnsi="宋体" w:cs="宋体" w:eastAsia="宋体" w:hint="default"/>
          <w:sz w:val="24"/>
          <w:szCs w:val="24"/>
        </w:rPr>
        <w:t>应收账款质押余额</w:t>
      </w:r>
      <w:r>
        <w:rPr>
          <w:rFonts w:ascii="Times New Roman" w:hAnsi="Times New Roman" w:cs="Times New Roman" w:eastAsia="Times New Roman" w:hint="default"/>
          <w:sz w:val="24"/>
          <w:szCs w:val="24"/>
        </w:rPr>
        <w:t>35,729,315.95</w:t>
      </w:r>
      <w:r>
        <w:rPr>
          <w:rFonts w:ascii="宋体" w:hAnsi="宋体" w:cs="宋体" w:eastAsia="宋体" w:hint="default"/>
          <w:sz w:val="24"/>
          <w:szCs w:val="24"/>
        </w:rPr>
        <w:t>元。 </w:t>
      </w:r>
      <w:bookmarkStart w:name="五、投资状况分析" w:id="43"/>
      <w:bookmarkEnd w:id="43"/>
      <w:r>
        <w:rPr>
          <w:rFonts w:ascii="宋体" w:hAnsi="宋体" w:cs="宋体" w:eastAsia="宋体" w:hint="default"/>
          <w:sz w:val="24"/>
          <w:szCs w:val="24"/>
        </w:rPr>
      </w:r>
      <w:r>
        <w:rPr>
          <w:rFonts w:ascii="宋体" w:hAnsi="宋体" w:cs="宋体" w:eastAsia="宋体" w:hint="default"/>
          <w:b/>
          <w:bCs/>
          <w:sz w:val="24"/>
          <w:szCs w:val="24"/>
        </w:rPr>
        <w:t>五、投资状况分析</w:t>
      </w:r>
      <w:r>
        <w:rPr>
          <w:rFonts w:ascii="宋体" w:hAnsi="宋体" w:cs="宋体" w:eastAsia="宋体" w:hint="default"/>
          <w:sz w:val="24"/>
          <w:szCs w:val="24"/>
        </w:rPr>
      </w:r>
    </w:p>
    <w:p>
      <w:pPr>
        <w:spacing w:before="63"/>
        <w:ind w:left="154" w:right="0" w:firstLine="0"/>
        <w:jc w:val="left"/>
        <w:rPr>
          <w:rFonts w:ascii="宋体" w:hAnsi="宋体" w:cs="宋体" w:eastAsia="宋体" w:hint="default"/>
          <w:sz w:val="21"/>
          <w:szCs w:val="21"/>
        </w:rPr>
      </w:pPr>
      <w:bookmarkStart w:name="1、总体情况" w:id="44"/>
      <w:bookmarkEnd w:id="44"/>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、总体情况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spacing w:before="0"/>
        <w:ind w:left="154" w:right="0" w:firstLine="0"/>
        <w:jc w:val="left"/>
        <w:rPr>
          <w:rFonts w:ascii="宋体" w:hAnsi="宋体" w:cs="宋体" w:eastAsia="宋体" w:hint="default"/>
          <w:sz w:val="21"/>
          <w:szCs w:val="21"/>
        </w:rPr>
      </w:pPr>
      <w:bookmarkStart w:name="2、报告期内获取的重大的股权投资情况" w:id="45"/>
      <w:bookmarkEnd w:id="45"/>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、报告期内获取的重大的股权投资情况</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spacing w:before="0"/>
        <w:ind w:left="154" w:right="0" w:firstLine="0"/>
        <w:jc w:val="left"/>
        <w:rPr>
          <w:rFonts w:ascii="宋体" w:hAnsi="宋体" w:cs="宋体" w:eastAsia="宋体" w:hint="default"/>
          <w:sz w:val="21"/>
          <w:szCs w:val="21"/>
        </w:rPr>
      </w:pPr>
      <w:bookmarkStart w:name="3、报告期内正在进行的重大的非股权投资情况" w:id="46"/>
      <w:bookmarkEnd w:id="46"/>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、报告期内正在进行的重大的非股权投资情况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spacing w:before="0"/>
        <w:ind w:left="154" w:right="0" w:firstLine="0"/>
        <w:jc w:val="left"/>
        <w:rPr>
          <w:rFonts w:ascii="宋体" w:hAnsi="宋体" w:cs="宋体" w:eastAsia="宋体" w:hint="default"/>
          <w:sz w:val="21"/>
          <w:szCs w:val="21"/>
        </w:rPr>
      </w:pPr>
      <w:bookmarkStart w:name="4、以公允价值计量的金融资产" w:id="47"/>
      <w:bookmarkEnd w:id="47"/>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、以公允价值计量的金融资产</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spacing w:before="0"/>
        <w:ind w:left="154" w:right="0" w:firstLine="0"/>
        <w:jc w:val="left"/>
        <w:rPr>
          <w:rFonts w:ascii="宋体" w:hAnsi="宋体" w:cs="宋体" w:eastAsia="宋体" w:hint="default"/>
          <w:sz w:val="21"/>
          <w:szCs w:val="21"/>
        </w:rPr>
      </w:pPr>
      <w:bookmarkStart w:name="5、募集资金使用情况" w:id="48"/>
      <w:bookmarkEnd w:id="48"/>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、募集资金使用情况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spacing w:before="0"/>
        <w:ind w:left="154" w:right="0" w:firstLine="0"/>
        <w:jc w:val="left"/>
        <w:rPr>
          <w:rFonts w:ascii="宋体" w:hAnsi="宋体" w:cs="宋体" w:eastAsia="宋体" w:hint="default"/>
          <w:sz w:val="21"/>
          <w:szCs w:val="21"/>
        </w:rPr>
      </w:pPr>
      <w:bookmarkStart w:name="（1）募集资金总体使用情况" w:id="49"/>
      <w:bookmarkEnd w:id="4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）募集资金总体使用情况</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66"/>
        <w:gridCol w:w="870"/>
        <w:gridCol w:w="870"/>
        <w:gridCol w:w="870"/>
        <w:gridCol w:w="870"/>
        <w:gridCol w:w="869"/>
        <w:gridCol w:w="870"/>
        <w:gridCol w:w="870"/>
        <w:gridCol w:w="870"/>
        <w:gridCol w:w="870"/>
        <w:gridCol w:w="869"/>
      </w:tblGrid>
      <w:tr>
        <w:trPr>
          <w:trHeight w:val="1337"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49" w:right="68"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9" w:right="68"/>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9" w:right="69"/>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8" w:right="68"/>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9" w:right="68"/>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9" w:right="68"/>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8" w:right="68"/>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1026"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92"/>
              <w:jc w:val="center"/>
              <w:rPr>
                <w:rFonts w:ascii="宋体" w:hAnsi="宋体" w:cs="宋体" w:eastAsia="宋体" w:hint="default"/>
                <w:sz w:val="18"/>
                <w:szCs w:val="18"/>
              </w:rPr>
            </w:pPr>
            <w:r>
              <w:rPr>
                <w:rFonts w:ascii="宋体" w:hAnsi="宋体" w:cs="宋体" w:eastAsia="宋体" w:hint="default"/>
                <w:sz w:val="18"/>
                <w:szCs w:val="18"/>
              </w:rPr>
              <w:t>首发上市</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15,822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5,611.47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12,083.65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3"/>
              <w:jc w:val="right"/>
              <w:rPr>
                <w:rFonts w:ascii="宋体" w:hAnsi="宋体" w:cs="宋体" w:eastAsia="宋体" w:hint="default"/>
                <w:sz w:val="18"/>
                <w:szCs w:val="18"/>
              </w:rPr>
            </w:pPr>
            <w:r>
              <w:rPr>
                <w:rFonts w:ascii="宋体"/>
                <w:sz w:val="18"/>
              </w:rPr>
              <w:t>4,061.66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z w:val="18"/>
                <w:szCs w:val="18"/>
              </w:rPr>
              <w:t>存放于专 </w:t>
            </w:r>
            <w:r>
              <w:rPr>
                <w:rFonts w:ascii="宋体" w:hAnsi="宋体" w:cs="宋体" w:eastAsia="宋体" w:hint="default"/>
                <w:spacing w:val="-18"/>
                <w:sz w:val="18"/>
                <w:szCs w:val="18"/>
              </w:rPr>
              <w:t>户、购买理</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财产品</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15,822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w w:val="95"/>
                <w:sz w:val="18"/>
              </w:rPr>
              <w:t>5,611.47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2" w:right="0"/>
              <w:jc w:val="center"/>
              <w:rPr>
                <w:rFonts w:ascii="Times New Roman" w:hAnsi="Times New Roman" w:cs="Times New Roman" w:eastAsia="Times New Roman" w:hint="default"/>
                <w:sz w:val="18"/>
                <w:szCs w:val="18"/>
              </w:rPr>
            </w:pPr>
            <w:r>
              <w:rPr>
                <w:rFonts w:ascii="Times New Roman"/>
                <w:sz w:val="18"/>
              </w:rPr>
              <w:t>12,083.65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right="10"/>
              <w:jc w:val="right"/>
              <w:rPr>
                <w:rFonts w:ascii="宋体" w:hAnsi="宋体" w:cs="宋体" w:eastAsia="宋体" w:hint="default"/>
                <w:sz w:val="18"/>
                <w:szCs w:val="18"/>
              </w:rPr>
            </w:pPr>
            <w:r>
              <w:rPr>
                <w:rFonts w:ascii="宋体"/>
                <w:sz w:val="18"/>
              </w:rPr>
              <w:t>4,061.66</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9564"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1923" w:hRule="exact"/>
        </w:trPr>
        <w:tc>
          <w:tcPr>
            <w:tcW w:w="9564" w:type="dxa"/>
            <w:gridSpan w:val="11"/>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21" w:firstLine="360"/>
              <w:jc w:val="left"/>
              <w:rPr>
                <w:rFonts w:ascii="Times New Roman" w:hAnsi="Times New Roman" w:cs="Times New Roman" w:eastAsia="Times New Roman" w:hint="default"/>
                <w:sz w:val="18"/>
                <w:szCs w:val="18"/>
              </w:rPr>
            </w:pPr>
            <w:r>
              <w:rPr>
                <w:rFonts w:ascii="宋体" w:hAnsi="宋体" w:cs="宋体" w:eastAsia="宋体" w:hint="default"/>
                <w:sz w:val="18"/>
                <w:szCs w:val="18"/>
              </w:rPr>
              <w:t>经中国证券监督管理委员会证监许可〔</w:t>
            </w:r>
            <w:r>
              <w:rPr>
                <w:rFonts w:ascii="Times New Roman" w:hAnsi="Times New Roman" w:cs="Times New Roman" w:eastAsia="Times New Roman" w:hint="default"/>
                <w:sz w:val="18"/>
                <w:szCs w:val="18"/>
              </w:rPr>
              <w:t>2017</w:t>
            </w:r>
            <w:r>
              <w:rPr>
                <w:rFonts w:ascii="宋体" w:hAnsi="宋体" w:cs="宋体" w:eastAsia="宋体" w:hint="default"/>
                <w:sz w:val="18"/>
                <w:szCs w:val="18"/>
              </w:rPr>
              <w:t>〕</w:t>
            </w:r>
            <w:r>
              <w:rPr>
                <w:rFonts w:ascii="Times New Roman" w:hAnsi="Times New Roman" w:cs="Times New Roman" w:eastAsia="Times New Roman" w:hint="default"/>
                <w:sz w:val="18"/>
                <w:szCs w:val="18"/>
              </w:rPr>
              <w:t>478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号文核准，并经深圳证券交易所同意，本公司由主承销商中信证券 </w:t>
            </w:r>
            <w:r>
              <w:rPr>
                <w:rFonts w:ascii="宋体" w:hAnsi="宋体" w:cs="宋体" w:eastAsia="宋体" w:hint="default"/>
                <w:spacing w:val="-5"/>
                <w:w w:val="99"/>
                <w:sz w:val="18"/>
                <w:szCs w:val="18"/>
              </w:rPr>
              <w:t>股份有限公司采用余额包销方式，向社会公众公开发行人民币普通股（</w:t>
            </w:r>
            <w:r>
              <w:rPr>
                <w:rFonts w:ascii="Times New Roman" w:hAnsi="Times New Roman" w:cs="Times New Roman" w:eastAsia="Times New Roman" w:hint="default"/>
                <w:spacing w:val="-5"/>
                <w:w w:val="99"/>
                <w:sz w:val="18"/>
                <w:szCs w:val="18"/>
              </w:rPr>
              <w:t>A</w:t>
            </w:r>
            <w:r>
              <w:rPr>
                <w:rFonts w:ascii="Times New Roman" w:hAnsi="Times New Roman" w:cs="Times New Roman" w:eastAsia="Times New Roman" w:hint="default"/>
                <w:spacing w:val="3"/>
                <w:w w:val="99"/>
                <w:sz w:val="18"/>
                <w:szCs w:val="18"/>
              </w:rPr>
              <w:t> </w:t>
            </w:r>
            <w:r>
              <w:rPr>
                <w:rFonts w:ascii="宋体" w:hAnsi="宋体" w:cs="宋体" w:eastAsia="宋体" w:hint="default"/>
                <w:spacing w:val="-19"/>
                <w:sz w:val="18"/>
                <w:szCs w:val="18"/>
              </w:rPr>
              <w:t>股）股票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16,666,667</w:t>
            </w:r>
            <w:r>
              <w:rPr>
                <w:rFonts w:ascii="Times New Roman" w:hAnsi="Times New Roman" w:cs="Times New Roman" w:eastAsia="Times New Roman" w:hint="default"/>
                <w:spacing w:val="3"/>
                <w:sz w:val="18"/>
                <w:szCs w:val="18"/>
              </w:rPr>
              <w:t> </w:t>
            </w:r>
            <w:r>
              <w:rPr>
                <w:rFonts w:ascii="宋体" w:hAnsi="宋体" w:cs="宋体" w:eastAsia="宋体" w:hint="default"/>
                <w:spacing w:val="-7"/>
                <w:sz w:val="18"/>
                <w:szCs w:val="18"/>
              </w:rPr>
              <w:t>股，发行价为每股人民币</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12.35</w:t>
            </w:r>
          </w:p>
          <w:p>
            <w:pPr>
              <w:pStyle w:val="TableParagraph"/>
              <w:spacing w:line="240" w:lineRule="auto" w:before="13"/>
              <w:ind w:left="22" w:right="0"/>
              <w:jc w:val="left"/>
              <w:rPr>
                <w:rFonts w:ascii="宋体" w:hAnsi="宋体" w:cs="宋体" w:eastAsia="宋体" w:hint="default"/>
                <w:sz w:val="18"/>
                <w:szCs w:val="18"/>
              </w:rPr>
            </w:pPr>
            <w:r>
              <w:rPr>
                <w:rFonts w:ascii="宋体" w:hAnsi="宋体" w:cs="宋体" w:eastAsia="宋体" w:hint="default"/>
                <w:sz w:val="18"/>
                <w:szCs w:val="18"/>
              </w:rPr>
              <w:t>元，共计募集资金</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20,583.33</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万元，坐扣承销和保荐费用</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3,350.00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万元后的募集资金为</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17,233,33</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万元，已由主承销商中信</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证券股份有限公司于</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日汇入本公司募集资金监管账户。另减除上网发行费、招股说明书印刷费、申报会计</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师费、律师费、评估费等与发行权益性证券直接相关的新增外部费用</w:t>
            </w:r>
            <w:r>
              <w:rPr>
                <w:rFonts w:ascii="宋体" w:hAnsi="宋体" w:cs="宋体" w:eastAsia="宋体" w:hint="default"/>
                <w:spacing w:val="-72"/>
                <w:sz w:val="18"/>
                <w:szCs w:val="18"/>
              </w:rPr>
              <w:t> </w:t>
            </w:r>
            <w:r>
              <w:rPr>
                <w:rFonts w:ascii="Times New Roman" w:hAnsi="Times New Roman" w:cs="Times New Roman" w:eastAsia="Times New Roman" w:hint="default"/>
                <w:sz w:val="18"/>
                <w:szCs w:val="18"/>
              </w:rPr>
              <w:t>1,411.33</w:t>
            </w:r>
            <w:r>
              <w:rPr>
                <w:rFonts w:ascii="Times New Roman" w:hAnsi="Times New Roman" w:cs="Times New Roman" w:eastAsia="Times New Roman" w:hint="default"/>
                <w:spacing w:val="-28"/>
                <w:sz w:val="18"/>
                <w:szCs w:val="18"/>
              </w:rPr>
              <w:t> </w:t>
            </w:r>
            <w:r>
              <w:rPr>
                <w:rFonts w:ascii="宋体" w:hAnsi="宋体" w:cs="宋体" w:eastAsia="宋体" w:hint="default"/>
                <w:sz w:val="18"/>
                <w:szCs w:val="18"/>
              </w:rPr>
              <w:t>万元后，公司本次募集资金净额为</w:t>
            </w:r>
            <w:r>
              <w:rPr>
                <w:rFonts w:ascii="宋体" w:hAnsi="宋体" w:cs="宋体" w:eastAsia="宋体" w:hint="default"/>
                <w:spacing w:val="-73"/>
                <w:sz w:val="18"/>
                <w:szCs w:val="18"/>
              </w:rPr>
              <w:t> </w:t>
            </w:r>
            <w:r>
              <w:rPr>
                <w:rFonts w:ascii="Times New Roman" w:hAnsi="Times New Roman" w:cs="Times New Roman" w:eastAsia="Times New Roman" w:hint="default"/>
                <w:sz w:val="18"/>
                <w:szCs w:val="18"/>
              </w:rPr>
              <w:t>15,822.00</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万元。上述募集资金到位情况业经天健会计师事务所</w:t>
            </w:r>
            <w:r>
              <w:rPr>
                <w:rFonts w:ascii="Times New Roman" w:hAnsi="Times New Roman" w:cs="Times New Roman" w:eastAsia="Times New Roman" w:hint="default"/>
                <w:sz w:val="18"/>
                <w:szCs w:val="18"/>
              </w:rPr>
              <w:t>(</w:t>
            </w:r>
            <w:r>
              <w:rPr>
                <w:rFonts w:ascii="宋体" w:hAnsi="宋体" w:cs="宋体" w:eastAsia="宋体" w:hint="default"/>
                <w:sz w:val="18"/>
                <w:szCs w:val="18"/>
              </w:rPr>
              <w:t>特殊普通合伙</w:t>
            </w:r>
            <w:r>
              <w:rPr>
                <w:rFonts w:ascii="Times New Roman" w:hAnsi="Times New Roman" w:cs="Times New Roman" w:eastAsia="Times New Roman" w:hint="default"/>
                <w:sz w:val="18"/>
                <w:szCs w:val="18"/>
              </w:rPr>
              <w:t>)</w:t>
            </w:r>
            <w:r>
              <w:rPr>
                <w:rFonts w:ascii="宋体" w:hAnsi="宋体" w:cs="宋体" w:eastAsia="宋体" w:hint="default"/>
                <w:sz w:val="18"/>
                <w:szCs w:val="18"/>
              </w:rPr>
              <w:t>验证，并由其出具《验资报告</w:t>
            </w:r>
            <w:r>
              <w:rPr>
                <w:rFonts w:ascii="宋体" w:hAnsi="宋体" w:cs="宋体" w:eastAsia="宋体" w:hint="default"/>
                <w:spacing w:val="-90"/>
                <w:sz w:val="18"/>
                <w:szCs w:val="18"/>
              </w:rPr>
              <w:t>》</w:t>
            </w:r>
            <w:r>
              <w:rPr>
                <w:rFonts w:ascii="宋体" w:hAnsi="宋体" w:cs="宋体" w:eastAsia="宋体" w:hint="default"/>
                <w:sz w:val="18"/>
                <w:szCs w:val="18"/>
              </w:rPr>
              <w:t>（天健验〔</w:t>
            </w:r>
            <w:r>
              <w:rPr>
                <w:rFonts w:ascii="Times New Roman" w:hAnsi="Times New Roman" w:cs="Times New Roman" w:eastAsia="Times New Roman" w:hint="default"/>
                <w:sz w:val="18"/>
                <w:szCs w:val="18"/>
              </w:rPr>
              <w:t>2017</w:t>
            </w:r>
            <w:r>
              <w:rPr>
                <w:rFonts w:ascii="宋体" w:hAnsi="宋体" w:cs="宋体" w:eastAsia="宋体" w:hint="default"/>
                <w:sz w:val="18"/>
                <w:szCs w:val="18"/>
              </w:rPr>
              <w:t>〕</w:t>
            </w:r>
            <w:r>
              <w:rPr>
                <w:rFonts w:ascii="Times New Roman" w:hAnsi="Times New Roman" w:cs="Times New Roman" w:eastAsia="Times New Roman" w:hint="default"/>
                <w:sz w:val="18"/>
                <w:szCs w:val="18"/>
              </w:rPr>
              <w:t>97</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2"/>
        <w:rPr>
          <w:rFonts w:ascii="宋体" w:hAnsi="宋体" w:cs="宋体" w:eastAsia="宋体" w:hint="default"/>
          <w:sz w:val="28"/>
          <w:szCs w:val="28"/>
        </w:rPr>
      </w:pPr>
    </w:p>
    <w:p>
      <w:pPr>
        <w:spacing w:line="2646" w:lineRule="exact"/>
        <w:ind w:left="149" w:right="0" w:firstLine="0"/>
        <w:rPr>
          <w:rFonts w:ascii="宋体" w:hAnsi="宋体" w:cs="宋体" w:eastAsia="宋体" w:hint="default"/>
          <w:sz w:val="20"/>
          <w:szCs w:val="20"/>
        </w:rPr>
      </w:pPr>
      <w:r>
        <w:rPr>
          <w:rFonts w:ascii="宋体" w:hAnsi="宋体" w:cs="宋体" w:eastAsia="宋体" w:hint="default"/>
          <w:position w:val="-52"/>
          <w:sz w:val="20"/>
          <w:szCs w:val="20"/>
        </w:rPr>
        <w:pict>
          <v:group style="width:481.5pt;height:132.35pt;mso-position-horizontal-relative:char;mso-position-vertical-relative:line" coordorigin="0,0" coordsize="9630,2647">
            <v:group style="position:absolute;left:10;top:10;width:9555;height:2" coordorigin="10,10" coordsize="9555,2">
              <v:shape style="position:absolute;left:10;top:10;width:9555;height:2" coordorigin="10,10" coordsize="9555,0" path="m10,10l9564,10e" filled="false" stroked="true" strokeweight=".48pt" strokecolor="#000000">
                <v:path arrowok="t"/>
              </v:shape>
            </v:group>
            <v:group style="position:absolute;left:5;top:5;width:2;height:2637" coordorigin="5,5" coordsize="2,2637">
              <v:shape style="position:absolute;left:5;top:5;width:2;height:2637" coordorigin="5,5" coordsize="0,2637" path="m5,5l5,2642e" filled="false" stroked="true" strokeweight=".48pt" strokecolor="#000000">
                <v:path arrowok="t"/>
              </v:shape>
            </v:group>
            <v:group style="position:absolute;left:10;top:2637;width:9555;height:2" coordorigin="10,2637" coordsize="9555,2">
              <v:shape style="position:absolute;left:10;top:2637;width:9555;height:2" coordorigin="10,2637" coordsize="9555,0" path="m10,2637l9564,2637e" filled="false" stroked="true" strokeweight=".48pt" strokecolor="#000000">
                <v:path arrowok="t"/>
              </v:shape>
            </v:group>
            <v:group style="position:absolute;left:9569;top:5;width:2;height:2637" coordorigin="9569,5" coordsize="2,2637">
              <v:shape style="position:absolute;left:9569;top:5;width:2;height:2637" coordorigin="9569,5" coordsize="0,2637" path="m9569,5l9569,2642e" filled="false" stroked="true" strokeweight=".48004pt" strokecolor="#000000">
                <v:path arrowok="t"/>
              </v:shape>
              <v:shape style="position:absolute;left:0;top:0;width:9630;height:2647" type="#_x0000_t202" filled="false" stroked="false">
                <v:textbox inset="0,0,0,0">
                  <w:txbxContent>
                    <w:p>
                      <w:pPr>
                        <w:spacing w:before="26"/>
                        <w:ind w:left="32" w:right="0" w:firstLine="0"/>
                        <w:jc w:val="left"/>
                        <w:rPr>
                          <w:rFonts w:ascii="宋体" w:hAnsi="宋体" w:cs="宋体" w:eastAsia="宋体" w:hint="default"/>
                          <w:sz w:val="18"/>
                          <w:szCs w:val="18"/>
                        </w:rPr>
                      </w:pPr>
                      <w:r>
                        <w:rPr>
                          <w:rFonts w:ascii="宋体" w:hAnsi="宋体" w:cs="宋体" w:eastAsia="宋体" w:hint="default"/>
                          <w:sz w:val="18"/>
                          <w:szCs w:val="18"/>
                        </w:rPr>
                        <w:t>号</w:t>
                      </w:r>
                      <w:r>
                        <w:rPr>
                          <w:rFonts w:ascii="宋体" w:hAnsi="宋体" w:cs="宋体" w:eastAsia="宋体" w:hint="default"/>
                          <w:spacing w:val="-90"/>
                          <w:sz w:val="18"/>
                          <w:szCs w:val="18"/>
                        </w:rPr>
                        <w:t>）</w:t>
                      </w:r>
                      <w:r>
                        <w:rPr>
                          <w:rFonts w:ascii="宋体" w:hAnsi="宋体" w:cs="宋体" w:eastAsia="宋体" w:hint="default"/>
                          <w:sz w:val="18"/>
                          <w:szCs w:val="18"/>
                        </w:rPr>
                        <w:t>。</w:t>
                      </w:r>
                    </w:p>
                    <w:p>
                      <w:pPr>
                        <w:spacing w:line="300" w:lineRule="auto" w:before="116"/>
                        <w:ind w:left="32" w:right="0" w:firstLine="360"/>
                        <w:jc w:val="left"/>
                        <w:rPr>
                          <w:rFonts w:ascii="宋体" w:hAnsi="宋体" w:cs="宋体" w:eastAsia="宋体" w:hint="default"/>
                          <w:sz w:val="18"/>
                          <w:szCs w:val="18"/>
                        </w:rPr>
                      </w:pPr>
                      <w:r>
                        <w:rPr>
                          <w:rFonts w:ascii="宋体" w:hAnsi="宋体" w:cs="宋体" w:eastAsia="宋体" w:hint="default"/>
                          <w:sz w:val="18"/>
                          <w:szCs w:val="18"/>
                        </w:rPr>
                        <w:t>本公司以前年度已使用募集资金</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6,472.18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万元，以前年度暂时补充流动资金</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4,373.91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万元，以前年度收到的银行存款 利息扣除银行手续费等的净额为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4.79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 </w:t>
                      </w:r>
                      <w:r>
                        <w:rPr>
                          <w:rFonts w:ascii="宋体" w:hAnsi="宋体" w:cs="宋体" w:eastAsia="宋体" w:hint="default"/>
                          <w:sz w:val="18"/>
                          <w:szCs w:val="18"/>
                        </w:rPr>
                        <w:t>以前年度收到的银行理财产品投资收益为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156.43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年度实际使用募 集资金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5,611.47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年度收回以前年度暂时补充流动资金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4,373.91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年度收到的银行存款利息扣除银行 手续费等的净额为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2.22 </w:t>
                      </w:r>
                      <w:r>
                        <w:rPr>
                          <w:rFonts w:ascii="宋体" w:hAnsi="宋体" w:cs="宋体" w:eastAsia="宋体" w:hint="default"/>
                          <w:spacing w:val="-12"/>
                          <w:sz w:val="18"/>
                          <w:szCs w:val="18"/>
                        </w:rPr>
                        <w:t>万元，</w:t>
                      </w:r>
                      <w:r>
                        <w:rPr>
                          <w:rFonts w:ascii="Times New Roman" w:hAnsi="Times New Roman" w:cs="Times New Roman" w:eastAsia="Times New Roman" w:hint="default"/>
                          <w:spacing w:val="-12"/>
                          <w:sz w:val="18"/>
                          <w:szCs w:val="18"/>
                        </w:rPr>
                        <w:t>2018</w:t>
                      </w:r>
                      <w:r>
                        <w:rPr>
                          <w:rFonts w:ascii="Times New Roman" w:hAnsi="Times New Roman" w:cs="Times New Roman" w:eastAsia="Times New Roman" w:hint="default"/>
                          <w:sz w:val="18"/>
                          <w:szCs w:val="18"/>
                        </w:rPr>
                        <w:t> </w:t>
                      </w:r>
                      <w:r>
                        <w:rPr>
                          <w:rFonts w:ascii="宋体" w:hAnsi="宋体" w:cs="宋体" w:eastAsia="宋体" w:hint="default"/>
                          <w:sz w:val="18"/>
                          <w:szCs w:val="18"/>
                        </w:rPr>
                        <w:t>年度收到的银行理财产品投资收益为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159.87 </w:t>
                      </w:r>
                      <w:r>
                        <w:rPr>
                          <w:rFonts w:ascii="宋体" w:hAnsi="宋体" w:cs="宋体" w:eastAsia="宋体" w:hint="default"/>
                          <w:spacing w:val="-8"/>
                          <w:sz w:val="18"/>
                          <w:szCs w:val="18"/>
                        </w:rPr>
                        <w:t>万元；累计已使用募集资金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12,083.65 </w:t>
                      </w:r>
                      <w:r>
                        <w:rPr>
                          <w:rFonts w:ascii="宋体" w:hAnsi="宋体" w:cs="宋体" w:eastAsia="宋体" w:hint="default"/>
                          <w:sz w:val="18"/>
                          <w:szCs w:val="18"/>
                        </w:rPr>
                        <w:t>万元，</w:t>
                      </w:r>
                    </w:p>
                    <w:p>
                      <w:pPr>
                        <w:spacing w:before="14"/>
                        <w:ind w:left="32" w:right="0" w:firstLine="0"/>
                        <w:jc w:val="left"/>
                        <w:rPr>
                          <w:rFonts w:ascii="宋体" w:hAnsi="宋体" w:cs="宋体" w:eastAsia="宋体" w:hint="default"/>
                          <w:sz w:val="18"/>
                          <w:szCs w:val="18"/>
                        </w:rPr>
                      </w:pPr>
                      <w:r>
                        <w:rPr>
                          <w:rFonts w:ascii="宋体" w:hAnsi="宋体" w:cs="宋体" w:eastAsia="宋体" w:hint="default"/>
                          <w:sz w:val="18"/>
                          <w:szCs w:val="18"/>
                        </w:rPr>
                        <w:t>累计收到的银行存款利息扣除银行手续费等的净额为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  </w:t>
                      </w:r>
                      <w:r>
                        <w:rPr>
                          <w:rFonts w:ascii="宋体" w:hAnsi="宋体" w:cs="宋体" w:eastAsia="宋体" w:hint="default"/>
                          <w:sz w:val="18"/>
                          <w:szCs w:val="18"/>
                        </w:rPr>
                        <w:t>累计收到的银行理财产品投资收益为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316.30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spacing w:before="101"/>
                        <w:ind w:left="392" w:right="0" w:firstLine="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日，募集资金余额为人民币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4,061.66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万元（包括累计收到的银行存款利息扣除银行手续费等的</w:t>
                      </w:r>
                    </w:p>
                    <w:p>
                      <w:pPr>
                        <w:spacing w:before="64"/>
                        <w:ind w:left="32" w:right="0" w:firstLine="0"/>
                        <w:jc w:val="left"/>
                        <w:rPr>
                          <w:rFonts w:ascii="宋体" w:hAnsi="宋体" w:cs="宋体" w:eastAsia="宋体" w:hint="default"/>
                          <w:sz w:val="18"/>
                          <w:szCs w:val="18"/>
                        </w:rPr>
                      </w:pPr>
                      <w:r>
                        <w:rPr>
                          <w:rFonts w:ascii="宋体" w:hAnsi="宋体" w:cs="宋体" w:eastAsia="宋体" w:hint="default"/>
                          <w:sz w:val="18"/>
                          <w:szCs w:val="18"/>
                        </w:rPr>
                        <w:t>净额</w:t>
                      </w:r>
                      <w:r>
                        <w:rPr>
                          <w:rFonts w:ascii="宋体" w:hAnsi="宋体" w:cs="宋体" w:eastAsia="宋体" w:hint="default"/>
                          <w:spacing w:val="-90"/>
                          <w:sz w:val="18"/>
                          <w:szCs w:val="18"/>
                        </w:rPr>
                        <w:t>）</w:t>
                      </w:r>
                      <w:r>
                        <w:rPr>
                          <w:rFonts w:ascii="宋体" w:hAnsi="宋体" w:cs="宋体" w:eastAsia="宋体" w:hint="default"/>
                          <w:sz w:val="18"/>
                          <w:szCs w:val="18"/>
                        </w:rPr>
                        <w:t>。其中购买理财产品余额为人民币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4,000.00 </w:t>
                      </w:r>
                      <w:r>
                        <w:rPr>
                          <w:rFonts w:ascii="宋体" w:hAnsi="宋体" w:cs="宋体" w:eastAsia="宋体" w:hint="default"/>
                          <w:sz w:val="18"/>
                          <w:szCs w:val="18"/>
                        </w:rPr>
                        <w:t>万元，募集资金专户余额为人民币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61.66 </w:t>
                      </w:r>
                      <w:r>
                        <w:rPr>
                          <w:rFonts w:ascii="宋体" w:hAnsi="宋体" w:cs="宋体" w:eastAsia="宋体" w:hint="default"/>
                          <w:sz w:val="18"/>
                          <w:szCs w:val="18"/>
                        </w:rPr>
                        <w:t>万元。</w:t>
                      </w:r>
                    </w:p>
                  </w:txbxContent>
                </v:textbox>
                <w10:wrap type="none"/>
              </v:shape>
            </v:group>
          </v:group>
        </w:pict>
      </w:r>
      <w:r>
        <w:rPr>
          <w:rFonts w:ascii="宋体" w:hAnsi="宋体" w:cs="宋体" w:eastAsia="宋体" w:hint="default"/>
          <w:position w:val="-52"/>
          <w:sz w:val="20"/>
          <w:szCs w:val="20"/>
        </w:rPr>
      </w:r>
    </w:p>
    <w:p>
      <w:pPr>
        <w:spacing w:line="240" w:lineRule="auto" w:before="11"/>
        <w:rPr>
          <w:rFonts w:ascii="宋体" w:hAnsi="宋体" w:cs="宋体" w:eastAsia="宋体" w:hint="default"/>
          <w:sz w:val="18"/>
          <w:szCs w:val="18"/>
        </w:rPr>
      </w:pPr>
    </w:p>
    <w:p>
      <w:pPr>
        <w:spacing w:before="35"/>
        <w:ind w:left="154" w:right="0" w:firstLine="0"/>
        <w:jc w:val="left"/>
        <w:rPr>
          <w:rFonts w:ascii="宋体" w:hAnsi="宋体" w:cs="宋体" w:eastAsia="宋体" w:hint="default"/>
          <w:sz w:val="21"/>
          <w:szCs w:val="21"/>
        </w:rPr>
      </w:pPr>
      <w:bookmarkStart w:name="（2）募集资金承诺项目情况" w:id="50"/>
      <w:bookmarkEnd w:id="5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）募集资金承诺项目情况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20"/>
        <w:gridCol w:w="914"/>
        <w:gridCol w:w="721"/>
        <w:gridCol w:w="906"/>
        <w:gridCol w:w="850"/>
        <w:gridCol w:w="720"/>
        <w:gridCol w:w="869"/>
        <w:gridCol w:w="722"/>
        <w:gridCol w:w="722"/>
        <w:gridCol w:w="721"/>
        <w:gridCol w:w="722"/>
        <w:gridCol w:w="722"/>
        <w:gridCol w:w="721"/>
      </w:tblGrid>
      <w:tr>
        <w:trPr>
          <w:trHeight w:val="1649" w:hRule="exact"/>
        </w:trPr>
        <w:tc>
          <w:tcPr>
            <w:tcW w:w="16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361" w:right="93" w:hanging="270"/>
              <w:jc w:val="left"/>
              <w:rPr>
                <w:rFonts w:ascii="宋体" w:hAnsi="宋体" w:cs="宋体" w:eastAsia="宋体" w:hint="default"/>
                <w:sz w:val="18"/>
                <w:szCs w:val="18"/>
              </w:rPr>
            </w:pPr>
            <w:r>
              <w:rPr>
                <w:rFonts w:ascii="宋体" w:hAnsi="宋体" w:cs="宋体" w:eastAsia="宋体" w:hint="default"/>
                <w:sz w:val="18"/>
                <w:szCs w:val="18"/>
              </w:rPr>
              <w:t>承诺投资项目和超 募资金投向</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2" w:lineRule="auto"/>
              <w:ind w:left="55" w:right="54" w:firstLine="30"/>
              <w:jc w:val="both"/>
              <w:rPr>
                <w:rFonts w:ascii="Times New Roman" w:hAnsi="Times New Roman" w:cs="Times New Roman" w:eastAsia="Times New Roman" w:hint="default"/>
                <w:sz w:val="18"/>
                <w:szCs w:val="18"/>
              </w:rPr>
            </w:pPr>
            <w:r>
              <w:rPr>
                <w:rFonts w:ascii="宋体" w:hAnsi="宋体" w:cs="宋体" w:eastAsia="宋体" w:hint="default"/>
                <w:sz w:val="18"/>
                <w:szCs w:val="18"/>
              </w:rPr>
              <w:t>是否已 变更项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含部 分变更</w:t>
            </w:r>
            <w:r>
              <w:rPr>
                <w:rFonts w:ascii="Times New Roman" w:hAnsi="Times New Roman" w:cs="Times New Roman" w:eastAsia="Times New Roman" w:hint="default"/>
                <w:sz w:val="18"/>
                <w:szCs w:val="18"/>
              </w:rPr>
              <w:t>)</w:t>
            </w:r>
          </w:p>
        </w:tc>
        <w:tc>
          <w:tcPr>
            <w:tcW w:w="9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87" w:right="86"/>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44" w:right="43" w:firstLine="15"/>
              <w:jc w:val="left"/>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w:t>
            </w:r>
            <w:r>
              <w:rPr>
                <w:rFonts w:ascii="Times New Roman" w:hAnsi="Times New Roman" w:cs="Times New Roman" w:eastAsia="Times New Roman" w:hint="default"/>
                <w:sz w:val="18"/>
                <w:szCs w:val="18"/>
              </w:rPr>
              <w:t>(1)</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83" w:right="84"/>
              <w:jc w:val="both"/>
              <w:rPr>
                <w:rFonts w:ascii="宋体" w:hAnsi="宋体" w:cs="宋体" w:eastAsia="宋体" w:hint="default"/>
                <w:sz w:val="18"/>
                <w:szCs w:val="18"/>
              </w:rPr>
            </w:pPr>
            <w:r>
              <w:rPr>
                <w:rFonts w:ascii="宋体" w:hAnsi="宋体" w:cs="宋体" w:eastAsia="宋体" w:hint="default"/>
                <w:sz w:val="18"/>
                <w:szCs w:val="18"/>
              </w:rPr>
              <w:t>本报告 期投入 金额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68" w:right="68"/>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0" w:right="69" w:firstLine="14"/>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末投资 进度</w:t>
            </w:r>
            <w:r>
              <w:rPr>
                <w:rFonts w:ascii="Times New Roman" w:hAnsi="Times New Roman" w:cs="Times New Roman" w:eastAsia="Times New Roman" w:hint="default"/>
                <w:sz w:val="18"/>
                <w:szCs w:val="18"/>
              </w:rPr>
              <w:t>(3)</w:t>
            </w:r>
          </w:p>
          <w:p>
            <w:pPr>
              <w:pStyle w:val="TableParagraph"/>
              <w:spacing w:line="240" w:lineRule="auto"/>
              <w:ind w:left="31"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(2)/(1)</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85" w:right="84"/>
              <w:jc w:val="center"/>
              <w:rPr>
                <w:rFonts w:ascii="宋体" w:hAnsi="宋体" w:cs="宋体" w:eastAsia="宋体" w:hint="default"/>
                <w:sz w:val="18"/>
                <w:szCs w:val="18"/>
              </w:rPr>
            </w:pPr>
            <w:r>
              <w:rPr>
                <w:rFonts w:ascii="宋体" w:hAnsi="宋体" w:cs="宋体" w:eastAsia="宋体" w:hint="default"/>
                <w:sz w:val="18"/>
                <w:szCs w:val="18"/>
              </w:rPr>
              <w:t>项目达 到预定 可使用 状态日 期</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85" w:right="84"/>
              <w:jc w:val="both"/>
              <w:rPr>
                <w:rFonts w:ascii="宋体" w:hAnsi="宋体" w:cs="宋体" w:eastAsia="宋体" w:hint="default"/>
                <w:sz w:val="18"/>
                <w:szCs w:val="18"/>
              </w:rPr>
            </w:pPr>
            <w:r>
              <w:rPr>
                <w:rFonts w:ascii="宋体" w:hAnsi="宋体" w:cs="宋体" w:eastAsia="宋体" w:hint="default"/>
                <w:sz w:val="18"/>
                <w:szCs w:val="18"/>
              </w:rPr>
              <w:t>本报告 期实现 的效益</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85" w:right="85"/>
              <w:jc w:val="center"/>
              <w:rPr>
                <w:rFonts w:ascii="宋体" w:hAnsi="宋体" w:cs="宋体" w:eastAsia="宋体" w:hint="default"/>
                <w:sz w:val="18"/>
                <w:szCs w:val="18"/>
              </w:rPr>
            </w:pPr>
            <w:r>
              <w:rPr>
                <w:rFonts w:ascii="宋体" w:hAnsi="宋体" w:cs="宋体" w:eastAsia="宋体" w:hint="default"/>
                <w:sz w:val="18"/>
                <w:szCs w:val="18"/>
              </w:rPr>
              <w:t>截止报 告期末 累计实 现的效 益</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85" w:right="85"/>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85" w:right="84"/>
              <w:jc w:val="center"/>
              <w:rPr>
                <w:rFonts w:ascii="宋体" w:hAnsi="宋体" w:cs="宋体" w:eastAsia="宋体" w:hint="default"/>
                <w:sz w:val="18"/>
                <w:szCs w:val="18"/>
              </w:rPr>
            </w:pPr>
            <w:r>
              <w:rPr>
                <w:rFonts w:ascii="宋体" w:hAnsi="宋体" w:cs="宋体" w:eastAsia="宋体" w:hint="default"/>
                <w:sz w:val="18"/>
                <w:szCs w:val="18"/>
              </w:rPr>
              <w:t>项目可 行性是 否发生 重大变 化</w:t>
            </w:r>
          </w:p>
        </w:tc>
      </w:tr>
      <w:tr>
        <w:trPr>
          <w:trHeight w:val="402" w:hRule="exact"/>
        </w:trPr>
        <w:tc>
          <w:tcPr>
            <w:tcW w:w="1003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6" w:hRule="exact"/>
        </w:trPr>
        <w:tc>
          <w:tcPr>
            <w:tcW w:w="16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智慧易通</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10,280.19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10,280.19</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6" w:right="0"/>
              <w:jc w:val="left"/>
              <w:rPr>
                <w:rFonts w:ascii="Times New Roman" w:hAnsi="Times New Roman" w:cs="Times New Roman" w:eastAsia="Times New Roman" w:hint="default"/>
                <w:sz w:val="18"/>
                <w:szCs w:val="18"/>
              </w:rPr>
            </w:pPr>
            <w:r>
              <w:rPr>
                <w:rFonts w:ascii="Times New Roman"/>
                <w:sz w:val="18"/>
              </w:rPr>
              <w:t>2,019.98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6,430.67</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62.55%</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6" w:right="0"/>
              <w:jc w:val="center"/>
              <w:rPr>
                <w:rFonts w:ascii="Times New Roman" w:hAnsi="Times New Roman" w:cs="Times New Roman" w:eastAsia="Times New Roman" w:hint="default"/>
                <w:sz w:val="18"/>
                <w:szCs w:val="18"/>
              </w:rPr>
            </w:pPr>
            <w:r>
              <w:rPr>
                <w:rFonts w:ascii="Times New Roman"/>
                <w:sz w:val="18"/>
              </w:rPr>
              <w:t>1,893.77</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2,338.31</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6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60"/>
              <w:jc w:val="left"/>
              <w:rPr>
                <w:rFonts w:ascii="宋体" w:hAnsi="宋体" w:cs="宋体" w:eastAsia="宋体" w:hint="default"/>
                <w:sz w:val="18"/>
                <w:szCs w:val="18"/>
              </w:rPr>
            </w:pPr>
            <w:r>
              <w:rPr>
                <w:rFonts w:ascii="宋体" w:hAnsi="宋体" w:cs="宋体" w:eastAsia="宋体" w:hint="default"/>
                <w:sz w:val="18"/>
                <w:szCs w:val="18"/>
              </w:rPr>
              <w:t>营销服务网络建设 和升级</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2,885.47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2,885.47</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6" w:right="0"/>
              <w:jc w:val="left"/>
              <w:rPr>
                <w:rFonts w:ascii="Times New Roman" w:hAnsi="Times New Roman" w:cs="Times New Roman" w:eastAsia="Times New Roman" w:hint="default"/>
                <w:sz w:val="18"/>
                <w:szCs w:val="18"/>
              </w:rPr>
            </w:pPr>
            <w:r>
              <w:rPr>
                <w:rFonts w:ascii="Times New Roman"/>
                <w:sz w:val="18"/>
              </w:rPr>
              <w:t>1,517.73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2,922.25</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101.27%</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1"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6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研发中心</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2,656.34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2,656.34</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6" w:right="0"/>
              <w:jc w:val="left"/>
              <w:rPr>
                <w:rFonts w:ascii="Times New Roman" w:hAnsi="Times New Roman" w:cs="Times New Roman" w:eastAsia="Times New Roman" w:hint="default"/>
                <w:sz w:val="18"/>
                <w:szCs w:val="18"/>
              </w:rPr>
            </w:pPr>
            <w:r>
              <w:rPr>
                <w:rFonts w:ascii="Times New Roman"/>
                <w:sz w:val="18"/>
              </w:rPr>
              <w:t>2,073.76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2,730.73</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102.80%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1"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6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294"/>
              <w:jc w:val="right"/>
              <w:rPr>
                <w:rFonts w:ascii="Times New Roman" w:hAnsi="Times New Roman" w:cs="Times New Roman" w:eastAsia="Times New Roman" w:hint="default"/>
                <w:sz w:val="18"/>
                <w:szCs w:val="18"/>
              </w:rPr>
            </w:pPr>
            <w:r>
              <w:rPr>
                <w:rFonts w:ascii="Times New Roman"/>
                <w:sz w:val="18"/>
              </w:rPr>
              <w:t>--</w:t>
            </w:r>
          </w:p>
        </w:tc>
        <w:tc>
          <w:tcPr>
            <w:tcW w:w="9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15,822.00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15,822.00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3" w:right="0"/>
              <w:jc w:val="left"/>
              <w:rPr>
                <w:rFonts w:ascii="Times New Roman" w:hAnsi="Times New Roman" w:cs="Times New Roman" w:eastAsia="Times New Roman" w:hint="default"/>
                <w:sz w:val="18"/>
                <w:szCs w:val="18"/>
              </w:rPr>
            </w:pPr>
            <w:r>
              <w:rPr>
                <w:rFonts w:ascii="Times New Roman"/>
                <w:sz w:val="18"/>
              </w:rPr>
              <w:t>5,611.47</w:t>
            </w:r>
          </w:p>
        </w:tc>
        <w:tc>
          <w:tcPr>
            <w:tcW w:w="869"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2"/>
              <w:ind w:right="9"/>
              <w:jc w:val="right"/>
              <w:rPr>
                <w:rFonts w:ascii="Times New Roman" w:hAnsi="Times New Roman" w:cs="Times New Roman" w:eastAsia="Times New Roman" w:hint="default"/>
                <w:sz w:val="18"/>
                <w:szCs w:val="18"/>
              </w:rPr>
            </w:pPr>
            <w:r>
              <w:rPr>
                <w:rFonts w:ascii="Times New Roman"/>
                <w:sz w:val="18"/>
              </w:rPr>
              <w:t>12,083.65</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294"/>
              <w:jc w:val="right"/>
              <w:rPr>
                <w:rFonts w:ascii="Times New Roman" w:hAnsi="Times New Roman" w:cs="Times New Roman" w:eastAsia="Times New Roman" w:hint="default"/>
                <w:sz w:val="18"/>
                <w:szCs w:val="18"/>
              </w:rPr>
            </w:pPr>
            <w:r>
              <w:rPr>
                <w:rFonts w:ascii="Times New Roman"/>
                <w:sz w:val="18"/>
              </w:rPr>
              <w:t>--</w:t>
            </w:r>
          </w:p>
        </w:tc>
        <w:tc>
          <w:tcPr>
            <w:tcW w:w="7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24" w:right="0"/>
              <w:jc w:val="center"/>
              <w:rPr>
                <w:rFonts w:ascii="Times New Roman" w:hAnsi="Times New Roman" w:cs="Times New Roman" w:eastAsia="Times New Roman" w:hint="default"/>
                <w:sz w:val="18"/>
                <w:szCs w:val="18"/>
              </w:rPr>
            </w:pPr>
            <w:r>
              <w:rPr>
                <w:rFonts w:ascii="Times New Roman"/>
                <w:sz w:val="18"/>
              </w:rPr>
              <w:t>1,893.77</w:t>
            </w:r>
          </w:p>
        </w:tc>
        <w:tc>
          <w:tcPr>
            <w:tcW w:w="722"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2"/>
              <w:ind w:left="58" w:right="0"/>
              <w:jc w:val="left"/>
              <w:rPr>
                <w:rFonts w:ascii="Times New Roman" w:hAnsi="Times New Roman" w:cs="Times New Roman" w:eastAsia="Times New Roman" w:hint="default"/>
                <w:sz w:val="18"/>
                <w:szCs w:val="18"/>
              </w:rPr>
            </w:pPr>
            <w:r>
              <w:rPr>
                <w:rFonts w:ascii="Times New Roman"/>
                <w:sz w:val="18"/>
              </w:rPr>
              <w:t>2,338.31</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294"/>
              <w:jc w:val="right"/>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2" w:hRule="exact"/>
        </w:trPr>
        <w:tc>
          <w:tcPr>
            <w:tcW w:w="16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21" w:type="dxa"/>
            <w:tcBorders>
              <w:top w:val="single" w:sz="4" w:space="0" w:color="000000"/>
              <w:left w:val="single" w:sz="4" w:space="0" w:color="000000"/>
              <w:bottom w:val="single" w:sz="4" w:space="0" w:color="000000"/>
              <w:right w:val="single" w:sz="4" w:space="0" w:color="000000"/>
            </w:tcBorders>
          </w:tcPr>
          <w:p>
            <w:pPr/>
          </w:p>
        </w:tc>
        <w:tc>
          <w:tcPr>
            <w:tcW w:w="90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294"/>
              <w:jc w:val="right"/>
              <w:rPr>
                <w:rFonts w:ascii="Times New Roman" w:hAnsi="Times New Roman" w:cs="Times New Roman" w:eastAsia="Times New Roman" w:hint="default"/>
                <w:sz w:val="18"/>
                <w:szCs w:val="18"/>
              </w:rPr>
            </w:pPr>
            <w:r>
              <w:rPr>
                <w:rFonts w:ascii="Times New Roman"/>
                <w:sz w:val="18"/>
              </w:rPr>
              <w:t>--</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15,822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15,822</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3" w:right="0"/>
              <w:jc w:val="left"/>
              <w:rPr>
                <w:rFonts w:ascii="Times New Roman" w:hAnsi="Times New Roman" w:cs="Times New Roman" w:eastAsia="Times New Roman" w:hint="default"/>
                <w:sz w:val="18"/>
                <w:szCs w:val="18"/>
              </w:rPr>
            </w:pPr>
            <w:r>
              <w:rPr>
                <w:rFonts w:ascii="Times New Roman"/>
                <w:sz w:val="18"/>
              </w:rPr>
              <w:t>5,611.47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12,083.65</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294"/>
              <w:jc w:val="right"/>
              <w:rPr>
                <w:rFonts w:ascii="Times New Roman" w:hAnsi="Times New Roman" w:cs="Times New Roman" w:eastAsia="Times New Roman" w:hint="default"/>
                <w:sz w:val="18"/>
                <w:szCs w:val="18"/>
              </w:rPr>
            </w:pPr>
            <w:r>
              <w:rPr>
                <w:rFonts w:ascii="Times New Roman"/>
                <w:sz w:val="18"/>
              </w:rPr>
              <w:t>--</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6" w:right="0"/>
              <w:jc w:val="center"/>
              <w:rPr>
                <w:rFonts w:ascii="Times New Roman" w:hAnsi="Times New Roman" w:cs="Times New Roman" w:eastAsia="Times New Roman" w:hint="default"/>
                <w:sz w:val="18"/>
                <w:szCs w:val="18"/>
              </w:rPr>
            </w:pPr>
            <w:r>
              <w:rPr>
                <w:rFonts w:ascii="Times New Roman"/>
                <w:sz w:val="18"/>
              </w:rPr>
              <w:t>1,893.77</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8" w:right="0"/>
              <w:jc w:val="left"/>
              <w:rPr>
                <w:rFonts w:ascii="Times New Roman" w:hAnsi="Times New Roman" w:cs="Times New Roman" w:eastAsia="Times New Roman" w:hint="default"/>
                <w:sz w:val="18"/>
                <w:szCs w:val="18"/>
              </w:rPr>
            </w:pPr>
            <w:r>
              <w:rPr>
                <w:rFonts w:ascii="Times New Roman"/>
                <w:sz w:val="18"/>
              </w:rPr>
              <w:t>2,338.31</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294"/>
              <w:jc w:val="right"/>
              <w:rPr>
                <w:rFonts w:ascii="Times New Roman" w:hAnsi="Times New Roman" w:cs="Times New Roman" w:eastAsia="Times New Roman" w:hint="default"/>
                <w:sz w:val="18"/>
                <w:szCs w:val="18"/>
              </w:rPr>
            </w:pPr>
            <w:r>
              <w:rPr>
                <w:rFonts w:ascii="Times New Roman"/>
                <w:sz w:val="18"/>
              </w:rPr>
              <w:t>--</w:t>
            </w:r>
          </w:p>
        </w:tc>
      </w:tr>
      <w:tr>
        <w:trPr>
          <w:trHeight w:val="1962" w:hRule="exact"/>
        </w:trPr>
        <w:tc>
          <w:tcPr>
            <w:tcW w:w="16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2" w:right="-18"/>
              <w:jc w:val="left"/>
              <w:rPr>
                <w:rFonts w:ascii="宋体" w:hAnsi="宋体" w:cs="宋体" w:eastAsia="宋体" w:hint="default"/>
                <w:sz w:val="18"/>
                <w:szCs w:val="18"/>
              </w:rPr>
            </w:pPr>
            <w:r>
              <w:rPr>
                <w:rFonts w:ascii="宋体" w:hAnsi="宋体" w:cs="宋体" w:eastAsia="宋体" w:hint="default"/>
                <w:sz w:val="18"/>
                <w:szCs w:val="18"/>
              </w:rPr>
              <w:t>未达到计划进度或 预计收益的情况和 原因（分具体项目）</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76"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both"/>
              <w:rPr>
                <w:rFonts w:ascii="宋体" w:hAnsi="宋体" w:cs="宋体" w:eastAsia="宋体" w:hint="default"/>
                <w:sz w:val="18"/>
                <w:szCs w:val="18"/>
              </w:rPr>
            </w:pPr>
            <w:r>
              <w:rPr>
                <w:rFonts w:ascii="宋体" w:hAnsi="宋体" w:cs="宋体" w:eastAsia="宋体" w:hint="default"/>
                <w:sz w:val="18"/>
                <w:szCs w:val="18"/>
              </w:rPr>
              <w:t>根据公司</w:t>
            </w:r>
            <w:r>
              <w:rPr>
                <w:rFonts w:ascii="宋体" w:hAnsi="宋体" w:cs="宋体" w:eastAsia="宋体" w:hint="default"/>
                <w:spacing w:val="-36"/>
                <w:sz w:val="18"/>
                <w:szCs w:val="18"/>
              </w:rPr>
              <w:t> </w:t>
            </w:r>
            <w:r>
              <w:rPr>
                <w:rFonts w:ascii="宋体" w:hAnsi="宋体" w:cs="宋体" w:eastAsia="宋体" w:hint="default"/>
                <w:sz w:val="18"/>
                <w:szCs w:val="18"/>
              </w:rPr>
              <w:t>2018</w:t>
            </w:r>
            <w:r>
              <w:rPr>
                <w:rFonts w:ascii="宋体" w:hAnsi="宋体" w:cs="宋体" w:eastAsia="宋体" w:hint="default"/>
                <w:spacing w:val="-37"/>
                <w:sz w:val="18"/>
                <w:szCs w:val="18"/>
              </w:rPr>
              <w:t> </w:t>
            </w:r>
            <w:r>
              <w:rPr>
                <w:rFonts w:ascii="宋体" w:hAnsi="宋体" w:cs="宋体" w:eastAsia="宋体" w:hint="default"/>
                <w:sz w:val="18"/>
                <w:szCs w:val="18"/>
              </w:rPr>
              <w:t>年</w:t>
            </w:r>
            <w:r>
              <w:rPr>
                <w:rFonts w:ascii="宋体" w:hAnsi="宋体" w:cs="宋体" w:eastAsia="宋体" w:hint="default"/>
                <w:spacing w:val="-36"/>
                <w:sz w:val="18"/>
                <w:szCs w:val="18"/>
              </w:rPr>
              <w:t> </w:t>
            </w:r>
            <w:r>
              <w:rPr>
                <w:rFonts w:ascii="宋体" w:hAnsi="宋体" w:cs="宋体" w:eastAsia="宋体" w:hint="default"/>
                <w:sz w:val="18"/>
                <w:szCs w:val="18"/>
              </w:rPr>
              <w:t>4</w:t>
            </w:r>
            <w:r>
              <w:rPr>
                <w:rFonts w:ascii="宋体" w:hAnsi="宋体" w:cs="宋体" w:eastAsia="宋体"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36"/>
                <w:sz w:val="18"/>
                <w:szCs w:val="18"/>
              </w:rPr>
              <w:t> </w:t>
            </w:r>
            <w:r>
              <w:rPr>
                <w:rFonts w:ascii="宋体" w:hAnsi="宋体" w:cs="宋体" w:eastAsia="宋体" w:hint="default"/>
                <w:sz w:val="18"/>
                <w:szCs w:val="18"/>
              </w:rPr>
              <w:t>19</w:t>
            </w:r>
            <w:r>
              <w:rPr>
                <w:rFonts w:ascii="宋体" w:hAnsi="宋体" w:cs="宋体" w:eastAsia="宋体" w:hint="default"/>
                <w:spacing w:val="-36"/>
                <w:sz w:val="18"/>
                <w:szCs w:val="18"/>
              </w:rPr>
              <w:t> </w:t>
            </w:r>
            <w:r>
              <w:rPr>
                <w:rFonts w:ascii="宋体" w:hAnsi="宋体" w:cs="宋体" w:eastAsia="宋体" w:hint="default"/>
                <w:sz w:val="18"/>
                <w:szCs w:val="18"/>
              </w:rPr>
              <w:t>日召开的第二届董事会第十九次会议审议并通过的决议，研发中心项目</w:t>
            </w:r>
          </w:p>
          <w:p>
            <w:pPr>
              <w:pStyle w:val="TableParagraph"/>
              <w:spacing w:line="316" w:lineRule="auto" w:before="75"/>
              <w:ind w:left="23" w:right="15"/>
              <w:jc w:val="both"/>
              <w:rPr>
                <w:rFonts w:ascii="宋体" w:hAnsi="宋体" w:cs="宋体" w:eastAsia="宋体" w:hint="default"/>
                <w:sz w:val="18"/>
                <w:szCs w:val="18"/>
              </w:rPr>
            </w:pPr>
            <w:r>
              <w:rPr>
                <w:rFonts w:ascii="宋体" w:hAnsi="宋体" w:cs="宋体" w:eastAsia="宋体" w:hint="default"/>
                <w:sz w:val="18"/>
                <w:szCs w:val="18"/>
              </w:rPr>
              <w:t>的建设完成时间延长至</w:t>
            </w:r>
            <w:r>
              <w:rPr>
                <w:rFonts w:ascii="宋体" w:hAnsi="宋体" w:cs="宋体" w:eastAsia="宋体" w:hint="default"/>
                <w:spacing w:val="-41"/>
                <w:sz w:val="18"/>
                <w:szCs w:val="18"/>
              </w:rPr>
              <w:t> </w:t>
            </w:r>
            <w:r>
              <w:rPr>
                <w:rFonts w:ascii="宋体" w:hAnsi="宋体" w:cs="宋体" w:eastAsia="宋体" w:hint="default"/>
                <w:sz w:val="18"/>
                <w:szCs w:val="18"/>
              </w:rPr>
              <w:t>2019</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宋体" w:hAnsi="宋体" w:cs="宋体" w:eastAsia="宋体" w:hint="default"/>
                <w:sz w:val="18"/>
                <w:szCs w:val="18"/>
              </w:rPr>
              <w:t>4</w:t>
            </w:r>
            <w:r>
              <w:rPr>
                <w:rFonts w:ascii="宋体" w:hAnsi="宋体" w:cs="宋体" w:eastAsia="宋体" w:hint="default"/>
                <w:spacing w:val="-41"/>
                <w:sz w:val="18"/>
                <w:szCs w:val="18"/>
              </w:rPr>
              <w:t>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宋体" w:hAnsi="宋体" w:cs="宋体" w:eastAsia="宋体" w:hint="default"/>
                <w:sz w:val="18"/>
                <w:szCs w:val="18"/>
              </w:rPr>
              <w:t>21</w:t>
            </w:r>
            <w:r>
              <w:rPr>
                <w:rFonts w:ascii="宋体" w:hAnsi="宋体" w:cs="宋体" w:eastAsia="宋体" w:hint="default"/>
                <w:spacing w:val="-41"/>
                <w:sz w:val="18"/>
                <w:szCs w:val="18"/>
              </w:rPr>
              <w:t> </w:t>
            </w:r>
            <w:r>
              <w:rPr>
                <w:rFonts w:ascii="宋体" w:hAnsi="宋体" w:cs="宋体" w:eastAsia="宋体" w:hint="default"/>
                <w:sz w:val="18"/>
                <w:szCs w:val="18"/>
              </w:rPr>
              <w:t>日。根据公司</w:t>
            </w:r>
            <w:r>
              <w:rPr>
                <w:rFonts w:ascii="宋体" w:hAnsi="宋体" w:cs="宋体" w:eastAsia="宋体" w:hint="default"/>
                <w:spacing w:val="-41"/>
                <w:sz w:val="18"/>
                <w:szCs w:val="18"/>
              </w:rPr>
              <w:t> </w:t>
            </w:r>
            <w:r>
              <w:rPr>
                <w:rFonts w:ascii="宋体" w:hAnsi="宋体" w:cs="宋体" w:eastAsia="宋体" w:hint="default"/>
                <w:sz w:val="18"/>
                <w:szCs w:val="18"/>
              </w:rPr>
              <w:t>2019</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宋体" w:hAnsi="宋体" w:cs="宋体" w:eastAsia="宋体" w:hint="default"/>
                <w:sz w:val="18"/>
                <w:szCs w:val="18"/>
              </w:rPr>
              <w:t>3</w:t>
            </w:r>
            <w:r>
              <w:rPr>
                <w:rFonts w:ascii="宋体" w:hAnsi="宋体" w:cs="宋体" w:eastAsia="宋体" w:hint="default"/>
                <w:spacing w:val="-41"/>
                <w:sz w:val="18"/>
                <w:szCs w:val="18"/>
              </w:rPr>
              <w:t>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宋体" w:hAnsi="宋体" w:cs="宋体" w:eastAsia="宋体" w:hint="default"/>
                <w:sz w:val="18"/>
                <w:szCs w:val="18"/>
              </w:rPr>
              <w:t>27</w:t>
            </w:r>
            <w:r>
              <w:rPr>
                <w:rFonts w:ascii="宋体" w:hAnsi="宋体" w:cs="宋体" w:eastAsia="宋体" w:hint="default"/>
                <w:spacing w:val="-41"/>
                <w:sz w:val="18"/>
                <w:szCs w:val="18"/>
              </w:rPr>
              <w:t> </w:t>
            </w:r>
            <w:r>
              <w:rPr>
                <w:rFonts w:ascii="宋体" w:hAnsi="宋体" w:cs="宋体" w:eastAsia="宋体" w:hint="default"/>
                <w:sz w:val="18"/>
                <w:szCs w:val="18"/>
              </w:rPr>
              <w:t>日召开的第三届董事会第二 次会议审议并通过的决议，营销服务网络建设和升级项目和研发中心项目募集资金已使用完毕，</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pacing w:val="6"/>
                <w:sz w:val="18"/>
                <w:szCs w:val="18"/>
              </w:rPr>
              <w:t>公司拟将项目结项并注销相应募集资金专户。智慧易通项目原项目达到预定可使用状态日期为</w:t>
            </w:r>
            <w:r>
              <w:rPr>
                <w:rFonts w:ascii="宋体" w:hAnsi="宋体" w:cs="宋体" w:eastAsia="宋体" w:hint="default"/>
                <w:spacing w:val="6"/>
                <w:sz w:val="18"/>
                <w:szCs w:val="18"/>
              </w:rPr>
              <w:t> </w:t>
            </w: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4</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21</w:t>
            </w:r>
            <w:r>
              <w:rPr>
                <w:rFonts w:ascii="宋体" w:hAnsi="宋体" w:cs="宋体" w:eastAsia="宋体" w:hint="default"/>
                <w:spacing w:val="-44"/>
                <w:sz w:val="18"/>
                <w:szCs w:val="18"/>
              </w:rPr>
              <w:t> </w:t>
            </w:r>
            <w:r>
              <w:rPr>
                <w:rFonts w:ascii="宋体" w:hAnsi="宋体" w:cs="宋体" w:eastAsia="宋体" w:hint="default"/>
                <w:spacing w:val="-4"/>
                <w:sz w:val="18"/>
                <w:szCs w:val="18"/>
              </w:rPr>
              <w:t>日，由于智慧易通项目体系结构需要调整，根据公司</w:t>
            </w:r>
            <w:r>
              <w:rPr>
                <w:rFonts w:ascii="宋体" w:hAnsi="宋体" w:cs="宋体" w:eastAsia="宋体" w:hint="default"/>
                <w:spacing w:val="-45"/>
                <w:sz w:val="18"/>
                <w:szCs w:val="18"/>
              </w:rPr>
              <w:t> </w:t>
            </w: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27</w:t>
            </w:r>
            <w:r>
              <w:rPr>
                <w:rFonts w:ascii="宋体" w:hAnsi="宋体" w:cs="宋体" w:eastAsia="宋体" w:hint="default"/>
                <w:spacing w:val="-45"/>
                <w:sz w:val="18"/>
                <w:szCs w:val="18"/>
              </w:rPr>
              <w:t> </w:t>
            </w:r>
            <w:r>
              <w:rPr>
                <w:rFonts w:ascii="宋体" w:hAnsi="宋体" w:cs="宋体" w:eastAsia="宋体" w:hint="default"/>
                <w:sz w:val="18"/>
                <w:szCs w:val="18"/>
              </w:rPr>
              <w:t>日召开的第三</w:t>
            </w:r>
          </w:p>
          <w:p>
            <w:pPr>
              <w:pStyle w:val="TableParagraph"/>
              <w:spacing w:line="240" w:lineRule="auto" w:before="20"/>
              <w:ind w:left="23" w:right="0"/>
              <w:jc w:val="both"/>
              <w:rPr>
                <w:rFonts w:ascii="宋体" w:hAnsi="宋体" w:cs="宋体" w:eastAsia="宋体" w:hint="default"/>
                <w:sz w:val="18"/>
                <w:szCs w:val="18"/>
              </w:rPr>
            </w:pPr>
            <w:r>
              <w:rPr>
                <w:rFonts w:ascii="宋体" w:hAnsi="宋体" w:cs="宋体" w:eastAsia="宋体" w:hint="default"/>
                <w:sz w:val="18"/>
                <w:szCs w:val="18"/>
              </w:rPr>
              <w:t>届第二次董事会审议并通过的决议，智慧易通项目的建设完成时间延长至</w:t>
            </w:r>
            <w:r>
              <w:rPr>
                <w:rFonts w:ascii="宋体" w:hAnsi="宋体" w:cs="宋体" w:eastAsia="宋体" w:hint="default"/>
                <w:spacing w:val="-46"/>
                <w:sz w:val="18"/>
                <w:szCs w:val="18"/>
              </w:rPr>
              <w:t> </w:t>
            </w:r>
            <w:r>
              <w:rPr>
                <w:rFonts w:ascii="宋体" w:hAnsi="宋体" w:cs="宋体" w:eastAsia="宋体" w:hint="default"/>
                <w:sz w:val="18"/>
                <w:szCs w:val="18"/>
              </w:rPr>
              <w:t>2020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21</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715" w:hRule="exact"/>
        </w:trPr>
        <w:tc>
          <w:tcPr>
            <w:tcW w:w="16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61"/>
              <w:jc w:val="left"/>
              <w:rPr>
                <w:rFonts w:ascii="宋体" w:hAnsi="宋体" w:cs="宋体" w:eastAsia="宋体" w:hint="default"/>
                <w:sz w:val="18"/>
                <w:szCs w:val="18"/>
              </w:rPr>
            </w:pPr>
            <w:r>
              <w:rPr>
                <w:rFonts w:ascii="宋体" w:hAnsi="宋体" w:cs="宋体" w:eastAsia="宋体" w:hint="default"/>
                <w:sz w:val="18"/>
                <w:szCs w:val="18"/>
              </w:rPr>
              <w:t>项目可行性发生重 大变化的情况说明</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76"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35"/>
        <w:gridCol w:w="721"/>
        <w:gridCol w:w="7676"/>
      </w:tblGrid>
      <w:tr>
        <w:trPr>
          <w:trHeight w:val="402"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22" w:right="22"/>
              <w:jc w:val="left"/>
              <w:rPr>
                <w:rFonts w:ascii="宋体" w:hAnsi="宋体" w:cs="宋体" w:eastAsia="宋体" w:hint="default"/>
                <w:sz w:val="18"/>
                <w:szCs w:val="18"/>
              </w:rPr>
            </w:pPr>
            <w:r>
              <w:rPr>
                <w:rFonts w:ascii="宋体" w:hAnsi="宋体" w:cs="宋体" w:eastAsia="宋体" w:hint="default"/>
                <w:spacing w:val="-5"/>
                <w:sz w:val="18"/>
                <w:szCs w:val="18"/>
              </w:rPr>
              <w:t>超募资金的金额、用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途及使用进展情况</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2"/>
                <w:szCs w:val="22"/>
              </w:rPr>
            </w:pPr>
          </w:p>
          <w:p>
            <w:pPr>
              <w:pStyle w:val="TableParagraph"/>
              <w:spacing w:line="319" w:lineRule="auto"/>
              <w:ind w:left="22" w:right="160"/>
              <w:jc w:val="left"/>
              <w:rPr>
                <w:rFonts w:ascii="宋体" w:hAnsi="宋体" w:cs="宋体" w:eastAsia="宋体" w:hint="default"/>
                <w:sz w:val="18"/>
                <w:szCs w:val="18"/>
              </w:rPr>
            </w:pPr>
            <w:r>
              <w:rPr>
                <w:rFonts w:ascii="宋体" w:hAnsi="宋体" w:cs="宋体" w:eastAsia="宋体" w:hint="default"/>
                <w:sz w:val="18"/>
                <w:szCs w:val="18"/>
              </w:rPr>
              <w:t>募集资金投资项目 实施地点变更情况</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635" w:type="dxa"/>
            <w:vMerge/>
            <w:tcBorders>
              <w:left w:val="single" w:sz="4" w:space="0" w:color="000000"/>
              <w:right w:val="single" w:sz="4" w:space="0" w:color="000000"/>
            </w:tcBorders>
            <w:shd w:val="clear" w:color="auto" w:fill="D2D2D2"/>
          </w:tcPr>
          <w:p>
            <w:pP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2"/>
                <w:szCs w:val="22"/>
              </w:rPr>
            </w:pPr>
          </w:p>
          <w:p>
            <w:pPr>
              <w:pStyle w:val="TableParagraph"/>
              <w:spacing w:line="319" w:lineRule="auto"/>
              <w:ind w:left="22" w:right="160"/>
              <w:jc w:val="left"/>
              <w:rPr>
                <w:rFonts w:ascii="宋体" w:hAnsi="宋体" w:cs="宋体" w:eastAsia="宋体" w:hint="default"/>
                <w:sz w:val="18"/>
                <w:szCs w:val="18"/>
              </w:rPr>
            </w:pPr>
            <w:r>
              <w:rPr>
                <w:rFonts w:ascii="宋体" w:hAnsi="宋体" w:cs="宋体" w:eastAsia="宋体" w:hint="default"/>
                <w:sz w:val="18"/>
                <w:szCs w:val="18"/>
              </w:rPr>
              <w:t>募集资金投资项目 实施方式调整情况</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635" w:type="dxa"/>
            <w:vMerge/>
            <w:tcBorders>
              <w:left w:val="single" w:sz="4" w:space="0" w:color="000000"/>
              <w:right w:val="single" w:sz="4" w:space="0" w:color="000000"/>
            </w:tcBorders>
            <w:shd w:val="clear" w:color="auto" w:fill="D2D2D2"/>
          </w:tcPr>
          <w:p>
            <w:pP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35" w:type="dxa"/>
            <w:vMerge/>
            <w:tcBorders>
              <w:left w:val="single" w:sz="4" w:space="0" w:color="000000"/>
              <w:bottom w:val="single" w:sz="4" w:space="0" w:color="FFFFFF"/>
              <w:right w:val="single" w:sz="4" w:space="0" w:color="000000"/>
            </w:tcBorders>
            <w:shd w:val="clear" w:color="auto" w:fill="D2D2D2"/>
          </w:tcPr>
          <w:p>
            <w:pPr/>
          </w:p>
        </w:tc>
        <w:tc>
          <w:tcPr>
            <w:tcW w:w="72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76" w:type="dxa"/>
            <w:tcBorders>
              <w:top w:val="single" w:sz="4" w:space="0" w:color="000000"/>
              <w:left w:val="single" w:sz="4" w:space="0" w:color="000000"/>
              <w:bottom w:val="single" w:sz="4" w:space="0" w:color="FFFFFF"/>
              <w:right w:val="single" w:sz="4" w:space="0" w:color="000000"/>
            </w:tcBorders>
          </w:tcPr>
          <w:p>
            <w:pPr/>
          </w:p>
        </w:tc>
      </w:tr>
      <w:tr>
        <w:trPr>
          <w:trHeight w:val="402" w:hRule="exact"/>
        </w:trPr>
        <w:tc>
          <w:tcPr>
            <w:tcW w:w="1635"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7"/>
              <w:ind w:left="22" w:right="160"/>
              <w:jc w:val="both"/>
              <w:rPr>
                <w:rFonts w:ascii="宋体" w:hAnsi="宋体" w:cs="宋体" w:eastAsia="宋体" w:hint="default"/>
                <w:sz w:val="18"/>
                <w:szCs w:val="18"/>
              </w:rPr>
            </w:pPr>
            <w:r>
              <w:rPr>
                <w:rFonts w:ascii="宋体" w:hAnsi="宋体" w:cs="宋体" w:eastAsia="宋体" w:hint="default"/>
                <w:sz w:val="18"/>
                <w:szCs w:val="18"/>
              </w:rPr>
              <w:t>募集资金投资项目 先期投入及置换情 况</w:t>
            </w:r>
          </w:p>
        </w:tc>
        <w:tc>
          <w:tcPr>
            <w:tcW w:w="721" w:type="dxa"/>
            <w:tcBorders>
              <w:top w:val="single" w:sz="4" w:space="0" w:color="FFFFFF"/>
              <w:left w:val="single" w:sz="4" w:space="0" w:color="000000"/>
              <w:bottom w:val="single" w:sz="4" w:space="0" w:color="000000"/>
              <w:right w:val="single" w:sz="4" w:space="0" w:color="000000"/>
            </w:tcBorders>
            <w:shd w:val="clear" w:color="auto" w:fill="D2D2D2"/>
          </w:tcPr>
          <w:p>
            <w:pPr/>
          </w:p>
        </w:tc>
        <w:tc>
          <w:tcPr>
            <w:tcW w:w="7676"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714"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根据</w:t>
            </w:r>
            <w:r>
              <w:rPr>
                <w:rFonts w:ascii="宋体" w:hAnsi="宋体" w:cs="宋体" w:eastAsia="宋体" w:hint="default"/>
                <w:spacing w:val="-46"/>
                <w:sz w:val="18"/>
                <w:szCs w:val="18"/>
              </w:rPr>
              <w:t> </w:t>
            </w: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28</w:t>
            </w:r>
            <w:r>
              <w:rPr>
                <w:rFonts w:ascii="宋体" w:hAnsi="宋体" w:cs="宋体" w:eastAsia="宋体" w:hint="default"/>
                <w:spacing w:val="-46"/>
                <w:sz w:val="18"/>
                <w:szCs w:val="18"/>
              </w:rPr>
              <w:t> </w:t>
            </w:r>
            <w:r>
              <w:rPr>
                <w:rFonts w:ascii="宋体" w:hAnsi="宋体" w:cs="宋体" w:eastAsia="宋体" w:hint="default"/>
                <w:sz w:val="18"/>
                <w:szCs w:val="18"/>
              </w:rPr>
              <w:t>日第二届董事会第十二次会议审议并通过的决议，公司使用募集资金置换预</w:t>
            </w:r>
          </w:p>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先投入募投项目的自筹资金</w:t>
            </w:r>
            <w:r>
              <w:rPr>
                <w:rFonts w:ascii="宋体" w:hAnsi="宋体" w:cs="宋体" w:eastAsia="宋体" w:hint="default"/>
                <w:spacing w:val="-46"/>
                <w:sz w:val="18"/>
                <w:szCs w:val="18"/>
              </w:rPr>
              <w:t> </w:t>
            </w:r>
            <w:r>
              <w:rPr>
                <w:rFonts w:ascii="宋体" w:hAnsi="宋体" w:cs="宋体" w:eastAsia="宋体" w:hint="default"/>
                <w:sz w:val="18"/>
                <w:szCs w:val="18"/>
              </w:rPr>
              <w:t>40,372,716.84</w:t>
            </w:r>
            <w:r>
              <w:rPr>
                <w:rFonts w:ascii="宋体" w:hAnsi="宋体" w:cs="宋体" w:eastAsia="宋体" w:hint="default"/>
                <w:spacing w:val="-46"/>
                <w:sz w:val="18"/>
                <w:szCs w:val="18"/>
              </w:rPr>
              <w:t> </w:t>
            </w:r>
            <w:r>
              <w:rPr>
                <w:rFonts w:ascii="宋体" w:hAnsi="宋体" w:cs="宋体" w:eastAsia="宋体" w:hint="default"/>
                <w:sz w:val="18"/>
                <w:szCs w:val="18"/>
              </w:rPr>
              <w:t>元。</w:t>
            </w:r>
          </w:p>
        </w:tc>
      </w:tr>
      <w:tr>
        <w:trPr>
          <w:trHeight w:val="402"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316" w:lineRule="auto"/>
              <w:ind w:left="22" w:right="160"/>
              <w:jc w:val="both"/>
              <w:rPr>
                <w:rFonts w:ascii="宋体" w:hAnsi="宋体" w:cs="宋体" w:eastAsia="宋体" w:hint="default"/>
                <w:sz w:val="18"/>
                <w:szCs w:val="18"/>
              </w:rPr>
            </w:pPr>
            <w:r>
              <w:rPr>
                <w:rFonts w:ascii="宋体" w:hAnsi="宋体" w:cs="宋体" w:eastAsia="宋体" w:hint="default"/>
                <w:sz w:val="18"/>
                <w:szCs w:val="18"/>
              </w:rPr>
              <w:t>用闲置募集资金暂 时补充流动资金情 况</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650"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根据</w:t>
            </w:r>
            <w:r>
              <w:rPr>
                <w:rFonts w:ascii="宋体" w:hAnsi="宋体" w:cs="宋体" w:eastAsia="宋体" w:hint="default"/>
                <w:spacing w:val="-51"/>
                <w:sz w:val="18"/>
                <w:szCs w:val="18"/>
              </w:rPr>
              <w:t> </w:t>
            </w:r>
            <w:r>
              <w:rPr>
                <w:rFonts w:ascii="宋体" w:hAnsi="宋体" w:cs="宋体" w:eastAsia="宋体" w:hint="default"/>
                <w:sz w:val="18"/>
                <w:szCs w:val="18"/>
              </w:rPr>
              <w:t>2017</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宋体" w:hAnsi="宋体" w:cs="宋体" w:eastAsia="宋体" w:hint="default"/>
                <w:sz w:val="18"/>
                <w:szCs w:val="18"/>
              </w:rPr>
              <w:t>10</w:t>
            </w:r>
            <w:r>
              <w:rPr>
                <w:rFonts w:ascii="宋体" w:hAnsi="宋体" w:cs="宋体" w:eastAsia="宋体" w:hint="default"/>
                <w:spacing w:val="-51"/>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宋体" w:hAnsi="宋体" w:cs="宋体" w:eastAsia="宋体" w:hint="default"/>
                <w:sz w:val="18"/>
                <w:szCs w:val="18"/>
              </w:rPr>
              <w:t>27</w:t>
            </w:r>
            <w:r>
              <w:rPr>
                <w:rFonts w:ascii="宋体" w:hAnsi="宋体" w:cs="宋体" w:eastAsia="宋体" w:hint="default"/>
                <w:spacing w:val="-51"/>
                <w:sz w:val="18"/>
                <w:szCs w:val="18"/>
              </w:rPr>
              <w:t> </w:t>
            </w:r>
            <w:r>
              <w:rPr>
                <w:rFonts w:ascii="宋体" w:hAnsi="宋体" w:cs="宋体" w:eastAsia="宋体" w:hint="default"/>
                <w:sz w:val="18"/>
                <w:szCs w:val="18"/>
              </w:rPr>
              <w:t>日第二届董事会第十六次会议审议并通过的决议，同意公司在不影响募集资</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金使用的情况下根据募集资金的使用进度，使用部分闲置募集资金不超过人民币 </w:t>
            </w:r>
            <w:r>
              <w:rPr>
                <w:rFonts w:ascii="宋体" w:hAnsi="宋体" w:cs="宋体" w:eastAsia="宋体" w:hint="default"/>
                <w:sz w:val="18"/>
                <w:szCs w:val="18"/>
              </w:rPr>
              <w:t>5,000</w:t>
            </w:r>
            <w:r>
              <w:rPr>
                <w:rFonts w:ascii="宋体" w:hAnsi="宋体" w:cs="宋体" w:eastAsia="宋体" w:hint="default"/>
                <w:spacing w:val="-31"/>
                <w:sz w:val="18"/>
                <w:szCs w:val="18"/>
              </w:rPr>
              <w:t> </w:t>
            </w:r>
            <w:r>
              <w:rPr>
                <w:rFonts w:ascii="宋体" w:hAnsi="宋体" w:cs="宋体" w:eastAsia="宋体" w:hint="default"/>
                <w:sz w:val="18"/>
                <w:szCs w:val="18"/>
              </w:rPr>
              <w:t>万元（含</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人民币 </w:t>
            </w:r>
            <w:r>
              <w:rPr>
                <w:rFonts w:ascii="宋体" w:hAnsi="宋体" w:cs="宋体" w:eastAsia="宋体" w:hint="default"/>
                <w:sz w:val="18"/>
                <w:szCs w:val="18"/>
              </w:rPr>
              <w:t>5,000 </w:t>
            </w:r>
            <w:r>
              <w:rPr>
                <w:rFonts w:ascii="宋体" w:hAnsi="宋体" w:cs="宋体" w:eastAsia="宋体" w:hint="default"/>
                <w:sz w:val="18"/>
                <w:szCs w:val="18"/>
              </w:rPr>
              <w:t>万元）暂时补充流动资金，</w:t>
            </w:r>
            <w:r>
              <w:rPr>
                <w:rFonts w:ascii="宋体" w:hAnsi="宋体" w:cs="宋体" w:eastAsia="宋体" w:hint="default"/>
                <w:sz w:val="18"/>
                <w:szCs w:val="18"/>
              </w:rPr>
              <w:t>2017 </w:t>
            </w:r>
            <w:r>
              <w:rPr>
                <w:rFonts w:ascii="宋体" w:hAnsi="宋体" w:cs="宋体" w:eastAsia="宋体" w:hint="default"/>
                <w:sz w:val="18"/>
                <w:szCs w:val="18"/>
              </w:rPr>
              <w:t>年使用闲置募集资金暂时补充流动资金</w:t>
            </w:r>
            <w:r>
              <w:rPr>
                <w:rFonts w:ascii="宋体" w:hAnsi="宋体" w:cs="宋体" w:eastAsia="宋体" w:hint="default"/>
                <w:spacing w:val="-32"/>
                <w:sz w:val="18"/>
                <w:szCs w:val="18"/>
              </w:rPr>
              <w:t> </w:t>
            </w:r>
            <w:r>
              <w:rPr>
                <w:rFonts w:ascii="宋体" w:hAnsi="宋体" w:cs="宋体" w:eastAsia="宋体" w:hint="default"/>
                <w:sz w:val="18"/>
                <w:szCs w:val="18"/>
              </w:rPr>
              <w:t>4,373.91</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万元。使用期限自董事会审议批准议案之日起不超过</w:t>
            </w:r>
            <w:r>
              <w:rPr>
                <w:rFonts w:ascii="宋体" w:hAnsi="宋体" w:cs="宋体" w:eastAsia="宋体" w:hint="default"/>
                <w:spacing w:val="-63"/>
                <w:sz w:val="18"/>
                <w:szCs w:val="18"/>
              </w:rPr>
              <w:t> </w:t>
            </w:r>
            <w:r>
              <w:rPr>
                <w:rFonts w:ascii="宋体" w:hAnsi="宋体" w:cs="宋体" w:eastAsia="宋体" w:hint="default"/>
                <w:sz w:val="18"/>
                <w:szCs w:val="18"/>
              </w:rPr>
              <w:t>12</w:t>
            </w:r>
            <w:r>
              <w:rPr>
                <w:rFonts w:ascii="宋体" w:hAnsi="宋体" w:cs="宋体" w:eastAsia="宋体" w:hint="default"/>
                <w:spacing w:val="-62"/>
                <w:sz w:val="18"/>
                <w:szCs w:val="18"/>
              </w:rPr>
              <w:t> </w:t>
            </w:r>
            <w:r>
              <w:rPr>
                <w:rFonts w:ascii="宋体" w:hAnsi="宋体" w:cs="宋体" w:eastAsia="宋体" w:hint="default"/>
                <w:sz w:val="18"/>
                <w:szCs w:val="18"/>
              </w:rPr>
              <w:t>个月，到期归还至募集资金专项账户。截</w:t>
            </w:r>
          </w:p>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月，公司已全部偿还至募集资金专项账户。</w:t>
            </w:r>
          </w:p>
        </w:tc>
      </w:tr>
      <w:tr>
        <w:trPr>
          <w:trHeight w:val="402"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2" w:right="160"/>
              <w:jc w:val="both"/>
              <w:rPr>
                <w:rFonts w:ascii="宋体" w:hAnsi="宋体" w:cs="宋体" w:eastAsia="宋体" w:hint="default"/>
                <w:sz w:val="18"/>
                <w:szCs w:val="18"/>
              </w:rPr>
            </w:pPr>
            <w:r>
              <w:rPr>
                <w:rFonts w:ascii="宋体" w:hAnsi="宋体" w:cs="宋体" w:eastAsia="宋体" w:hint="default"/>
                <w:sz w:val="18"/>
                <w:szCs w:val="18"/>
              </w:rPr>
              <w:t>项目实施出现募集 资金结余的金额及 原因</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24"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76" w:type="dxa"/>
            <w:tcBorders>
              <w:top w:val="single" w:sz="4" w:space="0" w:color="000000"/>
              <w:left w:val="single" w:sz="4" w:space="0" w:color="000000"/>
              <w:bottom w:val="single" w:sz="4" w:space="0" w:color="000000"/>
              <w:right w:val="single" w:sz="4" w:space="0" w:color="000000"/>
            </w:tcBorders>
          </w:tcPr>
          <w:p>
            <w:pPr/>
          </w:p>
        </w:tc>
      </w:tr>
      <w:tr>
        <w:trPr>
          <w:trHeight w:val="106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316" w:lineRule="auto"/>
              <w:ind w:left="22" w:right="160"/>
              <w:jc w:val="left"/>
              <w:rPr>
                <w:rFonts w:ascii="宋体" w:hAnsi="宋体" w:cs="宋体" w:eastAsia="宋体" w:hint="default"/>
                <w:sz w:val="18"/>
                <w:szCs w:val="18"/>
              </w:rPr>
            </w:pPr>
            <w:r>
              <w:rPr>
                <w:rFonts w:ascii="宋体" w:hAnsi="宋体" w:cs="宋体" w:eastAsia="宋体" w:hint="default"/>
                <w:sz w:val="18"/>
                <w:szCs w:val="18"/>
              </w:rPr>
              <w:t>尚未使用的募集资 金用途及去向</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76"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51"/>
              <w:ind w:left="23" w:right="20"/>
              <w:jc w:val="left"/>
              <w:rPr>
                <w:rFonts w:ascii="宋体" w:hAnsi="宋体" w:cs="宋体" w:eastAsia="宋体" w:hint="default"/>
                <w:sz w:val="18"/>
                <w:szCs w:val="18"/>
              </w:rPr>
            </w:pPr>
            <w:r>
              <w:rPr>
                <w:rFonts w:ascii="宋体" w:hAnsi="宋体" w:cs="宋体" w:eastAsia="宋体" w:hint="default"/>
                <w:sz w:val="18"/>
                <w:szCs w:val="18"/>
              </w:rPr>
              <w:t>用途：尚未使用的募集资金余额为</w:t>
            </w:r>
            <w:r>
              <w:rPr>
                <w:rFonts w:ascii="宋体" w:hAnsi="宋体" w:cs="宋体" w:eastAsia="宋体" w:hint="default"/>
                <w:spacing w:val="-46"/>
                <w:sz w:val="18"/>
                <w:szCs w:val="18"/>
              </w:rPr>
              <w:t> </w:t>
            </w:r>
            <w:r>
              <w:rPr>
                <w:rFonts w:ascii="宋体" w:hAnsi="宋体" w:cs="宋体" w:eastAsia="宋体" w:hint="default"/>
                <w:sz w:val="18"/>
                <w:szCs w:val="18"/>
              </w:rPr>
              <w:t>4,061.66</w:t>
            </w:r>
            <w:r>
              <w:rPr>
                <w:rFonts w:ascii="宋体" w:hAnsi="宋体" w:cs="宋体" w:eastAsia="宋体" w:hint="default"/>
                <w:spacing w:val="-46"/>
                <w:sz w:val="18"/>
                <w:szCs w:val="18"/>
              </w:rPr>
              <w:t> </w:t>
            </w:r>
            <w:r>
              <w:rPr>
                <w:rFonts w:ascii="宋体" w:hAnsi="宋体" w:cs="宋体" w:eastAsia="宋体" w:hint="default"/>
                <w:sz w:val="18"/>
                <w:szCs w:val="18"/>
              </w:rPr>
              <w:t>万元，将按计划投入募集资金项目。 去向：剩余募集资金</w:t>
            </w:r>
            <w:r>
              <w:rPr>
                <w:rFonts w:ascii="宋体" w:hAnsi="宋体" w:cs="宋体" w:eastAsia="宋体" w:hint="default"/>
                <w:spacing w:val="-41"/>
                <w:sz w:val="18"/>
                <w:szCs w:val="18"/>
              </w:rPr>
              <w:t> </w:t>
            </w:r>
            <w:r>
              <w:rPr>
                <w:rFonts w:ascii="宋体" w:hAnsi="宋体" w:cs="宋体" w:eastAsia="宋体" w:hint="default"/>
                <w:sz w:val="18"/>
                <w:szCs w:val="18"/>
              </w:rPr>
              <w:t>61.66</w:t>
            </w:r>
            <w:r>
              <w:rPr>
                <w:rFonts w:ascii="宋体" w:hAnsi="宋体" w:cs="宋体" w:eastAsia="宋体" w:hint="default"/>
                <w:spacing w:val="-40"/>
                <w:sz w:val="18"/>
                <w:szCs w:val="18"/>
              </w:rPr>
              <w:t> </w:t>
            </w:r>
            <w:r>
              <w:rPr>
                <w:rFonts w:ascii="宋体" w:hAnsi="宋体" w:cs="宋体" w:eastAsia="宋体" w:hint="default"/>
                <w:sz w:val="18"/>
                <w:szCs w:val="18"/>
              </w:rPr>
              <w:t>万元存放于募集资金存款专户。</w:t>
            </w:r>
            <w:r>
              <w:rPr>
                <w:rFonts w:ascii="宋体" w:hAnsi="宋体" w:cs="宋体" w:eastAsia="宋体" w:hint="default"/>
                <w:sz w:val="18"/>
                <w:szCs w:val="18"/>
              </w:rPr>
              <w:t>4,000.00</w:t>
            </w:r>
            <w:r>
              <w:rPr>
                <w:rFonts w:ascii="宋体" w:hAnsi="宋体" w:cs="宋体" w:eastAsia="宋体" w:hint="default"/>
                <w:spacing w:val="-41"/>
                <w:sz w:val="18"/>
                <w:szCs w:val="18"/>
              </w:rPr>
              <w:t> </w:t>
            </w:r>
            <w:r>
              <w:rPr>
                <w:rFonts w:ascii="宋体" w:hAnsi="宋体" w:cs="宋体" w:eastAsia="宋体" w:hint="default"/>
                <w:sz w:val="18"/>
                <w:szCs w:val="18"/>
              </w:rPr>
              <w:t>万元用于暂时购买银行理财 产品。</w:t>
            </w:r>
          </w:p>
        </w:tc>
      </w:tr>
      <w:tr>
        <w:trPr>
          <w:trHeight w:val="1027"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60"/>
              <w:jc w:val="both"/>
              <w:rPr>
                <w:rFonts w:ascii="宋体" w:hAnsi="宋体" w:cs="宋体" w:eastAsia="宋体" w:hint="default"/>
                <w:sz w:val="18"/>
                <w:szCs w:val="18"/>
              </w:rPr>
            </w:pPr>
            <w:r>
              <w:rPr>
                <w:rFonts w:ascii="宋体" w:hAnsi="宋体" w:cs="宋体" w:eastAsia="宋体" w:hint="default"/>
                <w:sz w:val="18"/>
                <w:szCs w:val="18"/>
              </w:rPr>
              <w:t>募集资金使用及披 露中存在的问题或 其他情况</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bookmarkStart w:name="（3）募集资金变更项目情况" w:id="51"/>
      <w:bookmarkEnd w:id="5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）募集资金变更项目情况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line="338" w:lineRule="auto" w:before="0"/>
        <w:ind w:left="154" w:right="733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公司报告期不存在募集资金变更项目情况。</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六、重大资产和股权出售" w:id="52"/>
      <w:bookmarkEnd w:id="52"/>
      <w:r>
        <w:rPr>
          <w:b w:val="0"/>
          <w:bCs w:val="0"/>
        </w:rPr>
      </w:r>
      <w:r>
        <w:rPr/>
        <w:t>六、重大资产和股权出售</w:t>
      </w:r>
      <w:r>
        <w:rPr>
          <w:b w:val="0"/>
          <w:bCs w:val="0"/>
        </w:rPr>
      </w:r>
    </w:p>
    <w:p>
      <w:pPr>
        <w:spacing w:line="240" w:lineRule="auto" w:before="9"/>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bookmarkStart w:name="1、出售重大资产情况" w:id="53"/>
      <w:bookmarkEnd w:id="53"/>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、出售重大资产情况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line="340" w:lineRule="auto" w:before="0"/>
        <w:ind w:left="154" w:right="84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公司报告期未出售重大资产。</w:t>
      </w:r>
    </w:p>
    <w:p>
      <w:pPr>
        <w:spacing w:after="0" w:line="3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spacing w:before="35"/>
        <w:ind w:left="154" w:right="0" w:firstLine="0"/>
        <w:jc w:val="left"/>
        <w:rPr>
          <w:rFonts w:ascii="宋体" w:hAnsi="宋体" w:cs="宋体" w:eastAsia="宋体" w:hint="default"/>
          <w:sz w:val="21"/>
          <w:szCs w:val="21"/>
        </w:rPr>
      </w:pPr>
      <w:bookmarkStart w:name="2、出售重大股权情况" w:id="54"/>
      <w:bookmarkEnd w:id="54"/>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、出售重大股权情况</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七、主要控股参股公司分析" w:id="55"/>
      <w:bookmarkEnd w:id="55"/>
      <w:r>
        <w:rPr>
          <w:b w:val="0"/>
          <w:bCs w:val="0"/>
        </w:rPr>
      </w:r>
      <w:r>
        <w:rPr/>
        <w:t>七、主要控股参股公司分析</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spacing w:before="44"/>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154" w:right="-20" w:firstLine="0"/>
        <w:jc w:val="left"/>
        <w:rPr>
          <w:rFonts w:ascii="宋体" w:hAnsi="宋体" w:cs="宋体" w:eastAsia="宋体" w:hint="default"/>
          <w:sz w:val="18"/>
          <w:szCs w:val="18"/>
        </w:rPr>
      </w:pPr>
      <w:r>
        <w:rPr>
          <w:rFonts w:ascii="宋体" w:hAnsi="宋体" w:cs="宋体" w:eastAsia="宋体" w:hint="default"/>
          <w:sz w:val="18"/>
          <w:szCs w:val="18"/>
        </w:rPr>
        <w:t>主要子公司及对公司净利润影响达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849" w:space="4070"/>
            <w:col w:w="201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402" w:hRule="exact"/>
        </w:trPr>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2"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8"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净利润</w:t>
            </w:r>
          </w:p>
        </w:tc>
      </w:tr>
      <w:tr>
        <w:trPr>
          <w:trHeight w:val="714"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青岛天高</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0"/>
              <w:jc w:val="left"/>
              <w:rPr>
                <w:rFonts w:ascii="宋体" w:hAnsi="宋体" w:cs="宋体" w:eastAsia="宋体" w:hint="default"/>
                <w:sz w:val="18"/>
                <w:szCs w:val="18"/>
              </w:rPr>
            </w:pPr>
            <w:r>
              <w:rPr>
                <w:rFonts w:ascii="宋体" w:hAnsi="宋体" w:cs="宋体" w:eastAsia="宋体" w:hint="default"/>
                <w:sz w:val="18"/>
                <w:szCs w:val="18"/>
              </w:rPr>
              <w:t>软件和信息 技术服务业</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10,000,000.0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85,634,891.8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27,895,230.6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102,642,726.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54</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9,129,564.77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8,511,519.04</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报告期内取得和处置子公司的情况</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30"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9"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小兰智慧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-2,000,733.67</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坚果智慧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-103,104.97</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主要控股参股公司情况说明</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bookmarkStart w:name="八、公司控制的结构化主体情况" w:id="56"/>
      <w:bookmarkEnd w:id="56"/>
      <w:r>
        <w:rPr>
          <w:b w:val="0"/>
          <w:bCs w:val="0"/>
        </w:rPr>
      </w:r>
      <w:r>
        <w:rPr/>
        <w:t>八、公司控制的结构化主体情况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九、公司未来发展的展望" w:id="57"/>
      <w:bookmarkEnd w:id="57"/>
      <w:r>
        <w:rPr>
          <w:b w:val="0"/>
          <w:bCs w:val="0"/>
        </w:rPr>
      </w:r>
      <w:r>
        <w:rPr/>
        <w:t>九、公司未来发展的展望</w:t>
      </w:r>
      <w:r>
        <w:rPr>
          <w:b w:val="0"/>
          <w:bCs w:val="0"/>
        </w:rPr>
      </w:r>
    </w:p>
    <w:p>
      <w:pPr>
        <w:spacing w:line="240" w:lineRule="auto" w:before="10"/>
        <w:rPr>
          <w:rFonts w:ascii="宋体" w:hAnsi="宋体" w:cs="宋体" w:eastAsia="宋体" w:hint="default"/>
          <w:b/>
          <w:bCs/>
          <w:sz w:val="28"/>
          <w:szCs w:val="28"/>
        </w:rPr>
      </w:pPr>
    </w:p>
    <w:p>
      <w:pPr>
        <w:spacing w:line="357" w:lineRule="auto" w:before="0"/>
        <w:ind w:left="634" w:right="5592" w:firstLine="2"/>
        <w:jc w:val="left"/>
        <w:rPr>
          <w:rFonts w:ascii="宋体" w:hAnsi="宋体" w:cs="宋体" w:eastAsia="宋体" w:hint="default"/>
          <w:sz w:val="24"/>
          <w:szCs w:val="24"/>
        </w:rPr>
      </w:pPr>
      <w:r>
        <w:rPr>
          <w:rFonts w:ascii="宋体" w:hAnsi="宋体" w:cs="宋体" w:eastAsia="宋体" w:hint="default"/>
          <w:b/>
          <w:bCs/>
          <w:sz w:val="24"/>
          <w:szCs w:val="24"/>
        </w:rPr>
        <w:t>（一）行业发展趋势</w:t>
      </w:r>
      <w:r>
        <w:rPr>
          <w:rFonts w:ascii="宋体" w:hAnsi="宋体" w:cs="宋体" w:eastAsia="宋体" w:hint="default"/>
          <w:b/>
          <w:bCs/>
          <w:w w:val="99"/>
          <w:sz w:val="24"/>
          <w:szCs w:val="24"/>
        </w:rPr>
        <w:t> </w:t>
      </w:r>
      <w:r>
        <w:rPr>
          <w:rFonts w:ascii="宋体" w:hAnsi="宋体" w:cs="宋体" w:eastAsia="宋体" w:hint="default"/>
          <w:sz w:val="24"/>
          <w:szCs w:val="24"/>
        </w:rPr>
        <w:t>1</w:t>
      </w:r>
      <w:r>
        <w:rPr>
          <w:rFonts w:ascii="宋体" w:hAnsi="宋体" w:cs="宋体" w:eastAsia="宋体" w:hint="default"/>
          <w:sz w:val="24"/>
          <w:szCs w:val="24"/>
        </w:rPr>
        <w:t>、一卡通形态发生变化，应用领域不断扩展</w:t>
      </w:r>
    </w:p>
    <w:p>
      <w:pPr>
        <w:pStyle w:val="BodyText"/>
        <w:spacing w:line="357" w:lineRule="auto"/>
        <w:ind w:right="1131" w:firstLine="480"/>
        <w:jc w:val="both"/>
      </w:pPr>
      <w:r>
        <w:rPr/>
        <w:t>随着我国信息化建设的加快，一卡通的形态也发生了变化，体现在教育、企业、金融、 交通、城市管理、政府管理等方方面面，这对于推动一卡通行业市场需求的不断增长十分有 利。另一方面，随着全球信息技术发展步伐的加快，作为信息社会重要载体之一的一卡通系 统，在社会生活各个领域的应用日益广泛。金融 </w:t>
      </w:r>
      <w:r>
        <w:rPr>
          <w:rFonts w:ascii="宋体" w:hAnsi="宋体" w:cs="宋体" w:eastAsia="宋体" w:hint="default"/>
        </w:rPr>
        <w:t>EMV</w:t>
      </w:r>
      <w:r>
        <w:rPr>
          <w:rFonts w:ascii="宋体" w:hAnsi="宋体" w:cs="宋体" w:eastAsia="宋体" w:hint="default"/>
          <w:spacing w:val="-81"/>
        </w:rPr>
        <w:t> </w:t>
      </w:r>
      <w:r>
        <w:rPr/>
        <w:t>迁移、移动通信的高速增长、数字化城 市建设、学校和大中型企业的数字化建设、电子标签的推广，同时物联网、移动支付、人工</w:t>
      </w:r>
      <w:r>
        <w:rPr>
          <w:spacing w:val="-107"/>
        </w:rPr>
        <w:t> </w:t>
      </w:r>
      <w:r>
        <w:rPr>
          <w:spacing w:val="-107"/>
        </w:rPr>
      </w:r>
      <w:r>
        <w:rPr/>
        <w:t>智能、大数据等新技术的发展，人脸识别、扫码付逐步开始代替校园卡成为新的支付和认证 模式，催生了校园卡系统新形态、新模式，极大地扩展了我国一卡通行业的市场空间。</w:t>
      </w:r>
    </w:p>
    <w:p>
      <w:pPr>
        <w:pStyle w:val="BodyText"/>
        <w:spacing w:line="357" w:lineRule="auto"/>
        <w:ind w:right="1139" w:firstLine="480"/>
        <w:jc w:val="both"/>
      </w:pPr>
      <w:r>
        <w:rPr/>
        <w:t>公司以智慧一卡通为基础，在面对多元化的市场需求上，突破传统一卡通的技术运用局 限，不断拓展智慧一卡通的功能属性，利用新型技术，深入到一卡通细分行业领域，使公司</w:t>
      </w:r>
    </w:p>
    <w:p>
      <w:pPr>
        <w:spacing w:after="0" w:line="357" w:lineRule="auto"/>
        <w:jc w:val="both"/>
        <w:sectPr>
          <w:type w:val="continuous"/>
          <w:pgSz w:w="11910" w:h="16840"/>
          <w:pgMar w:top="1060" w:bottom="1160" w:left="980" w:right="0"/>
        </w:sectPr>
      </w:pPr>
    </w:p>
    <w:p>
      <w:pPr>
        <w:spacing w:line="240" w:lineRule="auto" w:before="7"/>
        <w:rPr>
          <w:rFonts w:ascii="宋体" w:hAnsi="宋体" w:cs="宋体" w:eastAsia="宋体" w:hint="default"/>
          <w:sz w:val="29"/>
          <w:szCs w:val="29"/>
        </w:rPr>
      </w:pPr>
    </w:p>
    <w:p>
      <w:pPr>
        <w:pStyle w:val="BodyText"/>
        <w:spacing w:line="357" w:lineRule="auto" w:before="26"/>
        <w:ind w:left="634" w:right="0" w:hanging="480"/>
        <w:jc w:val="left"/>
      </w:pPr>
      <w:r>
        <w:rPr/>
        <w:t>产品和系统能满足更多领域和更多需求，为公司的业务发展延伸出更广的市场空间。 </w:t>
      </w:r>
      <w:r>
        <w:rPr>
          <w:rFonts w:ascii="宋体" w:hAnsi="宋体" w:cs="宋体" w:eastAsia="宋体" w:hint="default"/>
        </w:rPr>
        <w:t>2</w:t>
      </w:r>
      <w:r>
        <w:rPr/>
        <w:t>、智慧校园的应用不断丰富和深入 智慧校园是指以促进信息技术与教育教学深度有效融合、提高学与教的效果为目的，以</w:t>
      </w:r>
    </w:p>
    <w:p>
      <w:pPr>
        <w:pStyle w:val="BodyText"/>
        <w:spacing w:line="357" w:lineRule="auto"/>
        <w:ind w:right="1139"/>
        <w:jc w:val="both"/>
      </w:pPr>
      <w:r>
        <w:rPr/>
        <w:t>物联网、云计算、大数据分析等新技术为核心技术，提供一种环境全面感知、智慧型、数据 化、网络化、协作化、一体化的教学、科研、管理和生活服务，并能对教育教学、教育管理 进行洞察和预测的智慧学习环境。我国在一二线城市基本实现了数字校园，在三四线城市数 字校园也实现的大范围的实现。智慧校园是数字校园的升级，目前在华东、华北、中部地区 开始进行较大范围的智慧校园的建设，但覆盖范围在全国整体上还是极小的一部分。我国智 慧校园的建设规模将会持续的扩大，市场需求巨大。</w:t>
      </w:r>
    </w:p>
    <w:p>
      <w:pPr>
        <w:pStyle w:val="BodyText"/>
        <w:spacing w:line="357" w:lineRule="auto"/>
        <w:ind w:right="1131" w:firstLine="480"/>
        <w:jc w:val="both"/>
      </w:pPr>
      <w:r>
        <w:rPr>
          <w:rFonts w:ascii="宋体" w:hAnsi="宋体" w:cs="宋体" w:eastAsia="宋体" w:hint="default"/>
        </w:rPr>
        <w:t>2017</w:t>
      </w:r>
      <w:r>
        <w:rPr>
          <w:rFonts w:ascii="宋体" w:hAnsi="宋体" w:cs="宋体" w:eastAsia="宋体" w:hint="default"/>
          <w:spacing w:val="-81"/>
        </w:rPr>
        <w:t> </w:t>
      </w:r>
      <w:r>
        <w:rPr/>
        <w:t>年国务院发布的《国家教育事业发展“十三五”规划》中明确提出，继续推进“三 通两平台”建设与应用，鼓励学校利用大数据技术开展对教育教学活动和学生行为数据的收 集、分析和反馈，为推动个性化学习和针对性教学提供支持。支持各级各类学校建设智慧校 园，综合利用互联网、大数据、人工智能和虚拟现实技术探索未来教育教学新模式。</w:t>
      </w:r>
      <w:r>
        <w:rPr>
          <w:rFonts w:ascii="宋体" w:hAnsi="宋体" w:cs="宋体" w:eastAsia="宋体" w:hint="default"/>
        </w:rPr>
        <w:t>2018</w:t>
      </w:r>
      <w:r>
        <w:rPr>
          <w:rFonts w:ascii="宋体" w:hAnsi="宋体" w:cs="宋体" w:eastAsia="宋体" w:hint="default"/>
          <w:spacing w:val="-80"/>
        </w:rPr>
        <w:t> </w:t>
      </w:r>
      <w:r>
        <w:rPr/>
        <w:t>年 </w:t>
      </w:r>
      <w:r>
        <w:rPr>
          <w:rFonts w:ascii="宋体" w:hAnsi="宋体" w:cs="宋体" w:eastAsia="宋体" w:hint="default"/>
        </w:rPr>
        <w:t>6</w:t>
      </w:r>
      <w:r>
        <w:rPr>
          <w:rFonts w:ascii="宋体" w:hAnsi="宋体" w:cs="宋体" w:eastAsia="宋体" w:hint="default"/>
          <w:spacing w:val="1"/>
        </w:rPr>
        <w:t> </w:t>
      </w:r>
      <w:r>
        <w:rPr/>
        <w:t>月，国家市场监督管理总局中国国家标准化管理委员会最新公布了国家标准文件《智慧校 </w:t>
      </w:r>
      <w:r>
        <w:rPr>
          <w:spacing w:val="-7"/>
        </w:rPr>
        <w:t>园总体框架（</w:t>
      </w:r>
      <w:r>
        <w:rPr>
          <w:rFonts w:ascii="宋体" w:hAnsi="宋体" w:cs="宋体" w:eastAsia="宋体" w:hint="default"/>
          <w:spacing w:val="-7"/>
        </w:rPr>
        <w:t>GBT36342-2018</w:t>
      </w:r>
      <w:r>
        <w:rPr>
          <w:spacing w:val="-7"/>
        </w:rPr>
        <w:t>）》，明确了智慧校园建设相关标准与规范，受益于国家政策的支</w:t>
      </w:r>
      <w:r>
        <w:rPr>
          <w:spacing w:val="-108"/>
        </w:rPr>
        <w:t> </w:t>
      </w:r>
      <w:r>
        <w:rPr>
          <w:spacing w:val="-108"/>
        </w:rPr>
      </w:r>
      <w:r>
        <w:rPr/>
        <w:t>持以及市场环境的推动，智慧校园建设已经获得了较大发展，未来也将会迎来更加快速的发</w:t>
      </w:r>
      <w:r>
        <w:rPr>
          <w:spacing w:val="-117"/>
        </w:rPr>
        <w:t> </w:t>
      </w:r>
      <w:r>
        <w:rPr>
          <w:spacing w:val="-117"/>
        </w:rPr>
      </w:r>
      <w:r>
        <w:rPr/>
        <w:t>展时期。</w:t>
      </w:r>
    </w:p>
    <w:p>
      <w:pPr>
        <w:pStyle w:val="BodyText"/>
        <w:spacing w:line="357" w:lineRule="auto"/>
        <w:ind w:right="1137" w:firstLine="480"/>
        <w:jc w:val="both"/>
      </w:pPr>
      <w:r>
        <w:rPr/>
        <w:t>智慧校园建设的政策引导、技术更新和规模布局，将延伸出更加广阔的市场空间。公司 布局智慧校园建设，主动适应智慧校园建设的新需求、新形态，综合运用新型技术，全面感</w:t>
      </w:r>
      <w:r>
        <w:rPr>
          <w:spacing w:val="-117"/>
        </w:rPr>
        <w:t> </w:t>
      </w:r>
      <w:r>
        <w:rPr>
          <w:spacing w:val="-117"/>
        </w:rPr>
      </w:r>
      <w:r>
        <w:rPr/>
        <w:t>知校园物理环境，进一步提供了校园数据治理、应用治理、物联校园等智慧综合服务，将使 公司抓住智慧校园建设整体机会，为未来的发展注入更多的活力。</w:t>
      </w:r>
    </w:p>
    <w:p>
      <w:pPr>
        <w:pStyle w:val="BodyText"/>
        <w:spacing w:line="357" w:lineRule="auto"/>
        <w:ind w:left="634" w:right="0"/>
        <w:jc w:val="left"/>
      </w:pPr>
      <w:r>
        <w:rPr>
          <w:rFonts w:ascii="宋体" w:hAnsi="宋体" w:cs="宋体" w:eastAsia="宋体" w:hint="default"/>
        </w:rPr>
        <w:t>3</w:t>
      </w:r>
      <w:r>
        <w:rPr/>
        <w:t>、智慧教育发展前景广阔 智慧教育是指在教育领域全面深入地运用现代信息技术来促进教育改革与发展的过程。</w:t>
      </w:r>
    </w:p>
    <w:p>
      <w:pPr>
        <w:pStyle w:val="BodyText"/>
        <w:spacing w:line="357" w:lineRule="auto"/>
        <w:ind w:right="1135"/>
        <w:jc w:val="both"/>
      </w:pPr>
      <w:r>
        <w:rPr/>
        <w:t>其技术特点是数字化、网络化、智能化和多媒体化，基本特征是开放、共享、交互、协作。</w:t>
      </w:r>
      <w:r>
        <w:rPr>
          <w:spacing w:val="-116"/>
        </w:rPr>
        <w:t> </w:t>
      </w:r>
      <w:r>
        <w:rPr>
          <w:spacing w:val="-116"/>
        </w:rPr>
      </w:r>
      <w:r>
        <w:rPr/>
        <w:t>以教育信息化促进教育现代化，用信息技术改变传统教育模式。</w:t>
      </w:r>
    </w:p>
    <w:p>
      <w:pPr>
        <w:pStyle w:val="BodyText"/>
        <w:spacing w:line="357" w:lineRule="auto"/>
        <w:ind w:right="1130" w:firstLine="480"/>
        <w:jc w:val="both"/>
      </w:pPr>
      <w:r>
        <w:rPr/>
        <w:t>据教育部公布的《</w:t>
      </w:r>
      <w:r>
        <w:rPr>
          <w:rFonts w:ascii="宋体" w:hAnsi="宋体" w:cs="宋体" w:eastAsia="宋体" w:hint="default"/>
        </w:rPr>
        <w:t>2017</w:t>
      </w:r>
      <w:r>
        <w:rPr>
          <w:rFonts w:ascii="宋体" w:hAnsi="宋体" w:cs="宋体" w:eastAsia="宋体" w:hint="default"/>
          <w:spacing w:val="-87"/>
        </w:rPr>
        <w:t> </w:t>
      </w:r>
      <w:r>
        <w:rPr/>
        <w:t>年全国教育事业发展统计公报》显示，</w:t>
      </w:r>
      <w:r>
        <w:rPr>
          <w:rFonts w:ascii="宋体" w:hAnsi="宋体" w:cs="宋体" w:eastAsia="宋体" w:hint="default"/>
        </w:rPr>
        <w:t>2017</w:t>
      </w:r>
      <w:r>
        <w:rPr>
          <w:rFonts w:ascii="宋体" w:hAnsi="宋体" w:cs="宋体" w:eastAsia="宋体" w:hint="default"/>
          <w:spacing w:val="-87"/>
        </w:rPr>
        <w:t> </w:t>
      </w:r>
      <w:r>
        <w:rPr>
          <w:spacing w:val="-3"/>
        </w:rPr>
        <w:t>年，全国共有各级各</w:t>
      </w:r>
      <w:r>
        <w:rPr/>
        <w:t> 类学校</w:t>
      </w:r>
      <w:r>
        <w:rPr>
          <w:spacing w:val="-41"/>
        </w:rPr>
        <w:t> </w:t>
      </w:r>
      <w:r>
        <w:rPr>
          <w:rFonts w:ascii="宋体" w:hAnsi="宋体" w:cs="宋体" w:eastAsia="宋体" w:hint="default"/>
        </w:rPr>
        <w:t>51.38</w:t>
      </w:r>
      <w:r>
        <w:rPr>
          <w:rFonts w:ascii="宋体" w:hAnsi="宋体" w:cs="宋体" w:eastAsia="宋体" w:hint="default"/>
          <w:spacing w:val="-41"/>
        </w:rPr>
        <w:t> </w:t>
      </w:r>
      <w:r>
        <w:rPr/>
        <w:t>万所，各级各类学历教育在校生</w:t>
      </w:r>
      <w:r>
        <w:rPr>
          <w:spacing w:val="-41"/>
        </w:rPr>
        <w:t> </w:t>
      </w:r>
      <w:r>
        <w:rPr>
          <w:rFonts w:ascii="宋体" w:hAnsi="宋体" w:cs="宋体" w:eastAsia="宋体" w:hint="default"/>
        </w:rPr>
        <w:t>2.7</w:t>
      </w:r>
      <w:r>
        <w:rPr>
          <w:rFonts w:ascii="宋体" w:hAnsi="宋体" w:cs="宋体" w:eastAsia="宋体" w:hint="default"/>
          <w:spacing w:val="-41"/>
        </w:rPr>
        <w:t> </w:t>
      </w:r>
      <w:r>
        <w:rPr/>
        <w:t>亿人。根据《</w:t>
      </w:r>
      <w:r>
        <w:rPr>
          <w:rFonts w:ascii="宋体" w:hAnsi="宋体" w:cs="宋体" w:eastAsia="宋体" w:hint="default"/>
        </w:rPr>
        <w:t>2018-2023</w:t>
      </w:r>
      <w:r>
        <w:rPr>
          <w:rFonts w:ascii="宋体" w:hAnsi="宋体" w:cs="宋体" w:eastAsia="宋体" w:hint="default"/>
          <w:spacing w:val="-41"/>
        </w:rPr>
        <w:t> </w:t>
      </w:r>
      <w:r>
        <w:rPr/>
        <w:t>年中国智慧教育</w:t>
      </w:r>
    </w:p>
    <w:p>
      <w:pPr>
        <w:pStyle w:val="BodyText"/>
        <w:spacing w:line="357" w:lineRule="auto"/>
        <w:ind w:right="1131"/>
        <w:jc w:val="both"/>
      </w:pPr>
      <w:r>
        <w:rPr>
          <w:spacing w:val="-6"/>
        </w:rPr>
        <w:t>行业发展前景预测与投资战略规划分析报告》，截至</w:t>
      </w:r>
      <w:r>
        <w:rPr/>
        <w:t> </w:t>
      </w:r>
      <w:r>
        <w:rPr>
          <w:rFonts w:ascii="宋体" w:hAnsi="宋体" w:cs="宋体" w:eastAsia="宋体" w:hint="default"/>
        </w:rPr>
        <w:t>2017</w:t>
      </w:r>
      <w:r>
        <w:rPr>
          <w:rFonts w:ascii="宋体" w:hAnsi="宋体" w:cs="宋体" w:eastAsia="宋体" w:hint="default"/>
          <w:spacing w:val="-64"/>
        </w:rPr>
        <w:t> </w:t>
      </w:r>
      <w:r>
        <w:rPr/>
        <w:t>年末，我国智慧教育市场规模超过 </w:t>
      </w:r>
      <w:r>
        <w:rPr>
          <w:rFonts w:ascii="宋体" w:hAnsi="宋体" w:cs="宋体" w:eastAsia="宋体" w:hint="default"/>
        </w:rPr>
        <w:t>4542 </w:t>
      </w:r>
      <w:r>
        <w:rPr/>
        <w:t>亿元，年复合增长率达 </w:t>
      </w:r>
      <w:r>
        <w:rPr>
          <w:rFonts w:ascii="宋体" w:hAnsi="宋体" w:cs="宋体" w:eastAsia="宋体" w:hint="default"/>
        </w:rPr>
        <w:t>22.86%</w:t>
      </w:r>
      <w:r>
        <w:rPr/>
        <w:t>。据国家统计局数据显示，</w:t>
      </w:r>
      <w:r>
        <w:rPr>
          <w:rFonts w:ascii="宋体" w:hAnsi="宋体" w:cs="宋体" w:eastAsia="宋体" w:hint="default"/>
        </w:rPr>
        <w:t>2017</w:t>
      </w:r>
      <w:r>
        <w:rPr>
          <w:rFonts w:ascii="宋体" w:hAnsi="宋体" w:cs="宋体" w:eastAsia="宋体" w:hint="default"/>
          <w:spacing w:val="-84"/>
        </w:rPr>
        <w:t> </w:t>
      </w:r>
      <w:r>
        <w:rPr/>
        <w:t>年财政部门对教育经费</w:t>
      </w:r>
    </w:p>
    <w:p>
      <w:pPr>
        <w:spacing w:after="0" w:line="357" w:lineRule="auto"/>
        <w:jc w:val="both"/>
        <w:sectPr>
          <w:pgSz w:w="11910" w:h="16840"/>
          <w:pgMar w:header="747" w:footer="979" w:top="1060" w:bottom="1160" w:left="980" w:right="0"/>
        </w:sectPr>
      </w:pPr>
    </w:p>
    <w:p>
      <w:pPr>
        <w:spacing w:line="240" w:lineRule="auto" w:before="7"/>
        <w:rPr>
          <w:rFonts w:ascii="宋体" w:hAnsi="宋体" w:cs="宋体" w:eastAsia="宋体" w:hint="default"/>
          <w:sz w:val="29"/>
          <w:szCs w:val="29"/>
        </w:rPr>
      </w:pPr>
    </w:p>
    <w:p>
      <w:pPr>
        <w:pStyle w:val="BodyText"/>
        <w:spacing w:line="357" w:lineRule="auto" w:before="26"/>
        <w:ind w:right="1130"/>
        <w:jc w:val="both"/>
      </w:pPr>
      <w:r>
        <w:rPr/>
        <w:t>的投入水平高达</w:t>
      </w:r>
      <w:r>
        <w:rPr>
          <w:spacing w:val="-68"/>
        </w:rPr>
        <w:t> </w:t>
      </w:r>
      <w:r>
        <w:rPr>
          <w:rFonts w:ascii="宋体" w:hAnsi="宋体" w:cs="宋体" w:eastAsia="宋体" w:hint="default"/>
        </w:rPr>
        <w:t>4.3%</w:t>
      </w:r>
      <w:r>
        <w:rPr/>
        <w:t>，总教育经费投入约</w:t>
      </w:r>
      <w:r>
        <w:rPr>
          <w:spacing w:val="-68"/>
        </w:rPr>
        <w:t> </w:t>
      </w:r>
      <w:r>
        <w:rPr>
          <w:rFonts w:ascii="宋体" w:hAnsi="宋体" w:cs="宋体" w:eastAsia="宋体" w:hint="default"/>
        </w:rPr>
        <w:t>3.4</w:t>
      </w:r>
      <w:r>
        <w:rPr>
          <w:rFonts w:ascii="宋体" w:hAnsi="宋体" w:cs="宋体" w:eastAsia="宋体" w:hint="default"/>
          <w:spacing w:val="-68"/>
        </w:rPr>
        <w:t> </w:t>
      </w:r>
      <w:r>
        <w:rPr/>
        <w:t>万亿元。其中，财政部对教育领域信息技术的 建设投入不断提升，从</w:t>
      </w:r>
      <w:r>
        <w:rPr>
          <w:spacing w:val="-55"/>
        </w:rPr>
        <w:t> </w:t>
      </w:r>
      <w:r>
        <w:rPr>
          <w:rFonts w:ascii="宋体" w:hAnsi="宋体" w:cs="宋体" w:eastAsia="宋体" w:hint="default"/>
        </w:rPr>
        <w:t>2013</w:t>
      </w:r>
      <w:r>
        <w:rPr>
          <w:rFonts w:ascii="宋体" w:hAnsi="宋体" w:cs="宋体" w:eastAsia="宋体" w:hint="default"/>
          <w:spacing w:val="-56"/>
        </w:rPr>
        <w:t> </w:t>
      </w:r>
      <w:r>
        <w:rPr/>
        <w:t>年的</w:t>
      </w:r>
      <w:r>
        <w:rPr>
          <w:spacing w:val="-56"/>
        </w:rPr>
        <w:t> </w:t>
      </w:r>
      <w:r>
        <w:rPr>
          <w:rFonts w:ascii="宋体" w:hAnsi="宋体" w:cs="宋体" w:eastAsia="宋体" w:hint="default"/>
        </w:rPr>
        <w:t>1959</w:t>
      </w:r>
      <w:r>
        <w:rPr>
          <w:rFonts w:ascii="宋体" w:hAnsi="宋体" w:cs="宋体" w:eastAsia="宋体" w:hint="default"/>
          <w:spacing w:val="-55"/>
        </w:rPr>
        <w:t> </w:t>
      </w:r>
      <w:r>
        <w:rPr/>
        <w:t>亿元增加至</w:t>
      </w:r>
      <w:r>
        <w:rPr>
          <w:spacing w:val="-56"/>
        </w:rPr>
        <w:t> </w:t>
      </w:r>
      <w:r>
        <w:rPr>
          <w:rFonts w:ascii="宋体" w:hAnsi="宋体" w:cs="宋体" w:eastAsia="宋体" w:hint="default"/>
        </w:rPr>
        <w:t>2017</w:t>
      </w:r>
      <w:r>
        <w:rPr>
          <w:rFonts w:ascii="宋体" w:hAnsi="宋体" w:cs="宋体" w:eastAsia="宋体" w:hint="default"/>
          <w:spacing w:val="-56"/>
        </w:rPr>
        <w:t> </w:t>
      </w:r>
      <w:r>
        <w:rPr/>
        <w:t>年的</w:t>
      </w:r>
      <w:r>
        <w:rPr>
          <w:spacing w:val="-56"/>
        </w:rPr>
        <w:t> </w:t>
      </w:r>
      <w:r>
        <w:rPr>
          <w:rFonts w:ascii="宋体" w:hAnsi="宋体" w:cs="宋体" w:eastAsia="宋体" w:hint="default"/>
        </w:rPr>
        <w:t>2731</w:t>
      </w:r>
      <w:r>
        <w:rPr>
          <w:rFonts w:ascii="宋体" w:hAnsi="宋体" w:cs="宋体" w:eastAsia="宋体" w:hint="default"/>
          <w:spacing w:val="-55"/>
        </w:rPr>
        <w:t> </w:t>
      </w:r>
      <w:r>
        <w:rPr/>
        <w:t>亿元，年均复合增长率约</w:t>
      </w:r>
    </w:p>
    <w:p>
      <w:pPr>
        <w:pStyle w:val="BodyText"/>
        <w:spacing w:line="357" w:lineRule="auto"/>
        <w:ind w:right="1130"/>
        <w:jc w:val="both"/>
      </w:pPr>
      <w:r>
        <w:rPr>
          <w:rFonts w:ascii="宋体" w:hAnsi="宋体" w:cs="宋体" w:eastAsia="宋体" w:hint="default"/>
        </w:rPr>
        <w:t>8.7%</w:t>
      </w:r>
      <w:r>
        <w:rPr/>
        <w:t>，预计到</w:t>
      </w:r>
      <w:r>
        <w:rPr>
          <w:spacing w:val="-50"/>
        </w:rPr>
        <w:t> </w:t>
      </w:r>
      <w:r>
        <w:rPr>
          <w:rFonts w:ascii="宋体" w:hAnsi="宋体" w:cs="宋体" w:eastAsia="宋体" w:hint="default"/>
        </w:rPr>
        <w:t>2020</w:t>
      </w:r>
      <w:r>
        <w:rPr>
          <w:rFonts w:ascii="宋体" w:hAnsi="宋体" w:cs="宋体" w:eastAsia="宋体" w:hint="default"/>
          <w:spacing w:val="-51"/>
        </w:rPr>
        <w:t> </w:t>
      </w:r>
      <w:r>
        <w:rPr/>
        <w:t>年教育信息化投入仍将保持快速增长，经费投入将超过</w:t>
      </w:r>
      <w:r>
        <w:rPr>
          <w:spacing w:val="-50"/>
        </w:rPr>
        <w:t> </w:t>
      </w:r>
      <w:r>
        <w:rPr>
          <w:rFonts w:ascii="宋体" w:hAnsi="宋体" w:cs="宋体" w:eastAsia="宋体" w:hint="default"/>
        </w:rPr>
        <w:t>3800</w:t>
      </w:r>
      <w:r>
        <w:rPr>
          <w:rFonts w:ascii="宋体" w:hAnsi="宋体" w:cs="宋体" w:eastAsia="宋体" w:hint="default"/>
          <w:spacing w:val="-51"/>
        </w:rPr>
        <w:t> </w:t>
      </w:r>
      <w:r>
        <w:rPr/>
        <w:t>亿元。在人 工智能、虚拟现实等技术的迅猛发展，教育信息化大发展政策的趋势下，涵盖智慧校园、智 慧教学、智慧考试、智慧课堂、智慧管理的智慧教育建设具有广阔的发展应用前景。</w:t>
      </w:r>
    </w:p>
    <w:p>
      <w:pPr>
        <w:pStyle w:val="BodyText"/>
        <w:spacing w:line="357" w:lineRule="auto"/>
        <w:ind w:right="0" w:firstLine="480"/>
        <w:jc w:val="left"/>
      </w:pPr>
      <w:r>
        <w:rPr/>
        <w:t>公司以智慧校园为切入点，立足于智慧校园建设，拓展智慧教育、智慧课堂和智慧管理 的多模态运作，形成整体解决方案，真正为智慧教育行业的发展助力。</w:t>
      </w:r>
    </w:p>
    <w:p>
      <w:pPr>
        <w:pStyle w:val="BodyText"/>
        <w:spacing w:line="357" w:lineRule="auto"/>
        <w:ind w:left="634" w:right="0"/>
        <w:jc w:val="left"/>
      </w:pPr>
      <w:r>
        <w:rPr>
          <w:rFonts w:ascii="宋体" w:hAnsi="宋体" w:cs="宋体" w:eastAsia="宋体" w:hint="default"/>
        </w:rPr>
        <w:t>4</w:t>
      </w:r>
      <w:r>
        <w:rPr/>
        <w:t>、智慧城市和智慧园区不断升级 智慧城市基于泛在化的信息网络、智能化的感知技术和信息安全基础设施，透明、充分</w:t>
      </w:r>
    </w:p>
    <w:p>
      <w:pPr>
        <w:pStyle w:val="BodyText"/>
        <w:spacing w:line="357" w:lineRule="auto"/>
        <w:ind w:right="994"/>
        <w:jc w:val="left"/>
      </w:pPr>
      <w:r>
        <w:rPr>
          <w:spacing w:val="-2"/>
        </w:rPr>
        <w:t>地获取城市运行核心系统的关键信息，从而打造出智慧的生活、智慧的产业以及智慧的管理，</w:t>
      </w:r>
      <w:r>
        <w:rPr/>
        <w:t> 涵盖了智慧生活、智慧教育、智慧企业、智慧政务、智慧安防、智慧环保、智慧交通、智慧</w:t>
      </w:r>
      <w:r>
        <w:rPr>
          <w:spacing w:val="-114"/>
        </w:rPr>
        <w:t> </w:t>
      </w:r>
      <w:r>
        <w:rPr>
          <w:spacing w:val="-114"/>
        </w:rPr>
      </w:r>
      <w:r>
        <w:rPr/>
        <w:t>医疗等数十个场景。智慧园区是智慧城市的重要表现形态，包括科技园区、产业园区、工业</w:t>
      </w:r>
      <w:r>
        <w:rPr>
          <w:spacing w:val="-117"/>
        </w:rPr>
        <w:t> </w:t>
      </w:r>
      <w:r>
        <w:rPr>
          <w:spacing w:val="-117"/>
        </w:rPr>
      </w:r>
      <w:r>
        <w:rPr/>
        <w:t>园区、创意园区等。</w:t>
      </w:r>
    </w:p>
    <w:p>
      <w:pPr>
        <w:pStyle w:val="BodyText"/>
        <w:spacing w:line="357" w:lineRule="auto"/>
        <w:ind w:right="1011" w:firstLine="480"/>
        <w:jc w:val="left"/>
      </w:pPr>
      <w:r>
        <w:rPr/>
        <w:t>住建部《国家智慧城市试点暂行管理办法》提出，智慧城市建设目标包括智慧管理与服 </w:t>
      </w:r>
      <w:r>
        <w:rPr>
          <w:spacing w:val="-3"/>
        </w:rPr>
        <w:t>务的专项应用——智慧支付，智慧支付包含一卡通、手机支付、市民卡等智慧化支付新方式，</w:t>
      </w:r>
      <w:r>
        <w:rPr>
          <w:spacing w:val="-81"/>
        </w:rPr>
        <w:t> </w:t>
      </w:r>
      <w:r>
        <w:rPr>
          <w:spacing w:val="-81"/>
        </w:rPr>
      </w:r>
      <w:r>
        <w:rPr/>
        <w:t>支付终端卡设备、顾客支付服务便捷性、安全性和商家支付便捷性、安全性等方面的建设。</w:t>
      </w:r>
      <w:r>
        <w:rPr>
          <w:spacing w:val="-117"/>
        </w:rPr>
        <w:t> </w:t>
      </w:r>
      <w:r>
        <w:rPr>
          <w:spacing w:val="-117"/>
        </w:rPr>
      </w:r>
      <w:r>
        <w:rPr>
          <w:spacing w:val="-2"/>
        </w:rPr>
        <w:t>国务院印发的《国家新型城镇化规划（</w:t>
      </w:r>
      <w:r>
        <w:rPr>
          <w:rFonts w:ascii="宋体" w:hAnsi="宋体" w:cs="宋体" w:eastAsia="宋体" w:hint="default"/>
          <w:spacing w:val="-2"/>
        </w:rPr>
        <w:t>2014-2020</w:t>
      </w:r>
      <w:r>
        <w:rPr>
          <w:rFonts w:ascii="宋体" w:hAnsi="宋体" w:cs="宋体" w:eastAsia="宋体" w:hint="default"/>
        </w:rPr>
        <w:t> </w:t>
      </w:r>
      <w:r>
        <w:rPr>
          <w:spacing w:val="-9"/>
        </w:rPr>
        <w:t>年）》将智慧城市建设上升到战略层面，明</w:t>
      </w:r>
      <w:r>
        <w:rPr>
          <w:spacing w:val="-101"/>
        </w:rPr>
        <w:t> </w:t>
      </w:r>
      <w:r>
        <w:rPr>
          <w:spacing w:val="-101"/>
        </w:rPr>
      </w:r>
      <w:r>
        <w:rPr/>
        <w:t>确了智慧城市建设的 </w:t>
      </w:r>
      <w:r>
        <w:rPr>
          <w:rFonts w:ascii="宋体" w:hAnsi="宋体" w:cs="宋体" w:eastAsia="宋体" w:hint="default"/>
        </w:rPr>
        <w:t>6</w:t>
      </w:r>
      <w:r>
        <w:rPr>
          <w:rFonts w:ascii="宋体" w:hAnsi="宋体" w:cs="宋体" w:eastAsia="宋体" w:hint="default"/>
          <w:spacing w:val="13"/>
        </w:rPr>
        <w:t> </w:t>
      </w:r>
      <w:r>
        <w:rPr>
          <w:spacing w:val="-7"/>
        </w:rPr>
        <w:t>大建设方向：即信息网络宽带化、规划管理信息化、基础设施智能化、</w:t>
      </w:r>
    </w:p>
    <w:p>
      <w:pPr>
        <w:pStyle w:val="BodyText"/>
        <w:spacing w:line="357" w:lineRule="auto"/>
        <w:ind w:right="1129"/>
        <w:jc w:val="both"/>
      </w:pPr>
      <w:r>
        <w:rPr/>
        <w:t>公共服务便捷化、产业发展现代化、社会治理精细化。目前我国共有超过 </w:t>
      </w:r>
      <w:r>
        <w:rPr>
          <w:rFonts w:ascii="宋体" w:hAnsi="宋体" w:cs="宋体" w:eastAsia="宋体" w:hint="default"/>
        </w:rPr>
        <w:t>500</w:t>
      </w:r>
      <w:r>
        <w:rPr>
          <w:rFonts w:ascii="宋体" w:hAnsi="宋体" w:cs="宋体" w:eastAsia="宋体" w:hint="default"/>
          <w:spacing w:val="-82"/>
        </w:rPr>
        <w:t> </w:t>
      </w:r>
      <w:r>
        <w:rPr/>
        <w:t>个城市提出要 参与到智慧城市建设中，副省级和省会城市基本全部在进行智慧城市建设。智慧城市建设对</w:t>
      </w:r>
      <w:r>
        <w:rPr>
          <w:spacing w:val="-112"/>
        </w:rPr>
        <w:t> </w:t>
      </w:r>
      <w:r>
        <w:rPr>
          <w:spacing w:val="-112"/>
        </w:rPr>
      </w:r>
      <w:r>
        <w:rPr/>
        <w:t>当前市政管理、交通管理、公共安全与应急、智能建筑等各个领域都有重要的意义。未来城</w:t>
      </w:r>
      <w:r>
        <w:rPr>
          <w:spacing w:val="-109"/>
        </w:rPr>
        <w:t> </w:t>
      </w:r>
      <w:r>
        <w:rPr>
          <w:spacing w:val="-109"/>
        </w:rPr>
      </w:r>
      <w:r>
        <w:rPr/>
        <w:t>市发展与管理可以以智慧园区建设为索引，进一步拉动智慧城市建设，同时将智慧园区的管</w:t>
      </w:r>
      <w:r>
        <w:rPr/>
        <w:t> 理融入到智慧城市的管理体系建设中去。智慧城市的建设需求将逐步深入，应用领域不断扩</w:t>
      </w:r>
    </w:p>
    <w:p>
      <w:pPr>
        <w:pStyle w:val="BodyText"/>
        <w:spacing w:line="420" w:lineRule="auto" w:before="109"/>
        <w:ind w:left="634" w:right="0" w:hanging="480"/>
        <w:jc w:val="left"/>
      </w:pPr>
      <w:r>
        <w:rPr/>
        <w:t>张，行业发展需求不断增加。 智慧城市、智慧园区的建设，将实现城市管理、园区管理的智能化、便捷化和精细化。</w:t>
      </w:r>
    </w:p>
    <w:p>
      <w:pPr>
        <w:pStyle w:val="BodyText"/>
        <w:spacing w:line="288" w:lineRule="exact" w:before="0"/>
        <w:ind w:right="0"/>
        <w:jc w:val="both"/>
      </w:pPr>
      <w:r>
        <w:rPr/>
        <w:t>公司目前已经切入到城市和园区的智慧建设中，服务了多个行业和领域，随着市场规模的不</w:t>
      </w:r>
    </w:p>
    <w:p>
      <w:pPr>
        <w:pStyle w:val="BodyText"/>
        <w:spacing w:line="357" w:lineRule="auto" w:before="154"/>
        <w:ind w:right="1139"/>
        <w:jc w:val="both"/>
      </w:pPr>
      <w:r>
        <w:rPr/>
        <w:t>断扩大，建设标准、智慧化程度和服务模式的革新将会出现更为广大的容量空间。公司已经 为未来的发展做好准备，争取更好的机会。</w:t>
      </w:r>
    </w:p>
    <w:p>
      <w:pPr>
        <w:pStyle w:val="BodyText"/>
        <w:spacing w:line="240" w:lineRule="auto"/>
        <w:ind w:left="634" w:right="0"/>
        <w:jc w:val="left"/>
      </w:pPr>
      <w:r>
        <w:rPr>
          <w:rFonts w:ascii="宋体" w:hAnsi="宋体" w:cs="宋体" w:eastAsia="宋体" w:hint="default"/>
        </w:rPr>
        <w:t>5</w:t>
      </w:r>
      <w:r>
        <w:rPr/>
        <w:t>、物联网、</w:t>
      </w:r>
      <w:r>
        <w:rPr>
          <w:rFonts w:ascii="宋体" w:hAnsi="宋体" w:cs="宋体" w:eastAsia="宋体" w:hint="default"/>
        </w:rPr>
        <w:t>5G</w:t>
      </w:r>
      <w:r>
        <w:rPr/>
        <w:t>、人工智能等新技术的应用</w:t>
      </w:r>
    </w:p>
    <w:p>
      <w:pPr>
        <w:spacing w:after="0" w:line="240" w:lineRule="auto"/>
        <w:jc w:val="left"/>
        <w:sectPr>
          <w:pgSz w:w="11910" w:h="16840"/>
          <w:pgMar w:header="747" w:footer="979" w:top="1060" w:bottom="1160" w:left="980" w:right="0"/>
        </w:sectPr>
      </w:pPr>
    </w:p>
    <w:p>
      <w:pPr>
        <w:spacing w:line="240" w:lineRule="auto" w:before="7"/>
        <w:rPr>
          <w:rFonts w:ascii="宋体" w:hAnsi="宋体" w:cs="宋体" w:eastAsia="宋体" w:hint="default"/>
          <w:sz w:val="29"/>
          <w:szCs w:val="29"/>
        </w:rPr>
      </w:pPr>
    </w:p>
    <w:p>
      <w:pPr>
        <w:pStyle w:val="BodyText"/>
        <w:spacing w:line="357" w:lineRule="auto" w:before="26"/>
        <w:ind w:right="1012" w:firstLine="480"/>
        <w:jc w:val="left"/>
      </w:pPr>
      <w:r>
        <w:rPr/>
        <w:t>中国物联网市场发展迅速，在各行各业的应用不断深化，投资前景巨大。</w:t>
      </w:r>
      <w:r>
        <w:rPr>
          <w:rFonts w:ascii="宋体" w:hAnsi="宋体" w:cs="宋体" w:eastAsia="宋体" w:hint="default"/>
        </w:rPr>
        <w:t>2017</w:t>
      </w:r>
      <w:r>
        <w:rPr>
          <w:rFonts w:ascii="宋体" w:hAnsi="宋体" w:cs="宋体" w:eastAsia="宋体" w:hint="default"/>
          <w:spacing w:val="-60"/>
        </w:rPr>
        <w:t> </w:t>
      </w:r>
      <w:r>
        <w:rPr/>
        <w:t>年以来， 工信部连续发布多个关于支持物联网行业发展的政策，物联网的发展受到越来越多的重视。 </w:t>
      </w:r>
      <w:r>
        <w:rPr>
          <w:rFonts w:ascii="宋体" w:hAnsi="宋体" w:cs="宋体" w:eastAsia="宋体" w:hint="default"/>
        </w:rPr>
        <w:t>2018</w:t>
      </w:r>
      <w:r>
        <w:rPr>
          <w:rFonts w:ascii="宋体" w:hAnsi="宋体" w:cs="宋体" w:eastAsia="宋体" w:hint="default"/>
          <w:spacing w:val="-63"/>
        </w:rPr>
        <w:t> </w:t>
      </w:r>
      <w:r>
        <w:rPr/>
        <w:t>年是</w:t>
      </w:r>
      <w:r>
        <w:rPr>
          <w:spacing w:val="-63"/>
        </w:rPr>
        <w:t> </w:t>
      </w:r>
      <w:r>
        <w:rPr>
          <w:rFonts w:ascii="宋体" w:hAnsi="宋体" w:cs="宋体" w:eastAsia="宋体" w:hint="default"/>
        </w:rPr>
        <w:t>5G</w:t>
      </w:r>
      <w:r>
        <w:rPr>
          <w:rFonts w:ascii="宋体" w:hAnsi="宋体" w:cs="宋体" w:eastAsia="宋体" w:hint="default"/>
          <w:spacing w:val="-63"/>
        </w:rPr>
        <w:t> </w:t>
      </w:r>
      <w:r>
        <w:rPr>
          <w:spacing w:val="-4"/>
        </w:rPr>
        <w:t>部署元年，网络结构迎来重大变革。</w:t>
      </w:r>
      <w:r>
        <w:rPr>
          <w:rFonts w:ascii="宋体" w:hAnsi="宋体" w:cs="宋体" w:eastAsia="宋体" w:hint="default"/>
          <w:spacing w:val="-4"/>
        </w:rPr>
        <w:t>5G</w:t>
      </w:r>
      <w:r>
        <w:rPr>
          <w:rFonts w:ascii="宋体" w:hAnsi="宋体" w:cs="宋体" w:eastAsia="宋体" w:hint="default"/>
          <w:spacing w:val="-63"/>
        </w:rPr>
        <w:t> </w:t>
      </w:r>
      <w:r>
        <w:rPr/>
        <w:t>不仅能够带来更宽的带宽、更高的速率， 还将引发新型应用场景。未来随着</w:t>
      </w:r>
      <w:r>
        <w:rPr>
          <w:spacing w:val="-63"/>
        </w:rPr>
        <w:t> </w:t>
      </w:r>
      <w:r>
        <w:rPr>
          <w:rFonts w:ascii="宋体" w:hAnsi="宋体" w:cs="宋体" w:eastAsia="宋体" w:hint="default"/>
        </w:rPr>
        <w:t>5G</w:t>
      </w:r>
      <w:r>
        <w:rPr>
          <w:rFonts w:ascii="宋体" w:hAnsi="宋体" w:cs="宋体" w:eastAsia="宋体" w:hint="default"/>
          <w:spacing w:val="-63"/>
        </w:rPr>
        <w:t> </w:t>
      </w:r>
      <w:r>
        <w:rPr>
          <w:spacing w:val="-3"/>
        </w:rPr>
        <w:t>通信的逐步推广，将全面推进广覆盖、大连接、低功耗</w:t>
      </w:r>
      <w:r>
        <w:rPr/>
        <w:t> 移动物联网（</w:t>
      </w:r>
      <w:r>
        <w:rPr>
          <w:rFonts w:ascii="宋体" w:hAnsi="宋体" w:cs="宋体" w:eastAsia="宋体" w:hint="default"/>
        </w:rPr>
        <w:t>NB-IoT</w:t>
      </w:r>
      <w:r>
        <w:rPr/>
        <w:t>）建设，到</w:t>
      </w:r>
      <w:r>
        <w:rPr>
          <w:spacing w:val="-64"/>
        </w:rPr>
        <w:t> </w:t>
      </w:r>
      <w:r>
        <w:rPr>
          <w:rFonts w:ascii="宋体" w:hAnsi="宋体" w:cs="宋体" w:eastAsia="宋体" w:hint="default"/>
        </w:rPr>
        <w:t>2020</w:t>
      </w:r>
      <w:r>
        <w:rPr>
          <w:rFonts w:ascii="宋体" w:hAnsi="宋体" w:cs="宋体" w:eastAsia="宋体" w:hint="default"/>
          <w:spacing w:val="-64"/>
        </w:rPr>
        <w:t> </w:t>
      </w:r>
      <w:r>
        <w:rPr/>
        <w:t>年</w:t>
      </w:r>
      <w:r>
        <w:rPr>
          <w:spacing w:val="-64"/>
        </w:rPr>
        <w:t> </w:t>
      </w:r>
      <w:r>
        <w:rPr>
          <w:rFonts w:ascii="宋体" w:hAnsi="宋体" w:cs="宋体" w:eastAsia="宋体" w:hint="default"/>
        </w:rPr>
        <w:t>NB-IoT</w:t>
      </w:r>
      <w:r>
        <w:rPr>
          <w:rFonts w:ascii="宋体" w:hAnsi="宋体" w:cs="宋体" w:eastAsia="宋体" w:hint="default"/>
          <w:spacing w:val="-64"/>
        </w:rPr>
        <w:t> </w:t>
      </w:r>
      <w:r>
        <w:rPr/>
        <w:t>网络实现对于全国的普遍覆盖。</w:t>
      </w:r>
      <w:r>
        <w:rPr>
          <w:rFonts w:ascii="宋体" w:hAnsi="宋体" w:cs="宋体" w:eastAsia="宋体" w:hint="default"/>
        </w:rPr>
        <w:t>2018</w:t>
      </w:r>
      <w:r>
        <w:rPr>
          <w:rFonts w:ascii="宋体" w:hAnsi="宋体" w:cs="宋体" w:eastAsia="宋体" w:hint="default"/>
          <w:spacing w:val="-64"/>
        </w:rPr>
        <w:t> </w:t>
      </w:r>
      <w:r>
        <w:rPr/>
        <w:t>年上半 年，我国人工智能政策不断落地，技术应用商业化进程加快。国务院发布的《新一代人工智 能发展规划》提出“到</w:t>
      </w:r>
      <w:r>
        <w:rPr>
          <w:spacing w:val="-36"/>
        </w:rPr>
        <w:t> </w:t>
      </w:r>
      <w:r>
        <w:rPr>
          <w:rFonts w:ascii="宋体" w:hAnsi="宋体" w:cs="宋体" w:eastAsia="宋体" w:hint="default"/>
        </w:rPr>
        <w:t>2030</w:t>
      </w:r>
      <w:r>
        <w:rPr>
          <w:rFonts w:ascii="宋体" w:hAnsi="宋体" w:cs="宋体" w:eastAsia="宋体" w:hint="default"/>
          <w:spacing w:val="-36"/>
        </w:rPr>
        <w:t> </w:t>
      </w:r>
      <w:r>
        <w:rPr>
          <w:spacing w:val="-5"/>
        </w:rPr>
        <w:t>年，使中国成为世界主要人工智能创新中心”。我国人工智能发</w:t>
      </w:r>
      <w:r>
        <w:rPr>
          <w:spacing w:val="-112"/>
        </w:rPr>
        <w:t> </w:t>
      </w:r>
      <w:r>
        <w:rPr>
          <w:spacing w:val="-112"/>
        </w:rPr>
      </w:r>
      <w:r>
        <w:rPr/>
        <w:t>展市场广阔前景。</w:t>
      </w:r>
    </w:p>
    <w:p>
      <w:pPr>
        <w:pStyle w:val="BodyText"/>
        <w:spacing w:line="357" w:lineRule="auto"/>
        <w:ind w:right="1139" w:firstLine="480"/>
        <w:jc w:val="both"/>
      </w:pPr>
      <w:r>
        <w:rPr/>
        <w:t>技术的迭代、新技术的更新，为行业的发展提供了更多的选择机会，公司在技术研发、 商业运用等方面将会持续加大力度，以积极的心态为未来行业技术的应用创造出更多的可行 性。</w:t>
      </w:r>
    </w:p>
    <w:p>
      <w:pPr>
        <w:pStyle w:val="BodyText"/>
        <w:spacing w:line="357" w:lineRule="auto"/>
        <w:ind w:left="634" w:right="0"/>
        <w:jc w:val="left"/>
      </w:pPr>
      <w:r>
        <w:rPr>
          <w:rFonts w:ascii="宋体" w:hAnsi="宋体" w:cs="宋体" w:eastAsia="宋体" w:hint="default"/>
        </w:rPr>
        <w:t>6</w:t>
      </w:r>
      <w:r>
        <w:rPr/>
        <w:t>、国家对教育行业及产业的政策扶持 教育是增强我国综合国力和国际竞争力的基础性因素，对经济和社会发展具有先导性、</w:t>
      </w:r>
    </w:p>
    <w:p>
      <w:pPr>
        <w:pStyle w:val="BodyText"/>
        <w:spacing w:line="357" w:lineRule="auto"/>
        <w:ind w:right="1130"/>
        <w:jc w:val="both"/>
      </w:pPr>
      <w:r>
        <w:rPr/>
        <w:t>全局性的作用，教育的发展关乎社会建设的方方面面。国家出台了很多政策对教育行业和产</w:t>
      </w:r>
      <w:r>
        <w:rPr>
          <w:spacing w:val="-114"/>
        </w:rPr>
        <w:t> </w:t>
      </w:r>
      <w:r>
        <w:rPr>
          <w:spacing w:val="-114"/>
        </w:rPr>
      </w:r>
      <w:r>
        <w:rPr/>
        <w:t>业进行扶持。</w:t>
      </w:r>
      <w:r>
        <w:rPr>
          <w:rFonts w:ascii="宋体" w:hAnsi="宋体" w:cs="宋体" w:eastAsia="宋体" w:hint="default"/>
        </w:rPr>
        <w:t>2017</w:t>
      </w:r>
      <w:r>
        <w:rPr>
          <w:rFonts w:ascii="宋体" w:hAnsi="宋体" w:cs="宋体" w:eastAsia="宋体" w:hint="default"/>
          <w:spacing w:val="12"/>
        </w:rPr>
        <w:t> </w:t>
      </w:r>
      <w:r>
        <w:rPr>
          <w:spacing w:val="-4"/>
        </w:rPr>
        <w:t>年国务院发布《国家教育事业发展“十三五”规划》，提出构建网络化、</w:t>
      </w:r>
      <w:r>
        <w:rPr>
          <w:spacing w:val="-117"/>
        </w:rPr>
        <w:t> </w:t>
      </w:r>
      <w:r>
        <w:rPr>
          <w:spacing w:val="-117"/>
        </w:rPr>
      </w:r>
      <w:r>
        <w:rPr>
          <w:spacing w:val="-5"/>
        </w:rPr>
        <w:t>数字化、个性化、终身化的教育体系，积极发展“互联网</w:t>
      </w:r>
      <w:r>
        <w:rPr>
          <w:rFonts w:ascii="宋体" w:hAnsi="宋体" w:cs="宋体" w:eastAsia="宋体" w:hint="default"/>
          <w:spacing w:val="-5"/>
        </w:rPr>
        <w:t>+</w:t>
      </w:r>
      <w:r>
        <w:rPr>
          <w:spacing w:val="-5"/>
        </w:rPr>
        <w:t>教育”；</w:t>
      </w:r>
      <w:r>
        <w:rPr>
          <w:rFonts w:ascii="宋体" w:hAnsi="宋体" w:cs="宋体" w:eastAsia="宋体" w:hint="default"/>
          <w:spacing w:val="-5"/>
        </w:rPr>
        <w:t>2018</w:t>
      </w:r>
      <w:r>
        <w:rPr>
          <w:rFonts w:ascii="宋体" w:hAnsi="宋体" w:cs="宋体" w:eastAsia="宋体" w:hint="default"/>
          <w:spacing w:val="-50"/>
        </w:rPr>
        <w:t> </w:t>
      </w:r>
      <w:r>
        <w:rPr/>
        <w:t>年</w:t>
      </w:r>
      <w:r>
        <w:rPr>
          <w:spacing w:val="-50"/>
        </w:rPr>
        <w:t> </w:t>
      </w:r>
      <w:r>
        <w:rPr>
          <w:rFonts w:ascii="宋体" w:hAnsi="宋体" w:cs="宋体" w:eastAsia="宋体" w:hint="default"/>
        </w:rPr>
        <w:t>4</w:t>
      </w:r>
      <w:r>
        <w:rPr>
          <w:rFonts w:ascii="宋体" w:hAnsi="宋体" w:cs="宋体" w:eastAsia="宋体" w:hint="default"/>
          <w:spacing w:val="-50"/>
        </w:rPr>
        <w:t> </w:t>
      </w:r>
      <w:r>
        <w:rPr>
          <w:spacing w:val="-1"/>
        </w:rPr>
        <w:t>月，教育部正式</w:t>
      </w:r>
      <w:r>
        <w:rPr/>
        <w:t> 下发《教育信息化</w:t>
      </w:r>
      <w:r>
        <w:rPr>
          <w:spacing w:val="-50"/>
        </w:rPr>
        <w:t> </w:t>
      </w:r>
      <w:r>
        <w:rPr>
          <w:rFonts w:ascii="宋体" w:hAnsi="宋体" w:cs="宋体" w:eastAsia="宋体" w:hint="default"/>
        </w:rPr>
        <w:t>2.0</w:t>
      </w:r>
      <w:r>
        <w:rPr>
          <w:rFonts w:ascii="宋体" w:hAnsi="宋体" w:cs="宋体" w:eastAsia="宋体" w:hint="default"/>
          <w:spacing w:val="-51"/>
        </w:rPr>
        <w:t> </w:t>
      </w:r>
      <w:r>
        <w:rPr>
          <w:spacing w:val="-10"/>
        </w:rPr>
        <w:t>行动计划》，将教育信息化</w:t>
      </w:r>
      <w:r>
        <w:rPr>
          <w:spacing w:val="-50"/>
        </w:rPr>
        <w:t> </w:t>
      </w:r>
      <w:r>
        <w:rPr>
          <w:rFonts w:ascii="宋体" w:hAnsi="宋体" w:cs="宋体" w:eastAsia="宋体" w:hint="default"/>
        </w:rPr>
        <w:t>2.0</w:t>
      </w:r>
      <w:r>
        <w:rPr>
          <w:rFonts w:ascii="宋体" w:hAnsi="宋体" w:cs="宋体" w:eastAsia="宋体" w:hint="default"/>
          <w:spacing w:val="-51"/>
        </w:rPr>
        <w:t> </w:t>
      </w:r>
      <w:r>
        <w:rPr/>
        <w:t>定位于“互联网</w:t>
      </w:r>
      <w:r>
        <w:rPr>
          <w:rFonts w:ascii="宋体" w:hAnsi="宋体" w:cs="宋体" w:eastAsia="宋体" w:hint="default"/>
        </w:rPr>
        <w:t>+</w:t>
      </w:r>
      <w:r>
        <w:rPr/>
        <w:t>教育”的具体实施计</w:t>
      </w:r>
    </w:p>
    <w:p>
      <w:pPr>
        <w:pStyle w:val="BodyText"/>
        <w:spacing w:line="240" w:lineRule="auto"/>
        <w:ind w:right="0"/>
        <w:jc w:val="both"/>
      </w:pPr>
      <w:r>
        <w:rPr/>
        <w:t>划。要求“到</w:t>
      </w:r>
      <w:r>
        <w:rPr>
          <w:spacing w:val="-60"/>
        </w:rPr>
        <w:t> </w:t>
      </w:r>
      <w:r>
        <w:rPr>
          <w:rFonts w:ascii="宋体" w:hAnsi="宋体" w:cs="宋体" w:eastAsia="宋体" w:hint="default"/>
        </w:rPr>
        <w:t>2022</w:t>
      </w:r>
      <w:r>
        <w:rPr>
          <w:rFonts w:ascii="宋体" w:hAnsi="宋体" w:cs="宋体" w:eastAsia="宋体" w:hint="default"/>
          <w:spacing w:val="-60"/>
        </w:rPr>
        <w:t> </w:t>
      </w:r>
      <w:r>
        <w:rPr/>
        <w:t>年基本实现‘三全两高一大’的发展目标。</w:t>
      </w:r>
    </w:p>
    <w:p>
      <w:pPr>
        <w:pStyle w:val="BodyText"/>
        <w:spacing w:line="357" w:lineRule="auto" w:before="154"/>
        <w:ind w:left="634" w:right="0" w:firstLine="2"/>
        <w:jc w:val="left"/>
      </w:pPr>
      <w:r>
        <w:rPr>
          <w:rFonts w:ascii="宋体" w:hAnsi="宋体" w:cs="宋体" w:eastAsia="宋体" w:hint="default"/>
          <w:b/>
          <w:bCs/>
        </w:rPr>
        <w:t>（二）公司战略</w:t>
      </w:r>
      <w:r>
        <w:rPr>
          <w:rFonts w:ascii="宋体" w:hAnsi="宋体" w:cs="宋体" w:eastAsia="宋体" w:hint="default"/>
          <w:b/>
          <w:bCs/>
          <w:w w:val="99"/>
        </w:rPr>
        <w:t> </w:t>
      </w:r>
      <w:r>
        <w:rPr/>
        <w:t>公司是智慧一卡通行业优秀企业，具有坚实的市场基础和丰富的技术积累。公司正深入</w:t>
      </w:r>
    </w:p>
    <w:p>
      <w:pPr>
        <w:pStyle w:val="BodyText"/>
        <w:spacing w:line="357" w:lineRule="auto"/>
        <w:ind w:right="1131"/>
        <w:jc w:val="both"/>
      </w:pPr>
      <w:r>
        <w:rPr/>
        <w:t>融合聚合支付、生物识别、大数据、物联网、移动互联及区块链等新兴技术，以一卡通为基 础着力打造智慧校园全场景服务，将线下服务逐步拓展为线上线下一体化服务，从为机构用 户服务扩展为</w:t>
      </w:r>
      <w:r>
        <w:rPr>
          <w:spacing w:val="-51"/>
        </w:rPr>
        <w:t> </w:t>
      </w:r>
      <w:r>
        <w:rPr>
          <w:rFonts w:ascii="宋体" w:hAnsi="宋体" w:cs="宋体" w:eastAsia="宋体" w:hint="default"/>
        </w:rPr>
        <w:t>To B</w:t>
      </w:r>
      <w:r>
        <w:rPr>
          <w:rFonts w:ascii="宋体" w:hAnsi="宋体" w:cs="宋体" w:eastAsia="宋体" w:hint="default"/>
          <w:spacing w:val="-51"/>
        </w:rPr>
        <w:t> </w:t>
      </w:r>
      <w:r>
        <w:rPr/>
        <w:t>及</w:t>
      </w:r>
      <w:r>
        <w:rPr>
          <w:spacing w:val="-51"/>
        </w:rPr>
        <w:t> </w:t>
      </w:r>
      <w:r>
        <w:rPr>
          <w:rFonts w:ascii="宋体" w:hAnsi="宋体" w:cs="宋体" w:eastAsia="宋体" w:hint="default"/>
        </w:rPr>
        <w:t>To C</w:t>
      </w:r>
      <w:r>
        <w:rPr>
          <w:rFonts w:ascii="宋体" w:hAnsi="宋体" w:cs="宋体" w:eastAsia="宋体" w:hint="default"/>
          <w:spacing w:val="-51"/>
        </w:rPr>
        <w:t> </w:t>
      </w:r>
      <w:r>
        <w:rPr/>
        <w:t>的一体化服务，从区域内服务延伸为社会化、公共化的一站式服 务。公司努力为以教育行业为主的各类园区和行业提供整体解决方案，成为智慧化应用服务 </w:t>
      </w:r>
      <w:r>
        <w:rPr>
          <w:spacing w:val="-10"/>
        </w:rPr>
        <w:t>的领先企业。“引领智能智慧生活，提供安心贴心服务”。</w:t>
      </w:r>
    </w:p>
    <w:p>
      <w:pPr>
        <w:pStyle w:val="Heading2"/>
        <w:spacing w:line="240" w:lineRule="auto" w:before="36"/>
        <w:ind w:left="636" w:right="0"/>
        <w:jc w:val="left"/>
        <w:rPr>
          <w:b w:val="0"/>
          <w:bCs w:val="0"/>
        </w:rPr>
      </w:pPr>
      <w:r>
        <w:rPr/>
        <w:t>（三）公司</w:t>
      </w:r>
      <w:r>
        <w:rPr>
          <w:spacing w:val="-65"/>
        </w:rPr>
        <w:t> </w:t>
      </w:r>
      <w:r>
        <w:rPr>
          <w:rFonts w:ascii="宋体" w:hAnsi="宋体" w:cs="宋体" w:eastAsia="宋体" w:hint="default"/>
        </w:rPr>
        <w:t>2019</w:t>
      </w:r>
      <w:r>
        <w:rPr>
          <w:rFonts w:ascii="宋体" w:hAnsi="宋体" w:cs="宋体" w:eastAsia="宋体" w:hint="default"/>
          <w:spacing w:val="-66"/>
        </w:rPr>
        <w:t> </w:t>
      </w:r>
      <w:r>
        <w:rPr/>
        <w:t>年度经营计划</w:t>
      </w:r>
      <w:r>
        <w:rPr>
          <w:b w:val="0"/>
          <w:bCs w:val="0"/>
        </w:rPr>
      </w:r>
    </w:p>
    <w:p>
      <w:pPr>
        <w:pStyle w:val="BodyText"/>
        <w:spacing w:line="357" w:lineRule="auto" w:before="154"/>
        <w:ind w:right="1131" w:firstLine="480"/>
        <w:jc w:val="both"/>
      </w:pPr>
      <w:r>
        <w:rPr>
          <w:rFonts w:ascii="宋体" w:hAnsi="宋体" w:cs="宋体" w:eastAsia="宋体" w:hint="default"/>
        </w:rPr>
        <w:t>2019</w:t>
      </w:r>
      <w:r>
        <w:rPr>
          <w:rFonts w:ascii="宋体" w:hAnsi="宋体" w:cs="宋体" w:eastAsia="宋体" w:hint="default"/>
          <w:spacing w:val="-81"/>
        </w:rPr>
        <w:t> </w:t>
      </w:r>
      <w:r>
        <w:rPr/>
        <w:t>年，公司既面临经济形势的不确定性，科技巨头跨界竞争所带来的冲击，新技术对 行业的挑战，同时又面临国家智慧教育新政策对行业发展带来的巨大机会，新技术对产业发 展带来的巨大潜力，协同融合的新模式对市场拓展带来的巨大便利，用户群的新需求对公司</w:t>
      </w:r>
    </w:p>
    <w:p>
      <w:pPr>
        <w:spacing w:after="0" w:line="357" w:lineRule="auto"/>
        <w:jc w:val="both"/>
        <w:sectPr>
          <w:pgSz w:w="11910" w:h="16840"/>
          <w:pgMar w:header="747" w:footer="979" w:top="1060" w:bottom="1160" w:left="980" w:right="0"/>
        </w:sectPr>
      </w:pPr>
    </w:p>
    <w:p>
      <w:pPr>
        <w:spacing w:line="240" w:lineRule="auto" w:before="7"/>
        <w:rPr>
          <w:rFonts w:ascii="宋体" w:hAnsi="宋体" w:cs="宋体" w:eastAsia="宋体" w:hint="default"/>
          <w:sz w:val="29"/>
          <w:szCs w:val="29"/>
        </w:rPr>
      </w:pPr>
    </w:p>
    <w:p>
      <w:pPr>
        <w:pStyle w:val="BodyText"/>
        <w:spacing w:line="240" w:lineRule="auto" w:before="26"/>
        <w:ind w:right="0"/>
        <w:jc w:val="both"/>
      </w:pPr>
      <w:r>
        <w:rPr/>
        <w:t>发展带来的巨大空间。机遇与挑战并存，机遇大于挑战。</w:t>
      </w:r>
    </w:p>
    <w:p>
      <w:pPr>
        <w:pStyle w:val="BodyText"/>
        <w:spacing w:line="357" w:lineRule="auto" w:before="154"/>
        <w:ind w:right="1132" w:firstLine="480"/>
        <w:jc w:val="both"/>
      </w:pPr>
      <w:r>
        <w:rPr>
          <w:rFonts w:ascii="宋体" w:hAnsi="宋体" w:cs="宋体" w:eastAsia="宋体" w:hint="default"/>
        </w:rPr>
        <w:t>2019</w:t>
      </w:r>
      <w:r>
        <w:rPr>
          <w:rFonts w:ascii="宋体" w:hAnsi="宋体" w:cs="宋体" w:eastAsia="宋体" w:hint="default"/>
          <w:spacing w:val="-82"/>
        </w:rPr>
        <w:t> </w:t>
      </w:r>
      <w:r>
        <w:rPr/>
        <w:t>年公司将继续坚持“以新应变、以快应变、以合应变、以质应变”，着力市场、产 品、资源的整合融合，提升公司的聚合力；着力核心产品打造和体系构建，提升产品的竞争 力；着力市场拓展和典型树立，提升品牌的影响力；着力人才培养和机制完善，提升员工的 内生力。在挑战中把握机遇，在变化中赢得发展，勤练内功，深度融合，构建行业协同发展 新生态。重点抓好以下工作：</w:t>
      </w:r>
    </w:p>
    <w:p>
      <w:pPr>
        <w:pStyle w:val="BodyText"/>
        <w:spacing w:line="357" w:lineRule="auto"/>
        <w:ind w:left="634" w:right="0"/>
        <w:jc w:val="left"/>
      </w:pPr>
      <w:r>
        <w:rPr>
          <w:rFonts w:ascii="宋体" w:hAnsi="宋体" w:cs="宋体" w:eastAsia="宋体" w:hint="default"/>
        </w:rPr>
        <w:t>1</w:t>
      </w:r>
      <w:r>
        <w:rPr/>
        <w:t>、完善营销体系，加快推进市场建设 要进一步加强营销体系建设，有效整合内外各类资源，加强对整体市场的分析研究，及</w:t>
      </w:r>
    </w:p>
    <w:p>
      <w:pPr>
        <w:pStyle w:val="BodyText"/>
        <w:spacing w:line="357" w:lineRule="auto"/>
        <w:ind w:right="1131"/>
        <w:jc w:val="both"/>
      </w:pPr>
      <w:r>
        <w:rPr/>
        <w:t>时为一线提供有效支撑；加强营销管理，提升通盘筹划和大项目攻坚能力；加大市场开拓力</w:t>
      </w:r>
      <w:r>
        <w:rPr>
          <w:spacing w:val="-109"/>
        </w:rPr>
        <w:t> </w:t>
      </w:r>
      <w:r>
        <w:rPr>
          <w:spacing w:val="-109"/>
        </w:rPr>
      </w:r>
      <w:r>
        <w:rPr/>
        <w:t>度，加快全国市场格局优化；成熟市场精耕细作，加快推动系统升级与更换；新兴市场加速</w:t>
      </w:r>
      <w:r>
        <w:rPr>
          <w:spacing w:val="-110"/>
        </w:rPr>
        <w:t> </w:t>
      </w:r>
      <w:r>
        <w:rPr>
          <w:spacing w:val="-110"/>
        </w:rPr>
      </w:r>
      <w:r>
        <w:rPr/>
        <w:t>拓展，着力提升高校市场占有率；加快智慧校园等新产品导入，确立智慧校园业务的主业地</w:t>
      </w:r>
      <w:r>
        <w:rPr>
          <w:spacing w:val="-111"/>
        </w:rPr>
        <w:t> </w:t>
      </w:r>
      <w:r>
        <w:rPr>
          <w:spacing w:val="-111"/>
        </w:rPr>
      </w:r>
      <w:r>
        <w:rPr/>
        <w:t>位。</w:t>
      </w:r>
    </w:p>
    <w:p>
      <w:pPr>
        <w:pStyle w:val="BodyText"/>
        <w:spacing w:line="357" w:lineRule="auto"/>
        <w:ind w:left="634" w:right="0"/>
        <w:jc w:val="left"/>
      </w:pPr>
      <w:r>
        <w:rPr>
          <w:rFonts w:ascii="宋体" w:hAnsi="宋体" w:cs="宋体" w:eastAsia="宋体" w:hint="default"/>
        </w:rPr>
        <w:t>2</w:t>
      </w:r>
      <w:r>
        <w:rPr/>
        <w:t>、加强整合协同，开创新业务新模式 要进一步融合多方资源、完善产品结构、丰富产品功能，加快易校园的推进步伐，形成</w:t>
      </w:r>
    </w:p>
    <w:p>
      <w:pPr>
        <w:pStyle w:val="BodyText"/>
        <w:spacing w:line="357" w:lineRule="auto"/>
        <w:ind w:right="1129"/>
        <w:jc w:val="both"/>
      </w:pPr>
      <w:r>
        <w:rPr/>
        <w:t>立体化的综合竞争能力；树立面向基础教育的县区级电子校园卡样板工程，加速中学智慧校</w:t>
      </w:r>
      <w:r>
        <w:rPr>
          <w:spacing w:val="-115"/>
        </w:rPr>
        <w:t> </w:t>
      </w:r>
      <w:r>
        <w:rPr>
          <w:spacing w:val="-115"/>
        </w:rPr>
      </w:r>
      <w:r>
        <w:rPr/>
        <w:t>园推广；加快推进校园自助洗衣业务；积极推进基础教育食品安全智能监管业务；大力拓展</w:t>
      </w:r>
      <w:r>
        <w:rPr>
          <w:spacing w:val="-103"/>
        </w:rPr>
        <w:t> </w:t>
      </w:r>
      <w:r>
        <w:rPr>
          <w:spacing w:val="-103"/>
        </w:rPr>
      </w:r>
      <w:r>
        <w:rPr/>
        <w:t>电力、政府、军警、医院等行业的智慧化应用项目。不断探索新的业务生态，努力形成新的</w:t>
      </w:r>
      <w:r>
        <w:rPr>
          <w:spacing w:val="-115"/>
        </w:rPr>
        <w:t> </w:t>
      </w:r>
      <w:r>
        <w:rPr>
          <w:spacing w:val="-115"/>
        </w:rPr>
      </w:r>
      <w:r>
        <w:rPr/>
        <w:t>竞争能力和增长亮点。</w:t>
      </w:r>
    </w:p>
    <w:p>
      <w:pPr>
        <w:pStyle w:val="BodyText"/>
        <w:spacing w:line="357" w:lineRule="auto"/>
        <w:ind w:left="634" w:right="1113"/>
        <w:jc w:val="left"/>
      </w:pPr>
      <w:r>
        <w:rPr>
          <w:rFonts w:ascii="宋体" w:hAnsi="宋体" w:cs="宋体" w:eastAsia="宋体" w:hint="default"/>
        </w:rPr>
        <w:t>3</w:t>
      </w:r>
      <w:r>
        <w:rPr/>
        <w:t>、聚焦技术攻关，提升核心产品竞争力 要重点完善智慧易通平台和推出电子学生证平台，优化智慧一卡通 </w:t>
      </w:r>
      <w:r>
        <w:rPr>
          <w:rFonts w:ascii="宋体" w:hAnsi="宋体" w:cs="宋体" w:eastAsia="宋体" w:hint="default"/>
        </w:rPr>
        <w:t>4.0</w:t>
      </w:r>
      <w:r>
        <w:rPr>
          <w:rFonts w:ascii="宋体" w:hAnsi="宋体" w:cs="宋体" w:eastAsia="宋体" w:hint="default"/>
          <w:spacing w:val="-81"/>
        </w:rPr>
        <w:t> </w:t>
      </w:r>
      <w:r>
        <w:rPr/>
        <w:t>版和智慧健康餐</w:t>
      </w:r>
    </w:p>
    <w:p>
      <w:pPr>
        <w:pStyle w:val="BodyText"/>
        <w:spacing w:line="357" w:lineRule="auto"/>
        <w:ind w:right="1132"/>
        <w:jc w:val="both"/>
      </w:pPr>
      <w:r>
        <w:rPr/>
        <w:t>厅核心平台建设，确立行业平台优势；以卡、码、脸、端一体化为目标，全面提升终端机具</w:t>
      </w:r>
      <w:r>
        <w:rPr>
          <w:spacing w:val="-115"/>
        </w:rPr>
        <w:t> </w:t>
      </w:r>
      <w:r>
        <w:rPr>
          <w:spacing w:val="-115"/>
        </w:rPr>
      </w:r>
      <w:r>
        <w:rPr/>
        <w:t>功能和性能，形成完整的智能终端产品链，确保在同行中的引领性；基于协同创新与共建共</w:t>
      </w:r>
      <w:r>
        <w:rPr>
          <w:spacing w:val="-113"/>
        </w:rPr>
        <w:t> </w:t>
      </w:r>
      <w:r>
        <w:rPr>
          <w:spacing w:val="-113"/>
        </w:rPr>
      </w:r>
      <w:r>
        <w:rPr/>
        <w:t>享的理念，为客户提供开放的、可自我进化的智慧型平台；优化安装部署和运维服务，提高</w:t>
      </w:r>
      <w:r>
        <w:rPr>
          <w:spacing w:val="-114"/>
        </w:rPr>
        <w:t> </w:t>
      </w:r>
      <w:r>
        <w:rPr>
          <w:spacing w:val="-114"/>
        </w:rPr>
      </w:r>
      <w:r>
        <w:rPr/>
        <w:t>项目个性化快速响应能力和工程服务能力。</w:t>
      </w:r>
    </w:p>
    <w:p>
      <w:pPr>
        <w:pStyle w:val="BodyText"/>
        <w:spacing w:line="357" w:lineRule="auto"/>
        <w:ind w:left="634" w:right="0"/>
        <w:jc w:val="left"/>
      </w:pPr>
      <w:r>
        <w:rPr>
          <w:rFonts w:ascii="宋体" w:hAnsi="宋体" w:cs="宋体" w:eastAsia="宋体" w:hint="default"/>
        </w:rPr>
        <w:t>4</w:t>
      </w:r>
      <w:r>
        <w:rPr/>
        <w:t>、深化研发融合，丰富智慧校园生态体系 要以一卡通为基础、以数据为支撑、以服务为引领，重点打造物联网平台、大数据平台</w:t>
      </w:r>
    </w:p>
    <w:p>
      <w:pPr>
        <w:pStyle w:val="BodyText"/>
        <w:spacing w:line="357" w:lineRule="auto"/>
        <w:ind w:right="1139"/>
        <w:jc w:val="both"/>
      </w:pPr>
      <w:r>
        <w:rPr/>
        <w:t>和云服务平台。采取自主研发与合作整合相结合的形式，打造面向师生服务的高校智慧校园 整体解决方案。加快部分项目成果的产品化，加强第三方产品深度融合，形成产品的协同生 态。严把产品引入关，防范项目和服务风险。</w:t>
      </w:r>
    </w:p>
    <w:p>
      <w:pPr>
        <w:spacing w:after="0" w:line="357" w:lineRule="auto"/>
        <w:jc w:val="both"/>
        <w:sectPr>
          <w:pgSz w:w="11910" w:h="16840"/>
          <w:pgMar w:header="747" w:footer="979" w:top="1060" w:bottom="1160" w:left="980" w:right="0"/>
        </w:sectPr>
      </w:pPr>
    </w:p>
    <w:p>
      <w:pPr>
        <w:spacing w:line="240" w:lineRule="auto" w:before="7"/>
        <w:rPr>
          <w:rFonts w:ascii="宋体" w:hAnsi="宋体" w:cs="宋体" w:eastAsia="宋体" w:hint="default"/>
          <w:sz w:val="29"/>
          <w:szCs w:val="29"/>
        </w:rPr>
      </w:pPr>
    </w:p>
    <w:p>
      <w:pPr>
        <w:pStyle w:val="BodyText"/>
        <w:spacing w:line="357" w:lineRule="auto" w:before="26"/>
        <w:ind w:left="634" w:right="0"/>
        <w:jc w:val="left"/>
      </w:pPr>
      <w:r>
        <w:rPr>
          <w:rFonts w:ascii="宋体" w:hAnsi="宋体" w:cs="宋体" w:eastAsia="宋体" w:hint="default"/>
        </w:rPr>
        <w:t>5</w:t>
      </w:r>
      <w:r>
        <w:rPr/>
        <w:t>、加强培训与激励，有效提升员工素质活力 要进一步优化人才结构，加强高端人才引进与合作，提高公司人员整体素质；办好正元</w:t>
      </w:r>
    </w:p>
    <w:p>
      <w:pPr>
        <w:pStyle w:val="BodyText"/>
        <w:spacing w:line="357" w:lineRule="auto"/>
        <w:ind w:right="1129"/>
        <w:jc w:val="both"/>
      </w:pPr>
      <w:r>
        <w:rPr/>
        <w:t>学堂，组建公司讲师团，加强培训针对性，重点抓好骨干人员的综合管理能力培训；以目标</w:t>
      </w:r>
      <w:r>
        <w:rPr>
          <w:spacing w:val="-107"/>
        </w:rPr>
        <w:t> </w:t>
      </w:r>
      <w:r>
        <w:rPr>
          <w:spacing w:val="-107"/>
        </w:rPr>
      </w:r>
      <w:r>
        <w:rPr/>
        <w:t>为导向，完善考核制度，改进激励方式，提升人均效率；落实导师制，加强对新员工的传帮</w:t>
      </w:r>
      <w:r>
        <w:rPr>
          <w:spacing w:val="-114"/>
        </w:rPr>
        <w:t> </w:t>
      </w:r>
      <w:r>
        <w:rPr>
          <w:spacing w:val="-114"/>
        </w:rPr>
      </w:r>
      <w:r>
        <w:rPr/>
        <w:t>带，加强员工人文关怀，做好员工的思想教育和管理工作。</w:t>
      </w:r>
    </w:p>
    <w:p>
      <w:pPr>
        <w:pStyle w:val="BodyText"/>
        <w:spacing w:line="357" w:lineRule="auto"/>
        <w:ind w:left="634" w:right="0"/>
        <w:jc w:val="left"/>
      </w:pPr>
      <w:r>
        <w:rPr>
          <w:rFonts w:ascii="宋体" w:hAnsi="宋体" w:cs="宋体" w:eastAsia="宋体" w:hint="default"/>
        </w:rPr>
        <w:t>6</w:t>
      </w:r>
      <w:r>
        <w:rPr/>
        <w:t>、强化工程服务，提高工程效益与客户服务水平 要进一步加强客户服务，提高客户满意度。细化服务对象，明确服务标准，提升服务质</w:t>
      </w:r>
    </w:p>
    <w:p>
      <w:pPr>
        <w:pStyle w:val="BodyText"/>
        <w:spacing w:line="357" w:lineRule="auto"/>
        <w:ind w:right="1129"/>
        <w:jc w:val="both"/>
      </w:pPr>
      <w:r>
        <w:rPr/>
        <w:t>量，树好服务口碑。健全客户服务督查机制，运用信息化手段加强定期和随机督查；加强工</w:t>
      </w:r>
      <w:r>
        <w:rPr>
          <w:spacing w:val="-108"/>
        </w:rPr>
        <w:t> </w:t>
      </w:r>
      <w:r>
        <w:rPr>
          <w:spacing w:val="-108"/>
        </w:rPr>
      </w:r>
      <w:r>
        <w:rPr/>
        <w:t>程管理，强化规范，提高工程质量和效率。加强工程实施指导和培训，加强工程监管。及时</w:t>
      </w:r>
      <w:r>
        <w:rPr>
          <w:spacing w:val="-108"/>
        </w:rPr>
        <w:t> </w:t>
      </w:r>
      <w:r>
        <w:rPr>
          <w:spacing w:val="-108"/>
        </w:rPr>
      </w:r>
      <w:r>
        <w:rPr/>
        <w:t>组织重点项目审计，有效控制项目成本。</w:t>
      </w:r>
    </w:p>
    <w:p>
      <w:pPr>
        <w:pStyle w:val="BodyText"/>
        <w:spacing w:line="357" w:lineRule="auto"/>
        <w:ind w:left="634" w:right="0"/>
        <w:jc w:val="left"/>
      </w:pPr>
      <w:r>
        <w:rPr>
          <w:rFonts w:ascii="宋体" w:hAnsi="宋体" w:cs="宋体" w:eastAsia="宋体" w:hint="default"/>
        </w:rPr>
        <w:t>7</w:t>
      </w:r>
      <w:r>
        <w:rPr/>
        <w:t>、优化机制流程，提升管理规范与运营效率 要进一步加强计划和预算，把握管控节点，控制经营成本；加强基层单位建设，提高团</w:t>
      </w:r>
    </w:p>
    <w:p>
      <w:pPr>
        <w:pStyle w:val="BodyText"/>
        <w:spacing w:line="357" w:lineRule="auto"/>
        <w:ind w:right="0"/>
        <w:jc w:val="left"/>
      </w:pPr>
      <w:r>
        <w:rPr>
          <w:spacing w:val="-3"/>
        </w:rPr>
        <w:t>队整体战斗力；运用信息化手段优化流程，推进管理精细化；加强日常管理，强化检查督导，</w:t>
      </w:r>
      <w:r>
        <w:rPr>
          <w:spacing w:val="-80"/>
        </w:rPr>
        <w:t> </w:t>
      </w:r>
      <w:r>
        <w:rPr>
          <w:spacing w:val="-80"/>
        </w:rPr>
      </w:r>
      <w:r>
        <w:rPr/>
        <w:t>提高管理效率。</w:t>
      </w:r>
    </w:p>
    <w:p>
      <w:pPr>
        <w:pStyle w:val="BodyText"/>
        <w:spacing w:line="357" w:lineRule="auto"/>
        <w:ind w:left="634" w:right="0"/>
        <w:jc w:val="left"/>
      </w:pPr>
      <w:r>
        <w:rPr>
          <w:rFonts w:ascii="宋体" w:hAnsi="宋体" w:cs="宋体" w:eastAsia="宋体" w:hint="default"/>
        </w:rPr>
        <w:t>8</w:t>
      </w:r>
      <w:r>
        <w:rPr/>
        <w:t>、凝炼文化内涵，全面提升企业形象 </w:t>
      </w:r>
      <w:r>
        <w:rPr>
          <w:spacing w:val="-3"/>
        </w:rPr>
        <w:t>要进一步梳理公司优良传统、典型事例、先进人物，提炼公司文化内涵，加强企业宣传，</w:t>
      </w:r>
    </w:p>
    <w:p>
      <w:pPr>
        <w:pStyle w:val="BodyText"/>
        <w:spacing w:line="357" w:lineRule="auto"/>
        <w:ind w:right="1132"/>
        <w:jc w:val="both"/>
      </w:pPr>
      <w:r>
        <w:rPr/>
        <w:t>展示公司崭新形象；充分利用专业论坛和大型展会，扩大品牌影响力；加强知识产权的申报</w:t>
      </w:r>
      <w:r>
        <w:rPr>
          <w:spacing w:val="-110"/>
        </w:rPr>
        <w:t> </w:t>
      </w:r>
      <w:r>
        <w:rPr>
          <w:spacing w:val="-110"/>
        </w:rPr>
      </w:r>
      <w:r>
        <w:rPr/>
        <w:t>与管理，积极申报资质和荣誉，进一步提升公司综合实力；积极发挥党支部和工会的作用，</w:t>
      </w:r>
      <w:r>
        <w:rPr>
          <w:spacing w:val="-111"/>
        </w:rPr>
        <w:t> </w:t>
      </w:r>
      <w:r>
        <w:rPr>
          <w:spacing w:val="-111"/>
        </w:rPr>
      </w:r>
      <w:r>
        <w:rPr/>
        <w:t>组织各类活动，增强公司活力。</w:t>
      </w:r>
    </w:p>
    <w:p>
      <w:pPr>
        <w:spacing w:line="357" w:lineRule="auto" w:before="36"/>
        <w:ind w:left="634" w:right="7861" w:firstLine="2"/>
        <w:jc w:val="left"/>
        <w:rPr>
          <w:rFonts w:ascii="宋体" w:hAnsi="宋体" w:cs="宋体" w:eastAsia="宋体" w:hint="default"/>
          <w:sz w:val="24"/>
          <w:szCs w:val="24"/>
        </w:rPr>
      </w:pPr>
      <w:r>
        <w:rPr>
          <w:rFonts w:ascii="宋体" w:hAnsi="宋体" w:cs="宋体" w:eastAsia="宋体" w:hint="default"/>
          <w:b/>
          <w:bCs/>
          <w:sz w:val="24"/>
          <w:szCs w:val="24"/>
        </w:rPr>
        <w:t>（四）可能面对的风险</w:t>
      </w:r>
      <w:r>
        <w:rPr>
          <w:rFonts w:ascii="宋体" w:hAnsi="宋体" w:cs="宋体" w:eastAsia="宋体" w:hint="default"/>
          <w:b/>
          <w:bCs/>
          <w:w w:val="99"/>
          <w:sz w:val="24"/>
          <w:szCs w:val="24"/>
        </w:rPr>
        <w:t> </w:t>
      </w:r>
      <w:r>
        <w:rPr>
          <w:rFonts w:ascii="宋体" w:hAnsi="宋体" w:cs="宋体" w:eastAsia="宋体" w:hint="default"/>
          <w:sz w:val="24"/>
          <w:szCs w:val="24"/>
        </w:rPr>
        <w:t>1</w:t>
      </w:r>
      <w:r>
        <w:rPr>
          <w:rFonts w:ascii="宋体" w:hAnsi="宋体" w:cs="宋体" w:eastAsia="宋体" w:hint="default"/>
          <w:sz w:val="24"/>
          <w:szCs w:val="24"/>
        </w:rPr>
        <w:t>、行业竞争风险</w:t>
      </w:r>
    </w:p>
    <w:p>
      <w:pPr>
        <w:pStyle w:val="BodyText"/>
        <w:spacing w:line="357" w:lineRule="auto"/>
        <w:ind w:right="1135" w:firstLine="480"/>
        <w:jc w:val="both"/>
      </w:pPr>
      <w:r>
        <w:rPr/>
        <w:t>随着一卡通行业的市场不断成熟，行业竞争不断加剧，以考勤、门禁、消费为主的传统 一卡通厂商竞争激烈。公司以一卡通为基础开展数据治理与决策分析，积极拓展智慧校园业 务及行业应用，以提升公司的市场竞争地位。随着以支付宝、腾讯、银联为主的第三方支付 公司纷纷加入行业竞争，并且行业升级、运营模式等变化带来了新的行业竞争。如果本公司 不能积极采取措施应对行业挑战，保持企业竞争优势，则有可能导致市场份额减少、营业收 入下降，从而对公司盈利能力产生较大不利影响。</w:t>
      </w:r>
    </w:p>
    <w:p>
      <w:pPr>
        <w:pStyle w:val="BodyText"/>
        <w:spacing w:line="357" w:lineRule="auto"/>
        <w:ind w:left="634" w:right="0"/>
        <w:jc w:val="left"/>
      </w:pPr>
      <w:r>
        <w:rPr>
          <w:rFonts w:ascii="宋体" w:hAnsi="宋体" w:cs="宋体" w:eastAsia="宋体" w:hint="default"/>
        </w:rPr>
        <w:t>2</w:t>
      </w:r>
      <w:r>
        <w:rPr/>
        <w:t>、生产经营季节性波动风险 公司主营业务中教育行业占比较高，存在比较明显的季节性特征：因为校园项目建设受</w:t>
      </w:r>
    </w:p>
    <w:p>
      <w:pPr>
        <w:spacing w:after="0" w:line="357" w:lineRule="auto"/>
        <w:jc w:val="left"/>
        <w:sectPr>
          <w:pgSz w:w="11910" w:h="16840"/>
          <w:pgMar w:header="747" w:footer="979" w:top="1060" w:bottom="1160" w:left="980" w:right="0"/>
        </w:sectPr>
      </w:pPr>
    </w:p>
    <w:p>
      <w:pPr>
        <w:spacing w:line="240" w:lineRule="auto" w:before="7"/>
        <w:rPr>
          <w:rFonts w:ascii="宋体" w:hAnsi="宋体" w:cs="宋体" w:eastAsia="宋体" w:hint="default"/>
          <w:sz w:val="29"/>
          <w:szCs w:val="29"/>
        </w:rPr>
      </w:pPr>
    </w:p>
    <w:p>
      <w:pPr>
        <w:pStyle w:val="BodyText"/>
        <w:spacing w:line="357" w:lineRule="auto" w:before="26"/>
        <w:ind w:right="1139"/>
        <w:jc w:val="both"/>
      </w:pPr>
      <w:r>
        <w:rPr/>
        <w:t>学校寒暑假的影响，通常在第一季度启动建设计划，第二季度完成项目的商务谈判及合同确 认，在第三季度进入项目实施高峰，完成发货、安装、调试及验收等工作，在第四季度进入 收入确认及款项回收高峰。上述季节性特征使得公司的采购、生产、发货、安装、验收和收 付款出现明显的季节性波动，存在生产经营季节性风险。</w:t>
      </w:r>
    </w:p>
    <w:p>
      <w:pPr>
        <w:pStyle w:val="BodyText"/>
        <w:spacing w:line="357" w:lineRule="auto"/>
        <w:ind w:left="634" w:right="0"/>
        <w:jc w:val="left"/>
      </w:pPr>
      <w:r>
        <w:rPr>
          <w:rFonts w:ascii="宋体" w:hAnsi="宋体" w:cs="宋体" w:eastAsia="宋体" w:hint="default"/>
        </w:rPr>
        <w:t>3</w:t>
      </w:r>
      <w:r>
        <w:rPr/>
        <w:t>、技术与产品开发风险 随着物联网、云计算、大数据、人工智能、区块链等技术的不断演进，客户对软硬件产</w:t>
      </w:r>
    </w:p>
    <w:p>
      <w:pPr>
        <w:pStyle w:val="BodyText"/>
        <w:spacing w:line="357" w:lineRule="auto"/>
        <w:ind w:right="1134"/>
        <w:jc w:val="both"/>
      </w:pPr>
      <w:r>
        <w:rPr/>
        <w:t>品的功能和要求不断提高，公司需要不断进行新技术应用和新产品的研发升级。公司虽拥有 较强的自主研发和技术创新实力，但若不能准确把握行业发展趋势和市场需求变化，将会导</w:t>
      </w:r>
      <w:r>
        <w:rPr>
          <w:spacing w:val="-114"/>
        </w:rPr>
        <w:t> </w:t>
      </w:r>
      <w:r>
        <w:rPr>
          <w:spacing w:val="-114"/>
        </w:rPr>
      </w:r>
      <w:r>
        <w:rPr/>
        <w:t>致技术决策失误，产品开发滞后，使公司丧失技术和市场优势，面临技术与产品开发风险。</w:t>
      </w:r>
    </w:p>
    <w:p>
      <w:pPr>
        <w:pStyle w:val="BodyText"/>
        <w:spacing w:line="357" w:lineRule="auto"/>
        <w:ind w:left="634" w:right="0"/>
        <w:jc w:val="left"/>
      </w:pPr>
      <w:r>
        <w:rPr>
          <w:rFonts w:ascii="宋体" w:hAnsi="宋体" w:cs="宋体" w:eastAsia="宋体" w:hint="default"/>
        </w:rPr>
        <w:t>4</w:t>
      </w:r>
      <w:r>
        <w:rPr/>
        <w:t>、应收账款回收风险 公司系统建设项目集成度较高，项目实施完成后需试运行并通过客户验收，建设周期较</w:t>
      </w:r>
    </w:p>
    <w:p>
      <w:pPr>
        <w:pStyle w:val="BodyText"/>
        <w:spacing w:line="357" w:lineRule="auto"/>
        <w:ind w:right="0"/>
        <w:jc w:val="left"/>
      </w:pPr>
      <w:r>
        <w:rPr/>
        <w:t>长。而且近几年由银行、运营商投资建设的项目比例较高，其验收审计及付款流程较复杂， </w:t>
      </w:r>
      <w:r>
        <w:rPr>
          <w:spacing w:val="-3"/>
        </w:rPr>
        <w:t>回款周期较长，导致应收账款回收风险较大。由于学校及银行、运营商等客户商业信誉良好，</w:t>
      </w:r>
      <w:r>
        <w:rPr>
          <w:spacing w:val="-81"/>
        </w:rPr>
        <w:t> </w:t>
      </w:r>
      <w:r>
        <w:rPr>
          <w:spacing w:val="-81"/>
        </w:rPr>
      </w:r>
      <w:r>
        <w:rPr/>
        <w:t>且从历史应收账款回收数据分析，公司应收账款的坏账率风险较小。但随着公司业务规模的 不断扩大，应收账款可能会相应增加。如果出现应收账款不能按期回收的情况，公司将面临</w:t>
      </w:r>
      <w:r>
        <w:rPr>
          <w:spacing w:val="-113"/>
        </w:rPr>
        <w:t> </w:t>
      </w:r>
      <w:r>
        <w:rPr>
          <w:spacing w:val="-113"/>
        </w:rPr>
      </w:r>
      <w:r>
        <w:rPr/>
        <w:t>流动资金短缺的风险，从而影响正常经营，对公司的持续盈利能力造成一定的不利影响。</w:t>
      </w:r>
    </w:p>
    <w:p>
      <w:pPr>
        <w:pStyle w:val="BodyText"/>
        <w:spacing w:line="357" w:lineRule="auto"/>
        <w:ind w:left="634" w:right="0"/>
        <w:jc w:val="left"/>
      </w:pPr>
      <w:r>
        <w:rPr>
          <w:rFonts w:ascii="宋体" w:hAnsi="宋体" w:cs="宋体" w:eastAsia="宋体" w:hint="default"/>
        </w:rPr>
        <w:t>5</w:t>
      </w:r>
      <w:r>
        <w:rPr/>
        <w:t>、人才流失风险 人才是企业的核心竞争力，高素质的产品研发、技术维护、市场营销及管理人才是公司</w:t>
      </w:r>
    </w:p>
    <w:p>
      <w:pPr>
        <w:pStyle w:val="BodyText"/>
        <w:spacing w:line="357" w:lineRule="auto"/>
        <w:ind w:right="994"/>
        <w:jc w:val="left"/>
      </w:pPr>
      <w:r>
        <w:rPr/>
        <w:t>持续发展的重要因素。随着计算机行业的不断发展，对上述人才的需求日趋强烈。公司处于 </w:t>
      </w:r>
      <w:r>
        <w:rPr>
          <w:spacing w:val="-2"/>
        </w:rPr>
        <w:t>杭州未来科技城板块，企业对人才资源的竞争比较激烈。公司通过提供有竞争力的薪酬福利，</w:t>
      </w:r>
      <w:r>
        <w:rPr/>
        <w:t> </w:t>
      </w:r>
      <w:r>
        <w:rPr>
          <w:spacing w:val="-3"/>
        </w:rPr>
        <w:t>建立公平的晋升机制和完善的培训体系，增强人才队伍的稳定性。但若公司核心研发、服务、</w:t>
      </w:r>
      <w:r>
        <w:rPr>
          <w:spacing w:val="-81"/>
        </w:rPr>
        <w:t> </w:t>
      </w:r>
      <w:r>
        <w:rPr>
          <w:spacing w:val="-81"/>
        </w:rPr>
      </w:r>
      <w:r>
        <w:rPr/>
        <w:t>销售和管理人员流失，且不能及时获得相应补充，短期将对公司的盈利能力产生不利影响。</w:t>
      </w:r>
    </w:p>
    <w:p>
      <w:pPr>
        <w:pStyle w:val="BodyText"/>
        <w:spacing w:line="240" w:lineRule="auto"/>
        <w:ind w:left="634" w:right="0"/>
        <w:jc w:val="left"/>
      </w:pPr>
      <w:r>
        <w:rPr>
          <w:rFonts w:ascii="宋体" w:hAnsi="宋体" w:cs="宋体" w:eastAsia="宋体" w:hint="default"/>
        </w:rPr>
        <w:t>6</w:t>
      </w:r>
      <w:r>
        <w:rPr/>
        <w:t>、利润分配及资本公积金转增股本预案的风险</w:t>
      </w:r>
    </w:p>
    <w:p>
      <w:pPr>
        <w:pStyle w:val="BodyText"/>
        <w:spacing w:line="240" w:lineRule="auto" w:before="154"/>
        <w:ind w:left="634" w:right="0"/>
        <w:jc w:val="left"/>
      </w:pPr>
      <w:r>
        <w:rPr/>
        <w:t>公司于</w:t>
      </w:r>
      <w:r>
        <w:rPr>
          <w:spacing w:val="-59"/>
        </w:rPr>
        <w:t> </w:t>
      </w:r>
      <w:r>
        <w:rPr>
          <w:rFonts w:ascii="宋体" w:hAnsi="宋体" w:cs="宋体" w:eastAsia="宋体" w:hint="default"/>
        </w:rPr>
        <w:t>2019</w:t>
      </w:r>
      <w:r>
        <w:rPr>
          <w:rFonts w:ascii="宋体" w:hAnsi="宋体" w:cs="宋体" w:eastAsia="宋体" w:hint="default"/>
          <w:spacing w:val="-59"/>
        </w:rPr>
        <w:t> </w:t>
      </w:r>
      <w:r>
        <w:rPr/>
        <w:t>年</w:t>
      </w:r>
      <w:r>
        <w:rPr>
          <w:spacing w:val="-59"/>
        </w:rPr>
        <w:t> </w:t>
      </w:r>
      <w:r>
        <w:rPr>
          <w:rFonts w:ascii="宋体" w:hAnsi="宋体" w:cs="宋体" w:eastAsia="宋体" w:hint="default"/>
        </w:rPr>
        <w:t>3</w:t>
      </w:r>
      <w:r>
        <w:rPr>
          <w:rFonts w:ascii="宋体" w:hAnsi="宋体" w:cs="宋体" w:eastAsia="宋体" w:hint="default"/>
          <w:spacing w:val="-59"/>
        </w:rPr>
        <w:t> </w:t>
      </w:r>
      <w:r>
        <w:rPr/>
        <w:t>月</w:t>
      </w:r>
      <w:r>
        <w:rPr>
          <w:spacing w:val="-59"/>
        </w:rPr>
        <w:t> </w:t>
      </w:r>
      <w:r>
        <w:rPr>
          <w:rFonts w:ascii="宋体" w:hAnsi="宋体" w:cs="宋体" w:eastAsia="宋体" w:hint="default"/>
        </w:rPr>
        <w:t>27</w:t>
      </w:r>
      <w:r>
        <w:rPr>
          <w:rFonts w:ascii="宋体" w:hAnsi="宋体" w:cs="宋体" w:eastAsia="宋体" w:hint="default"/>
          <w:spacing w:val="-59"/>
        </w:rPr>
        <w:t> </w:t>
      </w:r>
      <w:r>
        <w:rPr>
          <w:spacing w:val="-6"/>
        </w:rPr>
        <w:t>日召开董事会，审议通过了《关于</w:t>
      </w:r>
      <w:r>
        <w:rPr>
          <w:spacing w:val="-59"/>
        </w:rPr>
        <w:t> </w:t>
      </w:r>
      <w:r>
        <w:rPr>
          <w:rFonts w:ascii="宋体" w:hAnsi="宋体" w:cs="宋体" w:eastAsia="宋体" w:hint="default"/>
        </w:rPr>
        <w:t>2018</w:t>
      </w:r>
      <w:r>
        <w:rPr>
          <w:rFonts w:ascii="宋体" w:hAnsi="宋体" w:cs="宋体" w:eastAsia="宋体" w:hint="default"/>
          <w:spacing w:val="-59"/>
        </w:rPr>
        <w:t> </w:t>
      </w:r>
      <w:r>
        <w:rPr/>
        <w:t>年度利润分配及资本公积</w:t>
      </w:r>
    </w:p>
    <w:p>
      <w:pPr>
        <w:pStyle w:val="BodyText"/>
        <w:spacing w:line="240" w:lineRule="auto" w:before="154"/>
        <w:ind w:right="0"/>
        <w:jc w:val="both"/>
      </w:pPr>
      <w:r>
        <w:rPr/>
        <w:t>金转增股本的议案</w:t>
      </w:r>
      <w:r>
        <w:rPr>
          <w:spacing w:val="-120"/>
        </w:rPr>
        <w:t>》</w:t>
      </w:r>
      <w:r>
        <w:rPr>
          <w:spacing w:val="-41"/>
        </w:rPr>
        <w:t>，</w:t>
      </w:r>
      <w:r>
        <w:rPr/>
        <w:t>同意以公司</w:t>
      </w:r>
      <w:r>
        <w:rPr>
          <w:spacing w:val="-60"/>
        </w:rPr>
        <w:t> </w:t>
      </w:r>
      <w:r>
        <w:rPr>
          <w:rFonts w:ascii="宋体" w:hAnsi="宋体" w:cs="宋体" w:eastAsia="宋体" w:hint="default"/>
        </w:rPr>
        <w:t>2018</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日总股本为基数</w:t>
      </w:r>
      <w:r>
        <w:rPr>
          <w:spacing w:val="-41"/>
        </w:rPr>
        <w:t>，</w:t>
      </w:r>
      <w:r>
        <w:rPr/>
        <w:t>向全体股东每</w:t>
      </w:r>
      <w:r>
        <w:rPr>
          <w:spacing w:val="-60"/>
        </w:rPr>
        <w:t> </w:t>
      </w:r>
      <w:r>
        <w:rPr>
          <w:rFonts w:ascii="宋体" w:hAnsi="宋体" w:cs="宋体" w:eastAsia="宋体" w:hint="default"/>
        </w:rPr>
        <w:t>10</w:t>
      </w:r>
      <w:r>
        <w:rPr>
          <w:rFonts w:ascii="宋体" w:hAnsi="宋体" w:cs="宋体" w:eastAsia="宋体" w:hint="default"/>
          <w:spacing w:val="-60"/>
        </w:rPr>
        <w:t> </w:t>
      </w:r>
      <w:r>
        <w:rPr/>
        <w:t>股派发</w:t>
      </w:r>
    </w:p>
    <w:p>
      <w:pPr>
        <w:pStyle w:val="BodyText"/>
        <w:spacing w:line="357" w:lineRule="auto" w:before="154"/>
        <w:ind w:right="1131"/>
        <w:jc w:val="both"/>
      </w:pPr>
      <w:r>
        <w:rPr/>
        <w:t>现金股利人民币</w:t>
      </w:r>
      <w:r>
        <w:rPr>
          <w:spacing w:val="-59"/>
        </w:rPr>
        <w:t> </w:t>
      </w:r>
      <w:r>
        <w:rPr>
          <w:rFonts w:ascii="宋体" w:hAnsi="宋体" w:cs="宋体" w:eastAsia="宋体" w:hint="default"/>
        </w:rPr>
        <w:t>1.50</w:t>
      </w:r>
      <w:r>
        <w:rPr>
          <w:rFonts w:ascii="宋体" w:hAnsi="宋体" w:cs="宋体" w:eastAsia="宋体" w:hint="default"/>
          <w:spacing w:val="-59"/>
        </w:rPr>
        <w:t> </w:t>
      </w:r>
      <w:r>
        <w:rPr>
          <w:spacing w:val="-9"/>
        </w:rPr>
        <w:t>元（含税），同时以资本公积金向全体股东每</w:t>
      </w:r>
      <w:r>
        <w:rPr>
          <w:spacing w:val="-59"/>
        </w:rPr>
        <w:t> </w:t>
      </w:r>
      <w:r>
        <w:rPr>
          <w:rFonts w:ascii="宋体" w:hAnsi="宋体" w:cs="宋体" w:eastAsia="宋体" w:hint="default"/>
        </w:rPr>
        <w:t>10</w:t>
      </w:r>
      <w:r>
        <w:rPr>
          <w:rFonts w:ascii="宋体" w:hAnsi="宋体" w:cs="宋体" w:eastAsia="宋体" w:hint="default"/>
          <w:spacing w:val="-59"/>
        </w:rPr>
        <w:t> </w:t>
      </w:r>
      <w:r>
        <w:rPr/>
        <w:t>股转增</w:t>
      </w:r>
      <w:r>
        <w:rPr>
          <w:spacing w:val="-59"/>
        </w:rPr>
        <w:t> </w:t>
      </w:r>
      <w:r>
        <w:rPr>
          <w:rFonts w:ascii="宋体" w:hAnsi="宋体" w:cs="宋体" w:eastAsia="宋体" w:hint="default"/>
        </w:rPr>
        <w:t>9</w:t>
      </w:r>
      <w:r>
        <w:rPr>
          <w:rFonts w:ascii="宋体" w:hAnsi="宋体" w:cs="宋体" w:eastAsia="宋体" w:hint="default"/>
          <w:spacing w:val="-59"/>
        </w:rPr>
        <w:t> </w:t>
      </w:r>
      <w:r>
        <w:rPr>
          <w:spacing w:val="-5"/>
        </w:rPr>
        <w:t>股。本次资本</w:t>
      </w:r>
      <w:r>
        <w:rPr/>
        <w:t> 公积金转增股本对投资者持股比例以及公司报告期内净资产收益率没有实质性的影响；本次 利润分配及资本公积金转增股本预案尚需经公司股东大会审议后确定最终的 </w:t>
      </w:r>
      <w:r>
        <w:rPr>
          <w:rFonts w:ascii="宋体" w:hAnsi="宋体" w:cs="宋体" w:eastAsia="宋体" w:hint="default"/>
        </w:rPr>
        <w:t>2018</w:t>
      </w:r>
      <w:r>
        <w:rPr>
          <w:rFonts w:ascii="宋体" w:hAnsi="宋体" w:cs="宋体" w:eastAsia="宋体" w:hint="default"/>
          <w:spacing w:val="10"/>
        </w:rPr>
        <w:t> </w:t>
      </w:r>
      <w:r>
        <w:rPr/>
        <w:t>年度利润 分配及资本公积金转增股本方案，存在不确定性风险。</w:t>
      </w:r>
    </w:p>
    <w:p>
      <w:pPr>
        <w:spacing w:after="0" w:line="357" w:lineRule="auto"/>
        <w:jc w:val="both"/>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十、接待调研、沟通、采访等活动登记表" w:id="58"/>
      <w:bookmarkEnd w:id="58"/>
      <w:r>
        <w:rPr>
          <w:b w:val="0"/>
          <w:bCs w:val="0"/>
        </w:rPr>
      </w:r>
      <w:r>
        <w:rPr/>
        <w:t>十、接待调研、沟通、采访等活动登记表</w:t>
      </w:r>
      <w:r>
        <w:rPr>
          <w:b w:val="0"/>
          <w:bCs w:val="0"/>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bookmarkStart w:name="1、报告期内接待调研、沟通、采访等活动登记表" w:id="59"/>
      <w:bookmarkEnd w:id="59"/>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、报告期内接待调研、沟通、采访等活动登记表</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178"/>
        <w:gridCol w:w="2177"/>
        <w:gridCol w:w="2177"/>
        <w:gridCol w:w="3038"/>
      </w:tblGrid>
      <w:tr>
        <w:trPr>
          <w:trHeight w:val="401" w:hRule="exact"/>
        </w:trPr>
        <w:tc>
          <w:tcPr>
            <w:tcW w:w="2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43"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04"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60"/>
                <w:sz w:val="18"/>
                <w:szCs w:val="18"/>
              </w:rPr>
              <w:t> </w:t>
            </w:r>
            <w:hyperlink r:id="rId11">
              <w:r>
                <w:rPr>
                  <w:rFonts w:ascii="Times New Roman" w:hAnsi="Times New Roman" w:cs="Times New Roman" w:eastAsia="Times New Roman" w:hint="default"/>
                  <w:sz w:val="18"/>
                  <w:szCs w:val="18"/>
                </w:rPr>
                <w:t>www.cninfo.com.cn</w:t>
              </w:r>
            </w:hyperlink>
          </w:p>
        </w:tc>
      </w:tr>
      <w:tr>
        <w:trPr>
          <w:trHeight w:val="403"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60"/>
                <w:sz w:val="18"/>
                <w:szCs w:val="18"/>
              </w:rPr>
              <w:t> </w:t>
            </w:r>
            <w:hyperlink r:id="rId11">
              <w:r>
                <w:rPr>
                  <w:rFonts w:ascii="Times New Roman" w:hAnsi="Times New Roman" w:cs="Times New Roman" w:eastAsia="Times New Roman" w:hint="default"/>
                  <w:sz w:val="18"/>
                  <w:szCs w:val="18"/>
                </w:rPr>
                <w:t>www.cninfo.com.cn</w:t>
              </w:r>
            </w:hyperlink>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r>
        <w:rPr/>
        <w:pict>
          <v:group style="position:absolute;margin-left:242.839996pt;margin-top:669.179993pt;width:290.95pt;height:20.8pt;mso-position-horizontal-relative:page;mso-position-vertical-relative:page;z-index:-1010296" coordorigin="4857,13384" coordsize="5819,416">
            <v:group style="position:absolute;left:4868;top:13395;width:2;height:393" coordorigin="4868,13395" coordsize="2,393">
              <v:shape style="position:absolute;left:4868;top:13395;width:2;height:393" coordorigin="4868,13395" coordsize="0,393" path="m4868,13395l4868,13788e" filled="false" stroked="true" strokeweight="1.160pt" strokecolor="#ffffff">
                <v:path arrowok="t"/>
              </v:shape>
            </v:group>
            <v:group style="position:absolute;left:4880;top:13395;width:5796;height:393" coordorigin="4880,13395" coordsize="5796,393">
              <v:shape style="position:absolute;left:4880;top:13395;width:5796;height:393" coordorigin="4880,13395" coordsize="5796,393" path="m4880,13788l10675,13788,10675,13395,4880,13395,4880,13788xe" filled="true" fillcolor="#ffffff" stroked="false">
                <v:path arrowok="t"/>
                <v:fill type="solid"/>
              </v:shape>
            </v:group>
            <w10:wrap type="none"/>
          </v:group>
        </w:pic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978"/>
        <w:jc w:val="center"/>
        <w:rPr>
          <w:b w:val="0"/>
          <w:bCs w:val="0"/>
        </w:rPr>
      </w:pPr>
      <w:bookmarkStart w:name="第五节 重要事项" w:id="60"/>
      <w:bookmarkEnd w:id="60"/>
      <w:r>
        <w:rPr>
          <w:b w:val="0"/>
          <w:bCs w:val="0"/>
        </w:rPr>
      </w:r>
      <w:bookmarkStart w:name="_bookmark3" w:id="61"/>
      <w:bookmarkEnd w:id="61"/>
      <w:r>
        <w:rPr>
          <w:b w:val="0"/>
          <w:bCs w:val="0"/>
        </w:rPr>
      </w:r>
      <w:r>
        <w:rPr/>
        <w:t>第五节</w:t>
      </w:r>
      <w:r>
        <w:rPr>
          <w:spacing w:val="-5"/>
        </w:rPr>
        <w:t> </w:t>
      </w:r>
      <w:r>
        <w:rPr/>
        <w:t>重要事项</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公司普通股利润分配及资本公积金转增股本情况" w:id="62"/>
      <w:bookmarkEnd w:id="62"/>
      <w:r>
        <w:rPr>
          <w:b w:val="0"/>
          <w:bCs w:val="0"/>
        </w:rPr>
      </w:r>
      <w:r>
        <w:rPr/>
        <w:t>一、公司普通股利润分配及资本公积金转增股本情况</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报告期内普通股利润分配政策，特别是现金分红政策的制定、执行或调整情况</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338" w:lineRule="auto" w:before="130"/>
        <w:ind w:right="1124" w:firstLine="480"/>
        <w:jc w:val="left"/>
      </w:pP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18</w:t>
      </w:r>
      <w:r>
        <w:rPr>
          <w:spacing w:val="-2"/>
        </w:rPr>
        <w:t>日，公司</w:t>
      </w:r>
      <w:r>
        <w:rPr>
          <w:rFonts w:ascii="Times New Roman" w:hAnsi="Times New Roman" w:cs="Times New Roman" w:eastAsia="Times New Roman" w:hint="default"/>
          <w:spacing w:val="-2"/>
        </w:rPr>
        <w:t>2017</w:t>
      </w:r>
      <w:r>
        <w:rPr>
          <w:spacing w:val="-2"/>
        </w:rPr>
        <w:t>年度股东大会审议通过了《关于公司</w:t>
      </w:r>
      <w:r>
        <w:rPr>
          <w:rFonts w:ascii="Times New Roman" w:hAnsi="Times New Roman" w:cs="Times New Roman" w:eastAsia="Times New Roman" w:hint="default"/>
          <w:spacing w:val="-2"/>
        </w:rPr>
        <w:t>2017</w:t>
      </w:r>
      <w:r>
        <w:rPr>
          <w:spacing w:val="-2"/>
        </w:rPr>
        <w:t>年度利润分配预案的</w:t>
      </w:r>
      <w:r>
        <w:rPr/>
        <w:t> </w:t>
      </w:r>
      <w:r>
        <w:rPr>
          <w:spacing w:val="-2"/>
        </w:rPr>
        <w:t>议案》，公司</w:t>
      </w:r>
      <w:r>
        <w:rPr>
          <w:rFonts w:ascii="Times New Roman" w:hAnsi="Times New Roman" w:cs="Times New Roman" w:eastAsia="Times New Roman" w:hint="default"/>
          <w:spacing w:val="-2"/>
        </w:rPr>
        <w:t>2017</w:t>
      </w:r>
      <w:r>
        <w:rPr>
          <w:spacing w:val="-2"/>
        </w:rPr>
        <w:t>年度利润分配具体方案为：以总股本</w:t>
      </w:r>
      <w:r>
        <w:rPr>
          <w:rFonts w:ascii="Times New Roman" w:hAnsi="Times New Roman" w:cs="Times New Roman" w:eastAsia="Times New Roman" w:hint="default"/>
          <w:spacing w:val="-2"/>
        </w:rPr>
        <w:t>66,666,667</w:t>
      </w:r>
      <w:r>
        <w:rPr>
          <w:spacing w:val="-2"/>
        </w:rPr>
        <w:t>股为基数，向全体股东按每</w:t>
      </w:r>
      <w:r>
        <w:rPr>
          <w:spacing w:val="-108"/>
        </w:rPr>
        <w:t> </w:t>
      </w:r>
      <w:r>
        <w:rPr>
          <w:spacing w:val="-108"/>
        </w:rPr>
      </w:r>
      <w:r>
        <w:rPr>
          <w:rFonts w:ascii="Times New Roman" w:hAnsi="Times New Roman" w:cs="Times New Roman" w:eastAsia="Times New Roman" w:hint="default"/>
          <w:spacing w:val="-2"/>
        </w:rPr>
        <w:t>10</w:t>
      </w:r>
      <w:r>
        <w:rPr>
          <w:spacing w:val="-2"/>
        </w:rPr>
        <w:t>股派发现金股利人民币</w:t>
      </w:r>
      <w:r>
        <w:rPr>
          <w:rFonts w:ascii="Times New Roman" w:hAnsi="Times New Roman" w:cs="Times New Roman" w:eastAsia="Times New Roman" w:hint="default"/>
          <w:spacing w:val="-2"/>
        </w:rPr>
        <w:t>2.00</w:t>
      </w:r>
      <w:r>
        <w:rPr>
          <w:spacing w:val="-2"/>
        </w:rPr>
        <w:t>元（含税），合计派发现金股利</w:t>
      </w:r>
      <w:r>
        <w:rPr>
          <w:rFonts w:ascii="Times New Roman" w:hAnsi="Times New Roman" w:cs="Times New Roman" w:eastAsia="Times New Roman" w:hint="default"/>
          <w:spacing w:val="-2"/>
        </w:rPr>
        <w:t>13,333,333.40</w:t>
      </w:r>
      <w:r>
        <w:rPr>
          <w:spacing w:val="-2"/>
        </w:rPr>
        <w:t>元（含税），不送</w:t>
      </w:r>
      <w:r>
        <w:rPr>
          <w:spacing w:val="-106"/>
        </w:rPr>
        <w:t> </w:t>
      </w:r>
      <w:r>
        <w:rPr>
          <w:spacing w:val="-106"/>
        </w:rPr>
      </w:r>
      <w:r>
        <w:rPr/>
        <w:t>红股，不以资本公积金转增股本。股权登记日为：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5</w:t>
      </w:r>
      <w:r>
        <w:rPr/>
        <w:t>日，除权除息日为：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 </w:t>
      </w:r>
      <w:r>
        <w:rPr/>
        <w:t>月</w:t>
      </w:r>
      <w:r>
        <w:rPr>
          <w:rFonts w:ascii="Times New Roman" w:hAnsi="Times New Roman" w:cs="Times New Roman" w:eastAsia="Times New Roman" w:hint="default"/>
        </w:rPr>
        <w:t>6</w:t>
      </w:r>
      <w:r>
        <w:rPr/>
        <w:t>日。该利润分配方案已于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6</w:t>
      </w:r>
      <w:r>
        <w:rPr/>
        <w:t>日实施完毕。</w:t>
      </w:r>
    </w:p>
    <w:tbl>
      <w:tblPr>
        <w:tblW w:w="0" w:type="auto"/>
        <w:jc w:val="left"/>
        <w:tblInd w:w="160" w:type="dxa"/>
        <w:tblLayout w:type="fixed"/>
        <w:tblCellMar>
          <w:top w:w="0" w:type="dxa"/>
          <w:left w:w="0" w:type="dxa"/>
          <w:bottom w:w="0" w:type="dxa"/>
          <w:right w:w="0" w:type="dxa"/>
        </w:tblCellMar>
        <w:tblLook w:val="01E0"/>
      </w:tblPr>
      <w:tblGrid>
        <w:gridCol w:w="4762"/>
        <w:gridCol w:w="4796"/>
      </w:tblGrid>
      <w:tr>
        <w:trPr>
          <w:trHeight w:val="397"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8"/>
              <w:ind w:left="-1" w:right="1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7"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3"/>
              <w:ind w:left="11"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3"/>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8"/>
              <w:ind w:left="11"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8"/>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8"/>
              <w:ind w:left="11"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8"/>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8"/>
              <w:ind w:left="11"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8"/>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38"/>
              <w:ind w:left="11" w:right="58"/>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38"/>
              <w:ind w:left="11" w:right="58"/>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before="38"/>
        <w:ind w:left="154" w:right="0" w:firstLine="0"/>
        <w:jc w:val="left"/>
        <w:rPr>
          <w:rFonts w:ascii="宋体" w:hAnsi="宋体" w:cs="宋体" w:eastAsia="宋体" w:hint="default"/>
          <w:sz w:val="18"/>
          <w:szCs w:val="18"/>
        </w:rPr>
      </w:pPr>
      <w:r>
        <w:rPr>
          <w:rFonts w:ascii="宋体" w:hAnsi="宋体" w:cs="宋体" w:eastAsia="宋体" w:hint="default"/>
          <w:sz w:val="18"/>
          <w:szCs w:val="18"/>
        </w:rPr>
        <w:t>公司报告期利润分配预案及资本公积金转增股本预案与公司章程和分红管理办法等的相关规定一致</w:t>
      </w:r>
    </w:p>
    <w:p>
      <w:pPr>
        <w:spacing w:line="348" w:lineRule="auto" w:before="117"/>
        <w:ind w:left="154" w:right="42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宋体" w:hAnsi="宋体" w:cs="宋体" w:eastAsia="宋体" w:hint="default"/>
          <w:sz w:val="18"/>
          <w:szCs w:val="18"/>
        </w:rPr>
        <w:t>否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公司报告期利润分配预案及资本公积金转增股本预案符合公司章程等的相关规定。 本年度利润分配及资本公积金转增股本情况</w:t>
      </w:r>
    </w:p>
    <w:tbl>
      <w:tblPr>
        <w:tblW w:w="0" w:type="auto"/>
        <w:jc w:val="left"/>
        <w:tblInd w:w="149" w:type="dxa"/>
        <w:tblLayout w:type="fixed"/>
        <w:tblCellMar>
          <w:top w:w="0" w:type="dxa"/>
          <w:left w:w="0" w:type="dxa"/>
          <w:bottom w:w="0" w:type="dxa"/>
          <w:right w:w="0" w:type="dxa"/>
        </w:tblCellMar>
        <w:tblLook w:val="01E0"/>
      </w:tblPr>
      <w:tblGrid>
        <w:gridCol w:w="3717"/>
        <w:gridCol w:w="5851"/>
      </w:tblGrid>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1.50</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66,666,667</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现金分红金额（元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10,000,000.05</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以其他方式（如回购股份）现金分红金额（元</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tabs>
                <w:tab w:pos="5504" w:val="left" w:leader="none"/>
              </w:tabs>
              <w:spacing w:line="240" w:lineRule="auto" w:before="51"/>
              <w:ind w:left="-124" w:right="19"/>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0.00</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现金分红总额（含其他方式</w:t>
            </w:r>
            <w:r>
              <w:rPr>
                <w:rFonts w:ascii="宋体" w:hAnsi="宋体" w:cs="宋体" w:eastAsia="宋体" w:hint="default"/>
                <w:spacing w:val="-90"/>
                <w:sz w:val="18"/>
                <w:szCs w:val="18"/>
              </w:rPr>
              <w:t>）</w:t>
            </w:r>
            <w:r>
              <w:rPr>
                <w:rFonts w:ascii="宋体" w:hAnsi="宋体" w:cs="宋体" w:eastAsia="宋体" w:hint="default"/>
                <w:sz w:val="18"/>
                <w:szCs w:val="18"/>
              </w:rPr>
              <w:t>（元）</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10,000,000.05</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211,138,977.02</w:t>
            </w:r>
          </w:p>
        </w:tc>
      </w:tr>
      <w:tr>
        <w:trPr>
          <w:trHeight w:val="714"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84"/>
              <w:jc w:val="left"/>
              <w:rPr>
                <w:rFonts w:ascii="宋体" w:hAnsi="宋体" w:cs="宋体" w:eastAsia="宋体" w:hint="default"/>
                <w:sz w:val="18"/>
                <w:szCs w:val="18"/>
              </w:rPr>
            </w:pPr>
            <w:r>
              <w:rPr>
                <w:rFonts w:ascii="宋体" w:hAnsi="宋体" w:cs="宋体" w:eastAsia="宋体" w:hint="default"/>
                <w:sz w:val="18"/>
                <w:szCs w:val="18"/>
              </w:rPr>
              <w:t>现金分红总额（含其他方式）占利润分配总额 的比例</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9569"/>
      </w:tblGrid>
      <w:tr>
        <w:trPr>
          <w:trHeight w:val="402" w:hRule="exact"/>
        </w:trPr>
        <w:tc>
          <w:tcPr>
            <w:tcW w:w="9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2" w:hRule="exact"/>
        </w:trPr>
        <w:tc>
          <w:tcPr>
            <w:tcW w:w="9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pacing w:val="-2"/>
                <w:sz w:val="18"/>
                <w:szCs w:val="18"/>
              </w:rPr>
              <w:t>公司发展阶段属成长期且有重大资金支出安排的，进行利润分配时，现金分红在本次利润分配中所占比例最低应达到</w:t>
            </w:r>
            <w:r>
              <w:rPr>
                <w:rFonts w:ascii="宋体" w:hAnsi="宋体" w:cs="宋体" w:eastAsia="宋体" w:hint="default"/>
                <w:spacing w:val="-1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p>
        </w:tc>
      </w:tr>
      <w:tr>
        <w:trPr>
          <w:trHeight w:val="402" w:hRule="exact"/>
        </w:trPr>
        <w:tc>
          <w:tcPr>
            <w:tcW w:w="9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1650" w:hRule="exact"/>
        </w:trPr>
        <w:tc>
          <w:tcPr>
            <w:tcW w:w="95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both"/>
              <w:rPr>
                <w:rFonts w:ascii="宋体" w:hAnsi="宋体" w:cs="宋体" w:eastAsia="宋体" w:hint="default"/>
                <w:sz w:val="18"/>
                <w:szCs w:val="18"/>
              </w:rPr>
            </w:pPr>
            <w:r>
              <w:rPr>
                <w:rFonts w:ascii="宋体" w:hAnsi="宋体" w:cs="宋体" w:eastAsia="宋体" w:hint="default"/>
                <w:spacing w:val="-4"/>
                <w:sz w:val="18"/>
                <w:szCs w:val="18"/>
              </w:rPr>
              <w:t>目前公司经营盈利情况良好，但仍处于发展阶段，属于成长期。根据《中华人民共和国公司法》、《公司章程》等有关规定</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
                <w:sz w:val="18"/>
                <w:szCs w:val="18"/>
              </w:rPr>
              <w:t>及公司实际经营情况，为了更好的兼顾股东的即期利益和长远利益，在符合利润分配原则、保证公司正常经营和长远发展</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3"/>
                <w:sz w:val="18"/>
                <w:szCs w:val="18"/>
              </w:rPr>
              <w:t>的前提下，公司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年度利润分配及资本公积金转增股本的预案为：以截止</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日公司总股本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66,666,667 </w:t>
            </w:r>
            <w:r>
              <w:rPr>
                <w:rFonts w:ascii="宋体" w:hAnsi="宋体" w:cs="宋体" w:eastAsia="宋体" w:hint="default"/>
                <w:sz w:val="18"/>
                <w:szCs w:val="18"/>
              </w:rPr>
              <w:t>股</w:t>
            </w:r>
          </w:p>
          <w:p>
            <w:pPr>
              <w:pStyle w:val="TableParagraph"/>
              <w:spacing w:line="248" w:lineRule="exact"/>
              <w:ind w:left="22" w:right="0"/>
              <w:jc w:val="both"/>
              <w:rPr>
                <w:rFonts w:ascii="宋体" w:hAnsi="宋体" w:cs="宋体" w:eastAsia="宋体" w:hint="default"/>
                <w:sz w:val="18"/>
                <w:szCs w:val="18"/>
              </w:rPr>
            </w:pPr>
            <w:r>
              <w:rPr>
                <w:rFonts w:ascii="宋体" w:hAnsi="宋体" w:cs="宋体" w:eastAsia="宋体" w:hint="default"/>
                <w:sz w:val="18"/>
                <w:szCs w:val="18"/>
              </w:rPr>
              <w:t>为基数</w:t>
            </w:r>
            <w:r>
              <w:rPr>
                <w:rFonts w:ascii="宋体" w:hAnsi="宋体" w:cs="宋体" w:eastAsia="宋体" w:hint="default"/>
                <w:spacing w:val="-6"/>
                <w:sz w:val="18"/>
                <w:szCs w:val="18"/>
              </w:rPr>
              <w:t>，</w:t>
            </w:r>
            <w:r>
              <w:rPr>
                <w:rFonts w:ascii="宋体" w:hAnsi="宋体" w:cs="宋体" w:eastAsia="宋体" w:hint="default"/>
                <w:sz w:val="18"/>
                <w:szCs w:val="18"/>
              </w:rPr>
              <w:t>向全体股东每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股</w:t>
            </w:r>
            <w:r>
              <w:rPr>
                <w:rFonts w:ascii="宋体" w:hAnsi="宋体" w:cs="宋体" w:eastAsia="宋体" w:hint="default"/>
                <w:sz w:val="18"/>
                <w:szCs w:val="18"/>
              </w:rPr>
              <w:t>派发现金红利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1.50 </w:t>
            </w:r>
            <w:r>
              <w:rPr>
                <w:rFonts w:ascii="宋体" w:hAnsi="宋体" w:cs="宋体" w:eastAsia="宋体" w:hint="default"/>
                <w:sz w:val="18"/>
                <w:szCs w:val="18"/>
              </w:rPr>
              <w:t>元人民</w:t>
            </w:r>
            <w:r>
              <w:rPr>
                <w:rFonts w:ascii="宋体" w:hAnsi="宋体" w:cs="宋体" w:eastAsia="宋体" w:hint="default"/>
                <w:spacing w:val="-6"/>
                <w:sz w:val="18"/>
                <w:szCs w:val="18"/>
              </w:rPr>
              <w:t>币</w:t>
            </w:r>
            <w:r>
              <w:rPr>
                <w:rFonts w:ascii="宋体" w:hAnsi="宋体" w:cs="宋体" w:eastAsia="宋体" w:hint="default"/>
                <w:sz w:val="18"/>
                <w:szCs w:val="18"/>
              </w:rPr>
              <w:t>（含税</w:t>
            </w:r>
            <w:r>
              <w:rPr>
                <w:rFonts w:ascii="宋体" w:hAnsi="宋体" w:cs="宋体" w:eastAsia="宋体" w:hint="default"/>
                <w:spacing w:val="-90"/>
                <w:sz w:val="18"/>
                <w:szCs w:val="18"/>
              </w:rPr>
              <w:t>）</w:t>
            </w:r>
            <w:r>
              <w:rPr>
                <w:rFonts w:ascii="宋体" w:hAnsi="宋体" w:cs="宋体" w:eastAsia="宋体" w:hint="default"/>
                <w:spacing w:val="-6"/>
                <w:sz w:val="18"/>
                <w:szCs w:val="18"/>
              </w:rPr>
              <w:t>，</w:t>
            </w:r>
            <w:r>
              <w:rPr>
                <w:rFonts w:ascii="宋体" w:hAnsi="宋体" w:cs="宋体" w:eastAsia="宋体" w:hint="default"/>
                <w:sz w:val="18"/>
                <w:szCs w:val="18"/>
              </w:rPr>
              <w:t>合计</w:t>
            </w:r>
            <w:r>
              <w:rPr>
                <w:rFonts w:ascii="宋体" w:hAnsi="宋体" w:cs="宋体" w:eastAsia="宋体" w:hint="default"/>
                <w:spacing w:val="-1"/>
                <w:sz w:val="18"/>
                <w:szCs w:val="18"/>
              </w:rPr>
              <w:t>派</w:t>
            </w:r>
            <w:r>
              <w:rPr>
                <w:rFonts w:ascii="宋体" w:hAnsi="宋体" w:cs="宋体" w:eastAsia="宋体" w:hint="default"/>
                <w:sz w:val="18"/>
                <w:szCs w:val="18"/>
              </w:rPr>
              <w:t>发现金股利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10,000,000.05 </w:t>
            </w:r>
            <w:r>
              <w:rPr>
                <w:rFonts w:ascii="宋体" w:hAnsi="宋体" w:cs="宋体" w:eastAsia="宋体" w:hint="default"/>
                <w:spacing w:val="-6"/>
                <w:sz w:val="18"/>
                <w:szCs w:val="18"/>
              </w:rPr>
              <w:t>元</w:t>
            </w:r>
            <w:r>
              <w:rPr>
                <w:rFonts w:ascii="宋体" w:hAnsi="宋体" w:cs="宋体" w:eastAsia="宋体" w:hint="default"/>
                <w:sz w:val="18"/>
                <w:szCs w:val="18"/>
              </w:rPr>
              <w:t>（含税</w:t>
            </w:r>
            <w:r>
              <w:rPr>
                <w:rFonts w:ascii="宋体" w:hAnsi="宋体" w:cs="宋体" w:eastAsia="宋体" w:hint="default"/>
                <w:spacing w:val="-90"/>
                <w:sz w:val="18"/>
                <w:szCs w:val="18"/>
              </w:rPr>
              <w:t>）</w:t>
            </w:r>
            <w:r>
              <w:rPr>
                <w:rFonts w:ascii="宋体" w:hAnsi="宋体" w:cs="宋体" w:eastAsia="宋体" w:hint="default"/>
                <w:spacing w:val="-6"/>
                <w:sz w:val="18"/>
                <w:szCs w:val="18"/>
              </w:rPr>
              <w:t>，</w:t>
            </w:r>
            <w:r>
              <w:rPr>
                <w:rFonts w:ascii="宋体" w:hAnsi="宋体" w:cs="宋体" w:eastAsia="宋体" w:hint="default"/>
                <w:sz w:val="18"/>
                <w:szCs w:val="18"/>
              </w:rPr>
              <w:t>剩余</w:t>
            </w:r>
            <w:r>
              <w:rPr>
                <w:rFonts w:ascii="宋体" w:hAnsi="宋体" w:cs="宋体" w:eastAsia="宋体" w:hint="default"/>
                <w:spacing w:val="1"/>
                <w:sz w:val="18"/>
                <w:szCs w:val="18"/>
              </w:rPr>
              <w:t>未</w:t>
            </w:r>
            <w:r>
              <w:rPr>
                <w:rFonts w:ascii="宋体" w:hAnsi="宋体" w:cs="宋体" w:eastAsia="宋体" w:hint="default"/>
                <w:sz w:val="18"/>
                <w:szCs w:val="18"/>
              </w:rPr>
              <w:t>分</w:t>
            </w:r>
          </w:p>
          <w:p>
            <w:pPr>
              <w:pStyle w:val="TableParagraph"/>
              <w:spacing w:line="240" w:lineRule="auto" w:before="64"/>
              <w:ind w:left="22" w:right="0"/>
              <w:jc w:val="both"/>
              <w:rPr>
                <w:rFonts w:ascii="宋体" w:hAnsi="宋体" w:cs="宋体" w:eastAsia="宋体" w:hint="default"/>
                <w:sz w:val="18"/>
                <w:szCs w:val="18"/>
              </w:rPr>
            </w:pPr>
            <w:r>
              <w:rPr>
                <w:rFonts w:ascii="宋体" w:hAnsi="宋体" w:cs="宋体" w:eastAsia="宋体" w:hint="default"/>
                <w:sz w:val="18"/>
                <w:szCs w:val="18"/>
              </w:rPr>
              <w:t>配利润结转至下年度；同时以资本公积金向全体股东每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股。本预案尚需提交公司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年度股东大会审议。</w:t>
            </w:r>
          </w:p>
        </w:tc>
      </w:tr>
    </w:tbl>
    <w:p>
      <w:pPr>
        <w:spacing w:before="51"/>
        <w:ind w:left="154" w:right="0" w:firstLine="0"/>
        <w:jc w:val="both"/>
        <w:rPr>
          <w:rFonts w:ascii="宋体" w:hAnsi="宋体" w:cs="宋体" w:eastAsia="宋体" w:hint="default"/>
          <w:sz w:val="18"/>
          <w:szCs w:val="18"/>
        </w:rPr>
      </w:pPr>
      <w:r>
        <w:rPr>
          <w:rFonts w:ascii="宋体" w:hAnsi="宋体" w:cs="宋体" w:eastAsia="宋体" w:hint="default"/>
          <w:sz w:val="18"/>
          <w:szCs w:val="18"/>
        </w:rPr>
        <w:t>公司近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1"/>
          <w:sz w:val="18"/>
          <w:szCs w:val="18"/>
        </w:rPr>
        <w:t>（</w:t>
      </w:r>
      <w:r>
        <w:rPr>
          <w:rFonts w:ascii="宋体" w:hAnsi="宋体" w:cs="宋体" w:eastAsia="宋体" w:hint="default"/>
          <w:sz w:val="18"/>
          <w:szCs w:val="18"/>
        </w:rPr>
        <w:t>包括本报告期）的普通股股利分配方案（预案</w:t>
      </w:r>
      <w:r>
        <w:rPr>
          <w:rFonts w:ascii="宋体" w:hAnsi="宋体" w:cs="宋体" w:eastAsia="宋体" w:hint="default"/>
          <w:spacing w:val="-90"/>
          <w:sz w:val="18"/>
          <w:szCs w:val="18"/>
        </w:rPr>
        <w:t>）</w:t>
      </w:r>
      <w:r>
        <w:rPr>
          <w:rFonts w:ascii="宋体" w:hAnsi="宋体" w:cs="宋体" w:eastAsia="宋体" w:hint="default"/>
          <w:sz w:val="18"/>
          <w:szCs w:val="18"/>
        </w:rPr>
        <w:t>、资本公积金转增股本方案（预案）情况</w:t>
      </w:r>
    </w:p>
    <w:p>
      <w:pPr>
        <w:pStyle w:val="BodyText"/>
        <w:spacing w:line="240" w:lineRule="auto" w:before="132"/>
        <w:ind w:left="634" w:right="0"/>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2018</w:t>
      </w:r>
      <w:r>
        <w:rPr/>
        <w:t>年度利润分配及资本公积金转增股本预案为：以截至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日公司总股本</w:t>
      </w:r>
    </w:p>
    <w:p>
      <w:pPr>
        <w:pStyle w:val="BodyText"/>
        <w:spacing w:line="338" w:lineRule="auto" w:before="135"/>
        <w:ind w:right="1132"/>
        <w:jc w:val="both"/>
      </w:pPr>
      <w:r>
        <w:rPr>
          <w:rFonts w:ascii="Times New Roman" w:hAnsi="Times New Roman" w:cs="Times New Roman" w:eastAsia="Times New Roman" w:hint="default"/>
          <w:spacing w:val="-1"/>
        </w:rPr>
        <w:t>66,666,667</w:t>
      </w:r>
      <w:r>
        <w:rPr>
          <w:spacing w:val="-1"/>
        </w:rPr>
        <w:t>股为基数，向全体股东按每</w:t>
      </w:r>
      <w:r>
        <w:rPr>
          <w:rFonts w:ascii="Times New Roman" w:hAnsi="Times New Roman" w:cs="Times New Roman" w:eastAsia="Times New Roman" w:hint="default"/>
          <w:spacing w:val="-1"/>
        </w:rPr>
        <w:t>10</w:t>
      </w:r>
      <w:r>
        <w:rPr>
          <w:spacing w:val="-1"/>
        </w:rPr>
        <w:t>股派发现金股利人民币</w:t>
      </w:r>
      <w:r>
        <w:rPr>
          <w:rFonts w:ascii="Times New Roman" w:hAnsi="Times New Roman" w:cs="Times New Roman" w:eastAsia="Times New Roman" w:hint="default"/>
          <w:spacing w:val="-1"/>
        </w:rPr>
        <w:t>1.50</w:t>
      </w:r>
      <w:r>
        <w:rPr>
          <w:spacing w:val="-1"/>
        </w:rPr>
        <w:t>元（含税），合计派发现</w:t>
      </w:r>
      <w:r>
        <w:rPr>
          <w:spacing w:val="-94"/>
        </w:rPr>
        <w:t> </w:t>
      </w:r>
      <w:r>
        <w:rPr>
          <w:spacing w:val="-94"/>
        </w:rPr>
      </w:r>
      <w:r>
        <w:rPr/>
        <w:t>金股利</w:t>
      </w:r>
      <w:r>
        <w:rPr>
          <w:rFonts w:ascii="Times New Roman" w:hAnsi="Times New Roman" w:cs="Times New Roman" w:eastAsia="Times New Roman" w:hint="default"/>
        </w:rPr>
        <w:t>10,000,000.05</w:t>
      </w:r>
      <w:r>
        <w:rPr/>
        <w:t>元（含税），剩余未分配利润结转至下年度；同时以资本公积金向全体</w:t>
      </w:r>
      <w:r>
        <w:rPr>
          <w:spacing w:val="-37"/>
        </w:rPr>
        <w:t> </w:t>
      </w:r>
      <w:r>
        <w:rPr>
          <w:spacing w:val="-37"/>
        </w:rPr>
      </w:r>
      <w:r>
        <w:rPr>
          <w:spacing w:val="3"/>
        </w:rPr>
        <w:t>股东每</w:t>
      </w:r>
      <w:r>
        <w:rPr>
          <w:rFonts w:ascii="Times New Roman" w:hAnsi="Times New Roman" w:cs="Times New Roman" w:eastAsia="Times New Roman" w:hint="default"/>
          <w:spacing w:val="3"/>
        </w:rPr>
        <w:t>10</w:t>
      </w:r>
      <w:r>
        <w:rPr>
          <w:spacing w:val="3"/>
        </w:rPr>
        <w:t>股转增</w:t>
      </w:r>
      <w:r>
        <w:rPr>
          <w:rFonts w:ascii="Times New Roman" w:hAnsi="Times New Roman" w:cs="Times New Roman" w:eastAsia="Times New Roman" w:hint="default"/>
          <w:spacing w:val="3"/>
        </w:rPr>
        <w:t>9</w:t>
      </w:r>
      <w:r>
        <w:rPr>
          <w:spacing w:val="3"/>
        </w:rPr>
        <w:t>股。以上利润分配方案已经第三届董事会第二次会议审议通过，尚需提交</w:t>
      </w:r>
      <w:r>
        <w:rPr>
          <w:spacing w:val="-106"/>
        </w:rPr>
        <w:t> </w:t>
      </w:r>
      <w:r>
        <w:rPr>
          <w:spacing w:val="-106"/>
        </w:rPr>
      </w:r>
      <w:r>
        <w:rPr>
          <w:rFonts w:ascii="Times New Roman" w:hAnsi="Times New Roman" w:cs="Times New Roman" w:eastAsia="Times New Roman" w:hint="default"/>
        </w:rPr>
        <w:t>2018</w:t>
      </w:r>
      <w:r>
        <w:rPr/>
        <w:t>年度股东大会审议通过。</w:t>
      </w:r>
    </w:p>
    <w:p>
      <w:pPr>
        <w:pStyle w:val="BodyText"/>
        <w:spacing w:line="338" w:lineRule="auto" w:before="27"/>
        <w:ind w:right="1129" w:firstLine="480"/>
        <w:jc w:val="both"/>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18</w:t>
      </w:r>
      <w:r>
        <w:rPr/>
        <w:t>日公司召开</w:t>
      </w:r>
      <w:r>
        <w:rPr>
          <w:rFonts w:ascii="Times New Roman" w:hAnsi="Times New Roman" w:cs="Times New Roman" w:eastAsia="Times New Roman" w:hint="default"/>
        </w:rPr>
        <w:t>2017</w:t>
      </w:r>
      <w:r>
        <w:rPr/>
        <w:t>年度股东大会，审议通过《关于公司</w:t>
      </w:r>
      <w:r>
        <w:rPr>
          <w:rFonts w:ascii="Times New Roman" w:hAnsi="Times New Roman" w:cs="Times New Roman" w:eastAsia="Times New Roman" w:hint="default"/>
        </w:rPr>
        <w:t>2017</w:t>
      </w:r>
      <w:r>
        <w:rPr/>
        <w:t>年度利润分配 </w:t>
      </w:r>
      <w:r>
        <w:rPr>
          <w:spacing w:val="2"/>
        </w:rPr>
        <w:t>预案的议案》：以截至</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日公司总股本</w:t>
      </w:r>
      <w:r>
        <w:rPr>
          <w:rFonts w:ascii="Times New Roman" w:hAnsi="Times New Roman" w:cs="Times New Roman" w:eastAsia="Times New Roman" w:hint="default"/>
          <w:spacing w:val="2"/>
        </w:rPr>
        <w:t>66,666,667</w:t>
      </w:r>
      <w:r>
        <w:rPr>
          <w:spacing w:val="2"/>
        </w:rPr>
        <w:t>股为基数，向全体股东按每</w:t>
      </w:r>
      <w:r>
        <w:rPr>
          <w:rFonts w:ascii="Times New Roman" w:hAnsi="Times New Roman" w:cs="Times New Roman" w:eastAsia="Times New Roman" w:hint="default"/>
          <w:spacing w:val="2"/>
        </w:rPr>
        <w:t>10</w:t>
      </w:r>
      <w:r>
        <w:rPr>
          <w:rFonts w:ascii="Times New Roman" w:hAnsi="Times New Roman" w:cs="Times New Roman" w:eastAsia="Times New Roman" w:hint="default"/>
          <w:spacing w:val="-18"/>
        </w:rPr>
        <w:t> </w:t>
      </w:r>
      <w:r>
        <w:rPr>
          <w:spacing w:val="-2"/>
        </w:rPr>
        <w:t>股派发现金股利人民币</w:t>
      </w:r>
      <w:r>
        <w:rPr>
          <w:rFonts w:ascii="Times New Roman" w:hAnsi="Times New Roman" w:cs="Times New Roman" w:eastAsia="Times New Roman" w:hint="default"/>
          <w:spacing w:val="-2"/>
        </w:rPr>
        <w:t>2.00</w:t>
      </w:r>
      <w:r>
        <w:rPr>
          <w:spacing w:val="-2"/>
        </w:rPr>
        <w:t>元（含税），合计派发现金股利</w:t>
      </w:r>
      <w:r>
        <w:rPr>
          <w:rFonts w:ascii="Times New Roman" w:hAnsi="Times New Roman" w:cs="Times New Roman" w:eastAsia="Times New Roman" w:hint="default"/>
          <w:spacing w:val="-2"/>
        </w:rPr>
        <w:t>13,333,333.40</w:t>
      </w:r>
      <w:r>
        <w:rPr>
          <w:spacing w:val="-2"/>
        </w:rPr>
        <w:t>元（含税），剩余未</w:t>
      </w:r>
      <w:r>
        <w:rPr>
          <w:spacing w:val="-108"/>
        </w:rPr>
        <w:t> </w:t>
      </w:r>
      <w:r>
        <w:rPr>
          <w:spacing w:val="-108"/>
        </w:rPr>
      </w:r>
      <w:r>
        <w:rPr/>
        <w:t>分配利润结转至下年度。</w:t>
      </w:r>
    </w:p>
    <w:p>
      <w:pPr>
        <w:pStyle w:val="BodyText"/>
        <w:spacing w:line="338" w:lineRule="auto" w:before="55"/>
        <w:ind w:right="1132" w:firstLine="480"/>
        <w:jc w:val="both"/>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28</w:t>
      </w:r>
      <w:r>
        <w:rPr/>
        <w:t>日公司召开的</w:t>
      </w:r>
      <w:r>
        <w:rPr>
          <w:rFonts w:ascii="Times New Roman" w:hAnsi="Times New Roman" w:cs="Times New Roman" w:eastAsia="Times New Roman" w:hint="default"/>
        </w:rPr>
        <w:t>2016</w:t>
      </w:r>
      <w:r>
        <w:rPr/>
        <w:t>年度股东大会，审议通过《关于公司</w:t>
      </w:r>
      <w:r>
        <w:rPr>
          <w:rFonts w:ascii="Times New Roman" w:hAnsi="Times New Roman" w:cs="Times New Roman" w:eastAsia="Times New Roman" w:hint="default"/>
        </w:rPr>
        <w:t>2016</w:t>
      </w:r>
      <w:r>
        <w:rPr/>
        <w:t>年度利润分 配预案的议案》：公司</w:t>
      </w:r>
      <w:r>
        <w:rPr>
          <w:rFonts w:ascii="Times New Roman" w:hAnsi="Times New Roman" w:cs="Times New Roman" w:eastAsia="Times New Roman" w:hint="default"/>
        </w:rPr>
        <w:t>2016</w:t>
      </w:r>
      <w:r>
        <w:rPr/>
        <w:t>年度不进行利润分配。</w:t>
      </w:r>
    </w:p>
    <w:p>
      <w:pPr>
        <w:spacing w:before="38"/>
        <w:ind w:left="154" w:right="0" w:firstLine="0"/>
        <w:jc w:val="left"/>
        <w:rPr>
          <w:rFonts w:ascii="宋体" w:hAnsi="宋体" w:cs="宋体" w:eastAsia="宋体" w:hint="default"/>
          <w:sz w:val="18"/>
          <w:szCs w:val="18"/>
        </w:rPr>
      </w:pPr>
      <w:r>
        <w:rPr>
          <w:rFonts w:ascii="宋体" w:hAnsi="宋体" w:cs="宋体" w:eastAsia="宋体" w:hint="default"/>
          <w:sz w:val="18"/>
          <w:szCs w:val="18"/>
        </w:rPr>
        <w:t>公司近三年（包括本报告期）普通股现金分红情况表</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198"/>
        <w:gridCol w:w="1194"/>
        <w:gridCol w:w="1196"/>
        <w:gridCol w:w="1197"/>
        <w:gridCol w:w="1196"/>
        <w:gridCol w:w="1185"/>
        <w:gridCol w:w="1207"/>
        <w:gridCol w:w="1184"/>
      </w:tblGrid>
      <w:tr>
        <w:trPr>
          <w:trHeight w:val="161" w:hRule="exact"/>
        </w:trPr>
        <w:tc>
          <w:tcPr>
            <w:tcW w:w="1198" w:type="dxa"/>
            <w:vMerge w:val="restart"/>
            <w:tcBorders>
              <w:top w:val="single" w:sz="4" w:space="0" w:color="000000"/>
              <w:left w:val="single" w:sz="4" w:space="0" w:color="000000"/>
              <w:right w:val="single" w:sz="4" w:space="0" w:color="000000"/>
            </w:tcBorders>
            <w:shd w:val="clear" w:color="auto" w:fill="D2D2D2"/>
          </w:tcPr>
          <w:p>
            <w:pPr/>
          </w:p>
        </w:tc>
        <w:tc>
          <w:tcPr>
            <w:tcW w:w="1194" w:type="dxa"/>
            <w:vMerge w:val="restart"/>
            <w:tcBorders>
              <w:top w:val="single" w:sz="4" w:space="0" w:color="000000"/>
              <w:left w:val="single" w:sz="4" w:space="0" w:color="000000"/>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19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185"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7" w:type="dxa"/>
            <w:vMerge w:val="restart"/>
            <w:tcBorders>
              <w:top w:val="single" w:sz="4" w:space="0" w:color="000000"/>
              <w:left w:val="single" w:sz="4" w:space="0" w:color="000000"/>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9" w:lineRule="auto" w:before="76"/>
              <w:ind w:left="53" w:right="39"/>
              <w:jc w:val="center"/>
              <w:rPr>
                <w:rFonts w:ascii="宋体" w:hAnsi="宋体" w:cs="宋体" w:eastAsia="宋体" w:hint="default"/>
                <w:sz w:val="18"/>
                <w:szCs w:val="18"/>
              </w:rPr>
            </w:pPr>
            <w:r>
              <w:rPr>
                <w:rFonts w:ascii="宋体" w:hAnsi="宋体" w:cs="宋体" w:eastAsia="宋体" w:hint="default"/>
                <w:sz w:val="18"/>
                <w:szCs w:val="18"/>
              </w:rPr>
              <w:t>（含其他方 式）占合并报 表中归属于上 市公司普通股 股东的净利润 的比率</w:t>
            </w: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7"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2" w:right="52"/>
              <w:jc w:val="center"/>
              <w:rPr>
                <w:rFonts w:ascii="宋体" w:hAnsi="宋体" w:cs="宋体" w:eastAsia="宋体" w:hint="default"/>
                <w:sz w:val="18"/>
                <w:szCs w:val="18"/>
              </w:rPr>
            </w:pPr>
            <w:r>
              <w:rPr>
                <w:rFonts w:ascii="宋体" w:hAnsi="宋体" w:cs="宋体" w:eastAsia="宋体" w:hint="default"/>
                <w:sz w:val="18"/>
                <w:szCs w:val="18"/>
              </w:rPr>
              <w:t>现金分红金额 占合并报表中 归属于上市公 司普通股股东 的净利润的比 率</w:t>
            </w:r>
          </w:p>
        </w:tc>
        <w:tc>
          <w:tcPr>
            <w:tcW w:w="1196" w:type="dxa"/>
            <w:vMerge/>
            <w:tcBorders>
              <w:left w:val="single" w:sz="4" w:space="0" w:color="000000"/>
              <w:right w:val="single" w:sz="4" w:space="0" w:color="000000"/>
            </w:tcBorders>
            <w:shd w:val="clear" w:color="auto" w:fill="D2D2D2"/>
          </w:tcPr>
          <w:p>
            <w:pPr/>
          </w:p>
        </w:tc>
        <w:tc>
          <w:tcPr>
            <w:tcW w:w="118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3" w:right="39"/>
              <w:jc w:val="both"/>
              <w:rPr>
                <w:rFonts w:ascii="宋体" w:hAnsi="宋体" w:cs="宋体" w:eastAsia="宋体" w:hint="default"/>
                <w:sz w:val="18"/>
                <w:szCs w:val="18"/>
              </w:rPr>
            </w:pPr>
            <w:r>
              <w:rPr>
                <w:rFonts w:ascii="宋体" w:hAnsi="宋体" w:cs="宋体" w:eastAsia="宋体" w:hint="default"/>
                <w:sz w:val="18"/>
                <w:szCs w:val="18"/>
              </w:rPr>
              <w:t>以其他方式现 金分红金额占 合并报表中归 属于上市公司 普通股股东的 净利润的比例</w:t>
            </w: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3" w:right="50"/>
              <w:jc w:val="center"/>
              <w:rPr>
                <w:rFonts w:ascii="宋体" w:hAnsi="宋体" w:cs="宋体" w:eastAsia="宋体" w:hint="default"/>
                <w:sz w:val="18"/>
                <w:szCs w:val="18"/>
              </w:rPr>
            </w:pPr>
            <w:r>
              <w:rPr>
                <w:rFonts w:ascii="宋体" w:hAnsi="宋体" w:cs="宋体" w:eastAsia="宋体" w:hint="default"/>
                <w:sz w:val="18"/>
                <w:szCs w:val="18"/>
              </w:rPr>
              <w:t>分红年度合并 报表中归属于 上市公司普通 股股东的净利 润</w:t>
            </w:r>
          </w:p>
        </w:tc>
        <w:tc>
          <w:tcPr>
            <w:tcW w:w="1197"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以其他方式</w:t>
            </w:r>
          </w:p>
          <w:p>
            <w:pPr>
              <w:pStyle w:val="TableParagraph"/>
              <w:spacing w:line="319" w:lineRule="auto" w:before="76"/>
              <w:ind w:left="52" w:right="51"/>
              <w:jc w:val="center"/>
              <w:rPr>
                <w:rFonts w:ascii="宋体" w:hAnsi="宋体" w:cs="宋体" w:eastAsia="宋体" w:hint="default"/>
                <w:sz w:val="18"/>
                <w:szCs w:val="18"/>
              </w:rPr>
            </w:pPr>
            <w:r>
              <w:rPr>
                <w:rFonts w:ascii="宋体" w:hAnsi="宋体" w:cs="宋体" w:eastAsia="宋体" w:hint="default"/>
                <w:sz w:val="18"/>
                <w:szCs w:val="18"/>
              </w:rPr>
              <w:t>（如回购股 份）现金分红 的金额</w:t>
            </w: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bottom w:val="nil" w:sz="6" w:space="0" w:color="auto"/>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4" w:right="0"/>
              <w:jc w:val="left"/>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9" w:lineRule="auto" w:before="76"/>
              <w:ind w:left="424" w:right="141" w:hanging="270"/>
              <w:jc w:val="left"/>
              <w:rPr>
                <w:rFonts w:ascii="宋体" w:hAnsi="宋体" w:cs="宋体" w:eastAsia="宋体" w:hint="default"/>
                <w:sz w:val="18"/>
                <w:szCs w:val="18"/>
              </w:rPr>
            </w:pPr>
            <w:r>
              <w:rPr>
                <w:rFonts w:ascii="宋体" w:hAnsi="宋体" w:cs="宋体" w:eastAsia="宋体" w:hint="default"/>
                <w:sz w:val="18"/>
                <w:szCs w:val="18"/>
              </w:rPr>
              <w:t>（含其他方 式）</w:t>
            </w: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bottom w:val="nil" w:sz="6" w:space="0" w:color="auto"/>
              <w:right w:val="single" w:sz="4" w:space="0" w:color="000000"/>
            </w:tcBorders>
            <w:shd w:val="clear" w:color="auto" w:fill="D2D2D2"/>
          </w:tcPr>
          <w:p>
            <w:pPr/>
          </w:p>
        </w:tc>
        <w:tc>
          <w:tcPr>
            <w:tcW w:w="11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z w:val="18"/>
                <w:szCs w:val="18"/>
              </w:rPr>
              <w:t>（含税）</w:t>
            </w: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392" w:hRule="exact"/>
        </w:trPr>
        <w:tc>
          <w:tcPr>
            <w:tcW w:w="11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194"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val="restart"/>
            <w:tcBorders>
              <w:top w:val="nil" w:sz="6" w:space="0" w:color="auto"/>
              <w:left w:val="single" w:sz="4" w:space="0" w:color="000000"/>
              <w:right w:val="single" w:sz="4" w:space="0" w:color="000000"/>
            </w:tcBorders>
            <w:shd w:val="clear" w:color="auto" w:fill="D2D2D2"/>
          </w:tcPr>
          <w:p>
            <w:pPr/>
          </w:p>
        </w:tc>
        <w:tc>
          <w:tcPr>
            <w:tcW w:w="1194"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4" w:type="dxa"/>
            <w:vMerge w:val="restart"/>
            <w:tcBorders>
              <w:top w:val="nil" w:sz="6" w:space="0" w:color="auto"/>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bottom w:val="nil" w:sz="6" w:space="0" w:color="auto"/>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
        </w:tc>
        <w:tc>
          <w:tcPr>
            <w:tcW w:w="1197"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bottom w:val="nil" w:sz="6" w:space="0" w:color="auto"/>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61" w:hRule="exact"/>
        </w:trPr>
        <w:tc>
          <w:tcPr>
            <w:tcW w:w="1198" w:type="dxa"/>
            <w:vMerge/>
            <w:tcBorders>
              <w:left w:val="single" w:sz="4" w:space="0" w:color="000000"/>
              <w:bottom w:val="single" w:sz="4" w:space="0" w:color="000000"/>
              <w:right w:val="single" w:sz="4" w:space="0" w:color="000000"/>
            </w:tcBorders>
            <w:shd w:val="clear" w:color="auto" w:fill="D2D2D2"/>
          </w:tcPr>
          <w:p>
            <w:pPr/>
          </w:p>
        </w:tc>
        <w:tc>
          <w:tcPr>
            <w:tcW w:w="1194"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85"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7"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50,353,782.16</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19.86%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10,000,000.05</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19.86%</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13,333,333.40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41,968,856.74</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31.77%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13,333,333.40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31.77%</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45,750,858.31</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公司报告期内盈利且母公司可供普通股股东分配利润为正但未提出普通股现金红利分配预案</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8"/>
        <w:rPr>
          <w:rFonts w:ascii="宋体" w:hAnsi="宋体" w:cs="宋体" w:eastAsia="宋体" w:hint="default"/>
          <w:sz w:val="23"/>
          <w:szCs w:val="23"/>
        </w:rPr>
      </w:pPr>
      <w:r>
        <w:rPr/>
        <w:pict>
          <v:shape style="position:absolute;margin-left:282.493988pt;margin-top:534.639954pt;width:143pt;height:225.2pt;mso-position-horizontal-relative:page;mso-position-vertical-relative:page;z-index:-1010272" type="#_x0000_t202" filled="false" stroked="false">
            <v:textbox inset="0,0,0,0">
              <w:txbxContent>
                <w:p>
                  <w:pPr>
                    <w:spacing w:before="146"/>
                    <w:ind w:left="180" w:right="0" w:hanging="181"/>
                    <w:jc w:val="left"/>
                    <w:rPr>
                      <w:rFonts w:ascii="宋体" w:hAnsi="宋体" w:cs="宋体" w:eastAsia="宋体" w:hint="default"/>
                      <w:sz w:val="18"/>
                      <w:szCs w:val="18"/>
                    </w:rPr>
                  </w:pPr>
                  <w:r>
                    <w:rPr>
                      <w:rFonts w:ascii="宋体" w:hAnsi="宋体" w:cs="宋体" w:eastAsia="宋体" w:hint="default"/>
                      <w:sz w:val="18"/>
                      <w:szCs w:val="18"/>
                    </w:rPr>
                    <w:t>（包括延长的锁定期）</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34"/>
                    <w:ind w:left="180" w:right="0" w:firstLine="0"/>
                    <w:jc w:val="left"/>
                    <w:rPr>
                      <w:rFonts w:ascii="宋体" w:hAnsi="宋体" w:cs="宋体" w:eastAsia="宋体" w:hint="default"/>
                      <w:sz w:val="18"/>
                      <w:szCs w:val="18"/>
                    </w:rPr>
                  </w:pPr>
                  <w:r>
                    <w:rPr>
                      <w:rFonts w:ascii="宋体" w:hAnsi="宋体" w:cs="宋体" w:eastAsia="宋体" w:hint="default"/>
                      <w:sz w:val="18"/>
                      <w:szCs w:val="18"/>
                    </w:rPr>
                    <w:t>本人方可减持股份。</w:t>
                  </w:r>
                </w:p>
              </w:txbxContent>
            </v:textbox>
            <w10:wrap type="none"/>
          </v:shape>
        </w:pict>
      </w:r>
      <w:r>
        <w:rPr/>
        <w:pict>
          <v:group style="position:absolute;margin-left:369.640015pt;margin-top:534.639954pt;width:55.85pt;height:225.2pt;mso-position-horizontal-relative:page;mso-position-vertical-relative:page;z-index:-1010248" coordorigin="7393,10693" coordsize="1117,4504">
            <v:shape style="position:absolute;left:7393;top:10693;width:1117;height:4504" coordorigin="7393,10693" coordsize="1117,4504" path="m7393,15197l8509,15197,8509,10693,7393,10693,7393,15197xe" filled="true" fillcolor="#ffffff" stroked="false">
              <v:path arrowok="t"/>
              <v:fill type="solid"/>
            </v:shape>
            <w10:wrap type="none"/>
          </v:group>
        </w:pict>
      </w:r>
    </w:p>
    <w:p>
      <w:pPr>
        <w:pStyle w:val="Heading2"/>
        <w:spacing w:line="240" w:lineRule="auto" w:before="26"/>
        <w:ind w:right="0"/>
        <w:jc w:val="left"/>
        <w:rPr>
          <w:b w:val="0"/>
          <w:bCs w:val="0"/>
        </w:rPr>
      </w:pPr>
      <w:bookmarkStart w:name="二、承诺事项履行情况" w:id="63"/>
      <w:bookmarkEnd w:id="63"/>
      <w:r>
        <w:rPr>
          <w:b w:val="0"/>
          <w:bCs w:val="0"/>
        </w:rPr>
      </w:r>
      <w:r>
        <w:rPr/>
        <w:t>二、承诺事项履行情况</w:t>
      </w:r>
      <w:r>
        <w:rPr>
          <w:b w:val="0"/>
          <w:bCs w:val="0"/>
        </w:rPr>
      </w:r>
    </w:p>
    <w:p>
      <w:pPr>
        <w:spacing w:line="240" w:lineRule="auto" w:before="9"/>
        <w:rPr>
          <w:rFonts w:ascii="宋体" w:hAnsi="宋体" w:cs="宋体" w:eastAsia="宋体" w:hint="default"/>
          <w:b/>
          <w:bCs/>
          <w:sz w:val="24"/>
          <w:szCs w:val="24"/>
        </w:rPr>
      </w:pPr>
    </w:p>
    <w:p>
      <w:pPr>
        <w:spacing w:line="259" w:lineRule="auto" w:before="0"/>
        <w:ind w:left="154" w:right="0" w:firstLine="0"/>
        <w:jc w:val="left"/>
        <w:rPr>
          <w:rFonts w:ascii="宋体" w:hAnsi="宋体" w:cs="宋体" w:eastAsia="宋体" w:hint="default"/>
          <w:sz w:val="21"/>
          <w:szCs w:val="21"/>
        </w:rPr>
      </w:pPr>
      <w:bookmarkStart w:name="1、公司实际控制人、股东、关联方、收购人以及公司等承诺相关方在报告期内履行完毕及" w:id="64"/>
      <w:bookmarkEnd w:id="64"/>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、公司实际控制人、股东、关联方、收购人以及公司等承诺相关方在报告期内履行完毕及截至报告期末</w:t>
      </w:r>
      <w:r>
        <w:rPr>
          <w:rFonts w:ascii="宋体" w:hAnsi="宋体" w:cs="宋体" w:eastAsia="宋体" w:hint="default"/>
          <w:b/>
          <w:bCs/>
          <w:spacing w:val="-74"/>
          <w:sz w:val="21"/>
          <w:szCs w:val="21"/>
        </w:rPr>
        <w:t> </w:t>
      </w:r>
      <w:r>
        <w:rPr>
          <w:rFonts w:ascii="宋体" w:hAnsi="宋体" w:cs="宋体" w:eastAsia="宋体" w:hint="default"/>
          <w:b/>
          <w:bCs/>
          <w:spacing w:val="-74"/>
          <w:sz w:val="21"/>
          <w:szCs w:val="21"/>
        </w:rPr>
      </w:r>
      <w:r>
        <w:rPr>
          <w:rFonts w:ascii="宋体" w:hAnsi="宋体" w:cs="宋体" w:eastAsia="宋体" w:hint="default"/>
          <w:b/>
          <w:bCs/>
          <w:sz w:val="21"/>
          <w:szCs w:val="21"/>
        </w:rPr>
        <w:t>尚未履行完毕的承诺事项</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276"/>
        <w:gridCol w:w="1126"/>
        <w:gridCol w:w="859"/>
        <w:gridCol w:w="2993"/>
        <w:gridCol w:w="1126"/>
        <w:gridCol w:w="1121"/>
        <w:gridCol w:w="1108"/>
      </w:tblGrid>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2" w:right="0"/>
              <w:jc w:val="left"/>
              <w:rPr>
                <w:rFonts w:ascii="宋体" w:hAnsi="宋体" w:cs="宋体" w:eastAsia="宋体" w:hint="default"/>
                <w:sz w:val="18"/>
                <w:szCs w:val="18"/>
              </w:rPr>
            </w:pPr>
            <w:r>
              <w:rPr>
                <w:rFonts w:ascii="宋体" w:hAnsi="宋体" w:cs="宋体" w:eastAsia="宋体" w:hint="default"/>
                <w:sz w:val="18"/>
                <w:szCs w:val="18"/>
              </w:rPr>
              <w:t>承诺来源</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7"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8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3"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2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112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98"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9"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1026"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收购报告书或 权益变动报告 书中所作承诺</w:t>
            </w:r>
          </w:p>
        </w:tc>
        <w:tc>
          <w:tcPr>
            <w:tcW w:w="1126" w:type="dxa"/>
            <w:tcBorders>
              <w:top w:val="single" w:sz="4" w:space="0" w:color="000000"/>
              <w:left w:val="single" w:sz="13" w:space="0" w:color="D2D2D2"/>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2993"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资产重组时所 作承诺</w:t>
            </w:r>
          </w:p>
        </w:tc>
        <w:tc>
          <w:tcPr>
            <w:tcW w:w="1126" w:type="dxa"/>
            <w:tcBorders>
              <w:top w:val="single" w:sz="4" w:space="0" w:color="000000"/>
              <w:left w:val="single" w:sz="13" w:space="0" w:color="D2D2D2"/>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2993"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4353" w:hRule="exact"/>
        </w:trPr>
        <w:tc>
          <w:tcPr>
            <w:tcW w:w="127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26"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309" w:lineRule="auto"/>
              <w:ind w:left="17" w:right="89"/>
              <w:jc w:val="left"/>
              <w:rPr>
                <w:rFonts w:ascii="宋体" w:hAnsi="宋体" w:cs="宋体" w:eastAsia="宋体" w:hint="default"/>
                <w:sz w:val="18"/>
                <w:szCs w:val="18"/>
              </w:rPr>
            </w:pPr>
            <w:r>
              <w:rPr>
                <w:rFonts w:ascii="宋体" w:hAnsi="宋体" w:cs="宋体" w:eastAsia="宋体" w:hint="default"/>
                <w:sz w:val="18"/>
                <w:szCs w:val="18"/>
              </w:rPr>
              <w:t>陈坚</w:t>
            </w:r>
            <w:r>
              <w:rPr>
                <w:rFonts w:ascii="Times New Roman" w:hAnsi="Times New Roman" w:cs="Times New Roman" w:eastAsia="Times New Roman" w:hint="default"/>
                <w:sz w:val="18"/>
                <w:szCs w:val="18"/>
              </w:rPr>
              <w:t>;</w:t>
            </w:r>
            <w:r>
              <w:rPr>
                <w:rFonts w:ascii="宋体" w:hAnsi="宋体" w:cs="宋体" w:eastAsia="宋体" w:hint="default"/>
                <w:sz w:val="18"/>
                <w:szCs w:val="18"/>
              </w:rPr>
              <w:t>陈英</w:t>
            </w:r>
            <w:r>
              <w:rPr>
                <w:rFonts w:ascii="Times New Roman" w:hAnsi="Times New Roman" w:cs="Times New Roman" w:eastAsia="Times New Roman" w:hint="default"/>
                <w:sz w:val="18"/>
                <w:szCs w:val="18"/>
              </w:rPr>
              <w:t>;</w:t>
            </w:r>
            <w:r>
              <w:rPr>
                <w:rFonts w:ascii="宋体" w:hAnsi="宋体" w:cs="宋体" w:eastAsia="宋体" w:hint="default"/>
                <w:sz w:val="18"/>
                <w:szCs w:val="18"/>
              </w:rPr>
              <w:t>杭 州正元企业 管理咨询有 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李琳</w:t>
            </w:r>
            <w:r>
              <w:rPr>
                <w:rFonts w:ascii="Times New Roman" w:hAnsi="Times New Roman" w:cs="Times New Roman" w:eastAsia="Times New Roman" w:hint="default"/>
                <w:sz w:val="18"/>
                <w:szCs w:val="18"/>
              </w:rPr>
              <w:t>; </w:t>
            </w:r>
            <w:r>
              <w:rPr>
                <w:rFonts w:ascii="宋体" w:hAnsi="宋体" w:cs="宋体" w:eastAsia="宋体" w:hint="default"/>
                <w:sz w:val="18"/>
                <w:szCs w:val="18"/>
              </w:rPr>
              <w:t>王亚静</w:t>
            </w:r>
          </w:p>
        </w:tc>
        <w:tc>
          <w:tcPr>
            <w:tcW w:w="85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319" w:lineRule="auto"/>
              <w:ind w:left="22" w:right="104"/>
              <w:jc w:val="left"/>
              <w:rPr>
                <w:rFonts w:ascii="宋体" w:hAnsi="宋体" w:cs="宋体" w:eastAsia="宋体" w:hint="default"/>
                <w:sz w:val="18"/>
                <w:szCs w:val="18"/>
              </w:rPr>
            </w:pPr>
            <w:r>
              <w:rPr>
                <w:rFonts w:ascii="宋体" w:hAnsi="宋体" w:cs="宋体" w:eastAsia="宋体" w:hint="default"/>
                <w:sz w:val="18"/>
                <w:szCs w:val="18"/>
              </w:rPr>
              <w:t>股份限售 承诺</w:t>
            </w:r>
          </w:p>
        </w:tc>
        <w:tc>
          <w:tcPr>
            <w:tcW w:w="2993" w:type="dxa"/>
            <w:vMerge w:val="restart"/>
            <w:tcBorders>
              <w:top w:val="single" w:sz="4" w:space="0" w:color="000000"/>
              <w:left w:val="single" w:sz="4" w:space="0" w:color="000000"/>
              <w:right w:val="single" w:sz="4" w:space="0" w:color="000000"/>
            </w:tcBorders>
          </w:tcPr>
          <w:p>
            <w:pPr>
              <w:pStyle w:val="TableParagraph"/>
              <w:spacing w:line="307" w:lineRule="auto" w:before="51"/>
              <w:ind w:left="22" w:right="-1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自公司股票上市之日起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 不转让或者委托他人管理本公司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 直接或间接持有的公司股份，也不由 公司回购本公司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本人所直接或间接持 有的公司股份；公司实际控制人陈坚 </w:t>
            </w:r>
            <w:r>
              <w:rPr>
                <w:rFonts w:ascii="宋体" w:hAnsi="宋体" w:cs="宋体" w:eastAsia="宋体" w:hint="default"/>
                <w:spacing w:val="-3"/>
                <w:sz w:val="18"/>
                <w:szCs w:val="18"/>
              </w:rPr>
              <w:t>承诺：自公司股票上市之日起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36 </w:t>
            </w:r>
            <w:r>
              <w:rPr>
                <w:rFonts w:ascii="宋体" w:hAnsi="宋体" w:cs="宋体" w:eastAsia="宋体" w:hint="default"/>
                <w:sz w:val="18"/>
                <w:szCs w:val="18"/>
              </w:rPr>
              <w:t>个月</w:t>
            </w:r>
            <w:r>
              <w:rPr>
                <w:rFonts w:ascii="宋体" w:hAnsi="宋体" w:cs="宋体" w:eastAsia="宋体" w:hint="default"/>
                <w:spacing w:val="-88"/>
                <w:sz w:val="18"/>
                <w:szCs w:val="18"/>
              </w:rPr>
              <w:t> </w:t>
            </w:r>
            <w:r>
              <w:rPr>
                <w:rFonts w:ascii="宋体" w:hAnsi="宋体" w:cs="宋体" w:eastAsia="宋体" w:hint="default"/>
                <w:sz w:val="18"/>
                <w:szCs w:val="18"/>
              </w:rPr>
              <w:t>内，不转让或者委托他人管理本公司</w:t>
            </w:r>
            <w:r>
              <w:rPr>
                <w:rFonts w:ascii="Times New Roman" w:hAnsi="Times New Roman" w:cs="Times New Roman" w:eastAsia="Times New Roman" w:hint="default"/>
                <w:sz w:val="18"/>
                <w:szCs w:val="18"/>
              </w:rPr>
              <w:t>/ </w:t>
            </w:r>
            <w:r>
              <w:rPr>
                <w:rFonts w:ascii="宋体" w:hAnsi="宋体" w:cs="宋体" w:eastAsia="宋体" w:hint="default"/>
                <w:sz w:val="18"/>
                <w:szCs w:val="18"/>
              </w:rPr>
              <w:t>本人直接或间接持有的杭州正元的股 份；在锁定期（包括延长的锁定期） 届满后，关于减持本公司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本人于本次 发行前已直接或间接持有的老股（不 包括本公司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本人在本次发行股票后从 公开市场中新买入的股份）事项，本 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本人承诺如下：在锁定期（包括 延长的锁定期）届满后的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个月内， 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本人直接或间接转让所持老股 不超过本公司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本人持有公司老股的 </w:t>
            </w:r>
            <w:r>
              <w:rPr>
                <w:rFonts w:ascii="Times New Roman" w:hAnsi="Times New Roman" w:cs="Times New Roman" w:eastAsia="Times New Roman" w:hint="default"/>
                <w:sz w:val="18"/>
                <w:szCs w:val="18"/>
              </w:rPr>
              <w:t>15%</w:t>
            </w:r>
            <w:r>
              <w:rPr>
                <w:rFonts w:ascii="宋体" w:hAnsi="宋体" w:cs="宋体" w:eastAsia="宋体" w:hint="default"/>
                <w:sz w:val="18"/>
                <w:szCs w:val="18"/>
              </w:rPr>
              <w:t>，在锁定期</w:t>
            </w:r>
          </w:p>
          <w:p>
            <w:pPr>
              <w:pStyle w:val="TableParagraph"/>
              <w:spacing w:line="304" w:lineRule="auto" w:before="7"/>
              <w:ind w:left="22" w:right="28"/>
              <w:jc w:val="left"/>
              <w:rPr>
                <w:rFonts w:ascii="宋体" w:hAnsi="宋体" w:cs="宋体" w:eastAsia="宋体" w:hint="default"/>
                <w:sz w:val="18"/>
                <w:szCs w:val="18"/>
              </w:rPr>
            </w:pPr>
            <w:r>
              <w:rPr>
                <w:rFonts w:ascii="宋体" w:hAnsi="宋体" w:cs="宋体" w:eastAsia="宋体" w:hint="default"/>
                <w:sz w:val="18"/>
                <w:szCs w:val="18"/>
              </w:rPr>
              <w:t>届满后的第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个月内，本公司</w:t>
            </w:r>
            <w:r>
              <w:rPr>
                <w:rFonts w:ascii="Times New Roman" w:hAnsi="Times New Roman" w:cs="Times New Roman" w:eastAsia="Times New Roman" w:hint="default"/>
                <w:sz w:val="18"/>
                <w:szCs w:val="18"/>
              </w:rPr>
              <w:t>/ </w:t>
            </w:r>
            <w:r>
              <w:rPr>
                <w:rFonts w:ascii="宋体" w:hAnsi="宋体" w:cs="宋体" w:eastAsia="宋体" w:hint="default"/>
                <w:sz w:val="18"/>
                <w:szCs w:val="18"/>
              </w:rPr>
              <w:t>本人直接或间接转让所持老股不超过 在锁定期届满后第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个月初本公司</w:t>
            </w:r>
            <w:r>
              <w:rPr>
                <w:rFonts w:ascii="Times New Roman" w:hAnsi="Times New Roman" w:cs="Times New Roman" w:eastAsia="Times New Roman" w:hint="default"/>
                <w:sz w:val="18"/>
                <w:szCs w:val="18"/>
              </w:rPr>
              <w:t>/ </w:t>
            </w:r>
            <w:r>
              <w:rPr>
                <w:rFonts w:ascii="宋体" w:hAnsi="宋体" w:cs="宋体" w:eastAsia="宋体" w:hint="default"/>
                <w:sz w:val="18"/>
                <w:szCs w:val="18"/>
              </w:rPr>
              <w:t>本人直接或间接持有老股的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。本 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本人持有的公司股份的锁定期限</w:t>
            </w:r>
          </w:p>
          <w:p>
            <w:pPr>
              <w:pStyle w:val="TableParagraph"/>
              <w:spacing w:line="309" w:lineRule="auto" w:before="9"/>
              <w:ind w:left="22" w:right="28"/>
              <w:jc w:val="left"/>
              <w:rPr>
                <w:rFonts w:ascii="宋体" w:hAnsi="宋体" w:cs="宋体" w:eastAsia="宋体" w:hint="default"/>
                <w:sz w:val="18"/>
                <w:szCs w:val="18"/>
              </w:rPr>
            </w:pPr>
            <w:r>
              <w:rPr>
                <w:rFonts w:ascii="宋体" w:hAnsi="宋体" w:cs="宋体" w:eastAsia="宋体" w:hint="default"/>
                <w:sz w:val="18"/>
                <w:szCs w:val="18"/>
              </w:rPr>
              <w:t>（包括延长的锁定期）届满后，本公 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本人减持直接或间接所持公司股份 时，应提前将减持意向和拟减持数量 等信息以书面方式通知公司，并由公 司及时予以公告，自公告之日起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w:t>
            </w:r>
            <w:r>
              <w:rPr>
                <w:rFonts w:ascii="宋体" w:hAnsi="宋体" w:cs="宋体" w:eastAsia="宋体" w:hint="default"/>
                <w:spacing w:val="-10"/>
                <w:sz w:val="18"/>
                <w:szCs w:val="18"/>
              </w:rPr>
              <w:t>交易日后，本公司</w:t>
            </w:r>
            <w:r>
              <w:rPr>
                <w:rFonts w:ascii="Times New Roman" w:hAnsi="Times New Roman" w:cs="Times New Roman" w:eastAsia="Times New Roman" w:hint="default"/>
                <w:spacing w:val="-10"/>
                <w:sz w:val="18"/>
                <w:szCs w:val="18"/>
              </w:rPr>
              <w:t>/</w:t>
            </w:r>
            <w:r>
              <w:rPr>
                <w:rFonts w:ascii="Times New Roman" w:hAnsi="Times New Roman" w:cs="Times New Roman" w:eastAsia="Times New Roman" w:hint="default"/>
                <w:spacing w:val="-38"/>
                <w:sz w:val="18"/>
                <w:szCs w:val="18"/>
              </w:rPr>
              <w:t> </w:t>
            </w:r>
            <w:r>
              <w:rPr>
                <w:rFonts w:ascii="宋体" w:hAnsi="宋体" w:cs="宋体" w:eastAsia="宋体" w:hint="default"/>
                <w:sz w:val="18"/>
                <w:szCs w:val="18"/>
              </w:rPr>
              <w:t>此外，陈坚、陈英在担任公司董事、 监事、高级管理人员期间，每年转让</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24" w:right="-7"/>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1016" w:hRule="exact"/>
        </w:trPr>
        <w:tc>
          <w:tcPr>
            <w:tcW w:w="127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首次公开发行 或再融资时所 作承诺</w:t>
            </w:r>
          </w:p>
        </w:tc>
        <w:tc>
          <w:tcPr>
            <w:tcW w:w="1126" w:type="dxa"/>
            <w:vMerge/>
            <w:tcBorders>
              <w:left w:val="single" w:sz="9" w:space="0" w:color="D2D2D2"/>
              <w:right w:val="single" w:sz="4" w:space="0" w:color="000000"/>
            </w:tcBorders>
          </w:tcPr>
          <w:p>
            <w:pPr/>
          </w:p>
        </w:tc>
        <w:tc>
          <w:tcPr>
            <w:tcW w:w="859" w:type="dxa"/>
            <w:vMerge/>
            <w:tcBorders>
              <w:left w:val="single" w:sz="4" w:space="0" w:color="000000"/>
              <w:right w:val="single" w:sz="4" w:space="0" w:color="000000"/>
            </w:tcBorders>
          </w:tcPr>
          <w:p>
            <w:pPr/>
          </w:p>
        </w:tc>
        <w:tc>
          <w:tcPr>
            <w:tcW w:w="2993"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4353" w:hRule="exact"/>
        </w:trPr>
        <w:tc>
          <w:tcPr>
            <w:tcW w:w="127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26" w:type="dxa"/>
            <w:vMerge/>
            <w:tcBorders>
              <w:left w:val="single" w:sz="9" w:space="0" w:color="D2D2D2"/>
              <w:bottom w:val="single" w:sz="4" w:space="0" w:color="000000"/>
              <w:right w:val="single" w:sz="4" w:space="0" w:color="000000"/>
            </w:tcBorders>
          </w:tcPr>
          <w:p>
            <w:pPr/>
          </w:p>
        </w:tc>
        <w:tc>
          <w:tcPr>
            <w:tcW w:w="859" w:type="dxa"/>
            <w:vMerge/>
            <w:tcBorders>
              <w:left w:val="single" w:sz="4" w:space="0" w:color="000000"/>
              <w:bottom w:val="single" w:sz="4" w:space="0" w:color="000000"/>
              <w:right w:val="single" w:sz="4" w:space="0" w:color="000000"/>
            </w:tcBorders>
          </w:tcPr>
          <w:p>
            <w:pPr/>
          </w:p>
        </w:tc>
        <w:tc>
          <w:tcPr>
            <w:tcW w:w="2993"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76"/>
        <w:gridCol w:w="1126"/>
        <w:gridCol w:w="859"/>
        <w:gridCol w:w="2993"/>
        <w:gridCol w:w="1126"/>
        <w:gridCol w:w="1121"/>
        <w:gridCol w:w="1108"/>
      </w:tblGrid>
      <w:tr>
        <w:trPr>
          <w:trHeight w:val="9099" w:hRule="exact"/>
        </w:trPr>
        <w:tc>
          <w:tcPr>
            <w:tcW w:w="127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22" w:right="65"/>
              <w:jc w:val="both"/>
              <w:rPr>
                <w:rFonts w:ascii="宋体" w:hAnsi="宋体" w:cs="宋体" w:eastAsia="宋体" w:hint="default"/>
                <w:sz w:val="18"/>
                <w:szCs w:val="18"/>
              </w:rPr>
            </w:pPr>
            <w:r>
              <w:rPr>
                <w:rFonts w:ascii="宋体" w:hAnsi="宋体" w:cs="宋体" w:eastAsia="宋体" w:hint="default"/>
                <w:sz w:val="18"/>
                <w:szCs w:val="18"/>
              </w:rPr>
              <w:t>直接或间接持有的股份不超过本人所 持有公司股份总数的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；离职后半 年内，不转让本人直接或间接持有的 公司股份。如在公司股票上市交易之 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个月内申报离职，则自申报离</w:t>
            </w:r>
          </w:p>
          <w:p>
            <w:pPr>
              <w:pStyle w:val="TableParagraph"/>
              <w:spacing w:line="309" w:lineRule="auto" w:before="1"/>
              <w:ind w:left="22" w:right="20"/>
              <w:jc w:val="both"/>
              <w:rPr>
                <w:rFonts w:ascii="宋体" w:hAnsi="宋体" w:cs="宋体" w:eastAsia="宋体" w:hint="default"/>
                <w:sz w:val="18"/>
                <w:szCs w:val="18"/>
              </w:rPr>
            </w:pPr>
            <w:r>
              <w:rPr>
                <w:rFonts w:ascii="宋体" w:hAnsi="宋体" w:cs="宋体" w:eastAsia="宋体" w:hint="default"/>
                <w:sz w:val="18"/>
                <w:szCs w:val="18"/>
              </w:rPr>
              <w:t>职之日起</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3"/>
                <w:sz w:val="18"/>
                <w:szCs w:val="18"/>
              </w:rPr>
              <w:t> </w:t>
            </w:r>
            <w:r>
              <w:rPr>
                <w:rFonts w:ascii="宋体" w:hAnsi="宋体" w:cs="宋体" w:eastAsia="宋体" w:hint="default"/>
                <w:spacing w:val="-4"/>
                <w:sz w:val="18"/>
                <w:szCs w:val="18"/>
              </w:rPr>
              <w:t>个月内，不转让其直接或</w:t>
            </w:r>
            <w:r>
              <w:rPr>
                <w:rFonts w:ascii="宋体" w:hAnsi="宋体" w:cs="宋体" w:eastAsia="宋体" w:hint="default"/>
                <w:sz w:val="18"/>
                <w:szCs w:val="18"/>
              </w:rPr>
              <w:t> 间接持有的公司股份；如在股票上市 交易之日起第</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个月至第</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个月之间</w:t>
            </w:r>
          </w:p>
          <w:p>
            <w:pPr>
              <w:pStyle w:val="TableParagraph"/>
              <w:spacing w:line="309" w:lineRule="auto" w:before="5"/>
              <w:ind w:left="22" w:right="23"/>
              <w:jc w:val="both"/>
              <w:rPr>
                <w:rFonts w:ascii="宋体" w:hAnsi="宋体" w:cs="宋体" w:eastAsia="宋体" w:hint="default"/>
                <w:sz w:val="18"/>
                <w:szCs w:val="18"/>
              </w:rPr>
            </w:pPr>
            <w:r>
              <w:rPr>
                <w:rFonts w:ascii="宋体" w:hAnsi="宋体" w:cs="宋体" w:eastAsia="宋体" w:hint="default"/>
                <w:spacing w:val="-3"/>
                <w:sz w:val="18"/>
                <w:szCs w:val="18"/>
              </w:rPr>
              <w:t>申报离职，则自申报离职之日起</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 月内不转让其直接或间接持有的公司 股份。锁定期届满后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年内，本公司</w:t>
            </w:r>
            <w:r>
              <w:rPr>
                <w:rFonts w:ascii="Times New Roman" w:hAnsi="Times New Roman" w:cs="Times New Roman" w:eastAsia="Times New Roman" w:hint="default"/>
                <w:sz w:val="18"/>
                <w:szCs w:val="18"/>
              </w:rPr>
              <w:t>/ </w:t>
            </w:r>
            <w:r>
              <w:rPr>
                <w:rFonts w:ascii="宋体" w:hAnsi="宋体" w:cs="宋体" w:eastAsia="宋体" w:hint="default"/>
                <w:sz w:val="18"/>
                <w:szCs w:val="18"/>
              </w:rPr>
              <w:t>本人减持公司股票的，减持价格不低 于本次发行并上市时公司股票的发行 </w:t>
            </w:r>
            <w:r>
              <w:rPr>
                <w:rFonts w:ascii="宋体" w:hAnsi="宋体" w:cs="宋体" w:eastAsia="宋体" w:hint="default"/>
                <w:spacing w:val="-6"/>
                <w:w w:val="100"/>
                <w:sz w:val="18"/>
                <w:szCs w:val="18"/>
              </w:rPr>
              <w:t>价（以下简称</w:t>
            </w:r>
            <w:r>
              <w:rPr>
                <w:rFonts w:ascii="Times New Roman" w:hAnsi="Times New Roman" w:cs="Times New Roman" w:eastAsia="Times New Roman" w:hint="default"/>
                <w:spacing w:val="-6"/>
                <w:w w:val="100"/>
                <w:sz w:val="18"/>
                <w:szCs w:val="18"/>
              </w:rPr>
              <w:t>“</w:t>
            </w:r>
            <w:r>
              <w:rPr>
                <w:rFonts w:ascii="宋体" w:hAnsi="宋体" w:cs="宋体" w:eastAsia="宋体" w:hint="default"/>
                <w:spacing w:val="-6"/>
                <w:w w:val="100"/>
                <w:sz w:val="18"/>
                <w:szCs w:val="18"/>
              </w:rPr>
              <w:t>发行价</w:t>
            </w:r>
            <w:r>
              <w:rPr>
                <w:rFonts w:ascii="Times New Roman" w:hAnsi="Times New Roman" w:cs="Times New Roman" w:eastAsia="Times New Roman" w:hint="default"/>
                <w:spacing w:val="-6"/>
                <w:w w:val="100"/>
                <w:sz w:val="18"/>
                <w:szCs w:val="18"/>
              </w:rPr>
              <w:t>”</w:t>
            </w:r>
            <w:r>
              <w:rPr>
                <w:rFonts w:ascii="宋体" w:hAnsi="宋体" w:cs="宋体" w:eastAsia="宋体" w:hint="default"/>
                <w:spacing w:val="-6"/>
                <w:w w:val="100"/>
                <w:sz w:val="18"/>
                <w:szCs w:val="18"/>
              </w:rPr>
              <w:t>）；公司上市后</w:t>
            </w:r>
            <w:r>
              <w:rPr>
                <w:rFonts w:ascii="宋体" w:hAnsi="宋体" w:cs="宋体" w:eastAsia="宋体" w:hint="default"/>
                <w:spacing w:val="-88"/>
                <w:w w:val="100"/>
                <w:sz w:val="18"/>
                <w:szCs w:val="18"/>
              </w:rPr>
              <w:t> </w:t>
            </w:r>
            <w:r>
              <w:rPr>
                <w:rFonts w:ascii="宋体" w:hAnsi="宋体" w:cs="宋体" w:eastAsia="宋体" w:hint="default"/>
                <w:spacing w:val="-88"/>
                <w:w w:val="100"/>
                <w:sz w:val="18"/>
                <w:szCs w:val="18"/>
              </w:rPr>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个月内如公司股票连续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w:t>
            </w:r>
          </w:p>
          <w:p>
            <w:pPr>
              <w:pStyle w:val="TableParagraph"/>
              <w:spacing w:line="309" w:lineRule="auto" w:before="5"/>
              <w:ind w:left="22" w:right="23"/>
              <w:jc w:val="both"/>
              <w:rPr>
                <w:rFonts w:ascii="Times New Roman" w:hAnsi="Times New Roman" w:cs="Times New Roman" w:eastAsia="Times New Roman" w:hint="default"/>
                <w:sz w:val="18"/>
                <w:szCs w:val="18"/>
              </w:rPr>
            </w:pPr>
            <w:r>
              <w:rPr>
                <w:rFonts w:ascii="宋体" w:hAnsi="宋体" w:cs="宋体" w:eastAsia="宋体" w:hint="default"/>
                <w:spacing w:val="-5"/>
                <w:sz w:val="18"/>
                <w:szCs w:val="18"/>
              </w:rPr>
              <w:t>的收盘价均低于发行价，或者上市后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个月期末（如该日不是交易日，则该 日后第一个交易日）收盘价低于发行 价，本公司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本人持有股票的锁定期限 将自动延长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个月。若公司在本次发 行并上市后有派息、送股、资本公积 转增股本等除权除息事项的，应对发 行价进行除权除息处理；如本公司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 人违反上述承诺或法律强制性规定减 持股份的，本公司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本人承诺违规减持 股票所得归公司所有，同时本公司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 人持有剩余股份的锁定期在原股份锁 定期（包括延长后的锁定期）届满后 自动延长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4731" w:hRule="exact"/>
        </w:trPr>
        <w:tc>
          <w:tcPr>
            <w:tcW w:w="127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3" w:right="20"/>
              <w:jc w:val="left"/>
              <w:rPr>
                <w:rFonts w:ascii="宋体" w:hAnsi="宋体" w:cs="宋体" w:eastAsia="宋体" w:hint="default"/>
                <w:sz w:val="18"/>
                <w:szCs w:val="18"/>
              </w:rPr>
            </w:pPr>
            <w:r>
              <w:rPr>
                <w:rFonts w:ascii="宋体" w:hAnsi="宋体" w:cs="宋体" w:eastAsia="宋体" w:hint="default"/>
                <w:spacing w:val="-2"/>
                <w:sz w:val="18"/>
                <w:szCs w:val="18"/>
              </w:rPr>
              <w:t>博信优选（天</w:t>
            </w:r>
            <w:r>
              <w:rPr>
                <w:rFonts w:ascii="宋体" w:hAnsi="宋体" w:cs="宋体" w:eastAsia="宋体" w:hint="default"/>
                <w:sz w:val="18"/>
                <w:szCs w:val="18"/>
              </w:rPr>
              <w:t> </w:t>
            </w:r>
            <w:r>
              <w:rPr>
                <w:rFonts w:ascii="宋体" w:hAnsi="宋体" w:cs="宋体" w:eastAsia="宋体" w:hint="default"/>
                <w:spacing w:val="-2"/>
                <w:sz w:val="18"/>
                <w:szCs w:val="18"/>
              </w:rPr>
              <w:t>津）股权投资</w:t>
            </w:r>
            <w:r>
              <w:rPr>
                <w:rFonts w:ascii="宋体" w:hAnsi="宋体" w:cs="宋体" w:eastAsia="宋体" w:hint="default"/>
                <w:sz w:val="18"/>
                <w:szCs w:val="18"/>
              </w:rPr>
              <w:t> 基金合伙企 业（有限合 伙）</w:t>
            </w:r>
            <w:r>
              <w:rPr>
                <w:rFonts w:ascii="Times New Roman" w:hAnsi="Times New Roman" w:cs="Times New Roman" w:eastAsia="Times New Roman" w:hint="default"/>
                <w:sz w:val="18"/>
                <w:szCs w:val="18"/>
              </w:rPr>
              <w:t>;</w:t>
            </w:r>
            <w:r>
              <w:rPr>
                <w:rFonts w:ascii="宋体" w:hAnsi="宋体" w:cs="宋体" w:eastAsia="宋体" w:hint="default"/>
                <w:sz w:val="18"/>
                <w:szCs w:val="18"/>
              </w:rPr>
              <w:t>陈根清</w:t>
            </w:r>
            <w:r>
              <w:rPr>
                <w:rFonts w:ascii="Times New Roman" w:hAnsi="Times New Roman" w:cs="Times New Roman" w:eastAsia="Times New Roman" w:hint="default"/>
                <w:sz w:val="18"/>
                <w:szCs w:val="18"/>
              </w:rPr>
              <w:t>; </w:t>
            </w:r>
            <w:r>
              <w:rPr>
                <w:rFonts w:ascii="宋体" w:hAnsi="宋体" w:cs="宋体" w:eastAsia="宋体" w:hint="default"/>
                <w:sz w:val="18"/>
                <w:szCs w:val="18"/>
              </w:rPr>
              <w:t>范熊熊</w:t>
            </w:r>
            <w:r>
              <w:rPr>
                <w:rFonts w:ascii="Times New Roman" w:hAnsi="Times New Roman" w:cs="Times New Roman" w:eastAsia="Times New Roman" w:hint="default"/>
                <w:sz w:val="18"/>
                <w:szCs w:val="18"/>
              </w:rPr>
              <w:t>;</w:t>
            </w:r>
            <w:r>
              <w:rPr>
                <w:rFonts w:ascii="宋体" w:hAnsi="宋体" w:cs="宋体" w:eastAsia="宋体" w:hint="default"/>
                <w:sz w:val="18"/>
                <w:szCs w:val="18"/>
              </w:rPr>
              <w:t>杭州 金础创业投 资合伙企业</w:t>
            </w:r>
          </w:p>
          <w:p>
            <w:pPr>
              <w:pStyle w:val="TableParagraph"/>
              <w:spacing w:line="309" w:lineRule="auto" w:before="22"/>
              <w:ind w:left="23" w:right="21"/>
              <w:jc w:val="left"/>
              <w:rPr>
                <w:rFonts w:ascii="宋体" w:hAnsi="宋体" w:cs="宋体" w:eastAsia="宋体" w:hint="default"/>
                <w:sz w:val="18"/>
                <w:szCs w:val="18"/>
              </w:rPr>
            </w:pPr>
            <w:r>
              <w:rPr>
                <w:rFonts w:ascii="宋体" w:hAnsi="宋体" w:cs="宋体" w:eastAsia="宋体" w:hint="default"/>
                <w:spacing w:val="-9"/>
                <w:sz w:val="18"/>
                <w:szCs w:val="18"/>
              </w:rPr>
              <w:t>（有限合伙）</w:t>
            </w:r>
            <w:r>
              <w:rPr>
                <w:rFonts w:ascii="Times New Roman" w:hAnsi="Times New Roman" w:cs="Times New Roman" w:eastAsia="Times New Roman" w:hint="default"/>
                <w:spacing w:val="-9"/>
                <w:sz w:val="18"/>
                <w:szCs w:val="18"/>
              </w:rPr>
              <w:t>;</w:t>
            </w:r>
            <w:r>
              <w:rPr>
                <w:rFonts w:ascii="Times New Roman" w:hAnsi="Times New Roman" w:cs="Times New Roman" w:eastAsia="Times New Roman" w:hint="default"/>
                <w:sz w:val="18"/>
                <w:szCs w:val="18"/>
              </w:rPr>
              <w:t> </w:t>
            </w:r>
            <w:r>
              <w:rPr>
                <w:rFonts w:ascii="宋体" w:hAnsi="宋体" w:cs="宋体" w:eastAsia="宋体" w:hint="default"/>
                <w:sz w:val="18"/>
                <w:szCs w:val="18"/>
              </w:rPr>
              <w:t>杭州乾盈投 资管理有限 公司</w:t>
            </w:r>
            <w:r>
              <w:rPr>
                <w:rFonts w:ascii="Times New Roman" w:hAnsi="Times New Roman" w:cs="Times New Roman" w:eastAsia="Times New Roman" w:hint="default"/>
                <w:sz w:val="18"/>
                <w:szCs w:val="18"/>
              </w:rPr>
              <w:t>;</w:t>
            </w:r>
            <w:r>
              <w:rPr>
                <w:rFonts w:ascii="宋体" w:hAnsi="宋体" w:cs="宋体" w:eastAsia="宋体" w:hint="default"/>
                <w:sz w:val="18"/>
                <w:szCs w:val="18"/>
              </w:rPr>
              <w:t>杭州文 诚创业投资 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杭 州易康投资</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319" w:lineRule="auto"/>
              <w:ind w:left="22" w:right="104"/>
              <w:jc w:val="left"/>
              <w:rPr>
                <w:rFonts w:ascii="宋体" w:hAnsi="宋体" w:cs="宋体" w:eastAsia="宋体" w:hint="default"/>
                <w:sz w:val="18"/>
                <w:szCs w:val="18"/>
              </w:rPr>
            </w:pPr>
            <w:r>
              <w:rPr>
                <w:rFonts w:ascii="宋体" w:hAnsi="宋体" w:cs="宋体" w:eastAsia="宋体" w:hint="default"/>
                <w:sz w:val="18"/>
                <w:szCs w:val="18"/>
              </w:rPr>
              <w:t>股份限售 承诺</w:t>
            </w:r>
          </w:p>
        </w:tc>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0"/>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持有公司股份的董事、监事和高级管</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理人员黄金明、杨增荣、周军辉、范 熊熊、陈根清、施东圣、吕晓平及原 公司高级管理人员何玉萍（已离职） </w:t>
            </w:r>
            <w:r>
              <w:rPr>
                <w:rFonts w:ascii="宋体" w:hAnsi="宋体" w:cs="宋体" w:eastAsia="宋体" w:hint="default"/>
                <w:spacing w:val="-3"/>
                <w:sz w:val="18"/>
                <w:szCs w:val="18"/>
              </w:rPr>
              <w:t>承诺：自公司股票上市之日起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r>
              <w:rPr>
                <w:rFonts w:ascii="宋体" w:hAnsi="宋体" w:cs="宋体" w:eastAsia="宋体" w:hint="default"/>
                <w:spacing w:val="1"/>
                <w:sz w:val="18"/>
                <w:szCs w:val="18"/>
              </w:rPr>
              <w:t> </w:t>
            </w:r>
            <w:r>
              <w:rPr>
                <w:rFonts w:ascii="宋体" w:hAnsi="宋体" w:cs="宋体" w:eastAsia="宋体" w:hint="default"/>
                <w:sz w:val="18"/>
                <w:szCs w:val="18"/>
              </w:rPr>
              <w:t>内，本人不转让或者委托他人管理本</w:t>
            </w:r>
            <w:r>
              <w:rPr>
                <w:rFonts w:ascii="宋体" w:hAnsi="宋体" w:cs="宋体" w:eastAsia="宋体" w:hint="default"/>
                <w:sz w:val="18"/>
                <w:szCs w:val="18"/>
              </w:rPr>
              <w:t> 人直接或间接持有的公司股份，也不 由公司回购本人直接或间接持有的公 司股份。在本人任职期间每年转让直 接或间接持有的公司股份不超过本人 所持有公司股份总数的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；离职后 半年内，不转让本人直接或间接持有 的公司股份。如在公司股票上市交易 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个月内申报离职，则自申报</w:t>
            </w:r>
          </w:p>
          <w:p>
            <w:pPr>
              <w:pStyle w:val="TableParagraph"/>
              <w:spacing w:line="240" w:lineRule="auto" w:before="1"/>
              <w:ind w:left="22" w:right="0"/>
              <w:jc w:val="both"/>
              <w:rPr>
                <w:rFonts w:ascii="宋体" w:hAnsi="宋体" w:cs="宋体" w:eastAsia="宋体" w:hint="default"/>
                <w:sz w:val="18"/>
                <w:szCs w:val="18"/>
              </w:rPr>
            </w:pPr>
            <w:r>
              <w:rPr>
                <w:rFonts w:ascii="宋体" w:hAnsi="宋体" w:cs="宋体" w:eastAsia="宋体" w:hint="default"/>
                <w:sz w:val="18"/>
                <w:szCs w:val="18"/>
              </w:rPr>
              <w:t>离职之日起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个月内，不转让其直接</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4" w:right="-7"/>
              <w:jc w:val="left"/>
              <w:rPr>
                <w:rFonts w:ascii="宋体" w:hAnsi="宋体" w:cs="宋体" w:eastAsia="宋体" w:hint="default"/>
                <w:sz w:val="18"/>
                <w:szCs w:val="18"/>
              </w:rPr>
            </w:pPr>
            <w:r>
              <w:rPr>
                <w:rFonts w:ascii="宋体" w:hAnsi="宋体" w:cs="宋体" w:eastAsia="宋体" w:hint="default"/>
                <w:sz w:val="18"/>
                <w:szCs w:val="18"/>
              </w:rPr>
              <w:t>已履行完毕。</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27.5pt;margin-top:72.47998pt;width:98pt;height:501.3pt;mso-position-horizontal-relative:page;mso-position-vertical-relative:page;z-index:-101020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before="150"/>
                    <w:ind w:left="0" w:right="0" w:firstLine="0"/>
                    <w:jc w:val="left"/>
                    <w:rPr>
                      <w:rFonts w:ascii="宋体" w:hAnsi="宋体" w:cs="宋体" w:eastAsia="宋体" w:hint="default"/>
                      <w:sz w:val="18"/>
                      <w:szCs w:val="18"/>
                    </w:rPr>
                  </w:pPr>
                  <w:r>
                    <w:rPr>
                      <w:rFonts w:ascii="宋体" w:hAnsi="宋体" w:cs="宋体" w:eastAsia="宋体" w:hint="default"/>
                      <w:sz w:val="18"/>
                      <w:szCs w:val="18"/>
                    </w:rPr>
                    <w:t>合力创投、</w:t>
                  </w:r>
                </w:p>
              </w:txbxContent>
            </v:textbox>
            <w10:wrap type="none"/>
          </v:shape>
        </w:pict>
      </w:r>
    </w:p>
    <w:p>
      <w:pPr>
        <w:spacing w:line="240" w:lineRule="auto" w:before="10"/>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76"/>
        <w:gridCol w:w="1126"/>
        <w:gridCol w:w="859"/>
        <w:gridCol w:w="2993"/>
        <w:gridCol w:w="1126"/>
        <w:gridCol w:w="1121"/>
        <w:gridCol w:w="1110"/>
      </w:tblGrid>
      <w:tr>
        <w:trPr>
          <w:trHeight w:val="10035" w:hRule="exact"/>
        </w:trPr>
        <w:tc>
          <w:tcPr>
            <w:tcW w:w="127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0"/>
              <w:ind w:left="23" w:right="20"/>
              <w:jc w:val="left"/>
              <w:rPr>
                <w:rFonts w:ascii="宋体" w:hAnsi="宋体" w:cs="宋体" w:eastAsia="宋体" w:hint="default"/>
                <w:sz w:val="18"/>
                <w:szCs w:val="18"/>
              </w:rPr>
            </w:pPr>
            <w:r>
              <w:rPr>
                <w:rFonts w:ascii="宋体" w:hAnsi="宋体" w:cs="宋体" w:eastAsia="宋体" w:hint="default"/>
                <w:sz w:val="18"/>
                <w:szCs w:val="18"/>
              </w:rPr>
              <w:t>管理有限公 司</w:t>
            </w:r>
            <w:r>
              <w:rPr>
                <w:rFonts w:ascii="Times New Roman" w:hAnsi="Times New Roman" w:cs="Times New Roman" w:eastAsia="Times New Roman" w:hint="default"/>
                <w:sz w:val="18"/>
                <w:szCs w:val="18"/>
              </w:rPr>
              <w:t>;</w:t>
            </w:r>
            <w:r>
              <w:rPr>
                <w:rFonts w:ascii="宋体" w:hAnsi="宋体" w:cs="宋体" w:eastAsia="宋体" w:hint="default"/>
                <w:sz w:val="18"/>
                <w:szCs w:val="18"/>
              </w:rPr>
              <w:t>杭州盈沛 投资合伙企 业（有限合 </w:t>
            </w:r>
            <w:r>
              <w:rPr>
                <w:rFonts w:ascii="宋体" w:hAnsi="宋体" w:cs="宋体" w:eastAsia="宋体" w:hint="default"/>
                <w:spacing w:val="-9"/>
                <w:sz w:val="18"/>
                <w:szCs w:val="18"/>
              </w:rPr>
              <w:t>伙）</w:t>
            </w:r>
            <w:r>
              <w:rPr>
                <w:rFonts w:ascii="Times New Roman" w:hAnsi="Times New Roman" w:cs="Times New Roman" w:eastAsia="Times New Roman" w:hint="default"/>
                <w:spacing w:val="-9"/>
                <w:sz w:val="18"/>
                <w:szCs w:val="18"/>
              </w:rPr>
              <w:t>;</w:t>
            </w:r>
            <w:r>
              <w:rPr>
                <w:rFonts w:ascii="宋体" w:hAnsi="宋体" w:cs="宋体" w:eastAsia="宋体" w:hint="default"/>
                <w:spacing w:val="-9"/>
                <w:sz w:val="18"/>
                <w:szCs w:val="18"/>
              </w:rPr>
              <w:t>杭州正浩</w:t>
            </w:r>
            <w:r>
              <w:rPr>
                <w:rFonts w:ascii="宋体" w:hAnsi="宋体" w:cs="宋体" w:eastAsia="宋体" w:hint="default"/>
                <w:sz w:val="18"/>
                <w:szCs w:val="18"/>
              </w:rPr>
              <w:t> 投资管理有 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何玉 萍</w:t>
            </w:r>
            <w:r>
              <w:rPr>
                <w:rFonts w:ascii="Times New Roman" w:hAnsi="Times New Roman" w:cs="Times New Roman" w:eastAsia="Times New Roman" w:hint="default"/>
                <w:sz w:val="18"/>
                <w:szCs w:val="18"/>
              </w:rPr>
              <w:t>;</w:t>
            </w:r>
            <w:r>
              <w:rPr>
                <w:rFonts w:ascii="宋体" w:hAnsi="宋体" w:cs="宋体" w:eastAsia="宋体" w:hint="default"/>
                <w:sz w:val="18"/>
                <w:szCs w:val="18"/>
              </w:rPr>
              <w:t>黄金明</w:t>
            </w:r>
            <w:r>
              <w:rPr>
                <w:rFonts w:ascii="Times New Roman" w:hAnsi="Times New Roman" w:cs="Times New Roman" w:eastAsia="Times New Roman" w:hint="default"/>
                <w:sz w:val="18"/>
                <w:szCs w:val="18"/>
              </w:rPr>
              <w:t>;</w:t>
            </w:r>
            <w:r>
              <w:rPr>
                <w:rFonts w:ascii="宋体" w:hAnsi="宋体" w:cs="宋体" w:eastAsia="宋体" w:hint="default"/>
                <w:sz w:val="18"/>
                <w:szCs w:val="18"/>
              </w:rPr>
              <w:t>李 成</w:t>
            </w:r>
            <w:r>
              <w:rPr>
                <w:rFonts w:ascii="Times New Roman" w:hAnsi="Times New Roman" w:cs="Times New Roman" w:eastAsia="Times New Roman" w:hint="default"/>
                <w:sz w:val="18"/>
                <w:szCs w:val="18"/>
              </w:rPr>
              <w:t>;</w:t>
            </w:r>
            <w:r>
              <w:rPr>
                <w:rFonts w:ascii="宋体" w:hAnsi="宋体" w:cs="宋体" w:eastAsia="宋体" w:hint="default"/>
                <w:sz w:val="18"/>
                <w:szCs w:val="18"/>
              </w:rPr>
              <w:t>吕晓平</w:t>
            </w:r>
            <w:r>
              <w:rPr>
                <w:rFonts w:ascii="Times New Roman" w:hAnsi="Times New Roman" w:cs="Times New Roman" w:eastAsia="Times New Roman" w:hint="default"/>
                <w:sz w:val="18"/>
                <w:szCs w:val="18"/>
              </w:rPr>
              <w:t>;</w:t>
            </w:r>
            <w:r>
              <w:rPr>
                <w:rFonts w:ascii="宋体" w:hAnsi="宋体" w:cs="宋体" w:eastAsia="宋体" w:hint="default"/>
                <w:sz w:val="18"/>
                <w:szCs w:val="18"/>
              </w:rPr>
              <w:t>青 岛金石灏汭 投资有限公 司</w:t>
            </w:r>
            <w:r>
              <w:rPr>
                <w:rFonts w:ascii="Times New Roman" w:hAnsi="Times New Roman" w:cs="Times New Roman" w:eastAsia="Times New Roman" w:hint="default"/>
                <w:sz w:val="18"/>
                <w:szCs w:val="18"/>
              </w:rPr>
              <w:t>;</w:t>
            </w:r>
            <w:r>
              <w:rPr>
                <w:rFonts w:ascii="宋体" w:hAnsi="宋体" w:cs="宋体" w:eastAsia="宋体" w:hint="default"/>
                <w:sz w:val="18"/>
                <w:szCs w:val="18"/>
              </w:rPr>
              <w:t>施东圣</w:t>
            </w:r>
            <w:r>
              <w:rPr>
                <w:rFonts w:ascii="Times New Roman" w:hAnsi="Times New Roman" w:cs="Times New Roman" w:eastAsia="Times New Roman" w:hint="default"/>
                <w:sz w:val="18"/>
                <w:szCs w:val="18"/>
              </w:rPr>
              <w:t>;</w:t>
            </w:r>
            <w:r>
              <w:rPr>
                <w:rFonts w:ascii="宋体" w:hAnsi="宋体" w:cs="宋体" w:eastAsia="宋体" w:hint="default"/>
                <w:sz w:val="18"/>
                <w:szCs w:val="18"/>
              </w:rPr>
              <w:t>新 余鼎峰鲲鹏 投资管理中 心（有限合 伙）</w:t>
            </w:r>
            <w:r>
              <w:rPr>
                <w:rFonts w:ascii="Times New Roman" w:hAnsi="Times New Roman" w:cs="Times New Roman" w:eastAsia="Times New Roman" w:hint="default"/>
                <w:sz w:val="18"/>
                <w:szCs w:val="18"/>
              </w:rPr>
              <w:t>;</w:t>
            </w:r>
            <w:r>
              <w:rPr>
                <w:rFonts w:ascii="宋体" w:hAnsi="宋体" w:cs="宋体" w:eastAsia="宋体" w:hint="default"/>
                <w:sz w:val="18"/>
                <w:szCs w:val="18"/>
              </w:rPr>
              <w:t>杨增荣</w:t>
            </w:r>
            <w:r>
              <w:rPr>
                <w:rFonts w:ascii="Times New Roman" w:hAnsi="Times New Roman" w:cs="Times New Roman" w:eastAsia="Times New Roman" w:hint="default"/>
                <w:sz w:val="18"/>
                <w:szCs w:val="18"/>
              </w:rPr>
              <w:t>; </w:t>
            </w:r>
            <w:r>
              <w:rPr>
                <w:rFonts w:ascii="宋体" w:hAnsi="宋体" w:cs="宋体" w:eastAsia="宋体" w:hint="default"/>
                <w:sz w:val="18"/>
                <w:szCs w:val="18"/>
              </w:rPr>
              <w:t>浙江海宁嘉 慧投资合伙 </w:t>
            </w:r>
            <w:r>
              <w:rPr>
                <w:rFonts w:ascii="宋体" w:hAnsi="宋体" w:cs="宋体" w:eastAsia="宋体" w:hint="default"/>
                <w:spacing w:val="-2"/>
                <w:sz w:val="18"/>
                <w:szCs w:val="18"/>
              </w:rPr>
              <w:t>企业（有限合</w:t>
            </w:r>
            <w:r>
              <w:rPr>
                <w:rFonts w:ascii="宋体" w:hAnsi="宋体" w:cs="宋体" w:eastAsia="宋体" w:hint="default"/>
                <w:sz w:val="18"/>
                <w:szCs w:val="18"/>
              </w:rPr>
              <w:t> </w:t>
            </w:r>
            <w:r>
              <w:rPr>
                <w:rFonts w:ascii="宋体" w:hAnsi="宋体" w:cs="宋体" w:eastAsia="宋体" w:hint="default"/>
                <w:spacing w:val="-9"/>
                <w:sz w:val="18"/>
                <w:szCs w:val="18"/>
              </w:rPr>
              <w:t>伙）</w:t>
            </w:r>
            <w:r>
              <w:rPr>
                <w:rFonts w:ascii="Times New Roman" w:hAnsi="Times New Roman" w:cs="Times New Roman" w:eastAsia="Times New Roman" w:hint="default"/>
                <w:spacing w:val="-9"/>
                <w:sz w:val="18"/>
                <w:szCs w:val="18"/>
              </w:rPr>
              <w:t>;</w:t>
            </w:r>
            <w:r>
              <w:rPr>
                <w:rFonts w:ascii="宋体" w:hAnsi="宋体" w:cs="宋体" w:eastAsia="宋体" w:hint="default"/>
                <w:spacing w:val="-9"/>
                <w:sz w:val="18"/>
                <w:szCs w:val="18"/>
              </w:rPr>
              <w:t>浙江合力</w:t>
            </w:r>
            <w:r>
              <w:rPr>
                <w:rFonts w:ascii="宋体" w:hAnsi="宋体" w:cs="宋体" w:eastAsia="宋体" w:hint="default"/>
                <w:sz w:val="18"/>
                <w:szCs w:val="18"/>
              </w:rPr>
              <w:t> 创业投资有 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浙江 连连投资有 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浙江 盈瓯创业投 资有限公司</w:t>
            </w:r>
            <w:r>
              <w:rPr>
                <w:rFonts w:ascii="Times New Roman" w:hAnsi="Times New Roman" w:cs="Times New Roman" w:eastAsia="Times New Roman" w:hint="default"/>
                <w:sz w:val="18"/>
                <w:szCs w:val="18"/>
              </w:rPr>
              <w:t>; </w:t>
            </w:r>
            <w:r>
              <w:rPr>
                <w:rFonts w:ascii="宋体" w:hAnsi="宋体" w:cs="宋体" w:eastAsia="宋体" w:hint="default"/>
                <w:sz w:val="18"/>
                <w:szCs w:val="18"/>
              </w:rPr>
              <w:t>周军辉</w:t>
            </w:r>
          </w:p>
        </w:tc>
        <w:tc>
          <w:tcPr>
            <w:tcW w:w="859" w:type="dxa"/>
            <w:tcBorders>
              <w:top w:val="single" w:sz="4" w:space="0" w:color="000000"/>
              <w:left w:val="single" w:sz="4" w:space="0" w:color="000000"/>
              <w:bottom w:val="single" w:sz="4" w:space="0" w:color="000000"/>
              <w:right w:val="single" w:sz="4" w:space="0" w:color="000000"/>
            </w:tcBorders>
          </w:tcPr>
          <w:p>
            <w:pPr/>
          </w:p>
        </w:tc>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0"/>
              <w:jc w:val="left"/>
              <w:rPr>
                <w:rFonts w:ascii="宋体" w:hAnsi="宋体" w:cs="宋体" w:eastAsia="宋体" w:hint="default"/>
                <w:sz w:val="18"/>
                <w:szCs w:val="18"/>
              </w:rPr>
            </w:pPr>
            <w:r>
              <w:rPr>
                <w:rFonts w:ascii="宋体" w:hAnsi="宋体" w:cs="宋体" w:eastAsia="宋体" w:hint="default"/>
                <w:sz w:val="18"/>
                <w:szCs w:val="18"/>
              </w:rPr>
              <w:t>或间接持有的公司股份；如在股票上 市交易之日起第</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个月至第</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个月之</w:t>
            </w:r>
          </w:p>
          <w:p>
            <w:pPr>
              <w:pStyle w:val="TableParagraph"/>
              <w:spacing w:line="309" w:lineRule="auto"/>
              <w:ind w:left="22" w:right="20"/>
              <w:jc w:val="left"/>
              <w:rPr>
                <w:rFonts w:ascii="Times New Roman" w:hAnsi="Times New Roman" w:cs="Times New Roman" w:eastAsia="Times New Roman" w:hint="default"/>
                <w:sz w:val="18"/>
                <w:szCs w:val="18"/>
              </w:rPr>
            </w:pPr>
            <w:r>
              <w:rPr>
                <w:rFonts w:ascii="宋体" w:hAnsi="宋体" w:cs="宋体" w:eastAsia="宋体" w:hint="default"/>
                <w:sz w:val="18"/>
                <w:szCs w:val="18"/>
              </w:rPr>
              <w:t>间申报离职，则自申报离职之日起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个月内不转让其直接或间接持有的公 司股份。锁定期届满后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年内，本公 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本人减持公司股票的，减持价格不 低于本次发行并上市时公司股票的发 </w:t>
            </w:r>
            <w:r>
              <w:rPr>
                <w:rFonts w:ascii="宋体" w:hAnsi="宋体" w:cs="宋体" w:eastAsia="宋体" w:hint="default"/>
                <w:spacing w:val="-6"/>
                <w:w w:val="100"/>
                <w:sz w:val="18"/>
                <w:szCs w:val="18"/>
              </w:rPr>
              <w:t>行价（以下简称</w:t>
            </w:r>
            <w:r>
              <w:rPr>
                <w:rFonts w:ascii="Times New Roman" w:hAnsi="Times New Roman" w:cs="Times New Roman" w:eastAsia="Times New Roman" w:hint="default"/>
                <w:spacing w:val="-6"/>
                <w:w w:val="100"/>
                <w:sz w:val="18"/>
                <w:szCs w:val="18"/>
              </w:rPr>
              <w:t>“</w:t>
            </w:r>
            <w:r>
              <w:rPr>
                <w:rFonts w:ascii="宋体" w:hAnsi="宋体" w:cs="宋体" w:eastAsia="宋体" w:hint="default"/>
                <w:spacing w:val="-6"/>
                <w:w w:val="100"/>
                <w:sz w:val="18"/>
                <w:szCs w:val="18"/>
              </w:rPr>
              <w:t>发行价</w:t>
            </w:r>
            <w:r>
              <w:rPr>
                <w:rFonts w:ascii="Times New Roman" w:hAnsi="Times New Roman" w:cs="Times New Roman" w:eastAsia="Times New Roman" w:hint="default"/>
                <w:spacing w:val="-6"/>
                <w:w w:val="100"/>
                <w:sz w:val="18"/>
                <w:szCs w:val="18"/>
              </w:rPr>
              <w:t>”</w:t>
            </w:r>
            <w:r>
              <w:rPr>
                <w:rFonts w:ascii="宋体" w:hAnsi="宋体" w:cs="宋体" w:eastAsia="宋体" w:hint="default"/>
                <w:spacing w:val="-6"/>
                <w:w w:val="100"/>
                <w:sz w:val="18"/>
                <w:szCs w:val="18"/>
              </w:rPr>
              <w:t>）；公司上市</w:t>
            </w:r>
            <w:r>
              <w:rPr>
                <w:rFonts w:ascii="宋体" w:hAnsi="宋体" w:cs="宋体" w:eastAsia="宋体" w:hint="default"/>
                <w:spacing w:val="-86"/>
                <w:w w:val="100"/>
                <w:sz w:val="18"/>
                <w:szCs w:val="18"/>
              </w:rPr>
              <w:t> </w:t>
            </w:r>
            <w:r>
              <w:rPr>
                <w:rFonts w:ascii="宋体" w:hAnsi="宋体" w:cs="宋体" w:eastAsia="宋体" w:hint="default"/>
                <w:spacing w:val="-86"/>
                <w:w w:val="100"/>
                <w:sz w:val="18"/>
                <w:szCs w:val="18"/>
              </w:rPr>
            </w:r>
            <w:r>
              <w:rPr>
                <w:rFonts w:ascii="宋体" w:hAnsi="宋体" w:cs="宋体" w:eastAsia="宋体" w:hint="default"/>
                <w:sz w:val="18"/>
                <w:szCs w:val="18"/>
              </w:rPr>
              <w:t>后</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个月内如公司股票连续</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个交易 日的收盘价均低于发行价，或者上市 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个月期末（如该日不是交易日， 则该日后第一个交易日）收盘价低于 发行价，本公司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本人持有股票的锁定 期限将自动延长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个月。若公司在本 次发行并上市后有派息、送股、资本 公积转增股本等除权除息事项的，应 对发行价进行除权除息处理；如本公 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本人违反上述承诺或法律强制性规 定减持股份的，本公司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本人承诺违规 减持股票所得归公司所有，同时本公 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本人持有剩余股份的锁定期在原股 份锁定期（包括延长后的锁定期）届 满后自动延长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年。公司股东易康投 资、正浩投资、博信优选、 盈瓯创投、连连投资、青岛金石、海 宁嘉慧、乾盈投资、新余鼎峰、金础 创投、李成、盈沛投资、文诚创投承 诺：自公司首次公开发行的股票上市 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个月内，不转让或者委托他</w:t>
            </w:r>
            <w:r>
              <w:rPr>
                <w:rFonts w:ascii="宋体" w:hAnsi="宋体" w:cs="宋体" w:eastAsia="宋体" w:hint="default"/>
                <w:sz w:val="18"/>
                <w:szCs w:val="18"/>
              </w:rPr>
              <w:t> 人管理本单位</w:t>
            </w:r>
            <w:r>
              <w:rPr>
                <w:rFonts w:ascii="Times New Roman" w:hAnsi="Times New Roman" w:cs="Times New Roman" w:eastAsia="Times New Roman" w:hint="default"/>
                <w:sz w:val="18"/>
                <w:szCs w:val="18"/>
              </w:rPr>
              <w:t>/</w:t>
            </w:r>
            <w:r>
              <w:rPr>
                <w:rFonts w:ascii="宋体" w:hAnsi="宋体" w:cs="宋体" w:eastAsia="宋体" w:hint="default"/>
                <w:sz w:val="18"/>
                <w:szCs w:val="18"/>
              </w:rPr>
              <w:t>本人所持有的公司股 份，也不由公司回购本单位</w:t>
            </w:r>
            <w:r>
              <w:rPr>
                <w:rFonts w:ascii="Times New Roman" w:hAnsi="Times New Roman" w:cs="Times New Roman" w:eastAsia="Times New Roman" w:hint="default"/>
                <w:sz w:val="18"/>
                <w:szCs w:val="18"/>
              </w:rPr>
              <w:t>/</w:t>
            </w:r>
            <w:r>
              <w:rPr>
                <w:rFonts w:ascii="宋体" w:hAnsi="宋体" w:cs="宋体" w:eastAsia="宋体" w:hint="default"/>
                <w:sz w:val="18"/>
                <w:szCs w:val="18"/>
              </w:rPr>
              <w:t>本人所持 有的股份。</w:t>
            </w:r>
            <w:r>
              <w:rPr>
                <w:rFonts w:ascii="Times New Roman" w:hAnsi="Times New Roman" w:cs="Times New Roman" w:eastAsia="Times New Roman" w:hint="default"/>
                <w:sz w:val="18"/>
                <w:szCs w:val="18"/>
              </w:rPr>
              <w:t>"</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10025"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00"/>
                <w:sz w:val="20"/>
                <w:szCs w:val="20"/>
              </w:rPr>
              <w:pict>
                <v:group style="width:55.85pt;height:501.3pt;mso-position-horizontal-relative:char;mso-position-vertical-relative:line" coordorigin="0,0" coordsize="1117,10026">
                  <v:group style="position:absolute;left:0;top:0;width:1117;height:10026" coordorigin="0,0" coordsize="1117,10026">
                    <v:shape style="position:absolute;left:0;top:0;width:1117;height:10026" coordorigin="0,0" coordsize="1117,10026" path="m0,10026l1116,10026,1116,0,0,0,0,10026xe" filled="true" fillcolor="#ffffff" stroked="false">
                      <v:path arrowok="t"/>
                      <v:fill type="solid"/>
                    </v:shape>
                  </v:group>
                </v:group>
              </w:pict>
            </w:r>
            <w:r>
              <w:rPr>
                <w:rFonts w:ascii="Times New Roman" w:hAnsi="Times New Roman" w:cs="Times New Roman" w:eastAsia="Times New Roman" w:hint="default"/>
                <w:position w:val="-200"/>
                <w:sz w:val="20"/>
                <w:szCs w:val="20"/>
              </w:rPr>
            </w: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3795" w:hRule="exact"/>
        </w:trPr>
        <w:tc>
          <w:tcPr>
            <w:tcW w:w="127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312" w:lineRule="auto"/>
              <w:ind w:left="23" w:right="139"/>
              <w:jc w:val="both"/>
              <w:rPr>
                <w:rFonts w:ascii="宋体" w:hAnsi="宋体" w:cs="宋体" w:eastAsia="宋体" w:hint="default"/>
                <w:sz w:val="18"/>
                <w:szCs w:val="18"/>
              </w:rPr>
            </w:pPr>
            <w:r>
              <w:rPr>
                <w:rFonts w:ascii="宋体" w:hAnsi="宋体" w:cs="宋体" w:eastAsia="宋体" w:hint="default"/>
                <w:sz w:val="18"/>
                <w:szCs w:val="18"/>
              </w:rPr>
              <w:t>杭州正元企 业管理咨询 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李 琳</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42"/>
              <w:ind w:left="22" w:right="104"/>
              <w:jc w:val="left"/>
              <w:rPr>
                <w:rFonts w:ascii="宋体" w:hAnsi="宋体" w:cs="宋体" w:eastAsia="宋体" w:hint="default"/>
                <w:sz w:val="18"/>
                <w:szCs w:val="18"/>
              </w:rPr>
            </w:pPr>
            <w:r>
              <w:rPr>
                <w:rFonts w:ascii="宋体" w:hAnsi="宋体" w:cs="宋体" w:eastAsia="宋体" w:hint="default"/>
                <w:sz w:val="18"/>
                <w:szCs w:val="18"/>
              </w:rPr>
              <w:t>股份减持 承诺</w:t>
            </w:r>
          </w:p>
        </w:tc>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1"/>
              <w:ind w:left="22" w:right="13"/>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在锁定期（包括延长的锁定期）届满</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后，关于减持本公司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本人于本次发行 前已直接或间接持有的老股（不包括 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本人在本次发行股票后从公开 市场中新买入的股份）事项，本公司</w:t>
            </w:r>
            <w:r>
              <w:rPr>
                <w:rFonts w:ascii="Times New Roman" w:hAnsi="Times New Roman" w:cs="Times New Roman" w:eastAsia="Times New Roman" w:hint="default"/>
                <w:sz w:val="18"/>
                <w:szCs w:val="18"/>
              </w:rPr>
              <w:t>/ </w:t>
            </w:r>
            <w:r>
              <w:rPr>
                <w:rFonts w:ascii="宋体" w:hAnsi="宋体" w:cs="宋体" w:eastAsia="宋体" w:hint="default"/>
                <w:sz w:val="18"/>
                <w:szCs w:val="18"/>
              </w:rPr>
              <w:t>本人承诺如下：在锁定期（包括延长 的锁定期）届满后的</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7"/>
                <w:sz w:val="18"/>
                <w:szCs w:val="18"/>
              </w:rPr>
              <w:t> </w:t>
            </w:r>
            <w:r>
              <w:rPr>
                <w:rFonts w:ascii="宋体" w:hAnsi="宋体" w:cs="宋体" w:eastAsia="宋体" w:hint="default"/>
                <w:spacing w:val="-3"/>
                <w:sz w:val="18"/>
                <w:szCs w:val="18"/>
              </w:rPr>
              <w:t>个月内，本公</w:t>
            </w:r>
            <w:r>
              <w:rPr>
                <w:rFonts w:ascii="宋体" w:hAnsi="宋体" w:cs="宋体" w:eastAsia="宋体" w:hint="default"/>
                <w:sz w:val="18"/>
                <w:szCs w:val="18"/>
              </w:rPr>
              <w:t> 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本人直接或间接转让所持老股不超 过本公司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本人持有公司老股的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 在锁定期（包括延长的锁定期）届满 后的第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 直接或间接转让所持老股不超过在锁</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24" w:right="-4"/>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76"/>
        <w:gridCol w:w="1126"/>
        <w:gridCol w:w="859"/>
        <w:gridCol w:w="2993"/>
        <w:gridCol w:w="1126"/>
        <w:gridCol w:w="1121"/>
        <w:gridCol w:w="1110"/>
      </w:tblGrid>
      <w:tr>
        <w:trPr>
          <w:trHeight w:val="10035" w:hRule="exact"/>
        </w:trPr>
        <w:tc>
          <w:tcPr>
            <w:tcW w:w="127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0"/>
              <w:ind w:left="22" w:right="23"/>
              <w:jc w:val="left"/>
              <w:rPr>
                <w:rFonts w:ascii="宋体" w:hAnsi="宋体" w:cs="宋体" w:eastAsia="宋体" w:hint="default"/>
                <w:sz w:val="18"/>
                <w:szCs w:val="18"/>
              </w:rPr>
            </w:pPr>
            <w:r>
              <w:rPr>
                <w:rFonts w:ascii="宋体" w:hAnsi="宋体" w:cs="宋体" w:eastAsia="宋体" w:hint="default"/>
                <w:sz w:val="18"/>
                <w:szCs w:val="18"/>
              </w:rPr>
              <w:t>定期届满后第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个月初本公司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 直接或间接持有老股的</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 </w:t>
            </w:r>
            <w:r>
              <w:rPr>
                <w:rFonts w:ascii="宋体" w:hAnsi="宋体" w:cs="宋体" w:eastAsia="宋体" w:hint="default"/>
                <w:sz w:val="18"/>
                <w:szCs w:val="18"/>
              </w:rPr>
              <w:t>本人持有的公司股份的锁定期限（包 括延长的锁定期）届满后，本公司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 人减持直接或间接所持公司股份时， 应提前将减持意向和拟减持数量等信 息以书面方式通知公司，并由公司及 时予以公告，自公告之日起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 日后，本公司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本人方可减持股份。锁 定期届满后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年内，本公司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本人减持 公司股票的，减持价格不低于本次发 行并上市时公司股票的发行价（以下 </w:t>
            </w:r>
            <w:r>
              <w:rPr>
                <w:rFonts w:ascii="宋体" w:hAnsi="宋体" w:cs="宋体" w:eastAsia="宋体" w:hint="default"/>
                <w:spacing w:val="-8"/>
                <w:w w:val="100"/>
                <w:sz w:val="18"/>
                <w:szCs w:val="18"/>
              </w:rPr>
              <w:t>简称</w:t>
            </w:r>
            <w:r>
              <w:rPr>
                <w:rFonts w:ascii="Times New Roman" w:hAnsi="Times New Roman" w:cs="Times New Roman" w:eastAsia="Times New Roman" w:hint="default"/>
                <w:spacing w:val="-8"/>
                <w:w w:val="100"/>
                <w:sz w:val="18"/>
                <w:szCs w:val="18"/>
              </w:rPr>
              <w:t>“</w:t>
            </w:r>
            <w:r>
              <w:rPr>
                <w:rFonts w:ascii="宋体" w:hAnsi="宋体" w:cs="宋体" w:eastAsia="宋体" w:hint="default"/>
                <w:spacing w:val="-8"/>
                <w:w w:val="100"/>
                <w:sz w:val="18"/>
                <w:szCs w:val="18"/>
              </w:rPr>
              <w:t>发行价</w:t>
            </w:r>
            <w:r>
              <w:rPr>
                <w:rFonts w:ascii="Times New Roman" w:hAnsi="Times New Roman" w:cs="Times New Roman" w:eastAsia="Times New Roman" w:hint="default"/>
                <w:spacing w:val="-8"/>
                <w:w w:val="100"/>
                <w:sz w:val="18"/>
                <w:szCs w:val="18"/>
              </w:rPr>
              <w:t>”</w:t>
            </w:r>
            <w:r>
              <w:rPr>
                <w:rFonts w:ascii="宋体" w:hAnsi="宋体" w:cs="宋体" w:eastAsia="宋体" w:hint="default"/>
                <w:spacing w:val="-8"/>
                <w:w w:val="100"/>
                <w:sz w:val="18"/>
                <w:szCs w:val="18"/>
              </w:rPr>
              <w:t>）；公司上市后</w:t>
            </w:r>
            <w:r>
              <w:rPr>
                <w:rFonts w:ascii="宋体" w:hAnsi="宋体" w:cs="宋体" w:eastAsia="宋体" w:hint="default"/>
                <w:spacing w:val="-42"/>
                <w:w w:val="100"/>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个月内</w:t>
            </w:r>
          </w:p>
          <w:p>
            <w:pPr>
              <w:pStyle w:val="TableParagraph"/>
              <w:spacing w:line="240" w:lineRule="auto" w:before="5"/>
              <w:ind w:left="22" w:right="0"/>
              <w:jc w:val="both"/>
              <w:rPr>
                <w:rFonts w:ascii="宋体" w:hAnsi="宋体" w:cs="宋体" w:eastAsia="宋体" w:hint="default"/>
                <w:sz w:val="18"/>
                <w:szCs w:val="18"/>
              </w:rPr>
            </w:pPr>
            <w:r>
              <w:rPr>
                <w:rFonts w:ascii="宋体" w:hAnsi="宋体" w:cs="宋体" w:eastAsia="宋体" w:hint="default"/>
                <w:sz w:val="18"/>
                <w:szCs w:val="18"/>
              </w:rPr>
              <w:t>如公司股票连续</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个交易日的收盘价</w:t>
            </w:r>
          </w:p>
          <w:p>
            <w:pPr>
              <w:pStyle w:val="TableParagraph"/>
              <w:spacing w:line="309" w:lineRule="auto" w:before="63"/>
              <w:ind w:left="22" w:right="29"/>
              <w:jc w:val="both"/>
              <w:rPr>
                <w:rFonts w:ascii="宋体" w:hAnsi="宋体" w:cs="宋体" w:eastAsia="宋体" w:hint="default"/>
                <w:sz w:val="18"/>
                <w:szCs w:val="18"/>
              </w:rPr>
            </w:pPr>
            <w:r>
              <w:rPr>
                <w:rFonts w:ascii="宋体" w:hAnsi="宋体" w:cs="宋体" w:eastAsia="宋体" w:hint="default"/>
                <w:sz w:val="18"/>
                <w:szCs w:val="18"/>
              </w:rPr>
              <w:t>均低于发行价，或者上市后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个月期 末（如该日不是交易日，则该日后第 一个交易日）收盘价低于发行价，本 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本人持有股票的锁定期限将自动 延长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个月。若公司在本次发行并上 市后有派息、送股、资本公积转增股 本等除权除息事项的，应对发行价进 行除权除息处理；如本公司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本人违反 上述承诺或法律强制性规定减持股份 的，本公司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本人承诺违规减持股票所 得归公司所有，同时本公司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本人持有 剩余股份的锁定期在原股份锁定期</w:t>
            </w:r>
          </w:p>
          <w:p>
            <w:pPr>
              <w:pStyle w:val="TableParagraph"/>
              <w:spacing w:line="314" w:lineRule="auto" w:before="24"/>
              <w:ind w:left="22" w:right="78"/>
              <w:jc w:val="both"/>
              <w:rPr>
                <w:rFonts w:ascii="Times New Roman" w:hAnsi="Times New Roman" w:cs="Times New Roman" w:eastAsia="Times New Roman" w:hint="default"/>
                <w:sz w:val="18"/>
                <w:szCs w:val="18"/>
              </w:rPr>
            </w:pPr>
            <w:r>
              <w:rPr>
                <w:rFonts w:ascii="宋体" w:hAnsi="宋体" w:cs="宋体" w:eastAsia="宋体" w:hint="default"/>
                <w:sz w:val="18"/>
                <w:szCs w:val="18"/>
              </w:rPr>
              <w:t>（包括延长后的锁定期）届满后自动 延长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年。杭州正元企业管理咨询有 限公司还承诺如本单位未将违规减持 所得上缴发行人，则发行人有权将应 付本单位现金分红中与违规减持所得 相等的金额收归发行人所有。</w:t>
            </w:r>
            <w:r>
              <w:rPr>
                <w:rFonts w:ascii="Times New Roman" w:hAnsi="Times New Roman" w:cs="Times New Roman" w:eastAsia="Times New Roman" w:hint="default"/>
                <w:sz w:val="18"/>
                <w:szCs w:val="18"/>
              </w:rPr>
              <w:t>"</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3834" w:hRule="exact"/>
        </w:trPr>
        <w:tc>
          <w:tcPr>
            <w:tcW w:w="127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3" w:right="20"/>
              <w:jc w:val="left"/>
              <w:rPr>
                <w:rFonts w:ascii="宋体" w:hAnsi="宋体" w:cs="宋体" w:eastAsia="宋体" w:hint="default"/>
                <w:sz w:val="18"/>
                <w:szCs w:val="18"/>
              </w:rPr>
            </w:pPr>
            <w:r>
              <w:rPr>
                <w:rFonts w:ascii="宋体" w:hAnsi="宋体" w:cs="宋体" w:eastAsia="宋体" w:hint="default"/>
                <w:spacing w:val="-2"/>
                <w:sz w:val="18"/>
                <w:szCs w:val="18"/>
              </w:rPr>
              <w:t>博信优选（天</w:t>
            </w:r>
            <w:r>
              <w:rPr>
                <w:rFonts w:ascii="宋体" w:hAnsi="宋体" w:cs="宋体" w:eastAsia="宋体" w:hint="default"/>
                <w:sz w:val="18"/>
                <w:szCs w:val="18"/>
              </w:rPr>
              <w:t> </w:t>
            </w:r>
            <w:r>
              <w:rPr>
                <w:rFonts w:ascii="宋体" w:hAnsi="宋体" w:cs="宋体" w:eastAsia="宋体" w:hint="default"/>
                <w:spacing w:val="-2"/>
                <w:sz w:val="18"/>
                <w:szCs w:val="18"/>
              </w:rPr>
              <w:t>津）股权投资</w:t>
            </w:r>
            <w:r>
              <w:rPr>
                <w:rFonts w:ascii="宋体" w:hAnsi="宋体" w:cs="宋体" w:eastAsia="宋体" w:hint="default"/>
                <w:sz w:val="18"/>
                <w:szCs w:val="18"/>
              </w:rPr>
              <w:t> 基金合伙企 业（有限合 </w:t>
            </w:r>
            <w:r>
              <w:rPr>
                <w:rFonts w:ascii="宋体" w:hAnsi="宋体" w:cs="宋体" w:eastAsia="宋体" w:hint="default"/>
                <w:spacing w:val="-9"/>
                <w:sz w:val="18"/>
                <w:szCs w:val="18"/>
              </w:rPr>
              <w:t>伙）</w:t>
            </w:r>
            <w:r>
              <w:rPr>
                <w:rFonts w:ascii="Times New Roman" w:hAnsi="Times New Roman" w:cs="Times New Roman" w:eastAsia="Times New Roman" w:hint="default"/>
                <w:spacing w:val="-9"/>
                <w:sz w:val="18"/>
                <w:szCs w:val="18"/>
              </w:rPr>
              <w:t>;</w:t>
            </w:r>
            <w:r>
              <w:rPr>
                <w:rFonts w:ascii="宋体" w:hAnsi="宋体" w:cs="宋体" w:eastAsia="宋体" w:hint="default"/>
                <w:spacing w:val="-9"/>
                <w:sz w:val="18"/>
                <w:szCs w:val="18"/>
              </w:rPr>
              <w:t>杭州易康</w:t>
            </w:r>
            <w:r>
              <w:rPr>
                <w:rFonts w:ascii="宋体" w:hAnsi="宋体" w:cs="宋体" w:eastAsia="宋体" w:hint="default"/>
                <w:sz w:val="18"/>
                <w:szCs w:val="18"/>
              </w:rPr>
              <w:t> 投资管理有 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杭州 正浩投资管 理有限公司</w:t>
            </w:r>
            <w:r>
              <w:rPr>
                <w:rFonts w:ascii="Times New Roman" w:hAnsi="Times New Roman" w:cs="Times New Roman" w:eastAsia="Times New Roman" w:hint="default"/>
                <w:sz w:val="18"/>
                <w:szCs w:val="18"/>
              </w:rPr>
              <w:t>; </w:t>
            </w:r>
            <w:r>
              <w:rPr>
                <w:rFonts w:ascii="宋体" w:hAnsi="宋体" w:cs="宋体" w:eastAsia="宋体" w:hint="default"/>
                <w:sz w:val="18"/>
                <w:szCs w:val="18"/>
              </w:rPr>
              <w:t>浙江合力创 业投资有限 公司</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6" w:lineRule="auto"/>
              <w:ind w:left="22" w:right="104"/>
              <w:jc w:val="left"/>
              <w:rPr>
                <w:rFonts w:ascii="宋体" w:hAnsi="宋体" w:cs="宋体" w:eastAsia="宋体" w:hint="default"/>
                <w:sz w:val="18"/>
                <w:szCs w:val="18"/>
              </w:rPr>
            </w:pPr>
            <w:r>
              <w:rPr>
                <w:rFonts w:ascii="宋体" w:hAnsi="宋体" w:cs="宋体" w:eastAsia="宋体" w:hint="default"/>
                <w:sz w:val="18"/>
                <w:szCs w:val="18"/>
              </w:rPr>
              <w:t>股份减持 承诺</w:t>
            </w:r>
          </w:p>
        </w:tc>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71"/>
              <w:ind w:left="22" w:right="22"/>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在锁定期（包括延长的锁定期）届满</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年内，本企业将根据公司经营、 资本市场、自身资金需求等情况综合 分析决定减持数量。本单位的减持价 格将均不低于公司上一年度经审计的 每股净资产值及股票首次公开发行的 价格。若公司已发生派息、送股、资 本公积转增股本等除权除息事项，则 上述减持价格指公司股票复权后的价 格；本单位持有的公司股份的锁定期 限（包括延长的锁定期）届满后，本 单位减持持有的公司股份时，应提前</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4" w:right="-4"/>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76"/>
        <w:gridCol w:w="1126"/>
        <w:gridCol w:w="859"/>
        <w:gridCol w:w="2993"/>
        <w:gridCol w:w="1126"/>
        <w:gridCol w:w="1121"/>
        <w:gridCol w:w="1110"/>
      </w:tblGrid>
      <w:tr>
        <w:trPr>
          <w:trHeight w:val="4107" w:hRule="exact"/>
        </w:trPr>
        <w:tc>
          <w:tcPr>
            <w:tcW w:w="127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22" w:right="78"/>
              <w:jc w:val="left"/>
              <w:rPr>
                <w:rFonts w:ascii="Times New Roman" w:hAnsi="Times New Roman" w:cs="Times New Roman" w:eastAsia="Times New Roman" w:hint="default"/>
                <w:sz w:val="18"/>
                <w:szCs w:val="18"/>
              </w:rPr>
            </w:pPr>
            <w:r>
              <w:rPr>
                <w:rFonts w:ascii="宋体" w:hAnsi="宋体" w:cs="宋体" w:eastAsia="宋体" w:hint="default"/>
                <w:sz w:val="18"/>
                <w:szCs w:val="18"/>
              </w:rPr>
              <w:t>将减持意向和拟减持数量等信息以书 面方式通知公司，并由公司及时予以 公告，自公司公告之日起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个交易日 后，本单位方可以减持股份；如本单 位违反上述承诺或法律强制性规定减 持股份的，本单位承诺违规减持股票 所得归公司所有，同时本单位所持有 的剩余股份的锁定期在原股份锁定期 届满后自动延长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年。如本单位未将 违规减持所得上缴发行人，则发行人 有权将应付本单位现金分红中与违规 减持所得相等的金额收归发行人所 有。</w:t>
            </w:r>
            <w:r>
              <w:rPr>
                <w:rFonts w:ascii="Times New Roman" w:hAnsi="Times New Roman" w:cs="Times New Roman" w:eastAsia="Times New Roman" w:hint="default"/>
                <w:sz w:val="18"/>
                <w:szCs w:val="18"/>
              </w:rPr>
              <w:t>”</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9723" w:hRule="exact"/>
        </w:trPr>
        <w:tc>
          <w:tcPr>
            <w:tcW w:w="127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319" w:lineRule="auto"/>
              <w:ind w:left="23" w:right="191"/>
              <w:jc w:val="both"/>
              <w:rPr>
                <w:rFonts w:ascii="宋体" w:hAnsi="宋体" w:cs="宋体" w:eastAsia="宋体" w:hint="default"/>
                <w:sz w:val="18"/>
                <w:szCs w:val="18"/>
              </w:rPr>
            </w:pPr>
            <w:r>
              <w:rPr>
                <w:rFonts w:ascii="宋体" w:hAnsi="宋体" w:cs="宋体" w:eastAsia="宋体" w:hint="default"/>
                <w:sz w:val="18"/>
                <w:szCs w:val="18"/>
              </w:rPr>
              <w:t>浙江正元智 慧科技股份 有限公司</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2" w:right="0"/>
              <w:jc w:val="left"/>
              <w:rPr>
                <w:rFonts w:ascii="宋体" w:hAnsi="宋体" w:cs="宋体" w:eastAsia="宋体" w:hint="default"/>
                <w:sz w:val="18"/>
                <w:szCs w:val="18"/>
              </w:rPr>
            </w:pPr>
            <w:r>
              <w:rPr>
                <w:rFonts w:ascii="宋体" w:hAnsi="宋体" w:cs="宋体" w:eastAsia="宋体" w:hint="default"/>
                <w:sz w:val="18"/>
                <w:szCs w:val="18"/>
              </w:rPr>
              <w:t>分红承诺</w:t>
            </w:r>
          </w:p>
        </w:tc>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2"/>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公司发行上市后的股利分配政策：根</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据公司</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年度股东大会审议通过的</w:t>
            </w:r>
          </w:p>
          <w:p>
            <w:pPr>
              <w:pStyle w:val="TableParagraph"/>
              <w:spacing w:line="316" w:lineRule="auto" w:before="13"/>
              <w:ind w:left="22" w:right="22"/>
              <w:jc w:val="both"/>
              <w:rPr>
                <w:rFonts w:ascii="宋体" w:hAnsi="宋体" w:cs="宋体" w:eastAsia="宋体" w:hint="default"/>
                <w:sz w:val="18"/>
                <w:szCs w:val="18"/>
              </w:rPr>
            </w:pPr>
            <w:r>
              <w:rPr>
                <w:rFonts w:ascii="宋体" w:hAnsi="宋体" w:cs="宋体" w:eastAsia="宋体" w:hint="default"/>
                <w:spacing w:val="-11"/>
                <w:sz w:val="18"/>
                <w:szCs w:val="18"/>
              </w:rPr>
              <w:t>《公司章程（草案）》，公司发行上市</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8"/>
                <w:sz w:val="18"/>
                <w:szCs w:val="18"/>
              </w:rPr>
              <w:t>后的主要股利分配政策如下：（一）利</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润分配政策的基本原则公司股东回报 规划的制定需充分考虑和听取股东</w:t>
            </w:r>
          </w:p>
          <w:p>
            <w:pPr>
              <w:pStyle w:val="TableParagraph"/>
              <w:spacing w:line="314" w:lineRule="auto" w:before="19"/>
              <w:ind w:left="22" w:right="20"/>
              <w:jc w:val="both"/>
              <w:rPr>
                <w:rFonts w:ascii="宋体" w:hAnsi="宋体" w:cs="宋体" w:eastAsia="宋体" w:hint="default"/>
                <w:sz w:val="18"/>
                <w:szCs w:val="18"/>
              </w:rPr>
            </w:pPr>
            <w:r>
              <w:rPr>
                <w:rFonts w:ascii="宋体" w:hAnsi="宋体" w:cs="宋体" w:eastAsia="宋体" w:hint="default"/>
                <w:spacing w:val="-8"/>
                <w:sz w:val="18"/>
                <w:szCs w:val="18"/>
              </w:rPr>
              <w:t>（特别是中小股东）、独立董事和监事</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的意见。公司利润分配政策应保持连 续性和稳定性，同时兼顾公司的长远 利益、全体股东的整体利益及公司的 可持续发展，优先采用现金分红的利 </w:t>
            </w:r>
            <w:r>
              <w:rPr>
                <w:rFonts w:ascii="宋体" w:hAnsi="宋体" w:cs="宋体" w:eastAsia="宋体" w:hint="default"/>
                <w:spacing w:val="-8"/>
                <w:sz w:val="18"/>
                <w:szCs w:val="18"/>
              </w:rPr>
              <w:t>润分配方式。（二）利润分配的形式公</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司采用现金、股票或者股票和现金相 </w:t>
            </w:r>
            <w:r>
              <w:rPr>
                <w:rFonts w:ascii="宋体" w:hAnsi="宋体" w:cs="宋体" w:eastAsia="宋体" w:hint="default"/>
                <w:spacing w:val="-8"/>
                <w:sz w:val="18"/>
                <w:szCs w:val="18"/>
              </w:rPr>
              <w:t>结合的方式分配股利。（三）利润分配</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的期间间隔公司应每年至少进行一次 利润分配，公司董事会可以根据公司 的盈利及资金需求状况提议公司进行 </w:t>
            </w:r>
            <w:r>
              <w:rPr>
                <w:rFonts w:ascii="宋体" w:hAnsi="宋体" w:cs="宋体" w:eastAsia="宋体" w:hint="default"/>
                <w:spacing w:val="-8"/>
                <w:sz w:val="18"/>
                <w:szCs w:val="18"/>
              </w:rPr>
              <w:t>中期股利分配。（四）现金分红的具体</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条件和比例</w:t>
            </w:r>
            <w:r>
              <w:rPr>
                <w:rFonts w:ascii="宋体" w:hAnsi="宋体" w:cs="宋体" w:eastAsia="宋体" w:hint="default"/>
                <w:spacing w:val="-43"/>
                <w:sz w:val="18"/>
                <w:szCs w:val="18"/>
              </w:rPr>
              <w:t> </w:t>
            </w:r>
            <w:r>
              <w:rPr>
                <w:rFonts w:ascii="Times New Roman" w:hAnsi="Times New Roman" w:cs="Times New Roman" w:eastAsia="Times New Roman" w:hint="default"/>
                <w:spacing w:val="-7"/>
                <w:sz w:val="18"/>
                <w:szCs w:val="18"/>
              </w:rPr>
              <w:t>1</w:t>
            </w:r>
            <w:r>
              <w:rPr>
                <w:rFonts w:ascii="宋体" w:hAnsi="宋体" w:cs="宋体" w:eastAsia="宋体" w:hint="default"/>
                <w:spacing w:val="-7"/>
                <w:sz w:val="18"/>
                <w:szCs w:val="18"/>
              </w:rPr>
              <w:t>、现金分红条件：在符合</w:t>
            </w:r>
            <w:r>
              <w:rPr>
                <w:rFonts w:ascii="宋体" w:hAnsi="宋体" w:cs="宋体" w:eastAsia="宋体" w:hint="default"/>
                <w:sz w:val="18"/>
                <w:szCs w:val="18"/>
              </w:rPr>
              <w:t> 现金分红的条件下，公司应当采取现 金分红的方式进行利润分配。符合现 </w:t>
            </w:r>
            <w:r>
              <w:rPr>
                <w:rFonts w:ascii="宋体" w:hAnsi="宋体" w:cs="宋体" w:eastAsia="宋体" w:hint="default"/>
                <w:spacing w:val="-6"/>
                <w:sz w:val="18"/>
                <w:szCs w:val="18"/>
              </w:rPr>
              <w:t>金分红的条件为：（</w:t>
            </w: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）该年度无重大</w:t>
            </w:r>
            <w:r>
              <w:rPr>
                <w:rFonts w:ascii="宋体" w:hAnsi="宋体" w:cs="宋体" w:eastAsia="宋体" w:hint="default"/>
                <w:spacing w:val="-78"/>
                <w:sz w:val="18"/>
                <w:szCs w:val="18"/>
              </w:rPr>
              <w:t> </w:t>
            </w:r>
            <w:r>
              <w:rPr>
                <w:rFonts w:ascii="宋体" w:hAnsi="宋体" w:cs="宋体" w:eastAsia="宋体" w:hint="default"/>
                <w:spacing w:val="-6"/>
                <w:sz w:val="18"/>
                <w:szCs w:val="18"/>
              </w:rPr>
              <w:t>投资计划或重大现金支出；（</w:t>
            </w: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）公司</w:t>
            </w:r>
            <w:r>
              <w:rPr>
                <w:rFonts w:ascii="宋体" w:hAnsi="宋体" w:cs="宋体" w:eastAsia="宋体" w:hint="default"/>
                <w:spacing w:val="-78"/>
                <w:sz w:val="18"/>
                <w:szCs w:val="18"/>
              </w:rPr>
              <w:t> </w:t>
            </w:r>
            <w:r>
              <w:rPr>
                <w:rFonts w:ascii="宋体" w:hAnsi="宋体" w:cs="宋体" w:eastAsia="宋体" w:hint="default"/>
                <w:sz w:val="18"/>
                <w:szCs w:val="18"/>
              </w:rPr>
              <w:t>该年度实现的可分配利润（即公司弥 补亏损、提取公积金后所余的税后利 </w:t>
            </w:r>
            <w:r>
              <w:rPr>
                <w:rFonts w:ascii="宋体" w:hAnsi="宋体" w:cs="宋体" w:eastAsia="宋体" w:hint="default"/>
                <w:spacing w:val="-6"/>
                <w:sz w:val="18"/>
                <w:szCs w:val="18"/>
              </w:rPr>
              <w:t>润）及累计未分配利润为正值；（</w:t>
            </w:r>
            <w:r>
              <w:rPr>
                <w:rFonts w:ascii="Times New Roman" w:hAnsi="Times New Roman" w:cs="Times New Roman" w:eastAsia="Times New Roman" w:hint="default"/>
                <w:spacing w:val="-6"/>
                <w:sz w:val="18"/>
                <w:szCs w:val="18"/>
              </w:rPr>
              <w:t>3</w:t>
            </w:r>
            <w:r>
              <w:rPr>
                <w:rFonts w:ascii="宋体" w:hAnsi="宋体" w:cs="宋体" w:eastAsia="宋体" w:hint="default"/>
                <w:spacing w:val="-6"/>
                <w:sz w:val="18"/>
                <w:szCs w:val="18"/>
              </w:rPr>
              <w:t>）</w:t>
            </w:r>
            <w:r>
              <w:rPr>
                <w:rFonts w:ascii="宋体" w:hAnsi="宋体" w:cs="宋体" w:eastAsia="宋体" w:hint="default"/>
                <w:spacing w:val="-78"/>
                <w:sz w:val="18"/>
                <w:szCs w:val="18"/>
              </w:rPr>
              <w:t> </w:t>
            </w:r>
            <w:r>
              <w:rPr>
                <w:rFonts w:ascii="宋体" w:hAnsi="宋体" w:cs="宋体" w:eastAsia="宋体" w:hint="default"/>
                <w:sz w:val="18"/>
                <w:szCs w:val="18"/>
              </w:rPr>
              <w:t>审计机构对公司该年度财务报告出具 标准无保留意见的审计报告。上述重 </w:t>
            </w:r>
            <w:r>
              <w:rPr>
                <w:rFonts w:ascii="宋体" w:hAnsi="宋体" w:cs="宋体" w:eastAsia="宋体" w:hint="default"/>
                <w:spacing w:val="-6"/>
                <w:sz w:val="18"/>
                <w:szCs w:val="18"/>
              </w:rPr>
              <w:t>大投资计划或重大现金支出指：（</w:t>
            </w: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w:t>
            </w:r>
            <w:r>
              <w:rPr>
                <w:rFonts w:ascii="宋体" w:hAnsi="宋体" w:cs="宋体" w:eastAsia="宋体" w:hint="default"/>
                <w:spacing w:val="-78"/>
                <w:sz w:val="18"/>
                <w:szCs w:val="18"/>
              </w:rPr>
              <w:t> </w:t>
            </w:r>
            <w:r>
              <w:rPr>
                <w:rFonts w:ascii="宋体" w:hAnsi="宋体" w:cs="宋体" w:eastAsia="宋体" w:hint="default"/>
                <w:sz w:val="18"/>
                <w:szCs w:val="18"/>
              </w:rPr>
              <w:t>公司未来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个月内拟对外投资、购买</w:t>
            </w:r>
            <w:r>
              <w:rPr>
                <w:rFonts w:ascii="宋体" w:hAnsi="宋体" w:cs="宋体" w:eastAsia="宋体" w:hint="default"/>
                <w:sz w:val="18"/>
                <w:szCs w:val="18"/>
              </w:rPr>
              <w:t> 资产等交易累计支出达到或超过公司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4"/>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36.457001pt;margin-top:72.47998pt;width:89.05pt;height:686.5pt;mso-position-horizontal-relative:page;mso-position-vertical-relative:page;z-index:-101015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6"/>
                    <w:rPr>
                      <w:rFonts w:ascii="Times New Roman" w:hAnsi="Times New Roman" w:cs="Times New Roman" w:eastAsia="Times New Roman" w:hint="default"/>
                      <w:sz w:val="19"/>
                      <w:szCs w:val="19"/>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红比例：</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76"/>
        <w:gridCol w:w="1126"/>
        <w:gridCol w:w="859"/>
        <w:gridCol w:w="2993"/>
        <w:gridCol w:w="1126"/>
        <w:gridCol w:w="1121"/>
        <w:gridCol w:w="1108"/>
      </w:tblGrid>
      <w:tr>
        <w:trPr>
          <w:trHeight w:val="322" w:hRule="exact"/>
        </w:trPr>
        <w:tc>
          <w:tcPr>
            <w:tcW w:w="127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859" w:type="dxa"/>
            <w:vMerge w:val="restart"/>
            <w:tcBorders>
              <w:top w:val="single" w:sz="4" w:space="0" w:color="000000"/>
              <w:left w:val="single" w:sz="4" w:space="0" w:color="000000"/>
              <w:right w:val="single" w:sz="4" w:space="0" w:color="000000"/>
            </w:tcBorders>
          </w:tcPr>
          <w:p>
            <w:pPr/>
          </w:p>
        </w:tc>
        <w:tc>
          <w:tcPr>
            <w:tcW w:w="299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最近一期经审计净资产的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，或超</w:t>
            </w:r>
          </w:p>
        </w:tc>
        <w:tc>
          <w:tcPr>
            <w:tcW w:w="1126" w:type="dxa"/>
            <w:vMerge w:val="restart"/>
            <w:tcBorders>
              <w:top w:val="single" w:sz="4" w:space="0" w:color="000000"/>
              <w:left w:val="single" w:sz="4" w:space="0" w:color="000000"/>
              <w:right w:val="single" w:sz="4" w:space="0" w:color="000000"/>
            </w:tcBorders>
          </w:tcPr>
          <w:p>
            <w:pPr>
              <w:pStyle w:val="TableParagraph"/>
              <w:spacing w:line="13729"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55.85pt;height:686.5pt;mso-position-horizontal-relative:char;mso-position-vertical-relative:line" coordorigin="0,0" coordsize="1117,13730">
                  <v:group style="position:absolute;left:0;top:0;width:1117;height:13730" coordorigin="0,0" coordsize="1117,13730">
                    <v:shape style="position:absolute;left:0;top:0;width:1117;height:13730" coordorigin="0,0" coordsize="1117,13730" path="m0,13729l1116,13729,1116,0,0,0,0,13729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3,000  </w:t>
            </w:r>
            <w:r>
              <w:rPr>
                <w:rFonts w:ascii="宋体" w:hAnsi="宋体" w:cs="宋体" w:eastAsia="宋体" w:hint="default"/>
                <w:sz w:val="18"/>
                <w:szCs w:val="18"/>
              </w:rPr>
              <w:t>万元；或（</w:t>
            </w:r>
            <w:r>
              <w:rPr>
                <w:rFonts w:ascii="Times New Roman" w:hAnsi="Times New Roman" w:cs="Times New Roman" w:eastAsia="Times New Roman" w:hint="default"/>
                <w:sz w:val="18"/>
                <w:szCs w:val="18"/>
              </w:rPr>
              <w:t>2</w:t>
            </w:r>
            <w:r>
              <w:rPr>
                <w:rFonts w:ascii="宋体" w:hAnsi="宋体" w:cs="宋体" w:eastAsia="宋体" w:hint="default"/>
                <w:sz w:val="18"/>
                <w:szCs w:val="18"/>
              </w:rPr>
              <w:t>）公司未来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个月内拟对外投资、购买资产等交易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累计支出达到或超过公司最近一期经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审计总资产的</w:t>
            </w:r>
            <w:r>
              <w:rPr>
                <w:rFonts w:ascii="宋体" w:hAnsi="宋体" w:cs="宋体" w:eastAsia="宋体" w:hint="default"/>
                <w:spacing w:val="-40"/>
                <w:sz w:val="18"/>
                <w:szCs w:val="18"/>
              </w:rPr>
              <w:t> </w:t>
            </w:r>
            <w:r>
              <w:rPr>
                <w:rFonts w:ascii="Times New Roman" w:hAnsi="Times New Roman" w:cs="Times New Roman" w:eastAsia="Times New Roman" w:hint="default"/>
                <w:spacing w:val="-16"/>
                <w:sz w:val="18"/>
                <w:szCs w:val="18"/>
              </w:rPr>
              <w:t>30%</w:t>
            </w:r>
            <w:r>
              <w:rPr>
                <w:rFonts w:ascii="宋体" w:hAnsi="宋体" w:cs="宋体" w:eastAsia="宋体" w:hint="default"/>
                <w:spacing w:val="-16"/>
                <w:sz w:val="18"/>
                <w:szCs w:val="18"/>
              </w:rPr>
              <w:t>。</w:t>
            </w:r>
            <w:r>
              <w:rPr>
                <w:rFonts w:ascii="Times New Roman" w:hAnsi="Times New Roman" w:cs="Times New Roman" w:eastAsia="Times New Roman" w:hint="default"/>
                <w:spacing w:val="-16"/>
                <w:sz w:val="18"/>
                <w:szCs w:val="18"/>
              </w:rPr>
              <w:t>2</w:t>
            </w:r>
            <w:r>
              <w:rPr>
                <w:rFonts w:ascii="宋体" w:hAnsi="宋体" w:cs="宋体" w:eastAsia="宋体" w:hint="default"/>
                <w:spacing w:val="-16"/>
                <w:sz w:val="18"/>
                <w:szCs w:val="18"/>
              </w:rPr>
              <w:t>、现金分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如无重大投资计划或重大现金支出等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事项发生，以现金方式分配的利润不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少于当年实现的可分配利润的百分之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十五。同时，公司近三年以现金方式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累计分配利润不少于最近三年实现的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年均可分配利润的百分之三十。公司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进行利润分配时，公司董事会应当综</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合考虑所处行业特点、发展阶段、自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身经营模式、盈利水平以及是否有重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大资金支出安排等因素，区分下列情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形，并按照公司章程规定的程序，提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出差异化的现金分红政策</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发展阶段属成熟期且无重大资金支出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安排的，进行利润分配时，现金分红</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在本次利润分配中所占比例最低应达</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80%</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）公司发展阶段属成熟期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且有重大资金支出安排的，进行利润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分配时，现金分红在本次利润分配中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所占比例最低应达到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发展阶段属成长期且有重大资金支出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安排的，进行利润分配时，现金分红</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在本次利润分配中所占比例最低应达</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；公司发展阶段不易区分但有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重大资金支出安排的，可以按照前项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规定处理</w:t>
            </w:r>
            <w:r>
              <w:rPr>
                <w:rFonts w:ascii="宋体" w:hAnsi="宋体" w:cs="宋体" w:eastAsia="宋体" w:hint="default"/>
                <w:spacing w:val="-107"/>
                <w:sz w:val="18"/>
                <w:szCs w:val="18"/>
              </w:rPr>
              <w:t>。</w:t>
            </w:r>
            <w:r>
              <w:rPr>
                <w:rFonts w:ascii="宋体" w:hAnsi="宋体" w:cs="宋体" w:eastAsia="宋体" w:hint="default"/>
                <w:sz w:val="18"/>
                <w:szCs w:val="18"/>
              </w:rPr>
              <w:t>（五</w:t>
            </w:r>
            <w:r>
              <w:rPr>
                <w:rFonts w:ascii="宋体" w:hAnsi="宋体" w:cs="宋体" w:eastAsia="宋体" w:hint="default"/>
                <w:spacing w:val="-17"/>
                <w:sz w:val="18"/>
                <w:szCs w:val="18"/>
              </w:rPr>
              <w:t>）</w:t>
            </w:r>
            <w:r>
              <w:rPr>
                <w:rFonts w:ascii="宋体" w:hAnsi="宋体" w:cs="宋体" w:eastAsia="宋体" w:hint="default"/>
                <w:sz w:val="18"/>
                <w:szCs w:val="18"/>
              </w:rPr>
              <w:t>股票股利分配的条件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公司在经营情况良好，并且董事会认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为公司股票价格与公司股本规模不匹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配、发放股票股利有利于公司全体股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东整体利益时，可以在满足上述现金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10"/>
              <w:jc w:val="left"/>
              <w:rPr>
                <w:rFonts w:ascii="宋体" w:hAnsi="宋体" w:cs="宋体" w:eastAsia="宋体" w:hint="default"/>
                <w:sz w:val="18"/>
                <w:szCs w:val="18"/>
              </w:rPr>
            </w:pPr>
            <w:r>
              <w:rPr>
                <w:rFonts w:ascii="宋体" w:hAnsi="宋体" w:cs="宋体" w:eastAsia="宋体" w:hint="default"/>
                <w:sz w:val="18"/>
                <w:szCs w:val="18"/>
              </w:rPr>
              <w:t>分红的条件下，发放股票股利</w:t>
            </w:r>
            <w:r>
              <w:rPr>
                <w:rFonts w:ascii="宋体" w:hAnsi="宋体" w:cs="宋体" w:eastAsia="宋体" w:hint="default"/>
                <w:spacing w:val="-90"/>
                <w:sz w:val="18"/>
                <w:szCs w:val="18"/>
              </w:rPr>
              <w:t>。</w:t>
            </w:r>
            <w:r>
              <w:rPr>
                <w:rFonts w:ascii="宋体" w:hAnsi="宋体" w:cs="宋体" w:eastAsia="宋体" w:hint="default"/>
                <w:sz w:val="18"/>
                <w:szCs w:val="18"/>
              </w:rPr>
              <w:t>（六）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存在股东违规占用公司资金情况的，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公司应当扣减该股东所分配的现金红</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利</w:t>
            </w:r>
            <w:r>
              <w:rPr>
                <w:rFonts w:ascii="宋体" w:hAnsi="宋体" w:cs="宋体" w:eastAsia="宋体" w:hint="default"/>
                <w:spacing w:val="-11"/>
                <w:sz w:val="18"/>
                <w:szCs w:val="18"/>
              </w:rPr>
              <w:t>，</w:t>
            </w:r>
            <w:r>
              <w:rPr>
                <w:rFonts w:ascii="宋体" w:hAnsi="宋体" w:cs="宋体" w:eastAsia="宋体" w:hint="default"/>
                <w:sz w:val="18"/>
                <w:szCs w:val="18"/>
              </w:rPr>
              <w:t>以偿还其占用的资金</w:t>
            </w:r>
            <w:r>
              <w:rPr>
                <w:rFonts w:ascii="宋体" w:hAnsi="宋体" w:cs="宋体" w:eastAsia="宋体" w:hint="default"/>
                <w:spacing w:val="-101"/>
                <w:sz w:val="18"/>
                <w:szCs w:val="18"/>
              </w:rPr>
              <w:t>。</w:t>
            </w:r>
            <w:r>
              <w:rPr>
                <w:rFonts w:ascii="宋体" w:hAnsi="宋体" w:cs="宋体" w:eastAsia="宋体" w:hint="default"/>
                <w:sz w:val="18"/>
                <w:szCs w:val="18"/>
              </w:rPr>
              <w:t>（七</w:t>
            </w:r>
            <w:r>
              <w:rPr>
                <w:rFonts w:ascii="宋体" w:hAnsi="宋体" w:cs="宋体" w:eastAsia="宋体" w:hint="default"/>
                <w:spacing w:val="-11"/>
                <w:sz w:val="18"/>
                <w:szCs w:val="18"/>
              </w:rPr>
              <w:t>）</w:t>
            </w:r>
            <w:r>
              <w:rPr>
                <w:rFonts w:ascii="宋体" w:hAnsi="宋体" w:cs="宋体" w:eastAsia="宋体" w:hint="default"/>
                <w:sz w:val="18"/>
                <w:szCs w:val="18"/>
              </w:rPr>
              <w:t>利润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分配的决策程序与机制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pacing w:val="-78"/>
                <w:sz w:val="18"/>
                <w:szCs w:val="18"/>
              </w:rPr>
              <w:t>、</w:t>
            </w:r>
            <w:r>
              <w:rPr>
                <w:rFonts w:ascii="宋体" w:hAnsi="宋体" w:cs="宋体" w:eastAsia="宋体" w:hint="default"/>
                <w:sz w:val="18"/>
                <w:szCs w:val="18"/>
              </w:rPr>
              <w:t>公司每年利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润分配方案由董事会结合本章程的规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定、盈利情况、资金供给和需求情况</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提出、拟订。董事会审议现金分红具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体方案时，应当认真研究和论证公司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127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859" w:type="dxa"/>
            <w:vMerge/>
            <w:tcBorders>
              <w:left w:val="single" w:sz="4" w:space="0" w:color="000000"/>
              <w:bottom w:val="single" w:sz="4" w:space="0" w:color="000000"/>
              <w:right w:val="single" w:sz="4" w:space="0" w:color="000000"/>
            </w:tcBorders>
          </w:tcPr>
          <w:p>
            <w:pPr/>
          </w:p>
        </w:tc>
        <w:tc>
          <w:tcPr>
            <w:tcW w:w="299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现金分红的时机、条件和最低比例、</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36.437012pt;margin-top:72.47998pt;width:89.05pt;height:686.5pt;mso-position-horizontal-relative:page;mso-position-vertical-relative:page;z-index:-101012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6"/>
                    <w:rPr>
                      <w:rFonts w:ascii="Times New Roman" w:hAnsi="Times New Roman" w:cs="Times New Roman" w:eastAsia="Times New Roman" w:hint="default"/>
                      <w:sz w:val="19"/>
                      <w:szCs w:val="19"/>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红提案，</w:t>
                  </w:r>
                </w:p>
              </w:txbxContent>
            </v:textbox>
            <w10:wrap type="none"/>
          </v:shape>
        </w:pict>
      </w:r>
      <w:r>
        <w:rPr/>
        <w:pict>
          <v:group style="position:absolute;margin-left:369.640015pt;margin-top:72.47998pt;width:55.85pt;height:686.5pt;mso-position-horizontal-relative:page;mso-position-vertical-relative:page;z-index:-1010104" coordorigin="7393,1450" coordsize="1117,13730">
            <v:shape style="position:absolute;left:7393;top:1450;width:1117;height:13730" coordorigin="7393,1450" coordsize="1117,13730" path="m7393,15179l8509,15179,8509,1450,7393,1450,7393,15179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76"/>
        <w:gridCol w:w="1126"/>
        <w:gridCol w:w="859"/>
        <w:gridCol w:w="2993"/>
        <w:gridCol w:w="1126"/>
        <w:gridCol w:w="1121"/>
        <w:gridCol w:w="1108"/>
      </w:tblGrid>
      <w:tr>
        <w:trPr>
          <w:trHeight w:val="317" w:hRule="exact"/>
        </w:trPr>
        <w:tc>
          <w:tcPr>
            <w:tcW w:w="127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859" w:type="dxa"/>
            <w:vMerge w:val="restart"/>
            <w:tcBorders>
              <w:top w:val="single" w:sz="4" w:space="0" w:color="000000"/>
              <w:left w:val="single" w:sz="4" w:space="0" w:color="000000"/>
              <w:right w:val="single" w:sz="4" w:space="0" w:color="000000"/>
            </w:tcBorders>
          </w:tcPr>
          <w:p>
            <w:pPr/>
          </w:p>
        </w:tc>
        <w:tc>
          <w:tcPr>
            <w:tcW w:w="299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调整的条件及决策程序要求等事宜，</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独立董事应对利润分配方案进行审核</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并发表独立明确的意见，董事会通过</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后提交股东大会审议。独立董事可以</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征集中小股东的意见，提出分</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并直接提交董事会审议。</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、股东大会</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对现金分红具体方案进行审议前，应</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通过多种渠道主动与股东特别是中小</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股东进行沟通和交流（包括但不限于</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电话、传真和邮件沟通或邀请中小股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东参会等方式</w:t>
            </w:r>
            <w:r>
              <w:rPr>
                <w:rFonts w:ascii="宋体" w:hAnsi="宋体" w:cs="宋体" w:eastAsia="宋体" w:hint="default"/>
                <w:spacing w:val="-90"/>
                <w:sz w:val="18"/>
                <w:szCs w:val="18"/>
              </w:rPr>
              <w:t>）</w:t>
            </w:r>
            <w:r>
              <w:rPr>
                <w:rFonts w:ascii="宋体" w:hAnsi="宋体" w:cs="宋体" w:eastAsia="宋体" w:hint="default"/>
                <w:spacing w:val="-33"/>
                <w:sz w:val="18"/>
                <w:szCs w:val="18"/>
              </w:rPr>
              <w:t>，</w:t>
            </w:r>
            <w:r>
              <w:rPr>
                <w:rFonts w:ascii="宋体" w:hAnsi="宋体" w:cs="宋体" w:eastAsia="宋体" w:hint="default"/>
                <w:sz w:val="18"/>
                <w:szCs w:val="18"/>
              </w:rPr>
              <w:t>充分听取中</w:t>
            </w:r>
            <w:r>
              <w:rPr>
                <w:rFonts w:ascii="宋体" w:hAnsi="宋体" w:cs="宋体" w:eastAsia="宋体" w:hint="default"/>
                <w:spacing w:val="-2"/>
                <w:sz w:val="18"/>
                <w:szCs w:val="18"/>
              </w:rPr>
              <w:t>小</w:t>
            </w:r>
            <w:r>
              <w:rPr>
                <w:rFonts w:ascii="宋体" w:hAnsi="宋体" w:cs="宋体" w:eastAsia="宋体" w:hint="default"/>
                <w:sz w:val="18"/>
                <w:szCs w:val="18"/>
              </w:rPr>
              <w:t>股东的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意见和诉求，并及时答复中小股东关</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心的问题。</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、公司不进行现金分红或</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分红水平较低时，董事会就不进行现</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金分红或现金分配低于规定比例的具</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体原因、公司留存收益的用途和使用</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计划等事项进行专项说明，经独立董</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事发表独立意见后，提交公司股东大</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会审议。同时在召开股东大会时，公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司应当提供网络投票等方式以方便中</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小股东参与股东大会表决</w:t>
            </w:r>
            <w:r>
              <w:rPr>
                <w:rFonts w:ascii="宋体" w:hAnsi="宋体" w:cs="宋体" w:eastAsia="宋体" w:hint="default"/>
                <w:spacing w:val="-107"/>
                <w:sz w:val="18"/>
                <w:szCs w:val="18"/>
              </w:rPr>
              <w:t>。</w:t>
            </w:r>
            <w:r>
              <w:rPr>
                <w:rFonts w:ascii="宋体" w:hAnsi="宋体" w:cs="宋体" w:eastAsia="宋体" w:hint="default"/>
                <w:sz w:val="18"/>
                <w:szCs w:val="18"/>
              </w:rPr>
              <w:t>（八</w:t>
            </w:r>
            <w:r>
              <w:rPr>
                <w:rFonts w:ascii="宋体" w:hAnsi="宋体" w:cs="宋体" w:eastAsia="宋体" w:hint="default"/>
                <w:spacing w:val="-17"/>
                <w:sz w:val="18"/>
                <w:szCs w:val="18"/>
              </w:rPr>
              <w:t>）</w:t>
            </w:r>
            <w:r>
              <w:rPr>
                <w:rFonts w:ascii="宋体" w:hAnsi="宋体" w:cs="宋体" w:eastAsia="宋体" w:hint="default"/>
                <w:sz w:val="18"/>
                <w:szCs w:val="18"/>
              </w:rPr>
              <w:t>利润</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分配政策的调整机制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、如遇到战争</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36" w:right="0"/>
              <w:jc w:val="left"/>
              <w:rPr>
                <w:rFonts w:ascii="宋体" w:hAnsi="宋体" w:cs="宋体" w:eastAsia="宋体" w:hint="default"/>
                <w:sz w:val="18"/>
                <w:szCs w:val="18"/>
              </w:rPr>
            </w:pPr>
            <w:r>
              <w:rPr>
                <w:rFonts w:ascii="宋体" w:hAnsi="宋体" w:cs="宋体" w:eastAsia="宋体" w:hint="default"/>
                <w:sz w:val="18"/>
                <w:szCs w:val="18"/>
              </w:rPr>
              <w:t>、</w:t>
            </w: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自然灾害等不可抗力，或公司外部经</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营环境变化并对公司生产经营造成重</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大影响，或公司自身经营状况发生较</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大变化时，公司可对利润分配政策进</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10"/>
              <w:jc w:val="left"/>
              <w:rPr>
                <w:rFonts w:ascii="宋体" w:hAnsi="宋体" w:cs="宋体" w:eastAsia="宋体" w:hint="default"/>
                <w:sz w:val="18"/>
                <w:szCs w:val="18"/>
              </w:rPr>
            </w:pPr>
            <w:r>
              <w:rPr>
                <w:rFonts w:ascii="宋体" w:hAnsi="宋体" w:cs="宋体" w:eastAsia="宋体" w:hint="default"/>
                <w:sz w:val="18"/>
                <w:szCs w:val="18"/>
              </w:rPr>
              <w:t>行调整。</w:t>
            </w:r>
            <w:r>
              <w:rPr>
                <w:rFonts w:ascii="Times New Roman" w:hAnsi="Times New Roman" w:cs="Times New Roman" w:eastAsia="Times New Roman" w:hint="default"/>
                <w:sz w:val="18"/>
                <w:szCs w:val="18"/>
              </w:rPr>
              <w:t>2</w:t>
            </w:r>
            <w:r>
              <w:rPr>
                <w:rFonts w:ascii="宋体" w:hAnsi="宋体" w:cs="宋体" w:eastAsia="宋体" w:hint="default"/>
                <w:sz w:val="18"/>
                <w:szCs w:val="18"/>
              </w:rPr>
              <w:t>、公司根据生产经营情况、</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投资规划和长期发展的需要等原因需</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调整利润分配政策的，应由公司董事</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会根据实际情况提出利润分配政策调</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整议案，提请股东大会审议并经出席</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股东大会的股东所持表决权的三分之</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二以上通过；调整后的利润分配政策</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应以股东权益保护为出发点，且不得</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违反中国证监会和证券交易所的有关</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规定；调整利润分配政策的相关议案</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需分别经监事会和二分之一以上独立</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董事同意后提交董事会、股东大会批</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准，提交股东大会的相关提案中应详</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细说明修改利润分配政策的原因，独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立董事应当对调整利润分配政策发表</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独立意见。公司调整利润分配政策，</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应当提供网络投票等方式为公众股东</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127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859" w:type="dxa"/>
            <w:vMerge/>
            <w:tcBorders>
              <w:left w:val="single" w:sz="4" w:space="0" w:color="000000"/>
              <w:bottom w:val="single" w:sz="4" w:space="0" w:color="000000"/>
              <w:right w:val="single" w:sz="4" w:space="0" w:color="000000"/>
            </w:tcBorders>
          </w:tcPr>
          <w:p>
            <w:pPr/>
          </w:p>
        </w:tc>
        <w:tc>
          <w:tcPr>
            <w:tcW w:w="299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参与股东大会表决提供便利</w:t>
            </w:r>
            <w:r>
              <w:rPr>
                <w:rFonts w:ascii="宋体" w:hAnsi="宋体" w:cs="宋体" w:eastAsia="宋体" w:hint="default"/>
                <w:spacing w:val="-107"/>
                <w:sz w:val="18"/>
                <w:szCs w:val="18"/>
              </w:rPr>
              <w:t>。</w:t>
            </w:r>
            <w:r>
              <w:rPr>
                <w:rFonts w:ascii="宋体" w:hAnsi="宋体" w:cs="宋体" w:eastAsia="宋体" w:hint="default"/>
                <w:sz w:val="18"/>
                <w:szCs w:val="18"/>
              </w:rPr>
              <w:t>（九</w:t>
            </w:r>
            <w:r>
              <w:rPr>
                <w:rFonts w:ascii="宋体" w:hAnsi="宋体" w:cs="宋体" w:eastAsia="宋体" w:hint="default"/>
                <w:spacing w:val="-17"/>
                <w:sz w:val="18"/>
                <w:szCs w:val="18"/>
              </w:rPr>
              <w:t>）</w:t>
            </w:r>
            <w:r>
              <w:rPr>
                <w:rFonts w:ascii="宋体" w:hAnsi="宋体" w:cs="宋体" w:eastAsia="宋体" w:hint="default"/>
                <w:sz w:val="18"/>
                <w:szCs w:val="18"/>
              </w:rPr>
              <w:t>股</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282.437012pt;margin-top:72.47998pt;width:143.050pt;height:594.9pt;mso-position-horizontal-relative:page;mso-position-vertical-relative:page;z-index:-101005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2"/>
                    <w:rPr>
                      <w:rFonts w:ascii="Times New Roman" w:hAnsi="Times New Roman" w:cs="Times New Roman" w:eastAsia="Times New Roman" w:hint="default"/>
                      <w:sz w:val="19"/>
                      <w:szCs w:val="19"/>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虑公司实际经营情况、</w:t>
                  </w:r>
                </w:p>
              </w:txbxContent>
            </v:textbox>
            <w10:wrap type="none"/>
          </v:shape>
        </w:pict>
      </w:r>
    </w:p>
    <w:p>
      <w:pPr>
        <w:spacing w:line="240" w:lineRule="auto" w:before="10"/>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76"/>
        <w:gridCol w:w="1126"/>
        <w:gridCol w:w="859"/>
        <w:gridCol w:w="2993"/>
        <w:gridCol w:w="1126"/>
        <w:gridCol w:w="1121"/>
        <w:gridCol w:w="1110"/>
      </w:tblGrid>
      <w:tr>
        <w:trPr>
          <w:trHeight w:val="11907" w:hRule="exact"/>
        </w:trPr>
        <w:tc>
          <w:tcPr>
            <w:tcW w:w="127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22" w:right="21"/>
              <w:jc w:val="left"/>
              <w:rPr>
                <w:rFonts w:ascii="宋体" w:hAnsi="宋体" w:cs="宋体" w:eastAsia="宋体" w:hint="default"/>
                <w:sz w:val="18"/>
                <w:szCs w:val="18"/>
              </w:rPr>
            </w:pPr>
            <w:r>
              <w:rPr>
                <w:rFonts w:ascii="宋体" w:hAnsi="宋体" w:cs="宋体" w:eastAsia="宋体" w:hint="default"/>
                <w:sz w:val="18"/>
                <w:szCs w:val="18"/>
              </w:rPr>
              <w:t>东分红回报规划</w:t>
            </w:r>
            <w:r>
              <w:rPr>
                <w:rFonts w:ascii="宋体" w:hAnsi="宋体" w:cs="宋体" w:eastAsia="宋体" w:hint="default"/>
                <w:spacing w:val="-45"/>
                <w:sz w:val="18"/>
                <w:szCs w:val="18"/>
              </w:rPr>
              <w:t> </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、股东回报规划制定</w:t>
            </w:r>
            <w:r>
              <w:rPr>
                <w:rFonts w:ascii="宋体" w:hAnsi="宋体" w:cs="宋体" w:eastAsia="宋体" w:hint="default"/>
                <w:sz w:val="18"/>
                <w:szCs w:val="18"/>
              </w:rPr>
              <w:t> 考虑因素公司将着眼于长远和可持续 </w:t>
            </w:r>
            <w:r>
              <w:rPr>
                <w:rFonts w:ascii="宋体" w:hAnsi="宋体" w:cs="宋体" w:eastAsia="宋体" w:hint="default"/>
                <w:spacing w:val="-5"/>
                <w:sz w:val="18"/>
                <w:szCs w:val="18"/>
              </w:rPr>
              <w:t>发展，在综合考</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发展目标、股东要求和意愿，尤其是 中小投资者的合理回报需要、公司外 部融资环境、社会资金成本等因素的 基础上，建立对投资者持续、稳定、 科学的回报规划与机制，从而对利润 分配作出制度性安排，以保持未来公 司利润分配政策的连续性和稳定性。 </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、股东回报规划制定原则公司的股东</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分红回报规划充分考虑和听取股东</w:t>
            </w:r>
          </w:p>
          <w:p>
            <w:pPr>
              <w:pStyle w:val="TableParagraph"/>
              <w:spacing w:line="316" w:lineRule="auto" w:before="20"/>
              <w:ind w:left="22" w:right="-10"/>
              <w:jc w:val="left"/>
              <w:rPr>
                <w:rFonts w:ascii="Times New Roman" w:hAnsi="Times New Roman" w:cs="Times New Roman" w:eastAsia="Times New Roman" w:hint="default"/>
                <w:sz w:val="18"/>
                <w:szCs w:val="18"/>
              </w:rPr>
            </w:pPr>
            <w:r>
              <w:rPr>
                <w:rFonts w:ascii="宋体" w:hAnsi="宋体" w:cs="宋体" w:eastAsia="宋体" w:hint="default"/>
                <w:spacing w:val="-6"/>
                <w:sz w:val="18"/>
                <w:szCs w:val="18"/>
              </w:rPr>
              <w:t>（特别是公众投资者和中小投资者）、</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独立董事和外部监事的意见，在保证 公司正常经营业务发展的前提下，坚 持现金分红这一基本原则。如无重大 资金支出事项发生，公司上市后将在 每年向股东分配的现金股利不低于当 年实现的可供分配利润的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的基础 上，确定年度现金股利及股票股利分 配的具体方案。公司的股东分红回报 规划的制定应符合相关法律法规、规 范性文件及《公司章程》的规定，公 司实行连续、稳定、积极的利润分配 </w:t>
            </w:r>
            <w:r>
              <w:rPr>
                <w:rFonts w:ascii="宋体" w:hAnsi="宋体" w:cs="宋体" w:eastAsia="宋体" w:hint="default"/>
                <w:spacing w:val="-2"/>
                <w:sz w:val="18"/>
                <w:szCs w:val="18"/>
              </w:rPr>
              <w:t>政策。</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、股东回报规划制定周期和相</w:t>
            </w:r>
            <w:r>
              <w:rPr>
                <w:rFonts w:ascii="宋体" w:hAnsi="宋体" w:cs="宋体" w:eastAsia="宋体" w:hint="default"/>
                <w:sz w:val="18"/>
                <w:szCs w:val="18"/>
              </w:rPr>
              <w:t> 关决策机制公司至少每三年重新审阅 </w:t>
            </w:r>
            <w:r>
              <w:rPr>
                <w:rFonts w:ascii="宋体" w:hAnsi="宋体" w:cs="宋体" w:eastAsia="宋体" w:hint="default"/>
                <w:spacing w:val="-8"/>
                <w:sz w:val="18"/>
                <w:szCs w:val="18"/>
              </w:rPr>
              <w:t>一次股东分红回报规划，根据股东（特</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8"/>
                <w:sz w:val="18"/>
                <w:szCs w:val="18"/>
              </w:rPr>
              <w:t>别是公众投资者和中小投资者）、独立</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董事和外部监事的意见对公司正在实 施的股利分配政策作出适当且必要的 修改，确定该时段的股东分红回报计 划。公司董事会结合具体经营数据， 充分考虑公司盈利规模、现金流量状 况、发展阶段及当期资金需求，并结 合股东（特别是公众投资者和中小投 </w:t>
            </w:r>
            <w:r>
              <w:rPr>
                <w:rFonts w:ascii="宋体" w:hAnsi="宋体" w:cs="宋体" w:eastAsia="宋体" w:hint="default"/>
                <w:spacing w:val="-6"/>
                <w:sz w:val="18"/>
                <w:szCs w:val="18"/>
              </w:rPr>
              <w:t>资者）、独立董事和外部监事的意见，</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制定年度或中期分红方案，并经公司 股东大会表决通过后实施。</w:t>
            </w:r>
            <w:r>
              <w:rPr>
                <w:rFonts w:ascii="Times New Roman" w:hAnsi="Times New Roman" w:cs="Times New Roman" w:eastAsia="Times New Roman" w:hint="default"/>
                <w:sz w:val="18"/>
                <w:szCs w:val="18"/>
              </w:rPr>
              <w:t>"</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11897"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37"/>
                <w:sz w:val="20"/>
                <w:szCs w:val="20"/>
              </w:rPr>
              <w:pict>
                <v:group style="width:55.85pt;height:594.9pt;mso-position-horizontal-relative:char;mso-position-vertical-relative:line" coordorigin="0,0" coordsize="1117,11898">
                  <v:group style="position:absolute;left:0;top:0;width:1117;height:11898" coordorigin="0,0" coordsize="1117,11898">
                    <v:shape style="position:absolute;left:0;top:0;width:1117;height:11898" coordorigin="0,0" coordsize="1117,11898" path="m0,11898l1116,11898,1116,0,0,0,0,11898xe" filled="true" fillcolor="#ffffff" stroked="false">
                      <v:path arrowok="t"/>
                      <v:fill type="solid"/>
                    </v:shape>
                  </v:group>
                </v:group>
              </w:pict>
            </w:r>
            <w:r>
              <w:rPr>
                <w:rFonts w:ascii="Times New Roman" w:hAnsi="Times New Roman" w:cs="Times New Roman" w:eastAsia="Times New Roman" w:hint="default"/>
                <w:position w:val="-237"/>
                <w:sz w:val="20"/>
                <w:szCs w:val="20"/>
              </w:rPr>
            </w: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1923" w:hRule="exact"/>
        </w:trPr>
        <w:tc>
          <w:tcPr>
            <w:tcW w:w="127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91"/>
              <w:ind w:left="23" w:right="12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6"/>
                <w:sz w:val="18"/>
                <w:szCs w:val="18"/>
              </w:rPr>
              <w:t>JAY</w:t>
            </w:r>
            <w:r>
              <w:rPr>
                <w:rFonts w:ascii="Times New Roman" w:hAnsi="Times New Roman" w:cs="Times New Roman" w:eastAsia="Times New Roman" w:hint="default"/>
                <w:spacing w:val="-11"/>
                <w:sz w:val="18"/>
                <w:szCs w:val="18"/>
              </w:rPr>
              <w:t> </w:t>
            </w:r>
            <w:r>
              <w:rPr>
                <w:rFonts w:ascii="Times New Roman" w:hAnsi="Times New Roman" w:cs="Times New Roman" w:eastAsia="Times New Roman" w:hint="default"/>
                <w:sz w:val="18"/>
                <w:szCs w:val="18"/>
              </w:rPr>
              <w:t>TSAI</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CHIEN</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CHOU;</w:t>
            </w:r>
            <w:r>
              <w:rPr>
                <w:rFonts w:ascii="宋体" w:hAnsi="宋体" w:cs="宋体" w:eastAsia="宋体" w:hint="default"/>
                <w:sz w:val="18"/>
                <w:szCs w:val="18"/>
              </w:rPr>
              <w:t>陈坚</w:t>
            </w:r>
            <w:r>
              <w:rPr>
                <w:rFonts w:ascii="Times New Roman" w:hAnsi="Times New Roman" w:cs="Times New Roman" w:eastAsia="Times New Roman" w:hint="default"/>
                <w:sz w:val="18"/>
                <w:szCs w:val="18"/>
              </w:rPr>
              <w:t>;</w:t>
            </w:r>
          </w:p>
          <w:p>
            <w:pPr>
              <w:pStyle w:val="TableParagraph"/>
              <w:spacing w:line="230" w:lineRule="exact"/>
              <w:ind w:left="23" w:right="0"/>
              <w:jc w:val="left"/>
              <w:rPr>
                <w:rFonts w:ascii="宋体" w:hAnsi="宋体" w:cs="宋体" w:eastAsia="宋体" w:hint="default"/>
                <w:sz w:val="18"/>
                <w:szCs w:val="18"/>
              </w:rPr>
            </w:pPr>
            <w:r>
              <w:rPr>
                <w:rFonts w:ascii="宋体" w:hAnsi="宋体" w:cs="宋体" w:eastAsia="宋体" w:hint="default"/>
                <w:sz w:val="18"/>
                <w:szCs w:val="18"/>
              </w:rPr>
              <w:t>陈英</w:t>
            </w:r>
            <w:r>
              <w:rPr>
                <w:rFonts w:ascii="Times New Roman" w:hAnsi="Times New Roman" w:cs="Times New Roman" w:eastAsia="Times New Roman" w:hint="default"/>
                <w:sz w:val="18"/>
                <w:szCs w:val="18"/>
              </w:rPr>
              <w:t>;</w:t>
            </w:r>
            <w:r>
              <w:rPr>
                <w:rFonts w:ascii="宋体" w:hAnsi="宋体" w:cs="宋体" w:eastAsia="宋体" w:hint="default"/>
                <w:sz w:val="18"/>
                <w:szCs w:val="18"/>
              </w:rPr>
              <w:t>杭州正</w:t>
            </w:r>
          </w:p>
          <w:p>
            <w:pPr>
              <w:pStyle w:val="TableParagraph"/>
              <w:spacing w:line="316" w:lineRule="auto" w:before="63"/>
              <w:ind w:left="23" w:right="191"/>
              <w:jc w:val="left"/>
              <w:rPr>
                <w:rFonts w:ascii="宋体" w:hAnsi="宋体" w:cs="宋体" w:eastAsia="宋体" w:hint="default"/>
                <w:sz w:val="18"/>
                <w:szCs w:val="18"/>
              </w:rPr>
            </w:pPr>
            <w:r>
              <w:rPr>
                <w:rFonts w:ascii="宋体" w:hAnsi="宋体" w:cs="宋体" w:eastAsia="宋体" w:hint="default"/>
                <w:sz w:val="18"/>
                <w:szCs w:val="18"/>
              </w:rPr>
              <w:t>元企业管理 咨询有限公</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302" w:lineRule="auto"/>
              <w:ind w:left="22" w:right="104"/>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稳定 股价承诺</w:t>
            </w:r>
          </w:p>
        </w:tc>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2"/>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（一）启动股价稳定措施的具体条件</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公司上市后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年内，若股票收盘价连</w:t>
            </w:r>
          </w:p>
          <w:p>
            <w:pPr>
              <w:pStyle w:val="TableParagraph"/>
              <w:spacing w:line="312" w:lineRule="auto" w:before="13"/>
              <w:ind w:left="22" w:right="22"/>
              <w:jc w:val="both"/>
              <w:rPr>
                <w:rFonts w:ascii="宋体" w:hAnsi="宋体" w:cs="宋体" w:eastAsia="宋体" w:hint="default"/>
                <w:sz w:val="18"/>
                <w:szCs w:val="18"/>
              </w:rPr>
            </w:pPr>
            <w:r>
              <w:rPr>
                <w:rFonts w:ascii="宋体" w:hAnsi="宋体" w:cs="宋体" w:eastAsia="宋体" w:hint="default"/>
                <w:sz w:val="18"/>
                <w:szCs w:val="18"/>
              </w:rPr>
              <w:t>续</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个交易日低于最近一期经审计的 每股净资产（若因除权除息事项导致 股票收盘价与公司最近一期经审计每 股净资产不具有可比性时，上述每股</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21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24" w:right="-4"/>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after="0" w:line="240" w:lineRule="auto"/>
        <w:rPr>
          <w:rFonts w:ascii="Times New Roman" w:hAnsi="Times New Roman" w:cs="Times New Roman" w:eastAsia="Times New Roman" w:hint="default"/>
          <w:sz w:val="20"/>
          <w:szCs w:val="20"/>
        </w:rPr>
        <w:sectPr>
          <w:pgSz w:w="11910" w:h="16840"/>
          <w:pgMar w:header="747" w:footer="979" w:top="1060" w:bottom="1160" w:left="980" w:right="0"/>
        </w:sectPr>
      </w:pPr>
    </w:p>
    <w:p>
      <w:pPr>
        <w:spacing w:line="240" w:lineRule="auto" w:before="2"/>
        <w:rPr>
          <w:rFonts w:ascii="Times New Roman" w:hAnsi="Times New Roman" w:cs="Times New Roman" w:eastAsia="Times New Roman" w:hint="default"/>
          <w:sz w:val="14"/>
          <w:szCs w:val="14"/>
        </w:rPr>
      </w:pPr>
      <w:r>
        <w:rPr/>
        <w:pict>
          <v:shape style="position:absolute;margin-left:300.5pt;margin-top:72.47998pt;width:125pt;height:686.5pt;mso-position-horizontal-relative:page;mso-position-vertical-relative:page;z-index:-1010032"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8"/>
                      <w:szCs w:val="18"/>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（不含独立董事）</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6"/>
                      <w:szCs w:val="16"/>
                    </w:rPr>
                  </w:pPr>
                </w:p>
                <w:p>
                  <w:pPr>
                    <w:spacing w:before="0"/>
                    <w:ind w:left="538" w:right="0" w:firstLine="0"/>
                    <w:jc w:val="left"/>
                    <w:rPr>
                      <w:rFonts w:ascii="宋体" w:hAnsi="宋体" w:cs="宋体" w:eastAsia="宋体" w:hint="default"/>
                      <w:sz w:val="18"/>
                      <w:szCs w:val="18"/>
                    </w:rPr>
                  </w:pPr>
                  <w:r>
                    <w:rPr>
                      <w:rFonts w:ascii="宋体" w:hAnsi="宋体" w:cs="宋体" w:eastAsia="宋体" w:hint="default"/>
                      <w:sz w:val="18"/>
                      <w:szCs w:val="18"/>
                    </w:rPr>
                    <w:t>增持期限、</w:t>
                  </w:r>
                </w:p>
              </w:txbxContent>
            </v:textbox>
            <w10:wrap type="none"/>
          </v:shape>
        </w:pict>
      </w:r>
      <w:r>
        <w:rPr/>
        <w:pict>
          <v:group style="position:absolute;margin-left:56.459999pt;margin-top:71.759979pt;width:480.9pt;height:688pt;mso-position-horizontal-relative:page;mso-position-vertical-relative:page;z-index:-1010008" coordorigin="1129,1435" coordsize="9618,13760">
            <v:group style="position:absolute;left:1139;top:1450;width:1267;height:13730" coordorigin="1139,1450" coordsize="1267,13730">
              <v:shape style="position:absolute;left:1139;top:1450;width:1267;height:13730" coordorigin="1139,1450" coordsize="1267,13730" path="m1139,15179l2405,15179,2405,1450,1139,1450,1139,15179xe" filled="true" fillcolor="#d2d2d2" stroked="false">
                <v:path arrowok="t"/>
                <v:fill type="solid"/>
              </v:shape>
            </v:group>
            <v:group style="position:absolute;left:1139;top:1445;width:1267;height:2" coordorigin="1139,1445" coordsize="1267,2">
              <v:shape style="position:absolute;left:1139;top:1445;width:1267;height:2" coordorigin="1139,1445" coordsize="1267,0" path="m1139,1445l2405,1445e" filled="false" stroked="true" strokeweight=".48pt" strokecolor="#000000">
                <v:path arrowok="t"/>
              </v:shape>
            </v:group>
            <v:group style="position:absolute;left:2415;top:1445;width:1116;height:2" coordorigin="2415,1445" coordsize="1116,2">
              <v:shape style="position:absolute;left:2415;top:1445;width:1116;height:2" coordorigin="2415,1445" coordsize="1116,0" path="m2415,1445l3531,1445e" filled="false" stroked="true" strokeweight=".48pt" strokecolor="#000000">
                <v:path arrowok="t"/>
              </v:shape>
            </v:group>
            <v:group style="position:absolute;left:3540;top:1445;width:850;height:2" coordorigin="3540,1445" coordsize="850,2">
              <v:shape style="position:absolute;left:3540;top:1445;width:850;height:2" coordorigin="3540,1445" coordsize="850,0" path="m3540,1445l4390,1445e" filled="false" stroked="true" strokeweight=".48pt" strokecolor="#000000">
                <v:path arrowok="t"/>
              </v:shape>
            </v:group>
            <v:group style="position:absolute;left:7393;top:1450;width:1117;height:13730" coordorigin="7393,1450" coordsize="1117,13730">
              <v:shape style="position:absolute;left:7393;top:1450;width:1117;height:13730" coordorigin="7393,1450" coordsize="1117,13730" path="m7393,15179l8509,15179,8509,1450,7393,1450,7393,15179xe" filled="true" fillcolor="#ffffff" stroked="false">
                <v:path arrowok="t"/>
                <v:fill type="solid"/>
              </v:shape>
            </v:group>
            <v:group style="position:absolute;left:4400;top:1445;width:2984;height:2" coordorigin="4400,1445" coordsize="2984,2">
              <v:shape style="position:absolute;left:4400;top:1445;width:2984;height:2" coordorigin="4400,1445" coordsize="2984,0" path="m4400,1445l7383,1445e" filled="false" stroked="true" strokeweight=".48pt" strokecolor="#000000">
                <v:path arrowok="t"/>
              </v:shape>
            </v:group>
            <v:group style="position:absolute;left:7393;top:1445;width:1117;height:2" coordorigin="7393,1445" coordsize="1117,2">
              <v:shape style="position:absolute;left:7393;top:1445;width:1117;height:2" coordorigin="7393,1445" coordsize="1117,0" path="m7393,1445l8509,1445e" filled="false" stroked="true" strokeweight=".48pt" strokecolor="#000000">
                <v:path arrowok="t"/>
              </v:shape>
            </v:group>
            <v:group style="position:absolute;left:8519;top:1445;width:1112;height:2" coordorigin="8519,1445" coordsize="1112,2">
              <v:shape style="position:absolute;left:8519;top:1445;width:1112;height:2" coordorigin="8519,1445" coordsize="1112,0" path="m8519,1445l9630,1445e" filled="false" stroked="true" strokeweight=".48pt" strokecolor="#000000">
                <v:path arrowok="t"/>
              </v:shape>
            </v:group>
            <v:group style="position:absolute;left:9640;top:1445;width:1098;height:2" coordorigin="9640,1445" coordsize="1098,2">
              <v:shape style="position:absolute;left:9640;top:1445;width:1098;height:2" coordorigin="9640,1445" coordsize="1098,0" path="m9640,1445l10738,1445e" filled="false" stroked="true" strokeweight=".48pt" strokecolor="#000000">
                <v:path arrowok="t"/>
              </v:shape>
            </v:group>
            <v:group style="position:absolute;left:1134;top:1440;width:2;height:13750" coordorigin="1134,1440" coordsize="2,13750">
              <v:shape style="position:absolute;left:1134;top:1440;width:2;height:13750" coordorigin="1134,1440" coordsize="0,13750" path="m1134,1440l1134,15190e" filled="false" stroked="true" strokeweight=".48pt" strokecolor="#000000">
                <v:path arrowok="t"/>
              </v:shape>
            </v:group>
            <v:group style="position:absolute;left:1139;top:15185;width:1267;height:2" coordorigin="1139,15185" coordsize="1267,2">
              <v:shape style="position:absolute;left:1139;top:15185;width:1267;height:2" coordorigin="1139,15185" coordsize="1267,0" path="m1139,15185l2405,15185e" filled="false" stroked="true" strokeweight=".47998pt" strokecolor="#000000">
                <v:path arrowok="t"/>
              </v:shape>
            </v:group>
            <v:group style="position:absolute;left:2410;top:1440;width:2;height:13750" coordorigin="2410,1440" coordsize="2,13750">
              <v:shape style="position:absolute;left:2410;top:1440;width:2;height:13750" coordorigin="2410,1440" coordsize="0,13750" path="m2410,1440l2410,15190e" filled="false" stroked="true" strokeweight=".48pt" strokecolor="#000000">
                <v:path arrowok="t"/>
              </v:shape>
            </v:group>
            <v:group style="position:absolute;left:2415;top:15185;width:1116;height:2" coordorigin="2415,15185" coordsize="1116,2">
              <v:shape style="position:absolute;left:2415;top:15185;width:1116;height:2" coordorigin="2415,15185" coordsize="1116,0" path="m2415,15185l3531,15185e" filled="false" stroked="true" strokeweight=".47998pt" strokecolor="#000000">
                <v:path arrowok="t"/>
              </v:shape>
            </v:group>
            <v:group style="position:absolute;left:3536;top:1440;width:2;height:13750" coordorigin="3536,1440" coordsize="2,13750">
              <v:shape style="position:absolute;left:3536;top:1440;width:2;height:13750" coordorigin="3536,1440" coordsize="0,13750" path="m3536,1440l3536,15190e" filled="false" stroked="true" strokeweight=".48pt" strokecolor="#000000">
                <v:path arrowok="t"/>
              </v:shape>
            </v:group>
            <v:group style="position:absolute;left:3540;top:15185;width:850;height:2" coordorigin="3540,15185" coordsize="850,2">
              <v:shape style="position:absolute;left:3540;top:15185;width:850;height:2" coordorigin="3540,15185" coordsize="850,0" path="m3540,15185l4390,15185e" filled="false" stroked="true" strokeweight=".47998pt" strokecolor="#000000">
                <v:path arrowok="t"/>
              </v:shape>
            </v:group>
            <v:group style="position:absolute;left:4395;top:1440;width:2;height:13750" coordorigin="4395,1440" coordsize="2,13750">
              <v:shape style="position:absolute;left:4395;top:1440;width:2;height:13750" coordorigin="4395,1440" coordsize="0,13750" path="m4395,1440l4395,15190e" filled="false" stroked="true" strokeweight=".48pt" strokecolor="#000000">
                <v:path arrowok="t"/>
              </v:shape>
            </v:group>
            <v:group style="position:absolute;left:4400;top:15185;width:2984;height:2" coordorigin="4400,15185" coordsize="2984,2">
              <v:shape style="position:absolute;left:4400;top:15185;width:2984;height:2" coordorigin="4400,15185" coordsize="2984,0" path="m4400,15185l7383,15185e" filled="false" stroked="true" strokeweight=".47998pt" strokecolor="#000000">
                <v:path arrowok="t"/>
              </v:shape>
            </v:group>
            <v:group style="position:absolute;left:7388;top:1440;width:2;height:13750" coordorigin="7388,1440" coordsize="2,13750">
              <v:shape style="position:absolute;left:7388;top:1440;width:2;height:13750" coordorigin="7388,1440" coordsize="0,13750" path="m7388,1440l7388,15190e" filled="false" stroked="true" strokeweight=".47998pt" strokecolor="#000000">
                <v:path arrowok="t"/>
              </v:shape>
            </v:group>
            <v:group style="position:absolute;left:7393;top:15185;width:1117;height:2" coordorigin="7393,15185" coordsize="1117,2">
              <v:shape style="position:absolute;left:7393;top:15185;width:1117;height:2" coordorigin="7393,15185" coordsize="1117,0" path="m7393,15185l8509,15185e" filled="false" stroked="true" strokeweight=".47998pt" strokecolor="#000000">
                <v:path arrowok="t"/>
              </v:shape>
            </v:group>
            <v:group style="position:absolute;left:8514;top:1440;width:2;height:13750" coordorigin="8514,1440" coordsize="2,13750">
              <v:shape style="position:absolute;left:8514;top:1440;width:2;height:13750" coordorigin="8514,1440" coordsize="0,13750" path="m8514,1440l8514,15190e" filled="false" stroked="true" strokeweight=".48001pt" strokecolor="#000000">
                <v:path arrowok="t"/>
              </v:shape>
            </v:group>
            <v:group style="position:absolute;left:8519;top:15185;width:1112;height:2" coordorigin="8519,15185" coordsize="1112,2">
              <v:shape style="position:absolute;left:8519;top:15185;width:1112;height:2" coordorigin="8519,15185" coordsize="1112,0" path="m8519,15185l9630,15185e" filled="false" stroked="true" strokeweight=".47998pt" strokecolor="#000000">
                <v:path arrowok="t"/>
              </v:shape>
            </v:group>
            <v:group style="position:absolute;left:9635;top:1440;width:2;height:13750" coordorigin="9635,1440" coordsize="2,13750">
              <v:shape style="position:absolute;left:9635;top:1440;width:2;height:13750" coordorigin="9635,1440" coordsize="0,13750" path="m9635,1440l9635,15190e" filled="false" stroked="true" strokeweight=".47998pt" strokecolor="#000000">
                <v:path arrowok="t"/>
              </v:shape>
            </v:group>
            <v:group style="position:absolute;left:9640;top:15185;width:1098;height:2" coordorigin="9640,15185" coordsize="1098,2">
              <v:shape style="position:absolute;left:9640;top:15185;width:1098;height:2" coordorigin="9640,15185" coordsize="1098,0" path="m9640,15185l10738,15185e" filled="false" stroked="true" strokeweight=".47998pt" strokecolor="#000000">
                <v:path arrowok="t"/>
              </v:shape>
            </v:group>
            <v:group style="position:absolute;left:10742;top:1440;width:2;height:13750" coordorigin="10742,1440" coordsize="2,13750">
              <v:shape style="position:absolute;left:10742;top:1440;width:2;height:13750" coordorigin="10742,1440" coordsize="0,13750" path="m10742,1440l10742,15190e" filled="false" stroked="true" strokeweight=".47998pt" strokecolor="#000000">
                <v:path arrowok="t"/>
              </v:shape>
            </v:group>
            <w10:wrap type="none"/>
          </v:group>
        </w:pict>
      </w:r>
    </w:p>
    <w:p>
      <w:pPr>
        <w:spacing w:line="309" w:lineRule="auto" w:before="0"/>
        <w:ind w:left="1458" w:right="-19" w:firstLine="0"/>
        <w:jc w:val="left"/>
        <w:rPr>
          <w:rFonts w:ascii="宋体" w:hAnsi="宋体" w:cs="宋体" w:eastAsia="宋体" w:hint="default"/>
          <w:sz w:val="18"/>
          <w:szCs w:val="18"/>
        </w:rPr>
      </w:pPr>
      <w:r>
        <w:rPr>
          <w:rFonts w:ascii="宋体" w:hAnsi="宋体" w:cs="宋体" w:eastAsia="宋体" w:hint="default"/>
          <w:sz w:val="18"/>
          <w:szCs w:val="18"/>
        </w:rPr>
        <w:t>司</w:t>
      </w:r>
      <w:r>
        <w:rPr>
          <w:rFonts w:ascii="Times New Roman" w:hAnsi="Times New Roman" w:cs="Times New Roman" w:eastAsia="Times New Roman" w:hint="default"/>
          <w:sz w:val="18"/>
          <w:szCs w:val="18"/>
        </w:rPr>
        <w:t>;</w:t>
      </w:r>
      <w:r>
        <w:rPr>
          <w:rFonts w:ascii="宋体" w:hAnsi="宋体" w:cs="宋体" w:eastAsia="宋体" w:hint="default"/>
          <w:sz w:val="18"/>
          <w:szCs w:val="18"/>
        </w:rPr>
        <w:t>黄金明</w:t>
      </w:r>
      <w:r>
        <w:rPr>
          <w:rFonts w:ascii="Times New Roman" w:hAnsi="Times New Roman" w:cs="Times New Roman" w:eastAsia="Times New Roman" w:hint="default"/>
          <w:sz w:val="18"/>
          <w:szCs w:val="18"/>
        </w:rPr>
        <w:t>;</w:t>
      </w:r>
      <w:r>
        <w:rPr>
          <w:rFonts w:ascii="宋体" w:hAnsi="宋体" w:cs="宋体" w:eastAsia="宋体" w:hint="default"/>
          <w:sz w:val="18"/>
          <w:szCs w:val="18"/>
        </w:rPr>
        <w:t>陆 卫明</w:t>
      </w:r>
      <w:r>
        <w:rPr>
          <w:rFonts w:ascii="Times New Roman" w:hAnsi="Times New Roman" w:cs="Times New Roman" w:eastAsia="Times New Roman" w:hint="default"/>
          <w:sz w:val="18"/>
          <w:szCs w:val="18"/>
        </w:rPr>
        <w:t>;</w:t>
      </w:r>
      <w:r>
        <w:rPr>
          <w:rFonts w:ascii="宋体" w:hAnsi="宋体" w:cs="宋体" w:eastAsia="宋体" w:hint="default"/>
          <w:sz w:val="18"/>
          <w:szCs w:val="18"/>
        </w:rPr>
        <w:t>余锴</w:t>
      </w:r>
      <w:r>
        <w:rPr>
          <w:rFonts w:ascii="Times New Roman" w:hAnsi="Times New Roman" w:cs="Times New Roman" w:eastAsia="Times New Roman" w:hint="default"/>
          <w:sz w:val="18"/>
          <w:szCs w:val="18"/>
        </w:rPr>
        <w:t>;</w:t>
      </w:r>
      <w:r>
        <w:rPr>
          <w:rFonts w:ascii="宋体" w:hAnsi="宋体" w:cs="宋体" w:eastAsia="宋体" w:hint="default"/>
          <w:sz w:val="18"/>
          <w:szCs w:val="18"/>
        </w:rPr>
        <w:t>浙 江正元智慧 科技股份有 限公司</w:t>
      </w:r>
    </w:p>
    <w:p>
      <w:pPr>
        <w:spacing w:line="240" w:lineRule="auto" w:before="6"/>
        <w:rPr>
          <w:rFonts w:ascii="宋体" w:hAnsi="宋体" w:cs="宋体" w:eastAsia="宋体" w:hint="default"/>
          <w:sz w:val="12"/>
          <w:szCs w:val="12"/>
        </w:rPr>
      </w:pPr>
      <w:r>
        <w:rPr/>
        <w:br w:type="column"/>
      </w:r>
      <w:r>
        <w:rPr>
          <w:rFonts w:ascii="宋体"/>
          <w:sz w:val="12"/>
        </w:rPr>
      </w:r>
    </w:p>
    <w:p>
      <w:pPr>
        <w:spacing w:line="316" w:lineRule="auto" w:before="0"/>
        <w:ind w:left="942" w:right="4540" w:firstLine="0"/>
        <w:jc w:val="left"/>
        <w:rPr>
          <w:rFonts w:ascii="宋体" w:hAnsi="宋体" w:cs="宋体" w:eastAsia="宋体" w:hint="default"/>
          <w:sz w:val="18"/>
          <w:szCs w:val="18"/>
        </w:rPr>
      </w:pPr>
      <w:r>
        <w:rPr>
          <w:rFonts w:ascii="宋体" w:hAnsi="宋体" w:cs="宋体" w:eastAsia="宋体" w:hint="default"/>
          <w:spacing w:val="-8"/>
          <w:sz w:val="18"/>
          <w:szCs w:val="18"/>
        </w:rPr>
        <w:t>净资产作相应调整），且同时满足相关</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回购、增持公司股份等行为的法律、 法规和规范性文件的规定，则触发公 </w:t>
      </w:r>
      <w:r>
        <w:rPr>
          <w:rFonts w:ascii="宋体" w:hAnsi="宋体" w:cs="宋体" w:eastAsia="宋体" w:hint="default"/>
          <w:spacing w:val="-3"/>
          <w:sz w:val="18"/>
          <w:szCs w:val="18"/>
        </w:rPr>
        <w:t>司、控股股东、董事</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及高级管理人员履行稳定公司股价措 </w:t>
      </w:r>
      <w:r>
        <w:rPr>
          <w:rFonts w:ascii="宋体" w:hAnsi="宋体" w:cs="宋体" w:eastAsia="宋体" w:hint="default"/>
          <w:spacing w:val="-10"/>
          <w:w w:val="100"/>
          <w:sz w:val="18"/>
          <w:szCs w:val="18"/>
        </w:rPr>
        <w:t>施（以下简称</w:t>
      </w:r>
      <w:r>
        <w:rPr>
          <w:rFonts w:ascii="Times New Roman" w:hAnsi="Times New Roman" w:cs="Times New Roman" w:eastAsia="Times New Roman" w:hint="default"/>
          <w:spacing w:val="-10"/>
          <w:w w:val="100"/>
          <w:sz w:val="18"/>
          <w:szCs w:val="18"/>
        </w:rPr>
        <w:t>“</w:t>
      </w:r>
      <w:r>
        <w:rPr>
          <w:rFonts w:ascii="宋体" w:hAnsi="宋体" w:cs="宋体" w:eastAsia="宋体" w:hint="default"/>
          <w:spacing w:val="-10"/>
          <w:w w:val="100"/>
          <w:sz w:val="18"/>
          <w:szCs w:val="18"/>
        </w:rPr>
        <w:t>触发稳定股价措施</w:t>
      </w:r>
      <w:r>
        <w:rPr>
          <w:rFonts w:ascii="Times New Roman" w:hAnsi="Times New Roman" w:cs="Times New Roman" w:eastAsia="Times New Roman" w:hint="default"/>
          <w:spacing w:val="-10"/>
          <w:w w:val="100"/>
          <w:sz w:val="18"/>
          <w:szCs w:val="18"/>
        </w:rPr>
        <w:t>”</w:t>
      </w:r>
      <w:r>
        <w:rPr>
          <w:rFonts w:ascii="宋体" w:hAnsi="宋体" w:cs="宋体" w:eastAsia="宋体" w:hint="default"/>
          <w:spacing w:val="-10"/>
          <w:w w:val="100"/>
          <w:sz w:val="18"/>
          <w:szCs w:val="18"/>
        </w:rPr>
        <w:t>）。</w:t>
      </w:r>
      <w:r>
        <w:rPr>
          <w:rFonts w:ascii="宋体" w:hAnsi="宋体" w:cs="宋体" w:eastAsia="宋体" w:hint="default"/>
          <w:w w:val="100"/>
          <w:sz w:val="18"/>
          <w:szCs w:val="18"/>
        </w:rPr>
      </w:r>
    </w:p>
    <w:p>
      <w:pPr>
        <w:spacing w:line="314" w:lineRule="auto" w:before="0"/>
        <w:ind w:left="942" w:right="4528" w:firstLine="0"/>
        <w:jc w:val="left"/>
        <w:rPr>
          <w:rFonts w:ascii="宋体" w:hAnsi="宋体" w:cs="宋体" w:eastAsia="宋体" w:hint="default"/>
          <w:sz w:val="18"/>
          <w:szCs w:val="18"/>
        </w:rPr>
      </w:pPr>
      <w:r>
        <w:rPr>
          <w:rFonts w:ascii="宋体" w:hAnsi="宋体" w:cs="宋体" w:eastAsia="宋体" w:hint="default"/>
          <w:sz w:val="18"/>
          <w:szCs w:val="18"/>
        </w:rPr>
        <w:t>（二）稳定公司股价的具体措施根据 股价稳定预案，在不导致公司不满足 法定上市条件，不导致公司控股股东 或实际控制人履行要约收购义务的情 况下，股价稳定措施采取如下顺序与 </w:t>
      </w:r>
      <w:r>
        <w:rPr>
          <w:rFonts w:ascii="宋体" w:hAnsi="宋体" w:cs="宋体" w:eastAsia="宋体" w:hint="default"/>
          <w:spacing w:val="-2"/>
          <w:sz w:val="18"/>
          <w:szCs w:val="18"/>
        </w:rPr>
        <w:t>方式：</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、在触发稳定股价措施后，公</w:t>
      </w:r>
      <w:r>
        <w:rPr>
          <w:rFonts w:ascii="宋体" w:hAnsi="宋体" w:cs="宋体" w:eastAsia="宋体" w:hint="default"/>
          <w:sz w:val="18"/>
          <w:szCs w:val="18"/>
        </w:rPr>
        <w:t> 司控股股东将在</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个交易日内向公司 送达增持公司股票书面通知（以下简 </w:t>
      </w:r>
      <w:r>
        <w:rPr>
          <w:rFonts w:ascii="宋体" w:hAnsi="宋体" w:cs="宋体" w:eastAsia="宋体" w:hint="default"/>
          <w:spacing w:val="-6"/>
          <w:w w:val="100"/>
          <w:sz w:val="18"/>
          <w:szCs w:val="18"/>
        </w:rPr>
        <w:t>称</w:t>
      </w:r>
      <w:r>
        <w:rPr>
          <w:rFonts w:ascii="Times New Roman" w:hAnsi="Times New Roman" w:cs="Times New Roman" w:eastAsia="Times New Roman" w:hint="default"/>
          <w:spacing w:val="-6"/>
          <w:w w:val="100"/>
          <w:sz w:val="18"/>
          <w:szCs w:val="18"/>
        </w:rPr>
        <w:t>“</w:t>
      </w:r>
      <w:r>
        <w:rPr>
          <w:rFonts w:ascii="宋体" w:hAnsi="宋体" w:cs="宋体" w:eastAsia="宋体" w:hint="default"/>
          <w:spacing w:val="-6"/>
          <w:w w:val="100"/>
          <w:sz w:val="18"/>
          <w:szCs w:val="18"/>
        </w:rPr>
        <w:t>增持通知书</w:t>
      </w:r>
      <w:r>
        <w:rPr>
          <w:rFonts w:ascii="Times New Roman" w:hAnsi="Times New Roman" w:cs="Times New Roman" w:eastAsia="Times New Roman" w:hint="default"/>
          <w:spacing w:val="-6"/>
          <w:w w:val="100"/>
          <w:sz w:val="18"/>
          <w:szCs w:val="18"/>
        </w:rPr>
        <w:t>”</w:t>
      </w:r>
      <w:r>
        <w:rPr>
          <w:rFonts w:ascii="宋体" w:hAnsi="宋体" w:cs="宋体" w:eastAsia="宋体" w:hint="default"/>
          <w:spacing w:val="-6"/>
          <w:w w:val="100"/>
          <w:sz w:val="18"/>
          <w:szCs w:val="18"/>
        </w:rPr>
        <w:t>），增持通知书应包括</w:t>
      </w:r>
      <w:r>
        <w:rPr>
          <w:rFonts w:ascii="宋体" w:hAnsi="宋体" w:cs="宋体" w:eastAsia="宋体" w:hint="default"/>
          <w:spacing w:val="-87"/>
          <w:w w:val="100"/>
          <w:sz w:val="18"/>
          <w:szCs w:val="18"/>
        </w:rPr>
        <w:t> </w:t>
      </w:r>
      <w:r>
        <w:rPr>
          <w:rFonts w:ascii="宋体" w:hAnsi="宋体" w:cs="宋体" w:eastAsia="宋体" w:hint="default"/>
          <w:spacing w:val="-87"/>
          <w:w w:val="100"/>
          <w:sz w:val="18"/>
          <w:szCs w:val="18"/>
        </w:rPr>
      </w:r>
      <w:r>
        <w:rPr>
          <w:rFonts w:ascii="宋体" w:hAnsi="宋体" w:cs="宋体" w:eastAsia="宋体" w:hint="default"/>
          <w:sz w:val="18"/>
          <w:szCs w:val="18"/>
        </w:rPr>
        <w:t>增持股份数量、增持价格、</w:t>
      </w:r>
      <w:r>
        <w:rPr>
          <w:rFonts w:ascii="宋体" w:hAnsi="宋体" w:cs="宋体" w:eastAsia="宋体" w:hint="default"/>
          <w:sz w:val="18"/>
          <w:szCs w:val="18"/>
        </w:rPr>
        <w:t> 增持目标及其他有关增持的内容。公 司控股股东将在触发增持股票措施之 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个月内，按照持股比例增持公</w:t>
      </w:r>
    </w:p>
    <w:p>
      <w:pPr>
        <w:spacing w:line="314" w:lineRule="auto" w:before="1"/>
        <w:ind w:left="942" w:right="4494" w:firstLine="0"/>
        <w:jc w:val="left"/>
        <w:rPr>
          <w:rFonts w:ascii="宋体" w:hAnsi="宋体" w:cs="宋体" w:eastAsia="宋体" w:hint="default"/>
          <w:sz w:val="18"/>
          <w:szCs w:val="18"/>
        </w:rPr>
      </w:pPr>
      <w:r>
        <w:rPr>
          <w:rFonts w:ascii="宋体" w:hAnsi="宋体" w:cs="宋体" w:eastAsia="宋体" w:hint="default"/>
          <w:spacing w:val="-3"/>
          <w:sz w:val="18"/>
          <w:szCs w:val="18"/>
        </w:rPr>
        <w:t>司股票，合计增持总金额不低于</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1,500</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万元人民币，增持股票的数量不超过 增持前公司股份总数的</w:t>
      </w:r>
      <w:r>
        <w:rPr>
          <w:rFonts w:ascii="宋体" w:hAnsi="宋体" w:cs="宋体" w:eastAsia="宋体" w:hint="default"/>
          <w:spacing w:val="-46"/>
          <w:sz w:val="18"/>
          <w:szCs w:val="18"/>
        </w:rPr>
        <w:t> </w:t>
      </w: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。在实施增</w:t>
      </w:r>
      <w:r>
        <w:rPr>
          <w:rFonts w:ascii="宋体" w:hAnsi="宋体" w:cs="宋体" w:eastAsia="宋体" w:hint="default"/>
          <w:sz w:val="18"/>
          <w:szCs w:val="18"/>
        </w:rPr>
        <w:t> </w:t>
      </w:r>
      <w:r>
        <w:rPr>
          <w:rFonts w:ascii="宋体" w:hAnsi="宋体" w:cs="宋体" w:eastAsia="宋体" w:hint="default"/>
          <w:spacing w:val="-3"/>
          <w:sz w:val="18"/>
          <w:szCs w:val="18"/>
        </w:rPr>
        <w:t>持股票期间，公司股票连续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个交易 日的收盘价均已高于公司最近一年经 审计的每股净资产，或者继续增持股 票将导致公司不满足法定上市条件 时，或者继续增持股票将导致公司控 股股东或实际控制人履行要约收购义 务，公司控股股东将中止实施增持股 票措施。在触发增持股票义务后，若 控股股东未向公司送达增持通知书或 虽送达增持通知书但未按披露的增持 计划实施，则公司有权将该年度及以 后年度应付控股股东的现金分红款项 </w:t>
      </w:r>
      <w:r>
        <w:rPr>
          <w:rFonts w:ascii="宋体" w:hAnsi="宋体" w:cs="宋体" w:eastAsia="宋体" w:hint="default"/>
          <w:spacing w:val="-3"/>
          <w:sz w:val="18"/>
          <w:szCs w:val="18"/>
        </w:rPr>
        <w:t>收归公司所有，直至累计金额达</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1,500</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万元止。</w:t>
      </w:r>
      <w:r>
        <w:rPr>
          <w:rFonts w:ascii="Times New Roman" w:hAnsi="Times New Roman" w:cs="Times New Roman" w:eastAsia="Times New Roman" w:hint="default"/>
          <w:sz w:val="18"/>
          <w:szCs w:val="18"/>
        </w:rPr>
        <w:t>2</w:t>
      </w:r>
      <w:r>
        <w:rPr>
          <w:rFonts w:ascii="宋体" w:hAnsi="宋体" w:cs="宋体" w:eastAsia="宋体" w:hint="default"/>
          <w:sz w:val="18"/>
          <w:szCs w:val="18"/>
        </w:rPr>
        <w:t>、在触发稳定股价措施后， 公司控股股东无法实施增持股票措 施，或者增持股票措施实施完毕后公 司股票连续</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个交易日的收盘价仍低 于公司最近一年经审计的每股净资产 </w:t>
      </w:r>
      <w:r>
        <w:rPr>
          <w:rFonts w:ascii="宋体" w:hAnsi="宋体" w:cs="宋体" w:eastAsia="宋体" w:hint="default"/>
          <w:spacing w:val="-8"/>
          <w:sz w:val="18"/>
          <w:szCs w:val="18"/>
        </w:rPr>
        <w:t>后，公司董事（不含独立董事）、高级</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管理人员将实施增持公司股票的程 </w:t>
      </w:r>
      <w:r>
        <w:rPr>
          <w:rFonts w:ascii="宋体" w:hAnsi="宋体" w:cs="宋体" w:eastAsia="宋体" w:hint="default"/>
          <w:spacing w:val="-8"/>
          <w:sz w:val="18"/>
          <w:szCs w:val="18"/>
        </w:rPr>
        <w:t>序。公司董事（不含独立董事）、高级</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管理人员将在触发增持股票措施之日</w:t>
      </w:r>
    </w:p>
    <w:p>
      <w:pPr>
        <w:spacing w:after="0" w:line="314" w:lineRule="auto"/>
        <w:jc w:val="left"/>
        <w:rPr>
          <w:rFonts w:ascii="宋体" w:hAnsi="宋体" w:cs="宋体" w:eastAsia="宋体" w:hint="default"/>
          <w:sz w:val="18"/>
          <w:szCs w:val="18"/>
        </w:rPr>
        <w:sectPr>
          <w:type w:val="continuous"/>
          <w:pgSz w:w="11910" w:h="16840"/>
          <w:pgMar w:top="1060" w:bottom="1160" w:left="980" w:right="0"/>
          <w:cols w:num="2" w:equalWidth="0">
            <w:col w:w="2460" w:space="40"/>
            <w:col w:w="8430"/>
          </w:cols>
        </w:sectPr>
      </w:pPr>
    </w:p>
    <w:p>
      <w:pPr>
        <w:spacing w:line="240" w:lineRule="auto" w:before="0"/>
        <w:rPr>
          <w:rFonts w:ascii="Times New Roman" w:hAnsi="Times New Roman" w:cs="Times New Roman" w:eastAsia="Times New Roman" w:hint="default"/>
          <w:sz w:val="20"/>
          <w:szCs w:val="20"/>
        </w:rPr>
      </w:pPr>
      <w:r>
        <w:rPr/>
        <w:pict>
          <v:group style="position:absolute;margin-left:369.640015pt;margin-top:72.47998pt;width:55.85pt;height:641.7pt;mso-position-horizontal-relative:page;mso-position-vertical-relative:page;z-index:-1009960" coordorigin="7393,1450" coordsize="1117,12834">
            <v:shape style="position:absolute;left:7393;top:1450;width:1117;height:12834" coordorigin="7393,1450" coordsize="1117,12834" path="m7393,14284l8509,14284,8509,1450,7393,1450,7393,14284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76"/>
        <w:gridCol w:w="1126"/>
        <w:gridCol w:w="859"/>
        <w:gridCol w:w="2993"/>
        <w:gridCol w:w="1126"/>
        <w:gridCol w:w="1121"/>
        <w:gridCol w:w="1108"/>
      </w:tblGrid>
      <w:tr>
        <w:trPr>
          <w:trHeight w:val="12844" w:hRule="exact"/>
        </w:trPr>
        <w:tc>
          <w:tcPr>
            <w:tcW w:w="127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22" w:right="20"/>
              <w:jc w:val="both"/>
              <w:rPr>
                <w:rFonts w:ascii="宋体" w:hAnsi="宋体" w:cs="宋体" w:eastAsia="宋体" w:hint="default"/>
                <w:sz w:val="18"/>
                <w:szCs w:val="18"/>
              </w:rPr>
            </w:pPr>
            <w:r>
              <w:rPr>
                <w:rFonts w:ascii="宋体" w:hAnsi="宋体" w:cs="宋体" w:eastAsia="宋体" w:hint="default"/>
                <w:sz w:val="18"/>
                <w:szCs w:val="18"/>
              </w:rPr>
              <w:t>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个月内履行增持义务，个人增持 的总金额不低于上一年度自公司取得 税后工资总额的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。在实施增持股 </w:t>
            </w:r>
            <w:r>
              <w:rPr>
                <w:rFonts w:ascii="宋体" w:hAnsi="宋体" w:cs="宋体" w:eastAsia="宋体" w:hint="default"/>
                <w:spacing w:val="-4"/>
                <w:sz w:val="18"/>
                <w:szCs w:val="18"/>
              </w:rPr>
              <w:t>票期间，公司股票连续</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个交易日的 收盘价均已高于公司最近一年经审计 的每股净资产，或者继续增持股票将 导致公司不满足法定上市条件时，或 者继续增持股票将导致公司控股股东 或实际控制人履行要约收购义务，公 </w:t>
            </w:r>
            <w:r>
              <w:rPr>
                <w:rFonts w:ascii="宋体" w:hAnsi="宋体" w:cs="宋体" w:eastAsia="宋体" w:hint="default"/>
                <w:spacing w:val="-8"/>
                <w:sz w:val="18"/>
                <w:szCs w:val="18"/>
              </w:rPr>
              <w:t>司董事（不含独立董事）、高级管理人</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员将中止实施增持股票措施。</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、在触</w:t>
            </w:r>
            <w:r>
              <w:rPr>
                <w:rFonts w:ascii="宋体" w:hAnsi="宋体" w:cs="宋体" w:eastAsia="宋体" w:hint="default"/>
                <w:sz w:val="18"/>
                <w:szCs w:val="18"/>
              </w:rPr>
              <w:t> 发稳定股价措施后，公司控股股东、 </w:t>
            </w:r>
            <w:r>
              <w:rPr>
                <w:rFonts w:ascii="宋体" w:hAnsi="宋体" w:cs="宋体" w:eastAsia="宋体" w:hint="default"/>
                <w:spacing w:val="-8"/>
                <w:sz w:val="18"/>
                <w:szCs w:val="18"/>
              </w:rPr>
              <w:t>董事（不含独立董事）、高级管理人员</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无法实施增持股票措施，或者增持股 票措施实施完毕后公司股票连续</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个 交易日的收盘价仍低于公司最近一年 经审计的每股净资产后，公司将在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个交易日内召开董事会，依法作出实 施回购股票的决议，并提交股东大会 批准并履行相应公告程序。公司股东 大会批准实施回购股票的议案后，公 司将依法履行相应的公告、备案及通 知债权人等义务。公司将在股东大会 决议作出之日起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个月内回购股票，</w:t>
            </w:r>
          </w:p>
          <w:p>
            <w:pPr>
              <w:pStyle w:val="TableParagraph"/>
              <w:spacing w:line="314" w:lineRule="auto" w:before="1"/>
              <w:ind w:left="22" w:right="-25"/>
              <w:jc w:val="left"/>
              <w:rPr>
                <w:rFonts w:ascii="Times New Roman" w:hAnsi="Times New Roman" w:cs="Times New Roman" w:eastAsia="Times New Roman" w:hint="default"/>
                <w:sz w:val="18"/>
                <w:szCs w:val="18"/>
              </w:rPr>
            </w:pPr>
            <w:r>
              <w:rPr>
                <w:rFonts w:ascii="宋体" w:hAnsi="宋体" w:cs="宋体" w:eastAsia="宋体" w:hint="default"/>
                <w:sz w:val="18"/>
                <w:szCs w:val="18"/>
              </w:rPr>
              <w:t>回购总金额不低于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万元人民币 回购股票的数量不超过回购前公司股 份总数的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。在实施回购股票期间， 公司股票连续</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个交易日的收盘价均 已高于公司最近一年经审计的每股净 资产，或者继续回购股票将导致公司 不满足法定上市条件时，公司将中止 </w:t>
            </w:r>
            <w:r>
              <w:rPr>
                <w:rFonts w:ascii="宋体" w:hAnsi="宋体" w:cs="宋体" w:eastAsia="宋体" w:hint="default"/>
                <w:spacing w:val="-8"/>
                <w:sz w:val="18"/>
                <w:szCs w:val="18"/>
              </w:rPr>
              <w:t>实施回购股票措施。（三）稳定股价预</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案的修订权限任何对稳定股价预案的 修订均应经公司股东大会审议通过， 且需经出席股东大会的股东所持有表 </w:t>
            </w:r>
            <w:r>
              <w:rPr>
                <w:rFonts w:ascii="宋体" w:hAnsi="宋体" w:cs="宋体" w:eastAsia="宋体" w:hint="default"/>
                <w:spacing w:val="-6"/>
                <w:sz w:val="18"/>
                <w:szCs w:val="18"/>
              </w:rPr>
              <w:t>决权的三分之二以上同意通过。（四）</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稳定股价预案的执行公司、公司控股 股东、公司董事及高级管理人员在履 行上述回购或增持义务时，应按照公 司章程、上市公司回购股份等相关监 管规则履行相应的信息披露义务。</w:t>
            </w:r>
            <w:r>
              <w:rPr>
                <w:rFonts w:ascii="Times New Roman" w:hAnsi="Times New Roman" w:cs="Times New Roman" w:eastAsia="Times New Roman" w:hint="default"/>
                <w:sz w:val="18"/>
                <w:szCs w:val="18"/>
              </w:rPr>
              <w:t>"</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w:t>
            </w: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986" w:hRule="exact"/>
        </w:trPr>
        <w:tc>
          <w:tcPr>
            <w:tcW w:w="127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91"/>
              <w:ind w:left="23" w:right="17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JAY</w:t>
            </w:r>
            <w:r>
              <w:rPr>
                <w:rFonts w:ascii="Times New Roman" w:hAnsi="Times New Roman" w:cs="Times New Roman" w:eastAsia="Times New Roman" w:hint="default"/>
                <w:spacing w:val="-11"/>
                <w:sz w:val="18"/>
                <w:szCs w:val="18"/>
              </w:rPr>
              <w:t> </w:t>
            </w:r>
            <w:r>
              <w:rPr>
                <w:rFonts w:ascii="Times New Roman" w:hAnsi="Times New Roman" w:cs="Times New Roman" w:eastAsia="Times New Roman" w:hint="default"/>
                <w:sz w:val="18"/>
                <w:szCs w:val="18"/>
              </w:rPr>
              <w:t>TSAI</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CHIEN</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CHOU;</w:t>
            </w:r>
            <w:r>
              <w:rPr>
                <w:rFonts w:ascii="宋体" w:hAnsi="宋体" w:cs="宋体" w:eastAsia="宋体" w:hint="default"/>
                <w:sz w:val="18"/>
                <w:szCs w:val="18"/>
              </w:rPr>
              <w:t>陈根</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关于招股说明书有虚假记载、误导性</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3"/>
                <w:sz w:val="18"/>
                <w:szCs w:val="18"/>
              </w:rPr>
              <w:t>陈述或者重大遗漏方面的承诺：公司</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控股股东杭州正元、实际控制人陈坚</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12"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150" w:lineRule="exact"/>
              <w:ind w:left="-12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00"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before="9"/>
              <w:ind w:right="0"/>
              <w:jc w:val="left"/>
              <w:rPr>
                <w:rFonts w:ascii="Times New Roman" w:hAnsi="Times New Roman" w:cs="Times New Roman" w:eastAsia="Times New Roman" w:hint="default"/>
                <w:sz w:val="10"/>
                <w:szCs w:val="10"/>
              </w:rPr>
            </w:pPr>
          </w:p>
          <w:p>
            <w:pPr>
              <w:pStyle w:val="TableParagraph"/>
              <w:spacing w:line="727" w:lineRule="exact"/>
              <w:ind w:right="-15"/>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4"/>
                <w:sz w:val="20"/>
                <w:szCs w:val="20"/>
              </w:rPr>
              <w:pict>
                <v:group style="width:54.7pt;height:36.4pt;mso-position-horizontal-relative:char;mso-position-vertical-relative:line" coordorigin="0,0" coordsize="1094,728">
                  <v:group style="position:absolute;left:11;top:11;width:2;height:705" coordorigin="11,11" coordsize="2,705">
                    <v:shape style="position:absolute;left:11;top:11;width:2;height:705" coordorigin="11,11" coordsize="0,705" path="m11,11l11,716e" filled="false" stroked="true" strokeweight="1.140pt" strokecolor="#ffffff">
                      <v:path arrowok="t"/>
                    </v:shape>
                  </v:group>
                  <v:group style="position:absolute;left:23;top:11;width:1071;height:353" coordorigin="23,11" coordsize="1071,353">
                    <v:shape style="position:absolute;left:23;top:11;width:1071;height:353" coordorigin="23,11" coordsize="1071,353" path="m23,364l1094,364,1094,11,23,11,23,364xe" filled="true" fillcolor="#ffffff" stroked="false">
                      <v:path arrowok="t"/>
                      <v:fill type="solid"/>
                    </v:shape>
                  </v:group>
                  <v:group style="position:absolute;left:23;top:364;width:1071;height:352" coordorigin="23,364" coordsize="1071,352">
                    <v:shape style="position:absolute;left:23;top:364;width:1071;height:352" coordorigin="23,364" coordsize="1071,352" path="m23,716l1094,716,1094,364,23,364,23,716xe" filled="true" fillcolor="#ffffff" stroked="false">
                      <v:path arrowok="t"/>
                      <v:fill type="solid"/>
                    </v:shape>
                  </v:group>
                </v:group>
              </w:pict>
            </w:r>
            <w:r>
              <w:rPr>
                <w:rFonts w:ascii="Times New Roman" w:hAnsi="Times New Roman" w:cs="Times New Roman" w:eastAsia="Times New Roman" w:hint="default"/>
                <w:position w:val="-14"/>
                <w:sz w:val="20"/>
                <w:szCs w:val="20"/>
              </w:rPr>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24" w:right="-7"/>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282.437012pt;margin-top:72.47998pt;width:143.050pt;height:686.5pt;mso-position-horizontal-relative:page;mso-position-vertical-relative:page;z-index:-100991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7"/>
                    <w:rPr>
                      <w:rFonts w:ascii="Times New Roman" w:hAnsi="Times New Roman" w:cs="Times New Roman" w:eastAsia="Times New Roman" w:hint="default"/>
                      <w:sz w:val="14"/>
                      <w:szCs w:val="14"/>
                    </w:rPr>
                  </w:pPr>
                </w:p>
                <w:p>
                  <w:pPr>
                    <w:spacing w:before="0"/>
                    <w:ind w:left="180" w:right="0" w:hanging="181"/>
                    <w:jc w:val="left"/>
                    <w:rPr>
                      <w:rFonts w:ascii="宋体" w:hAnsi="宋体" w:cs="宋体" w:eastAsia="宋体" w:hint="default"/>
                      <w:sz w:val="18"/>
                      <w:szCs w:val="18"/>
                    </w:rPr>
                  </w:pPr>
                  <w:r>
                    <w:rPr>
                      <w:rFonts w:ascii="宋体" w:hAnsi="宋体" w:cs="宋体" w:eastAsia="宋体" w:hint="default"/>
                      <w:sz w:val="18"/>
                      <w:szCs w:val="18"/>
                    </w:rPr>
                    <w:t>所或司法机关认定后，</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6"/>
                    <w:rPr>
                      <w:rFonts w:ascii="Times New Roman" w:hAnsi="Times New Roman" w:cs="Times New Roman" w:eastAsia="Times New Roman" w:hint="default"/>
                      <w:sz w:val="25"/>
                      <w:szCs w:val="25"/>
                    </w:rPr>
                  </w:pPr>
                </w:p>
                <w:p>
                  <w:pPr>
                    <w:spacing w:before="0"/>
                    <w:ind w:left="180" w:right="0" w:firstLine="0"/>
                    <w:jc w:val="left"/>
                    <w:rPr>
                      <w:rFonts w:ascii="宋体" w:hAnsi="宋体" w:cs="宋体" w:eastAsia="宋体" w:hint="default"/>
                      <w:sz w:val="18"/>
                      <w:szCs w:val="18"/>
                    </w:rPr>
                  </w:pPr>
                  <w:r>
                    <w:rPr>
                      <w:rFonts w:ascii="宋体" w:hAnsi="宋体" w:cs="宋体" w:eastAsia="宋体" w:hint="default"/>
                      <w:sz w:val="18"/>
                      <w:szCs w:val="18"/>
                    </w:rPr>
                    <w:t>控股股东杭州正元、</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76"/>
        <w:gridCol w:w="1126"/>
        <w:gridCol w:w="859"/>
        <w:gridCol w:w="2993"/>
        <w:gridCol w:w="1126"/>
        <w:gridCol w:w="1121"/>
        <w:gridCol w:w="1108"/>
      </w:tblGrid>
      <w:tr>
        <w:trPr>
          <w:trHeight w:val="322" w:hRule="exact"/>
        </w:trPr>
        <w:tc>
          <w:tcPr>
            <w:tcW w:w="127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清</w:t>
            </w:r>
            <w:r>
              <w:rPr>
                <w:rFonts w:ascii="Times New Roman" w:hAnsi="Times New Roman" w:cs="Times New Roman" w:eastAsia="Times New Roman" w:hint="default"/>
                <w:sz w:val="18"/>
                <w:szCs w:val="18"/>
              </w:rPr>
              <w:t>;</w:t>
            </w:r>
            <w:r>
              <w:rPr>
                <w:rFonts w:ascii="宋体" w:hAnsi="宋体" w:cs="宋体" w:eastAsia="宋体" w:hint="default"/>
                <w:sz w:val="18"/>
                <w:szCs w:val="18"/>
              </w:rPr>
              <w:t>陈坚</w:t>
            </w:r>
            <w:r>
              <w:rPr>
                <w:rFonts w:ascii="Times New Roman" w:hAnsi="Times New Roman" w:cs="Times New Roman" w:eastAsia="Times New Roman" w:hint="default"/>
                <w:sz w:val="18"/>
                <w:szCs w:val="18"/>
              </w:rPr>
              <w:t>;</w:t>
            </w:r>
            <w:r>
              <w:rPr>
                <w:rFonts w:ascii="宋体" w:hAnsi="宋体" w:cs="宋体" w:eastAsia="宋体" w:hint="default"/>
                <w:sz w:val="18"/>
                <w:szCs w:val="18"/>
              </w:rPr>
              <w:t>陈英</w:t>
            </w:r>
            <w:r>
              <w:rPr>
                <w:rFonts w:ascii="Times New Roman" w:hAnsi="Times New Roman" w:cs="Times New Roman" w:eastAsia="Times New Roman" w:hint="default"/>
                <w:sz w:val="18"/>
                <w:szCs w:val="18"/>
              </w:rPr>
              <w:t>;</w:t>
            </w:r>
          </w:p>
        </w:tc>
        <w:tc>
          <w:tcPr>
            <w:tcW w:w="859" w:type="dxa"/>
            <w:vMerge w:val="restart"/>
            <w:tcBorders>
              <w:top w:val="single" w:sz="4" w:space="0" w:color="000000"/>
              <w:left w:val="single" w:sz="4" w:space="0" w:color="000000"/>
              <w:right w:val="single" w:sz="4" w:space="0" w:color="000000"/>
            </w:tcBorders>
          </w:tcPr>
          <w:p>
            <w:pPr/>
          </w:p>
        </w:tc>
        <w:tc>
          <w:tcPr>
            <w:tcW w:w="299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5"/>
                <w:sz w:val="18"/>
                <w:szCs w:val="18"/>
              </w:rPr>
              <w:t>承诺：</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、本公司</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本人承诺本次发行并</w:t>
            </w:r>
          </w:p>
        </w:tc>
        <w:tc>
          <w:tcPr>
            <w:tcW w:w="1126" w:type="dxa"/>
            <w:vMerge w:val="restart"/>
            <w:tcBorders>
              <w:top w:val="single" w:sz="4" w:space="0" w:color="000000"/>
              <w:left w:val="single" w:sz="4" w:space="0" w:color="000000"/>
              <w:right w:val="single" w:sz="4" w:space="0" w:color="000000"/>
            </w:tcBorders>
          </w:tcPr>
          <w:p>
            <w:pPr>
              <w:pStyle w:val="TableParagraph"/>
              <w:spacing w:line="13729"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55.85pt;height:686.5pt;mso-position-horizontal-relative:char;mso-position-vertical-relative:line" coordorigin="0,0" coordsize="1117,13730">
                  <v:group style="position:absolute;left:0;top:0;width:1117;height:13730" coordorigin="0,0" coordsize="1117,13730">
                    <v:shape style="position:absolute;left:0;top:0;width:1117;height:13730" coordorigin="0,0" coordsize="1117,13730" path="m0,13729l1116,13729,1116,0,0,0,0,13729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范熊熊</w:t>
            </w:r>
            <w:r>
              <w:rPr>
                <w:rFonts w:ascii="Times New Roman" w:hAnsi="Times New Roman" w:cs="Times New Roman" w:eastAsia="Times New Roman" w:hint="default"/>
                <w:sz w:val="18"/>
                <w:szCs w:val="18"/>
              </w:rPr>
              <w:t>;</w:t>
            </w:r>
            <w:r>
              <w:rPr>
                <w:rFonts w:ascii="宋体" w:hAnsi="宋体" w:cs="宋体" w:eastAsia="宋体" w:hint="default"/>
                <w:sz w:val="18"/>
                <w:szCs w:val="18"/>
              </w:rPr>
              <w:t>杭州</w:t>
            </w: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上市的招股说明书不存在虚假记载、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正元企业管</w:t>
            </w: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误导性陈述或重大遗漏，并对其真实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理咨询有限</w:t>
            </w: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性、准确性和完整性承担相应的法律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w:t>
            </w:r>
            <w:r>
              <w:rPr>
                <w:rFonts w:ascii="Times New Roman" w:hAnsi="Times New Roman" w:cs="Times New Roman" w:eastAsia="Times New Roman" w:hint="default"/>
                <w:sz w:val="18"/>
                <w:szCs w:val="18"/>
              </w:rPr>
              <w:t>;</w:t>
            </w:r>
            <w:r>
              <w:rPr>
                <w:rFonts w:ascii="宋体" w:hAnsi="宋体" w:cs="宋体" w:eastAsia="宋体" w:hint="default"/>
                <w:sz w:val="18"/>
                <w:szCs w:val="18"/>
              </w:rPr>
              <w:t>黄金明</w:t>
            </w:r>
            <w:r>
              <w:rPr>
                <w:rFonts w:ascii="Times New Roman" w:hAnsi="Times New Roman" w:cs="Times New Roman" w:eastAsia="Times New Roman" w:hint="default"/>
                <w:sz w:val="18"/>
                <w:szCs w:val="18"/>
              </w:rPr>
              <w:t>;</w:t>
            </w: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责任。</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、若在发行人投资者缴纳股票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季建华</w:t>
            </w:r>
            <w:r>
              <w:rPr>
                <w:rFonts w:ascii="Times New Roman" w:hAnsi="Times New Roman" w:cs="Times New Roman" w:eastAsia="Times New Roman" w:hint="default"/>
                <w:sz w:val="18"/>
                <w:szCs w:val="18"/>
              </w:rPr>
              <w:t>;</w:t>
            </w:r>
            <w:r>
              <w:rPr>
                <w:rFonts w:ascii="宋体" w:hAnsi="宋体" w:cs="宋体" w:eastAsia="宋体" w:hint="default"/>
                <w:sz w:val="18"/>
                <w:szCs w:val="18"/>
              </w:rPr>
              <w:t>陆卫</w:t>
            </w: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申购款后且股票尚未上市交易前，因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明</w:t>
            </w:r>
            <w:r>
              <w:rPr>
                <w:rFonts w:ascii="Times New Roman" w:hAnsi="Times New Roman" w:cs="Times New Roman" w:eastAsia="Times New Roman" w:hint="default"/>
                <w:sz w:val="18"/>
                <w:szCs w:val="18"/>
              </w:rPr>
              <w:t>;</w:t>
            </w:r>
            <w:r>
              <w:rPr>
                <w:rFonts w:ascii="宋体" w:hAnsi="宋体" w:cs="宋体" w:eastAsia="宋体" w:hint="default"/>
                <w:sz w:val="18"/>
                <w:szCs w:val="18"/>
              </w:rPr>
              <w:t>吕晓平</w:t>
            </w:r>
            <w:r>
              <w:rPr>
                <w:rFonts w:ascii="Times New Roman" w:hAnsi="Times New Roman" w:cs="Times New Roman" w:eastAsia="Times New Roman" w:hint="default"/>
                <w:sz w:val="18"/>
                <w:szCs w:val="18"/>
              </w:rPr>
              <w:t>;</w:t>
            </w:r>
            <w:r>
              <w:rPr>
                <w:rFonts w:ascii="宋体" w:hAnsi="宋体" w:cs="宋体" w:eastAsia="宋体" w:hint="default"/>
                <w:sz w:val="18"/>
                <w:szCs w:val="18"/>
              </w:rPr>
              <w:t>潘</w:t>
            </w: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发行人本次发行并上市的招股说明书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利华</w:t>
            </w:r>
            <w:r>
              <w:rPr>
                <w:rFonts w:ascii="Times New Roman" w:hAnsi="Times New Roman" w:cs="Times New Roman" w:eastAsia="Times New Roman" w:hint="default"/>
                <w:sz w:val="18"/>
                <w:szCs w:val="18"/>
              </w:rPr>
              <w:t>;</w:t>
            </w:r>
            <w:r>
              <w:rPr>
                <w:rFonts w:ascii="宋体" w:hAnsi="宋体" w:cs="宋体" w:eastAsia="宋体" w:hint="default"/>
                <w:sz w:val="18"/>
                <w:szCs w:val="18"/>
              </w:rPr>
              <w:t>施东圣</w:t>
            </w:r>
            <w:r>
              <w:rPr>
                <w:rFonts w:ascii="Times New Roman" w:hAnsi="Times New Roman" w:cs="Times New Roman" w:eastAsia="Times New Roman" w:hint="default"/>
                <w:sz w:val="18"/>
                <w:szCs w:val="18"/>
              </w:rPr>
              <w:t>;</w:t>
            </w: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有虚假记载、误导性陈述或者重大遗</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童本立</w:t>
            </w:r>
            <w:r>
              <w:rPr>
                <w:rFonts w:ascii="Times New Roman" w:hAnsi="Times New Roman" w:cs="Times New Roman" w:eastAsia="Times New Roman" w:hint="default"/>
                <w:sz w:val="18"/>
                <w:szCs w:val="18"/>
              </w:rPr>
              <w:t>;</w:t>
            </w:r>
            <w:r>
              <w:rPr>
                <w:rFonts w:ascii="宋体" w:hAnsi="宋体" w:cs="宋体" w:eastAsia="宋体" w:hint="default"/>
                <w:sz w:val="18"/>
                <w:szCs w:val="18"/>
              </w:rPr>
              <w:t>杨增</w:t>
            </w: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漏，对判断发行人是否符合法律规定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荣</w:t>
            </w:r>
            <w:r>
              <w:rPr>
                <w:rFonts w:ascii="Times New Roman" w:hAnsi="Times New Roman" w:cs="Times New Roman" w:eastAsia="Times New Roman" w:hint="default"/>
                <w:sz w:val="18"/>
                <w:szCs w:val="18"/>
              </w:rPr>
              <w:t>;</w:t>
            </w:r>
            <w:r>
              <w:rPr>
                <w:rFonts w:ascii="宋体" w:hAnsi="宋体" w:cs="宋体" w:eastAsia="宋体" w:hint="default"/>
                <w:sz w:val="18"/>
                <w:szCs w:val="18"/>
              </w:rPr>
              <w:t>余锴</w:t>
            </w:r>
            <w:r>
              <w:rPr>
                <w:rFonts w:ascii="Times New Roman" w:hAnsi="Times New Roman" w:cs="Times New Roman" w:eastAsia="Times New Roman" w:hint="default"/>
                <w:sz w:val="18"/>
                <w:szCs w:val="18"/>
              </w:rPr>
              <w:t>;</w:t>
            </w:r>
            <w:r>
              <w:rPr>
                <w:rFonts w:ascii="宋体" w:hAnsi="宋体" w:cs="宋体" w:eastAsia="宋体" w:hint="default"/>
                <w:sz w:val="18"/>
                <w:szCs w:val="18"/>
              </w:rPr>
              <w:t>浙江</w:t>
            </w: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的发行条件构成重大、实质影响的，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正元智慧科</w:t>
            </w: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对于已发行的新股和已转让的原限售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技股份有限</w:t>
            </w: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股份但尚未上市交易的，本公司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w:t>
            </w:r>
            <w:r>
              <w:rPr>
                <w:rFonts w:ascii="Times New Roman" w:hAnsi="Times New Roman" w:cs="Times New Roman" w:eastAsia="Times New Roman" w:hint="default"/>
                <w:sz w:val="18"/>
                <w:szCs w:val="18"/>
              </w:rPr>
              <w:t>;</w:t>
            </w:r>
            <w:r>
              <w:rPr>
                <w:rFonts w:ascii="宋体" w:hAnsi="宋体" w:cs="宋体" w:eastAsia="宋体" w:hint="default"/>
                <w:sz w:val="18"/>
                <w:szCs w:val="18"/>
              </w:rPr>
              <w:t>周军辉</w:t>
            </w:r>
            <w:r>
              <w:rPr>
                <w:rFonts w:ascii="Times New Roman" w:hAnsi="Times New Roman" w:cs="Times New Roman" w:eastAsia="Times New Roman" w:hint="default"/>
                <w:sz w:val="18"/>
                <w:szCs w:val="18"/>
              </w:rPr>
              <w:t>;</w:t>
            </w: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将按照投资者所缴纳股票申购款加该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3" w:hRule="exact"/>
        </w:trPr>
        <w:tc>
          <w:tcPr>
            <w:tcW w:w="127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朱加宁</w:t>
            </w:r>
            <w:r>
              <w:rPr>
                <w:rFonts w:ascii="Times New Roman" w:hAnsi="Times New Roman" w:cs="Times New Roman" w:eastAsia="Times New Roman" w:hint="default"/>
                <w:sz w:val="18"/>
                <w:szCs w:val="18"/>
              </w:rPr>
              <w:t>;</w:t>
            </w:r>
            <w:r>
              <w:rPr>
                <w:rFonts w:ascii="宋体" w:hAnsi="宋体" w:cs="宋体" w:eastAsia="宋体" w:hint="default"/>
                <w:sz w:val="18"/>
                <w:szCs w:val="18"/>
              </w:rPr>
              <w:t>朱军</w:t>
            </w: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期间内银行同期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年期存款利息，对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6" w:hRule="exact"/>
        </w:trPr>
        <w:tc>
          <w:tcPr>
            <w:tcW w:w="127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已缴纳股票申购款的投资者进行退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款。</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、若在发行人首次公开发行的股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票上市交易后，因发行人本次发行并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上市招股说明书有虚假记载、误导性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陈述或者重大遗漏，导致对判断发行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人是否符合法律规定的发行条件构成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重大、实质影响的，本公司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本人将依</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法购回已发行的新股和已转让的原限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售股份，购回价格不低于回购公告前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个交易日（不足</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个交易日，则以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回购公告前实际交易日为准）该种股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票每日加权平均价的算术平均值，并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根据相关法律法规规定的程序实施。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上述购回实施时法律法规另有规定的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从其规定。本公司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本人将及时向发行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人提出预案，并提交董事会、股东大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会讨论。</w:t>
            </w: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、若因招股说明书所载之内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容存在虚假记载、误导性陈述或者重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大遗漏，致使投资者在证券交易中遭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受损失的，本公司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本人将依法赔偿投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资者损失。在该等违法事实被中国证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5"/>
                <w:sz w:val="18"/>
                <w:szCs w:val="18"/>
              </w:rPr>
              <w:t>监会、证券交易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本单位</w:t>
            </w:r>
            <w:r>
              <w:rPr>
                <w:rFonts w:ascii="Times New Roman" w:hAnsi="Times New Roman" w:cs="Times New Roman" w:eastAsia="Times New Roman" w:hint="default"/>
                <w:sz w:val="18"/>
                <w:szCs w:val="18"/>
              </w:rPr>
              <w:t>/</w:t>
            </w:r>
            <w:r>
              <w:rPr>
                <w:rFonts w:ascii="宋体" w:hAnsi="宋体" w:cs="宋体" w:eastAsia="宋体" w:hint="default"/>
                <w:sz w:val="18"/>
                <w:szCs w:val="18"/>
              </w:rPr>
              <w:t>本人将本着主动沟通、尽快赔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偿、切实保障投资者特别是中小投资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者利益的原则，按照投资者直接遭受</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的可测算的经济损失选择与投资者沟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通赔偿，通过设立投资者赔偿基金等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方式积极赔偿投资者由此遭受的直接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经济损失。此外，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127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859" w:type="dxa"/>
            <w:vMerge/>
            <w:tcBorders>
              <w:left w:val="single" w:sz="4" w:space="0" w:color="000000"/>
              <w:bottom w:val="single" w:sz="4" w:space="0" w:color="000000"/>
              <w:right w:val="single" w:sz="4" w:space="0" w:color="000000"/>
            </w:tcBorders>
          </w:tcPr>
          <w:p>
            <w:pPr/>
          </w:p>
        </w:tc>
        <w:tc>
          <w:tcPr>
            <w:tcW w:w="299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实际控制人陈坚承诺：本企业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本人以</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282.437012pt;margin-top:511.839996pt;width:143.050pt;height:108.2pt;mso-position-horizontal-relative:page;mso-position-vertical-relative:page;z-index:-100988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2"/>
                    <w:rPr>
                      <w:rFonts w:ascii="Times New Roman" w:hAnsi="Times New Roman" w:cs="Times New Roman" w:eastAsia="Times New Roman" w:hint="default"/>
                      <w:sz w:val="23"/>
                      <w:szCs w:val="23"/>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了填补即期回报措施，</w:t>
                  </w:r>
                </w:p>
              </w:txbxContent>
            </v:textbox>
            <w10:wrap type="none"/>
          </v:shape>
        </w:pict>
      </w:r>
      <w:r>
        <w:rPr/>
        <w:pict>
          <v:group style="position:absolute;margin-left:369.640015pt;margin-top:511.839996pt;width:55.85pt;height:108.2pt;mso-position-horizontal-relative:page;mso-position-vertical-relative:page;z-index:-1009864" coordorigin="7393,10237" coordsize="1117,2164">
            <v:shape style="position:absolute;left:7393;top:10237;width:1117;height:2164" coordorigin="7393,10237" coordsize="1117,2164" path="m7393,12400l8509,12400,8509,10237,7393,10237,7393,12400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76"/>
        <w:gridCol w:w="1126"/>
        <w:gridCol w:w="859"/>
        <w:gridCol w:w="2993"/>
        <w:gridCol w:w="1126"/>
        <w:gridCol w:w="1121"/>
        <w:gridCol w:w="1108"/>
      </w:tblGrid>
      <w:tr>
        <w:trPr>
          <w:trHeight w:val="317" w:hRule="exact"/>
        </w:trPr>
        <w:tc>
          <w:tcPr>
            <w:tcW w:w="127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859" w:type="dxa"/>
            <w:vMerge w:val="restart"/>
            <w:tcBorders>
              <w:top w:val="single" w:sz="4" w:space="0" w:color="000000"/>
              <w:left w:val="single" w:sz="4" w:space="0" w:color="000000"/>
              <w:right w:val="single" w:sz="4" w:space="0" w:color="000000"/>
            </w:tcBorders>
          </w:tcPr>
          <w:p>
            <w:pPr/>
          </w:p>
        </w:tc>
        <w:tc>
          <w:tcPr>
            <w:tcW w:w="299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公司当年及以后年度利润分配方案中</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应享有的分红作为履约担保，且若本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本人未履行上述购回或赔偿义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务，则在履行承诺前，本企业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本人直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接或间接所持的公司股份不得转让。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公司全体董事、监事和高级管理人员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承诺：</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、本人承诺发行人本次发行并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上市的招股说明书不存在虚假记载、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误导性陈述或重大遗漏，并对其真实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性、准确性和完整性承担个别和连带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的法律责任。</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、若因发行人本次发行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并上市招股说明书有虚假记载、误导</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性陈述或者重大遗漏，致使投资者在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证券交易中遭受损失的，本人将依法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赔偿投资者损失。在该等违法事实被</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中国证监会、证券交易所或司法机关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认定后，本人将本着主动沟通、尽快</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赔偿、切实保障投资者特别是中小投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资者利益的原则，按照投资者直接遭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受的可测算的经济损失选择与投资者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沟通赔偿，通过设立投资者赔偿基金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等方式积极赔偿投资者由此遭受的直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接经济损失。</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、本人以当年以及以后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年度自发行人取得的税后工资作为上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述承诺的履约担保，且若本人未履行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上述购回或赔偿义务，则在履行承诺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3"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前，本人直接或间接所持的公司股份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57"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859" w:type="dxa"/>
            <w:vMerge/>
            <w:tcBorders>
              <w:left w:val="single" w:sz="4" w:space="0" w:color="000000"/>
              <w:bottom w:val="single" w:sz="4" w:space="0" w:color="000000"/>
              <w:right w:val="single" w:sz="4" w:space="0" w:color="000000"/>
            </w:tcBorders>
          </w:tcPr>
          <w:p>
            <w:pPr/>
          </w:p>
        </w:tc>
        <w:tc>
          <w:tcPr>
            <w:tcW w:w="299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（如有）不得转让。</w:t>
            </w:r>
            <w:r>
              <w:rPr>
                <w:rFonts w:ascii="Times New Roman" w:hAnsi="Times New Roman" w:cs="Times New Roman" w:eastAsia="Times New Roman" w:hint="default"/>
                <w:sz w:val="18"/>
                <w:szCs w:val="18"/>
              </w:rPr>
              <w:t>"</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r>
        <w:trPr>
          <w:trHeight w:val="362" w:hRule="exact"/>
        </w:trPr>
        <w:tc>
          <w:tcPr>
            <w:tcW w:w="127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859" w:type="dxa"/>
            <w:tcBorders>
              <w:top w:val="single" w:sz="4" w:space="0" w:color="000000"/>
              <w:left w:val="single" w:sz="4" w:space="0" w:color="000000"/>
              <w:bottom w:val="nil" w:sz="6" w:space="0" w:color="auto"/>
              <w:right w:val="single" w:sz="4" w:space="0" w:color="000000"/>
            </w:tcBorders>
          </w:tcPr>
          <w:p>
            <w:pPr/>
          </w:p>
        </w:tc>
        <w:tc>
          <w:tcPr>
            <w:tcW w:w="299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关于填补本次公开发行股票被摊薄</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8" w:type="dxa"/>
            <w:tcBorders>
              <w:top w:val="single" w:sz="4" w:space="0" w:color="000000"/>
              <w:left w:val="single" w:sz="4" w:space="0" w:color="000000"/>
              <w:bottom w:val="nil" w:sz="6" w:space="0" w:color="auto"/>
              <w:right w:val="single" w:sz="4" w:space="0" w:color="000000"/>
            </w:tcBorders>
          </w:tcPr>
          <w:p>
            <w:pPr/>
          </w:p>
        </w:tc>
      </w:tr>
      <w:tr>
        <w:trPr>
          <w:trHeight w:val="4363" w:hRule="exact"/>
        </w:trPr>
        <w:tc>
          <w:tcPr>
            <w:tcW w:w="127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338" w:lineRule="auto"/>
              <w:ind w:left="23" w:right="12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6"/>
                <w:sz w:val="18"/>
                <w:szCs w:val="18"/>
              </w:rPr>
              <w:t>JAY</w:t>
            </w:r>
            <w:r>
              <w:rPr>
                <w:rFonts w:ascii="Times New Roman" w:hAnsi="Times New Roman" w:cs="Times New Roman" w:eastAsia="Times New Roman" w:hint="default"/>
                <w:spacing w:val="-11"/>
                <w:sz w:val="18"/>
                <w:szCs w:val="18"/>
              </w:rPr>
              <w:t> </w:t>
            </w:r>
            <w:r>
              <w:rPr>
                <w:rFonts w:ascii="Times New Roman" w:hAnsi="Times New Roman" w:cs="Times New Roman" w:eastAsia="Times New Roman" w:hint="default"/>
                <w:sz w:val="18"/>
                <w:szCs w:val="18"/>
              </w:rPr>
              <w:t>TSAI</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CHIEN</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CHOU;</w:t>
            </w:r>
            <w:r>
              <w:rPr>
                <w:rFonts w:ascii="宋体" w:hAnsi="宋体" w:cs="宋体" w:eastAsia="宋体" w:hint="default"/>
                <w:sz w:val="18"/>
                <w:szCs w:val="18"/>
              </w:rPr>
              <w:t>陈坚</w:t>
            </w:r>
            <w:r>
              <w:rPr>
                <w:rFonts w:ascii="Times New Roman" w:hAnsi="Times New Roman" w:cs="Times New Roman" w:eastAsia="Times New Roman" w:hint="default"/>
                <w:sz w:val="18"/>
                <w:szCs w:val="18"/>
              </w:rPr>
              <w:t>;</w:t>
            </w:r>
          </w:p>
          <w:p>
            <w:pPr>
              <w:pStyle w:val="TableParagraph"/>
              <w:spacing w:line="230" w:lineRule="exact"/>
              <w:ind w:left="23" w:right="0"/>
              <w:jc w:val="left"/>
              <w:rPr>
                <w:rFonts w:ascii="宋体" w:hAnsi="宋体" w:cs="宋体" w:eastAsia="宋体" w:hint="default"/>
                <w:sz w:val="18"/>
                <w:szCs w:val="18"/>
              </w:rPr>
            </w:pPr>
            <w:r>
              <w:rPr>
                <w:rFonts w:ascii="宋体" w:hAnsi="宋体" w:cs="宋体" w:eastAsia="宋体" w:hint="default"/>
                <w:sz w:val="18"/>
                <w:szCs w:val="18"/>
              </w:rPr>
              <w:t>陈英</w:t>
            </w:r>
            <w:r>
              <w:rPr>
                <w:rFonts w:ascii="Times New Roman" w:hAnsi="Times New Roman" w:cs="Times New Roman" w:eastAsia="Times New Roman" w:hint="default"/>
                <w:sz w:val="18"/>
                <w:szCs w:val="18"/>
              </w:rPr>
              <w:t>;</w:t>
            </w:r>
            <w:r>
              <w:rPr>
                <w:rFonts w:ascii="宋体" w:hAnsi="宋体" w:cs="宋体" w:eastAsia="宋体" w:hint="default"/>
                <w:sz w:val="18"/>
                <w:szCs w:val="18"/>
              </w:rPr>
              <w:t>杭州正</w:t>
            </w:r>
          </w:p>
          <w:p>
            <w:pPr>
              <w:pStyle w:val="TableParagraph"/>
              <w:spacing w:line="309" w:lineRule="auto" w:before="63"/>
              <w:ind w:left="23" w:right="89"/>
              <w:jc w:val="left"/>
              <w:rPr>
                <w:rFonts w:ascii="宋体" w:hAnsi="宋体" w:cs="宋体" w:eastAsia="宋体" w:hint="default"/>
                <w:sz w:val="18"/>
                <w:szCs w:val="18"/>
              </w:rPr>
            </w:pPr>
            <w:r>
              <w:rPr>
                <w:rFonts w:ascii="宋体" w:hAnsi="宋体" w:cs="宋体" w:eastAsia="宋体" w:hint="default"/>
                <w:sz w:val="18"/>
                <w:szCs w:val="18"/>
              </w:rPr>
              <w:t>元企业管理 咨询有限公 司</w:t>
            </w:r>
            <w:r>
              <w:rPr>
                <w:rFonts w:ascii="Times New Roman" w:hAnsi="Times New Roman" w:cs="Times New Roman" w:eastAsia="Times New Roman" w:hint="default"/>
                <w:sz w:val="18"/>
                <w:szCs w:val="18"/>
              </w:rPr>
              <w:t>;</w:t>
            </w:r>
            <w:r>
              <w:rPr>
                <w:rFonts w:ascii="宋体" w:hAnsi="宋体" w:cs="宋体" w:eastAsia="宋体" w:hint="default"/>
                <w:sz w:val="18"/>
                <w:szCs w:val="18"/>
              </w:rPr>
              <w:t>黄金明</w:t>
            </w:r>
            <w:r>
              <w:rPr>
                <w:rFonts w:ascii="Times New Roman" w:hAnsi="Times New Roman" w:cs="Times New Roman" w:eastAsia="Times New Roman" w:hint="default"/>
                <w:sz w:val="18"/>
                <w:szCs w:val="18"/>
              </w:rPr>
              <w:t>;</w:t>
            </w:r>
            <w:r>
              <w:rPr>
                <w:rFonts w:ascii="宋体" w:hAnsi="宋体" w:cs="宋体" w:eastAsia="宋体" w:hint="default"/>
                <w:sz w:val="18"/>
                <w:szCs w:val="18"/>
              </w:rPr>
              <w:t>陆 卫明</w:t>
            </w:r>
            <w:r>
              <w:rPr>
                <w:rFonts w:ascii="Times New Roman" w:hAnsi="Times New Roman" w:cs="Times New Roman" w:eastAsia="Times New Roman" w:hint="default"/>
                <w:sz w:val="18"/>
                <w:szCs w:val="18"/>
              </w:rPr>
              <w:t>;</w:t>
            </w:r>
            <w:r>
              <w:rPr>
                <w:rFonts w:ascii="宋体" w:hAnsi="宋体" w:cs="宋体" w:eastAsia="宋体" w:hint="default"/>
                <w:sz w:val="18"/>
                <w:szCs w:val="18"/>
              </w:rPr>
              <w:t>潘利华</w:t>
            </w:r>
            <w:r>
              <w:rPr>
                <w:rFonts w:ascii="Times New Roman" w:hAnsi="Times New Roman" w:cs="Times New Roman" w:eastAsia="Times New Roman" w:hint="default"/>
                <w:sz w:val="18"/>
                <w:szCs w:val="18"/>
              </w:rPr>
              <w:t>; </w:t>
            </w:r>
            <w:r>
              <w:rPr>
                <w:rFonts w:ascii="宋体" w:hAnsi="宋体" w:cs="宋体" w:eastAsia="宋体" w:hint="default"/>
                <w:sz w:val="18"/>
                <w:szCs w:val="18"/>
              </w:rPr>
              <w:t>童本立</w:t>
            </w:r>
            <w:r>
              <w:rPr>
                <w:rFonts w:ascii="Times New Roman" w:hAnsi="Times New Roman" w:cs="Times New Roman" w:eastAsia="Times New Roman" w:hint="default"/>
                <w:sz w:val="18"/>
                <w:szCs w:val="18"/>
              </w:rPr>
              <w:t>;</w:t>
            </w:r>
            <w:r>
              <w:rPr>
                <w:rFonts w:ascii="宋体" w:hAnsi="宋体" w:cs="宋体" w:eastAsia="宋体" w:hint="default"/>
                <w:sz w:val="18"/>
                <w:szCs w:val="18"/>
              </w:rPr>
              <w:t>余锴</w:t>
            </w:r>
            <w:r>
              <w:rPr>
                <w:rFonts w:ascii="Times New Roman" w:hAnsi="Times New Roman" w:cs="Times New Roman" w:eastAsia="Times New Roman" w:hint="default"/>
                <w:sz w:val="18"/>
                <w:szCs w:val="18"/>
              </w:rPr>
              <w:t>; </w:t>
            </w:r>
            <w:r>
              <w:rPr>
                <w:rFonts w:ascii="宋体" w:hAnsi="宋体" w:cs="宋体" w:eastAsia="宋体" w:hint="default"/>
                <w:sz w:val="18"/>
                <w:szCs w:val="18"/>
              </w:rPr>
              <w:t>浙江正元智 慧科技股份 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朱 加宁</w:t>
            </w:r>
          </w:p>
        </w:tc>
        <w:tc>
          <w:tcPr>
            <w:tcW w:w="85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2" w:right="78"/>
              <w:jc w:val="left"/>
              <w:rPr>
                <w:rFonts w:ascii="宋体" w:hAnsi="宋体" w:cs="宋体" w:eastAsia="宋体" w:hint="default"/>
                <w:sz w:val="18"/>
                <w:szCs w:val="18"/>
              </w:rPr>
            </w:pPr>
            <w:r>
              <w:rPr>
                <w:rFonts w:ascii="宋体" w:hAnsi="宋体" w:cs="宋体" w:eastAsia="宋体" w:hint="default"/>
                <w:sz w:val="18"/>
                <w:szCs w:val="18"/>
              </w:rPr>
              <w:t>即期回报的措施及承诺：依据中国证 监会《关于首发及再融资、重大资产 重组摊薄即期回报有关事项的指导意 见》相关规定，公司董事会就公司本 次公开发行股票是否摊薄即期回报进 </w:t>
            </w:r>
            <w:r>
              <w:rPr>
                <w:rFonts w:ascii="宋体" w:hAnsi="宋体" w:cs="宋体" w:eastAsia="宋体" w:hint="default"/>
                <w:spacing w:val="-5"/>
                <w:sz w:val="18"/>
                <w:szCs w:val="18"/>
              </w:rPr>
              <w:t>行了分析，制定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相关主体出具了承诺。公司第二届董 事会第二次会议就上述事项通过了</w:t>
            </w:r>
          </w:p>
          <w:p>
            <w:pPr>
              <w:pStyle w:val="TableParagraph"/>
              <w:spacing w:line="314" w:lineRule="auto" w:before="19"/>
              <w:ind w:left="22" w:right="-10"/>
              <w:jc w:val="left"/>
              <w:rPr>
                <w:rFonts w:ascii="宋体" w:hAnsi="宋体" w:cs="宋体" w:eastAsia="宋体" w:hint="default"/>
                <w:sz w:val="18"/>
                <w:szCs w:val="18"/>
              </w:rPr>
            </w:pPr>
            <w:r>
              <w:rPr>
                <w:rFonts w:ascii="宋体" w:hAnsi="宋体" w:cs="宋体" w:eastAsia="宋体" w:hint="default"/>
                <w:sz w:val="18"/>
                <w:szCs w:val="18"/>
              </w:rPr>
              <w:t>《关于本次公开发行股票摊薄即期回 </w:t>
            </w:r>
            <w:r>
              <w:rPr>
                <w:rFonts w:ascii="宋体" w:hAnsi="宋体" w:cs="宋体" w:eastAsia="宋体" w:hint="default"/>
                <w:spacing w:val="-8"/>
                <w:sz w:val="18"/>
                <w:szCs w:val="18"/>
              </w:rPr>
              <w:t>报影响分析和应对措施的议案》，并提</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交公司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年度股东大会审议通过。 公司制定填补回报措施不等于对公司 未来利润做出保证。公司在本次公开 发行股票后，将在定期报告中持续披</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24" w:right="-7"/>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318" w:hRule="exact"/>
        </w:trPr>
        <w:tc>
          <w:tcPr>
            <w:tcW w:w="127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859" w:type="dxa"/>
            <w:tcBorders>
              <w:top w:val="nil" w:sz="6" w:space="0" w:color="auto"/>
              <w:left w:val="single" w:sz="4" w:space="0" w:color="000000"/>
              <w:bottom w:val="single" w:sz="4" w:space="0" w:color="000000"/>
              <w:right w:val="single" w:sz="4" w:space="0" w:color="000000"/>
            </w:tcBorders>
          </w:tcPr>
          <w:p>
            <w:pPr/>
          </w:p>
        </w:tc>
        <w:tc>
          <w:tcPr>
            <w:tcW w:w="299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露填补即期回报措施的完成情况及相</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8"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36.437012pt;margin-top:72.47998pt;width:89.05pt;height:686.5pt;mso-position-horizontal-relative:page;mso-position-vertical-relative:page;z-index:-100981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before="150"/>
                    <w:ind w:left="0" w:right="1058" w:firstLine="0"/>
                    <w:jc w:val="center"/>
                    <w:rPr>
                      <w:rFonts w:ascii="宋体" w:hAnsi="宋体" w:cs="宋体" w:eastAsia="宋体" w:hint="default"/>
                      <w:sz w:val="18"/>
                      <w:szCs w:val="18"/>
                    </w:rPr>
                  </w:pPr>
                  <w:r>
                    <w:rPr>
                      <w:rFonts w:ascii="宋体" w:hAnsi="宋体" w:cs="宋体" w:eastAsia="宋体" w:hint="default"/>
                      <w:sz w:val="18"/>
                      <w:szCs w:val="18"/>
                    </w:rPr>
                    <w:t>新技术、</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2"/>
                    <w:rPr>
                      <w:rFonts w:ascii="Times New Roman" w:hAnsi="Times New Roman" w:cs="Times New Roman" w:eastAsia="Times New Roman" w:hint="default"/>
                      <w:sz w:val="18"/>
                      <w:szCs w:val="18"/>
                    </w:rPr>
                  </w:pPr>
                </w:p>
                <w:p>
                  <w:pPr>
                    <w:spacing w:before="0"/>
                    <w:ind w:left="0" w:right="875" w:firstLine="0"/>
                    <w:jc w:val="center"/>
                    <w:rPr>
                      <w:rFonts w:ascii="宋体" w:hAnsi="宋体" w:cs="宋体" w:eastAsia="宋体" w:hint="default"/>
                      <w:sz w:val="18"/>
                      <w:szCs w:val="18"/>
                    </w:rPr>
                  </w:pPr>
                  <w:r>
                    <w:rPr>
                      <w:rFonts w:ascii="宋体" w:hAnsi="宋体" w:cs="宋体" w:eastAsia="宋体" w:hint="default"/>
                      <w:sz w:val="18"/>
                      <w:szCs w:val="18"/>
                    </w:rPr>
                    <w:t>（三）</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76"/>
        <w:gridCol w:w="1126"/>
        <w:gridCol w:w="859"/>
        <w:gridCol w:w="2993"/>
        <w:gridCol w:w="1126"/>
        <w:gridCol w:w="1121"/>
        <w:gridCol w:w="1108"/>
      </w:tblGrid>
      <w:tr>
        <w:trPr>
          <w:trHeight w:val="317" w:hRule="exact"/>
        </w:trPr>
        <w:tc>
          <w:tcPr>
            <w:tcW w:w="127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859" w:type="dxa"/>
            <w:vMerge w:val="restart"/>
            <w:tcBorders>
              <w:top w:val="single" w:sz="4" w:space="0" w:color="000000"/>
              <w:left w:val="single" w:sz="4" w:space="0" w:color="000000"/>
              <w:right w:val="single" w:sz="4" w:space="0" w:color="000000"/>
            </w:tcBorders>
          </w:tcPr>
          <w:p>
            <w:pPr/>
          </w:p>
        </w:tc>
        <w:tc>
          <w:tcPr>
            <w:tcW w:w="299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关承诺主体承诺事项的履行情况。敬</w:t>
            </w:r>
          </w:p>
        </w:tc>
        <w:tc>
          <w:tcPr>
            <w:tcW w:w="1126" w:type="dxa"/>
            <w:vMerge w:val="restart"/>
            <w:tcBorders>
              <w:top w:val="single" w:sz="4" w:space="0" w:color="000000"/>
              <w:left w:val="single" w:sz="4" w:space="0" w:color="000000"/>
              <w:right w:val="single" w:sz="4" w:space="0" w:color="000000"/>
            </w:tcBorders>
          </w:tcPr>
          <w:p>
            <w:pPr>
              <w:pStyle w:val="TableParagraph"/>
              <w:spacing w:line="13729"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55.85pt;height:686.5pt;mso-position-horizontal-relative:char;mso-position-vertical-relative:line" coordorigin="0,0" coordsize="1117,13730">
                  <v:group style="position:absolute;left:0;top:0;width:1117;height:13730" coordorigin="0,0" coordsize="1117,13730">
                    <v:shape style="position:absolute;left:0;top:0;width:1117;height:13730" coordorigin="0,0" coordsize="1117,13730" path="m0,13729l1116,13729,1116,0,0,0,0,13729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请投资者关注</w:t>
            </w:r>
            <w:r>
              <w:rPr>
                <w:rFonts w:ascii="宋体" w:hAnsi="宋体" w:cs="宋体" w:eastAsia="宋体" w:hint="default"/>
                <w:spacing w:val="-107"/>
                <w:sz w:val="18"/>
                <w:szCs w:val="18"/>
              </w:rPr>
              <w:t>。</w:t>
            </w:r>
            <w:r>
              <w:rPr>
                <w:rFonts w:ascii="宋体" w:hAnsi="宋体" w:cs="宋体" w:eastAsia="宋体" w:hint="default"/>
                <w:sz w:val="18"/>
                <w:szCs w:val="18"/>
              </w:rPr>
              <w:t>（一</w:t>
            </w:r>
            <w:r>
              <w:rPr>
                <w:rFonts w:ascii="宋体" w:hAnsi="宋体" w:cs="宋体" w:eastAsia="宋体" w:hint="default"/>
                <w:spacing w:val="-17"/>
                <w:sz w:val="18"/>
                <w:szCs w:val="18"/>
              </w:rPr>
              <w:t>）</w:t>
            </w:r>
            <w:r>
              <w:rPr>
                <w:rFonts w:ascii="宋体" w:hAnsi="宋体" w:cs="宋体" w:eastAsia="宋体" w:hint="default"/>
                <w:sz w:val="18"/>
                <w:szCs w:val="18"/>
              </w:rPr>
              <w:t>本次公开发行摊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薄即期回报的风险及对公司主要财务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指标的影响分析本次发行完成后，随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着募集资金的到位，公司的资金实力</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大幅增强，同时公司总股本和净资产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均有较大幅度的增长，后续随着募集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资金投资项目的效益得以逐步体现，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公司的净利润将有所增加，但由于募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集资金投资项目的实施需要一定的时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间周期，相关效益的实现也需要一定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的时间，因此短期内公司的每股收益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和净资产收益率等指标存在被摊薄的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风险</w:t>
            </w:r>
            <w:r>
              <w:rPr>
                <w:rFonts w:ascii="宋体" w:hAnsi="宋体" w:cs="宋体" w:eastAsia="宋体" w:hint="default"/>
                <w:spacing w:val="-107"/>
                <w:sz w:val="18"/>
                <w:szCs w:val="18"/>
              </w:rPr>
              <w:t>。</w:t>
            </w:r>
            <w:r>
              <w:rPr>
                <w:rFonts w:ascii="宋体" w:hAnsi="宋体" w:cs="宋体" w:eastAsia="宋体" w:hint="default"/>
                <w:sz w:val="18"/>
                <w:szCs w:val="18"/>
              </w:rPr>
              <w:t>（二</w:t>
            </w:r>
            <w:r>
              <w:rPr>
                <w:rFonts w:ascii="宋体" w:hAnsi="宋体" w:cs="宋体" w:eastAsia="宋体" w:hint="default"/>
                <w:spacing w:val="-17"/>
                <w:sz w:val="18"/>
                <w:szCs w:val="18"/>
              </w:rPr>
              <w:t>）</w:t>
            </w:r>
            <w:r>
              <w:rPr>
                <w:rFonts w:ascii="宋体" w:hAnsi="宋体" w:cs="宋体" w:eastAsia="宋体" w:hint="default"/>
                <w:sz w:val="18"/>
                <w:szCs w:val="18"/>
              </w:rPr>
              <w:t>本次公开发行股票的必要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性和合理性公司董事会选择本次融资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的必要性和合理性如下：依据公司的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发展战略，未来将继续致力于一卡通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系统的应用及推广，为客户提供品质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卓越的服务，着力把正元智慧建设为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全国一流的知名品牌，并基于领先的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一卡通技术服务与丰富的经验，拓宽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产品功能与应用领域。公司在市场发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展的关键机遇期，必要地需要巩固和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发展传统优势业务，同时探索</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新业务与新领域市场；具体需要加大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市场空间和市场渗透力，提升新产品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与关键技术的研发能力，优化人力资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源管理，持续提高公司内部治理水平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和外部服务能力。近年来公司发展迅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速，但由于受到资金瓶颈的限制，公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司软硬件的提供能力扩张速度低于需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求增长速度，在开拓新客户上难以全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力以赴。同时，随着科学与经济的不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断发展，客户对公司产品功能和性能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提出了更高的要求，需要公司加大研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发投入以满足客户不断变化的需求。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资金紧张等因素限制和制约公司的业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务发展，选择本次融资能够合理的发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挥募集资金投资项目动力、进一步增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强公司资本实力及盈利能力，对公司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长期发展提供助益。各个具体募集资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金投资项目的必要性和合理性分析，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具体详见本招股说明书</w:t>
            </w:r>
            <w:r>
              <w:rPr>
                <w:rFonts w:ascii="Times New Roman" w:hAnsi="Times New Roman" w:cs="Times New Roman" w:eastAsia="Times New Roman" w:hint="default"/>
                <w:sz w:val="18"/>
                <w:szCs w:val="18"/>
              </w:rPr>
              <w:t>“</w:t>
            </w:r>
            <w:r>
              <w:rPr>
                <w:rFonts w:ascii="宋体" w:hAnsi="宋体" w:cs="宋体" w:eastAsia="宋体" w:hint="default"/>
                <w:sz w:val="18"/>
                <w:szCs w:val="18"/>
              </w:rPr>
              <w:t>第十节、二、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3" w:hRule="exact"/>
        </w:trPr>
        <w:tc>
          <w:tcPr>
            <w:tcW w:w="127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859" w:type="dxa"/>
            <w:vMerge/>
            <w:tcBorders>
              <w:left w:val="single" w:sz="4" w:space="0" w:color="000000"/>
              <w:bottom w:val="single" w:sz="4" w:space="0" w:color="000000"/>
              <w:right w:val="single" w:sz="4" w:space="0" w:color="000000"/>
            </w:tcBorders>
          </w:tcPr>
          <w:p>
            <w:pPr/>
          </w:p>
        </w:tc>
        <w:tc>
          <w:tcPr>
            <w:tcW w:w="299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募集资金投资项目的具体情况</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282.457001pt;margin-top:72.47998pt;width:143.050pt;height:686.5pt;mso-position-horizontal-relative:page;mso-position-vertical-relative:page;z-index:-100979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4"/>
                    <w:rPr>
                      <w:rFonts w:ascii="Times New Roman" w:hAnsi="Times New Roman" w:cs="Times New Roman" w:eastAsia="Times New Roman" w:hint="default"/>
                      <w:sz w:val="21"/>
                      <w:szCs w:val="21"/>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公司产品的研发效率、</w:t>
                  </w:r>
                </w:p>
              </w:txbxContent>
            </v:textbox>
            <w10:wrap type="none"/>
          </v:shape>
        </w:pict>
      </w:r>
      <w:r>
        <w:rPr/>
        <w:pict>
          <v:group style="position:absolute;margin-left:369.640015pt;margin-top:72.47998pt;width:55.85pt;height:686.5pt;mso-position-horizontal-relative:page;mso-position-vertical-relative:page;z-index:-1009768" coordorigin="7393,1450" coordsize="1117,13730">
            <v:shape style="position:absolute;left:7393;top:1450;width:1117;height:13730" coordorigin="7393,1450" coordsize="1117,13730" path="m7393,15179l8509,15179,8509,1450,7393,1450,7393,15179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76"/>
        <w:gridCol w:w="1126"/>
        <w:gridCol w:w="859"/>
        <w:gridCol w:w="2993"/>
        <w:gridCol w:w="1126"/>
        <w:gridCol w:w="1121"/>
        <w:gridCol w:w="1108"/>
      </w:tblGrid>
      <w:tr>
        <w:trPr>
          <w:trHeight w:val="317" w:hRule="exact"/>
        </w:trPr>
        <w:tc>
          <w:tcPr>
            <w:tcW w:w="127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859" w:type="dxa"/>
            <w:vMerge w:val="restart"/>
            <w:tcBorders>
              <w:top w:val="single" w:sz="4" w:space="0" w:color="000000"/>
              <w:left w:val="single" w:sz="4" w:space="0" w:color="000000"/>
              <w:right w:val="single" w:sz="4" w:space="0" w:color="000000"/>
            </w:tcBorders>
          </w:tcPr>
          <w:p>
            <w:pPr/>
          </w:p>
        </w:tc>
        <w:tc>
          <w:tcPr>
            <w:tcW w:w="299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本次募集资金投资项目与公司现有业</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务的关系及公司相关资源储备情况</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36" w:right="0"/>
              <w:jc w:val="left"/>
              <w:rPr>
                <w:rFonts w:ascii="宋体" w:hAnsi="宋体" w:cs="宋体" w:eastAsia="宋体" w:hint="default"/>
                <w:sz w:val="18"/>
                <w:szCs w:val="18"/>
              </w:rPr>
            </w:pPr>
            <w:r>
              <w:rPr>
                <w:rFonts w:ascii="宋体" w:hAnsi="宋体" w:cs="宋体" w:eastAsia="宋体" w:hint="default"/>
                <w:sz w:val="18"/>
                <w:szCs w:val="18"/>
              </w:rPr>
              <w:t>、</w:t>
            </w: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本次募集资金投资项目与公司现有业</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务的关系本次募集资金项目全部围绕</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公司现有的主营业务进行，以进一步</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增强公司的核心竞争力和盈利能力。</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其中，智慧易通项目是在公司已开发</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并广泛应用的数字化园区一卡通基础</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上，对体系结构重新架构、对业务流</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程重组优化、对终端机具全面升级、</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增加应用系统种类和扩大应用范围，</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为客户构建更协同、更智能的服务环</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境；营销服务体系建设和升级项目将</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强化、完善公司现有的面向一卡通市</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场的营销服务体系，并通过完善组织</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机构设置，加强营销团队力量；研发</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中心建设项目在公司现有技术研发中</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心基础上，扩大公司研发规模并进行</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5"/>
                <w:sz w:val="18"/>
                <w:szCs w:val="18"/>
              </w:rPr>
              <w:t>技术升级，提高</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缩短产品研发和制造周期，提升公司</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核心竞争力。</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、公司从事募投项目在</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人员、技术、市场等方面的储备情况</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日，公司员工总</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人数为</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711</w:t>
            </w:r>
            <w:r>
              <w:rPr>
                <w:rFonts w:ascii="Times New Roman" w:hAnsi="Times New Roman" w:cs="Times New Roman" w:eastAsia="Times New Roman" w:hint="default"/>
                <w:spacing w:val="-1"/>
                <w:sz w:val="18"/>
                <w:szCs w:val="18"/>
              </w:rPr>
              <w:t> </w:t>
            </w:r>
            <w:r>
              <w:rPr>
                <w:rFonts w:ascii="宋体" w:hAnsi="宋体" w:cs="宋体" w:eastAsia="宋体" w:hint="default"/>
                <w:spacing w:val="-7"/>
                <w:sz w:val="18"/>
                <w:szCs w:val="18"/>
              </w:rPr>
              <w:t>人，其中研发技术人员</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390</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人，销售人员</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人，公司从业人员</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质量相对较高，人员结构合理，具备</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业务线的覆盖和新业务的研发探索能</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力。公司自成立以来一直专注于为客</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户提供一卡通系统整体解决方案，目</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前企业研发实力和市场品牌影响力处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于行业前列。近年来，公司先后被认</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定为国家火炬计划重点高新技术企</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业、省级企业技术中心，</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正元智慧卡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2"/>
                <w:sz w:val="18"/>
                <w:szCs w:val="18"/>
              </w:rPr>
              <w:t>应用研究院</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为省级企业研究院，截至</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日，公司拥有软件著</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作权</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148 </w:t>
            </w:r>
            <w:r>
              <w:rPr>
                <w:rFonts w:ascii="宋体" w:hAnsi="宋体" w:cs="宋体" w:eastAsia="宋体" w:hint="default"/>
                <w:spacing w:val="-4"/>
                <w:sz w:val="18"/>
                <w:szCs w:val="18"/>
              </w:rPr>
              <w:t>项，专利</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 </w:t>
            </w:r>
            <w:r>
              <w:rPr>
                <w:rFonts w:ascii="宋体" w:hAnsi="宋体" w:cs="宋体" w:eastAsia="宋体" w:hint="default"/>
                <w:spacing w:val="-3"/>
                <w:sz w:val="18"/>
                <w:szCs w:val="18"/>
              </w:rPr>
              <w:t>项。公司重视研</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发投入和引进高素质人才以提高技术</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创新能力，近年来引进包括国家</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千人</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计划</w:t>
            </w:r>
            <w:r>
              <w:rPr>
                <w:rFonts w:ascii="Times New Roman" w:hAnsi="Times New Roman" w:cs="Times New Roman" w:eastAsia="Times New Roman" w:hint="default"/>
                <w:sz w:val="18"/>
                <w:szCs w:val="18"/>
              </w:rPr>
              <w:t>”</w:t>
            </w:r>
            <w:r>
              <w:rPr>
                <w:rFonts w:ascii="宋体" w:hAnsi="宋体" w:cs="宋体" w:eastAsia="宋体" w:hint="default"/>
                <w:sz w:val="18"/>
                <w:szCs w:val="18"/>
              </w:rPr>
              <w:t>特聘专家在内的一流研发和研</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发管理人才，且核心技术带头人员的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行业专业经验丰富，在智能卡、校园</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信息化、互联网等业务领域具有非常</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突出的技术创新能力。公司经过多年</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127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859" w:type="dxa"/>
            <w:vMerge/>
            <w:tcBorders>
              <w:left w:val="single" w:sz="4" w:space="0" w:color="000000"/>
              <w:bottom w:val="single" w:sz="4" w:space="0" w:color="000000"/>
              <w:right w:val="single" w:sz="4" w:space="0" w:color="000000"/>
            </w:tcBorders>
          </w:tcPr>
          <w:p>
            <w:pPr/>
          </w:p>
        </w:tc>
        <w:tc>
          <w:tcPr>
            <w:tcW w:w="299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智能卡行业的市场经营与深耕服务，</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282.437012pt;margin-top:72.47998pt;width:143.050pt;height:686.5pt;mso-position-horizontal-relative:page;mso-position-vertical-relative:page;z-index:-100972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20"/>
                      <w:szCs w:val="20"/>
                    </w:rPr>
                  </w:pPr>
                </w:p>
                <w:p>
                  <w:pPr>
                    <w:spacing w:before="0"/>
                    <w:ind w:left="0" w:right="0" w:firstLine="1080"/>
                    <w:jc w:val="left"/>
                    <w:rPr>
                      <w:rFonts w:ascii="宋体" w:hAnsi="宋体" w:cs="宋体" w:eastAsia="宋体" w:hint="default"/>
                      <w:sz w:val="18"/>
                      <w:szCs w:val="18"/>
                    </w:rPr>
                  </w:pPr>
                  <w:r>
                    <w:rPr>
                      <w:rFonts w:ascii="宋体" w:hAnsi="宋体" w:cs="宋体" w:eastAsia="宋体" w:hint="default"/>
                      <w:sz w:val="18"/>
                      <w:szCs w:val="18"/>
                    </w:rPr>
                    <w:t>个省市。</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6"/>
                    <w:rPr>
                      <w:rFonts w:ascii="Times New Roman" w:hAnsi="Times New Roman" w:cs="Times New Roman" w:eastAsia="Times New Roman" w:hint="default"/>
                      <w:sz w:val="26"/>
                      <w:szCs w:val="26"/>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公司各板块业务发展，</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1"/>
                    <w:rPr>
                      <w:rFonts w:ascii="Times New Roman" w:hAnsi="Times New Roman" w:cs="Times New Roman" w:eastAsia="Times New Roman" w:hint="default"/>
                      <w:sz w:val="17"/>
                      <w:szCs w:val="17"/>
                    </w:rPr>
                  </w:pPr>
                </w:p>
                <w:p>
                  <w:pPr>
                    <w:spacing w:before="0"/>
                    <w:ind w:left="900" w:right="0" w:firstLine="0"/>
                    <w:jc w:val="left"/>
                    <w:rPr>
                      <w:rFonts w:ascii="宋体" w:hAnsi="宋体" w:cs="宋体" w:eastAsia="宋体" w:hint="default"/>
                      <w:sz w:val="18"/>
                      <w:szCs w:val="18"/>
                    </w:rPr>
                  </w:pPr>
                  <w:r>
                    <w:rPr>
                      <w:rFonts w:ascii="宋体" w:hAnsi="宋体" w:cs="宋体" w:eastAsia="宋体" w:hint="default"/>
                      <w:sz w:val="18"/>
                      <w:szCs w:val="18"/>
                    </w:rPr>
                    <w:t>财务风险，</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76"/>
        <w:gridCol w:w="1126"/>
        <w:gridCol w:w="859"/>
        <w:gridCol w:w="2993"/>
        <w:gridCol w:w="1126"/>
        <w:gridCol w:w="1121"/>
        <w:gridCol w:w="1108"/>
      </w:tblGrid>
      <w:tr>
        <w:trPr>
          <w:trHeight w:val="317" w:hRule="exact"/>
        </w:trPr>
        <w:tc>
          <w:tcPr>
            <w:tcW w:w="127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859" w:type="dxa"/>
            <w:vMerge w:val="restart"/>
            <w:tcBorders>
              <w:top w:val="single" w:sz="4" w:space="0" w:color="000000"/>
              <w:left w:val="single" w:sz="4" w:space="0" w:color="000000"/>
              <w:right w:val="single" w:sz="4" w:space="0" w:color="000000"/>
            </w:tcBorders>
          </w:tcPr>
          <w:p>
            <w:pPr/>
          </w:p>
        </w:tc>
        <w:tc>
          <w:tcPr>
            <w:tcW w:w="299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在部分区域积累并沉淀了一大批优质</w:t>
            </w:r>
          </w:p>
        </w:tc>
        <w:tc>
          <w:tcPr>
            <w:tcW w:w="1126" w:type="dxa"/>
            <w:vMerge w:val="restart"/>
            <w:tcBorders>
              <w:top w:val="single" w:sz="4" w:space="0" w:color="000000"/>
              <w:left w:val="single" w:sz="4" w:space="0" w:color="000000"/>
              <w:right w:val="single" w:sz="4" w:space="0" w:color="000000"/>
            </w:tcBorders>
          </w:tcPr>
          <w:p>
            <w:pPr>
              <w:pStyle w:val="TableParagraph"/>
              <w:spacing w:line="13729"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55.85pt;height:686.5pt;mso-position-horizontal-relative:char;mso-position-vertical-relative:line" coordorigin="0,0" coordsize="1117,13730">
                  <v:group style="position:absolute;left:0;top:0;width:1117;height:13730" coordorigin="0,0" coordsize="1117,13730">
                    <v:shape style="position:absolute;left:0;top:0;width:1117;height:13730" coordorigin="0,0" coordsize="1117,13730" path="m0,13729l1116,13729,1116,0,0,0,0,13729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且忠诚的客户，逐步形成了较强的品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牌影响力。除在教育行业拥有广泛的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市场基础外，在电信运营商、银行、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政府、军警、旅游、卫生等其他领域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也有众多客户。目前，公司拥有直接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用户超过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余家</w:t>
            </w:r>
            <w:r>
              <w:rPr>
                <w:rFonts w:ascii="宋体" w:hAnsi="宋体" w:cs="宋体" w:eastAsia="宋体" w:hint="default"/>
                <w:spacing w:val="-78"/>
                <w:sz w:val="18"/>
                <w:szCs w:val="18"/>
              </w:rPr>
              <w:t>、</w:t>
            </w:r>
            <w:r>
              <w:rPr>
                <w:rFonts w:ascii="宋体" w:hAnsi="宋体" w:cs="宋体" w:eastAsia="宋体" w:hint="default"/>
                <w:sz w:val="18"/>
                <w:szCs w:val="18"/>
              </w:rPr>
              <w:t>年发卡量已超过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万张</w:t>
            </w:r>
            <w:r>
              <w:rPr>
                <w:rFonts w:ascii="宋体" w:hAnsi="宋体" w:cs="宋体" w:eastAsia="宋体" w:hint="default"/>
                <w:spacing w:val="-78"/>
                <w:sz w:val="18"/>
                <w:szCs w:val="18"/>
              </w:rPr>
              <w:t>，</w:t>
            </w:r>
            <w:r>
              <w:rPr>
                <w:rFonts w:ascii="宋体" w:hAnsi="宋体" w:cs="宋体" w:eastAsia="宋体" w:hint="default"/>
                <w:sz w:val="18"/>
                <w:szCs w:val="18"/>
              </w:rPr>
              <w:t>直接用户数量和持卡人数居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行业前列</w:t>
            </w:r>
            <w:r>
              <w:rPr>
                <w:rFonts w:ascii="宋体" w:hAnsi="宋体" w:cs="宋体" w:eastAsia="宋体" w:hint="default"/>
                <w:spacing w:val="-90"/>
                <w:sz w:val="18"/>
                <w:szCs w:val="18"/>
              </w:rPr>
              <w:t>，</w:t>
            </w:r>
            <w:r>
              <w:rPr>
                <w:rFonts w:ascii="宋体" w:hAnsi="宋体" w:cs="宋体" w:eastAsia="宋体" w:hint="default"/>
                <w:sz w:val="18"/>
                <w:szCs w:val="18"/>
              </w:rPr>
              <w:t>客户遍布国内</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综上所述，公司募集资金投资项目与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现有业务的关系密切，并已具备了实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施募集资金投资项目的人员、技术、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市场等方面储备</w:t>
            </w:r>
            <w:r>
              <w:rPr>
                <w:rFonts w:ascii="宋体" w:hAnsi="宋体" w:cs="宋体" w:eastAsia="宋体" w:hint="default"/>
                <w:spacing w:val="-107"/>
                <w:sz w:val="18"/>
                <w:szCs w:val="18"/>
              </w:rPr>
              <w:t>。</w:t>
            </w:r>
            <w:r>
              <w:rPr>
                <w:rFonts w:ascii="宋体" w:hAnsi="宋体" w:cs="宋体" w:eastAsia="宋体" w:hint="default"/>
                <w:sz w:val="18"/>
                <w:szCs w:val="18"/>
              </w:rPr>
              <w:t>（四</w:t>
            </w:r>
            <w:r>
              <w:rPr>
                <w:rFonts w:ascii="宋体" w:hAnsi="宋体" w:cs="宋体" w:eastAsia="宋体" w:hint="default"/>
                <w:spacing w:val="-17"/>
                <w:sz w:val="18"/>
                <w:szCs w:val="18"/>
              </w:rPr>
              <w:t>）</w:t>
            </w:r>
            <w:r>
              <w:rPr>
                <w:rFonts w:ascii="宋体" w:hAnsi="宋体" w:cs="宋体" w:eastAsia="宋体" w:hint="default"/>
                <w:sz w:val="18"/>
                <w:szCs w:val="18"/>
              </w:rPr>
              <w:t>公司应对本次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公开发行摊薄即期回报采取的措施本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次发行后的募集资金到位当年，公司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预计即期回报将会摊薄。根据《国务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院办公厅关于进一步加强资本市场中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小投资者合法权益保护工作的意见》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（国办发</w:t>
            </w:r>
            <w:r>
              <w:rPr>
                <w:rFonts w:ascii="Times New Roman" w:hAnsi="Times New Roman" w:cs="Times New Roman" w:eastAsia="Times New Roman" w:hint="default"/>
                <w:sz w:val="18"/>
                <w:szCs w:val="18"/>
              </w:rPr>
              <w:t>[2013]110</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号）及《关于首发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及再融资、重大资产重组摊薄即期回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报有关事项的指导意见</w:t>
            </w:r>
            <w:r>
              <w:rPr>
                <w:rFonts w:ascii="宋体" w:hAnsi="宋体" w:cs="宋体" w:eastAsia="宋体" w:hint="default"/>
                <w:spacing w:val="-123"/>
                <w:sz w:val="18"/>
                <w:szCs w:val="18"/>
              </w:rPr>
              <w:t>》</w:t>
            </w:r>
            <w:r>
              <w:rPr>
                <w:rFonts w:ascii="宋体" w:hAnsi="宋体" w:cs="宋体" w:eastAsia="宋体" w:hint="default"/>
                <w:sz w:val="18"/>
                <w:szCs w:val="18"/>
              </w:rPr>
              <w:t>（</w:t>
            </w:r>
            <w:r>
              <w:rPr>
                <w:rFonts w:ascii="宋体" w:hAnsi="宋体" w:cs="宋体" w:eastAsia="宋体" w:hint="default"/>
                <w:spacing w:val="-2"/>
                <w:sz w:val="18"/>
                <w:szCs w:val="18"/>
              </w:rPr>
              <w:t>证</w:t>
            </w:r>
            <w:r>
              <w:rPr>
                <w:rFonts w:ascii="宋体" w:hAnsi="宋体" w:cs="宋体" w:eastAsia="宋体" w:hint="default"/>
                <w:sz w:val="18"/>
                <w:szCs w:val="18"/>
              </w:rPr>
              <w:t>监会公告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号）的要求，公司拟通过加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快本次公开发行募集资金投资项目的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5"/>
                <w:sz w:val="18"/>
                <w:szCs w:val="18"/>
              </w:rPr>
              <w:t>实施，促进完善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强化风险控制等方面提升公司核心竞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争力，降低摊薄影响，填补回报。公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司制定的主要具体措施如下：</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在国内校园一卡通行业中处于前列，</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其中直接服务用户数、可控持卡人数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和部分区域用户密集度都处于相对领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先地位。在现有产品应用领域，公司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将利用当前坚实的客户基础，不断深</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入了解和引导客户需求，将公司最新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研究成果和创新应用于客户服务方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案，争取更大的市场份额，拓展行业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应用；同时，公司也将加强新产品和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新技术的研发力度，围绕智能一卡通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产业应用的各个领域，寻找新的产品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方案与业务增长点，巩固现有品牌和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优势，增强公司市场竞争力，提升公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司盈利能力。</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、公司运行中将持续伴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随各类既有的经营、行业、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同时也将面临宏观微观经济环境变化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127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859" w:type="dxa"/>
            <w:vMerge/>
            <w:tcBorders>
              <w:left w:val="single" w:sz="4" w:space="0" w:color="000000"/>
              <w:bottom w:val="single" w:sz="4" w:space="0" w:color="000000"/>
              <w:right w:val="single" w:sz="4" w:space="0" w:color="000000"/>
            </w:tcBorders>
          </w:tcPr>
          <w:p>
            <w:pPr/>
          </w:p>
        </w:tc>
        <w:tc>
          <w:tcPr>
            <w:tcW w:w="299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带来的新风险，公司将持续强化风险</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282.437012pt;margin-top:72.47998pt;width:143.050pt;height:686.5pt;mso-position-horizontal-relative:page;mso-position-vertical-relative:page;z-index:-100967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9"/>
                    <w:rPr>
                      <w:rFonts w:ascii="Times New Roman" w:hAnsi="Times New Roman" w:cs="Times New Roman" w:eastAsia="Times New Roman" w:hint="default"/>
                      <w:sz w:val="20"/>
                      <w:szCs w:val="20"/>
                    </w:rPr>
                  </w:pPr>
                </w:p>
                <w:p>
                  <w:pPr>
                    <w:spacing w:before="0"/>
                    <w:ind w:left="0" w:right="0" w:firstLine="1621"/>
                    <w:jc w:val="lef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1"/>
                    <w:rPr>
                      <w:rFonts w:ascii="Times New Roman" w:hAnsi="Times New Roman" w:cs="Times New Roman" w:eastAsia="Times New Roman" w:hint="default"/>
                      <w:sz w:val="24"/>
                      <w:szCs w:val="24"/>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公司较为通行的惯例，</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2"/>
                    <w:rPr>
                      <w:rFonts w:ascii="Times New Roman" w:hAnsi="Times New Roman" w:cs="Times New Roman" w:eastAsia="Times New Roman" w:hint="default"/>
                      <w:sz w:val="17"/>
                      <w:szCs w:val="17"/>
                    </w:rPr>
                  </w:pPr>
                </w:p>
                <w:p>
                  <w:pPr>
                    <w:spacing w:line="636" w:lineRule="auto" w:before="0"/>
                    <w:ind w:left="1080" w:right="1056" w:hanging="179"/>
                    <w:jc w:val="left"/>
                    <w:rPr>
                      <w:rFonts w:ascii="宋体" w:hAnsi="宋体" w:cs="宋体" w:eastAsia="宋体" w:hint="default"/>
                      <w:sz w:val="18"/>
                      <w:szCs w:val="18"/>
                    </w:rPr>
                  </w:pPr>
                  <w:r>
                    <w:rPr>
                      <w:rFonts w:ascii="宋体" w:hAnsi="宋体" w:cs="宋体" w:eastAsia="宋体" w:hint="default"/>
                      <w:sz w:val="18"/>
                      <w:szCs w:val="18"/>
                    </w:rPr>
                    <w:t>继续补充、 股股东、</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76"/>
        <w:gridCol w:w="1126"/>
        <w:gridCol w:w="859"/>
        <w:gridCol w:w="2993"/>
        <w:gridCol w:w="1126"/>
        <w:gridCol w:w="1121"/>
        <w:gridCol w:w="1108"/>
      </w:tblGrid>
      <w:tr>
        <w:trPr>
          <w:trHeight w:val="317" w:hRule="exact"/>
        </w:trPr>
        <w:tc>
          <w:tcPr>
            <w:tcW w:w="127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859" w:type="dxa"/>
            <w:vMerge w:val="restart"/>
            <w:tcBorders>
              <w:top w:val="single" w:sz="4" w:space="0" w:color="000000"/>
              <w:left w:val="single" w:sz="4" w:space="0" w:color="000000"/>
              <w:right w:val="single" w:sz="4" w:space="0" w:color="000000"/>
            </w:tcBorders>
          </w:tcPr>
          <w:p>
            <w:pPr/>
          </w:p>
        </w:tc>
        <w:tc>
          <w:tcPr>
            <w:tcW w:w="299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意识与能力，不断发现、改进、控制</w:t>
            </w:r>
          </w:p>
        </w:tc>
        <w:tc>
          <w:tcPr>
            <w:tcW w:w="1126" w:type="dxa"/>
            <w:vMerge w:val="restart"/>
            <w:tcBorders>
              <w:top w:val="single" w:sz="4" w:space="0" w:color="000000"/>
              <w:left w:val="single" w:sz="4" w:space="0" w:color="000000"/>
              <w:right w:val="single" w:sz="4" w:space="0" w:color="000000"/>
            </w:tcBorders>
          </w:tcPr>
          <w:p>
            <w:pPr>
              <w:pStyle w:val="TableParagraph"/>
              <w:spacing w:line="13729"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55.85pt;height:686.5pt;mso-position-horizontal-relative:char;mso-position-vertical-relative:line" coordorigin="0,0" coordsize="1117,13730">
                  <v:group style="position:absolute;left:0;top:0;width:1117;height:13730" coordorigin="0,0" coordsize="1117,13730">
                    <v:shape style="position:absolute;left:0;top:0;width:1117;height:13730" coordorigin="0,0" coordsize="1117,13730" path="m0,13729l1116,13729,1116,0,0,0,0,13729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公司业务经营的相关风险。</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、本次募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集资金使用紧密围绕公司主营业务进</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行，符合公司未来发展战略，有利于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公司提高公司持续盈利能力。公司将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根据相关法律法规和《募集资金管理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办法》的要求，严格管理募集资金使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用，保证募集资金按照原定用途得到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充分有效利用。</w:t>
            </w: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、公司将不断健全研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发机构，增强技术力量，完善创新体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系，建立符合企业实际的人才管理和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激励制度。今后本公司将继续完善以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智慧一卡通网络研发设计为主体的创</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新体系，维持较高的研发投入，大力</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pacing w:val="-8"/>
                <w:sz w:val="18"/>
                <w:szCs w:val="18"/>
              </w:rPr>
              <w:t>进行新服务、新技术的开发与创新。</w:t>
            </w:r>
            <w:r>
              <w:rPr>
                <w:rFonts w:ascii="Times New Roman" w:hAnsi="Times New Roman" w:cs="Times New Roman" w:eastAsia="Times New Roman" w:hint="default"/>
                <w:spacing w:val="-8"/>
                <w:sz w:val="18"/>
                <w:szCs w:val="18"/>
              </w:rPr>
              <w:t>5</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公司未来将根据中国证监会、证券交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易所等监管机构出台的具体细则及要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5"/>
                <w:sz w:val="18"/>
                <w:szCs w:val="18"/>
              </w:rPr>
              <w:t>求，并参照上市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继续补充、修订、完善公司投资者权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10"/>
              <w:jc w:val="left"/>
              <w:rPr>
                <w:rFonts w:ascii="宋体" w:hAnsi="宋体" w:cs="宋体" w:eastAsia="宋体" w:hint="default"/>
                <w:sz w:val="18"/>
                <w:szCs w:val="18"/>
              </w:rPr>
            </w:pPr>
            <w:r>
              <w:rPr>
                <w:rFonts w:ascii="宋体" w:hAnsi="宋体" w:cs="宋体" w:eastAsia="宋体" w:hint="default"/>
                <w:sz w:val="18"/>
                <w:szCs w:val="18"/>
              </w:rPr>
              <w:t>益保护的各项制度并予以实施</w:t>
            </w:r>
            <w:r>
              <w:rPr>
                <w:rFonts w:ascii="宋体" w:hAnsi="宋体" w:cs="宋体" w:eastAsia="宋体" w:hint="default"/>
                <w:spacing w:val="-90"/>
                <w:sz w:val="18"/>
                <w:szCs w:val="18"/>
              </w:rPr>
              <w:t>。</w:t>
            </w:r>
            <w:r>
              <w:rPr>
                <w:rFonts w:ascii="宋体" w:hAnsi="宋体" w:cs="宋体" w:eastAsia="宋体" w:hint="default"/>
                <w:sz w:val="18"/>
                <w:szCs w:val="18"/>
              </w:rPr>
              <w:t>（五）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关于保障中小投资者合法利益的承诺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本次公开发行完成后，公司即期收益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存在被摊薄的风险，为保护中小投资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者合法权益，公司做出如下承诺：未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来将根据中国证监会、证券交易所等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监管机构出台的具体细则及要求，并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参照上市公司较为通行的惯例，积极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落实《关于进一步加强资本市场中小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投资者合法权益保护工作的意见</w:t>
            </w:r>
            <w:r>
              <w:rPr>
                <w:rFonts w:ascii="宋体" w:hAnsi="宋体" w:cs="宋体" w:eastAsia="宋体" w:hint="default"/>
                <w:spacing w:val="-123"/>
                <w:sz w:val="18"/>
                <w:szCs w:val="18"/>
              </w:rPr>
              <w:t>》</w:t>
            </w:r>
            <w:r>
              <w:rPr>
                <w:rFonts w:ascii="宋体" w:hAnsi="宋体" w:cs="宋体" w:eastAsia="宋体" w:hint="default"/>
                <w:sz w:val="18"/>
                <w:szCs w:val="18"/>
              </w:rPr>
              <w:t>（国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办发</w:t>
            </w:r>
            <w:r>
              <w:rPr>
                <w:rFonts w:ascii="Times New Roman" w:hAnsi="Times New Roman" w:cs="Times New Roman" w:eastAsia="Times New Roman" w:hint="default"/>
                <w:sz w:val="18"/>
                <w:szCs w:val="18"/>
              </w:rPr>
              <w:t>[2013]110</w:t>
            </w:r>
            <w:r>
              <w:rPr>
                <w:rFonts w:ascii="Times New Roman" w:hAnsi="Times New Roman" w:cs="Times New Roman" w:eastAsia="Times New Roman" w:hint="default"/>
                <w:spacing w:val="-5"/>
                <w:sz w:val="18"/>
                <w:szCs w:val="18"/>
              </w:rPr>
              <w:t> </w:t>
            </w:r>
            <w:r>
              <w:rPr>
                <w:rFonts w:ascii="宋体" w:hAnsi="宋体" w:cs="宋体" w:eastAsia="宋体" w:hint="default"/>
                <w:spacing w:val="-9"/>
                <w:sz w:val="18"/>
                <w:szCs w:val="18"/>
              </w:rPr>
              <w:t>号）的内容，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修订、完善公司投资者权益保护的各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项制度并予以实施。公司的控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实际控制人作出如下承诺：不得越权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干预公司经营管理活动，不得侵占公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司利益。公司的董事、高级管理人员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将忠实、勤勉地履行职责，维护公司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和全体股东的合法权益，尽最大努力</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确保公司签署填补回报措施能够得到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10"/>
              <w:jc w:val="left"/>
              <w:rPr>
                <w:rFonts w:ascii="宋体" w:hAnsi="宋体" w:cs="宋体" w:eastAsia="宋体" w:hint="default"/>
                <w:sz w:val="18"/>
                <w:szCs w:val="18"/>
              </w:rPr>
            </w:pPr>
            <w:r>
              <w:rPr>
                <w:rFonts w:ascii="宋体" w:hAnsi="宋体" w:cs="宋体" w:eastAsia="宋体" w:hint="default"/>
                <w:sz w:val="18"/>
                <w:szCs w:val="18"/>
              </w:rPr>
              <w:t>切实履行，并就此作出如下承诺：</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承诺不无偿或以不公平条件向其他单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位或者个人输送利益，也不采用其他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方式损害公司利益。</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、承诺对董事和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99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高级管理人员的职务消费行为进行约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127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859" w:type="dxa"/>
            <w:vMerge/>
            <w:tcBorders>
              <w:left w:val="single" w:sz="4" w:space="0" w:color="000000"/>
              <w:bottom w:val="single" w:sz="4" w:space="0" w:color="000000"/>
              <w:right w:val="single" w:sz="4" w:space="0" w:color="000000"/>
            </w:tcBorders>
          </w:tcPr>
          <w:p>
            <w:pPr/>
          </w:p>
        </w:tc>
        <w:tc>
          <w:tcPr>
            <w:tcW w:w="299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束。</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、承诺不动用公司资产从事与其</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76"/>
        <w:gridCol w:w="1126"/>
        <w:gridCol w:w="859"/>
        <w:gridCol w:w="2993"/>
        <w:gridCol w:w="1126"/>
        <w:gridCol w:w="1121"/>
        <w:gridCol w:w="1108"/>
      </w:tblGrid>
      <w:tr>
        <w:trPr>
          <w:trHeight w:val="1923" w:hRule="exact"/>
        </w:trPr>
        <w:tc>
          <w:tcPr>
            <w:tcW w:w="127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10"/>
              <w:ind w:left="22" w:right="-10"/>
              <w:jc w:val="left"/>
              <w:rPr>
                <w:rFonts w:ascii="Times New Roman" w:hAnsi="Times New Roman" w:cs="Times New Roman" w:eastAsia="Times New Roman" w:hint="default"/>
                <w:sz w:val="18"/>
                <w:szCs w:val="18"/>
              </w:rPr>
            </w:pPr>
            <w:r>
              <w:rPr>
                <w:rFonts w:ascii="宋体" w:hAnsi="宋体" w:cs="宋体" w:eastAsia="宋体" w:hint="default"/>
                <w:sz w:val="18"/>
                <w:szCs w:val="18"/>
              </w:rPr>
              <w:t>履行职责无关的投资、消费活动。</w:t>
            </w:r>
            <w:r>
              <w:rPr>
                <w:rFonts w:ascii="Times New Roman" w:hAnsi="Times New Roman" w:cs="Times New Roman" w:eastAsia="Times New Roman" w:hint="default"/>
                <w:sz w:val="18"/>
                <w:szCs w:val="18"/>
              </w:rPr>
              <w:t>4</w:t>
            </w:r>
            <w:r>
              <w:rPr>
                <w:rFonts w:ascii="宋体" w:hAnsi="宋体" w:cs="宋体" w:eastAsia="宋体" w:hint="default"/>
                <w:sz w:val="18"/>
                <w:szCs w:val="18"/>
              </w:rPr>
              <w:t>、 承诺由董事会或薪酬委员会制定的薪 酬制度与公司填补回报措施的执行情 </w:t>
            </w:r>
            <w:r>
              <w:rPr>
                <w:rFonts w:ascii="宋体" w:hAnsi="宋体" w:cs="宋体" w:eastAsia="宋体" w:hint="default"/>
                <w:spacing w:val="-2"/>
                <w:sz w:val="18"/>
                <w:szCs w:val="18"/>
              </w:rPr>
              <w:t>况相挂钩。</w:t>
            </w: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、承诺未来拟实施的公司</w:t>
            </w:r>
            <w:r>
              <w:rPr>
                <w:rFonts w:ascii="宋体" w:hAnsi="宋体" w:cs="宋体" w:eastAsia="宋体" w:hint="default"/>
                <w:sz w:val="18"/>
                <w:szCs w:val="18"/>
              </w:rPr>
              <w:t> 股权激励的行权条件与公司填补回报 措施的执行情况相挂钩。</w:t>
            </w:r>
            <w:r>
              <w:rPr>
                <w:rFonts w:ascii="Times New Roman" w:hAnsi="Times New Roman" w:cs="Times New Roman" w:eastAsia="Times New Roman" w:hint="default"/>
                <w:sz w:val="18"/>
                <w:szCs w:val="18"/>
              </w:rPr>
              <w:t>"</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8826" w:hRule="exact"/>
        </w:trPr>
        <w:tc>
          <w:tcPr>
            <w:tcW w:w="127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338" w:lineRule="auto"/>
              <w:ind w:left="23" w:right="17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JAY</w:t>
            </w:r>
            <w:r>
              <w:rPr>
                <w:rFonts w:ascii="Times New Roman" w:hAnsi="Times New Roman" w:cs="Times New Roman" w:eastAsia="Times New Roman" w:hint="default"/>
                <w:spacing w:val="-11"/>
                <w:sz w:val="18"/>
                <w:szCs w:val="18"/>
              </w:rPr>
              <w:t> </w:t>
            </w:r>
            <w:r>
              <w:rPr>
                <w:rFonts w:ascii="Times New Roman" w:hAnsi="Times New Roman" w:cs="Times New Roman" w:eastAsia="Times New Roman" w:hint="default"/>
                <w:sz w:val="18"/>
                <w:szCs w:val="18"/>
              </w:rPr>
              <w:t>TSAI</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CHIEN</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CHOU;</w:t>
            </w:r>
            <w:r>
              <w:rPr>
                <w:rFonts w:ascii="宋体" w:hAnsi="宋体" w:cs="宋体" w:eastAsia="宋体" w:hint="default"/>
                <w:sz w:val="18"/>
                <w:szCs w:val="18"/>
              </w:rPr>
              <w:t>博信</w:t>
            </w:r>
          </w:p>
          <w:p>
            <w:pPr>
              <w:pStyle w:val="TableParagraph"/>
              <w:spacing w:line="217" w:lineRule="exact"/>
              <w:ind w:left="23" w:right="0"/>
              <w:jc w:val="left"/>
              <w:rPr>
                <w:rFonts w:ascii="宋体" w:hAnsi="宋体" w:cs="宋体" w:eastAsia="宋体" w:hint="default"/>
                <w:sz w:val="18"/>
                <w:szCs w:val="18"/>
              </w:rPr>
            </w:pPr>
            <w:r>
              <w:rPr>
                <w:rFonts w:ascii="宋体" w:hAnsi="宋体" w:cs="宋体" w:eastAsia="宋体" w:hint="default"/>
                <w:sz w:val="18"/>
                <w:szCs w:val="18"/>
              </w:rPr>
              <w:t>优选（天津）</w:t>
            </w:r>
          </w:p>
          <w:p>
            <w:pPr>
              <w:pStyle w:val="TableParagraph"/>
              <w:spacing w:line="316" w:lineRule="auto" w:before="76"/>
              <w:ind w:left="23" w:right="191"/>
              <w:jc w:val="left"/>
              <w:rPr>
                <w:rFonts w:ascii="宋体" w:hAnsi="宋体" w:cs="宋体" w:eastAsia="宋体" w:hint="default"/>
                <w:sz w:val="18"/>
                <w:szCs w:val="18"/>
              </w:rPr>
            </w:pPr>
            <w:r>
              <w:rPr>
                <w:rFonts w:ascii="宋体" w:hAnsi="宋体" w:cs="宋体" w:eastAsia="宋体" w:hint="default"/>
                <w:sz w:val="18"/>
                <w:szCs w:val="18"/>
              </w:rPr>
              <w:t>股权投资基 金合伙企业</w:t>
            </w:r>
          </w:p>
          <w:p>
            <w:pPr>
              <w:pStyle w:val="TableParagraph"/>
              <w:spacing w:line="309" w:lineRule="auto" w:before="19"/>
              <w:ind w:left="23" w:right="21"/>
              <w:jc w:val="left"/>
              <w:rPr>
                <w:rFonts w:ascii="宋体" w:hAnsi="宋体" w:cs="宋体" w:eastAsia="宋体" w:hint="default"/>
                <w:sz w:val="18"/>
                <w:szCs w:val="18"/>
              </w:rPr>
            </w:pPr>
            <w:r>
              <w:rPr>
                <w:rFonts w:ascii="宋体" w:hAnsi="宋体" w:cs="宋体" w:eastAsia="宋体" w:hint="default"/>
                <w:spacing w:val="-9"/>
                <w:sz w:val="18"/>
                <w:szCs w:val="18"/>
              </w:rPr>
              <w:t>（有限合伙）</w:t>
            </w:r>
            <w:r>
              <w:rPr>
                <w:rFonts w:ascii="Times New Roman" w:hAnsi="Times New Roman" w:cs="Times New Roman" w:eastAsia="Times New Roman" w:hint="default"/>
                <w:spacing w:val="-9"/>
                <w:sz w:val="18"/>
                <w:szCs w:val="18"/>
              </w:rPr>
              <w:t>;</w:t>
            </w:r>
            <w:r>
              <w:rPr>
                <w:rFonts w:ascii="Times New Roman" w:hAnsi="Times New Roman" w:cs="Times New Roman" w:eastAsia="Times New Roman" w:hint="default"/>
                <w:sz w:val="18"/>
                <w:szCs w:val="18"/>
              </w:rPr>
              <w:t> </w:t>
            </w:r>
            <w:r>
              <w:rPr>
                <w:rFonts w:ascii="宋体" w:hAnsi="宋体" w:cs="宋体" w:eastAsia="宋体" w:hint="default"/>
                <w:sz w:val="18"/>
                <w:szCs w:val="18"/>
              </w:rPr>
              <w:t>陈坚</w:t>
            </w:r>
            <w:r>
              <w:rPr>
                <w:rFonts w:ascii="Times New Roman" w:hAnsi="Times New Roman" w:cs="Times New Roman" w:eastAsia="Times New Roman" w:hint="default"/>
                <w:sz w:val="18"/>
                <w:szCs w:val="18"/>
              </w:rPr>
              <w:t>;</w:t>
            </w:r>
            <w:r>
              <w:rPr>
                <w:rFonts w:ascii="宋体" w:hAnsi="宋体" w:cs="宋体" w:eastAsia="宋体" w:hint="default"/>
                <w:sz w:val="18"/>
                <w:szCs w:val="18"/>
              </w:rPr>
              <w:t>陈英</w:t>
            </w:r>
            <w:r>
              <w:rPr>
                <w:rFonts w:ascii="Times New Roman" w:hAnsi="Times New Roman" w:cs="Times New Roman" w:eastAsia="Times New Roman" w:hint="default"/>
                <w:sz w:val="18"/>
                <w:szCs w:val="18"/>
              </w:rPr>
              <w:t>;</w:t>
            </w:r>
            <w:r>
              <w:rPr>
                <w:rFonts w:ascii="宋体" w:hAnsi="宋体" w:cs="宋体" w:eastAsia="宋体" w:hint="default"/>
                <w:sz w:val="18"/>
                <w:szCs w:val="18"/>
              </w:rPr>
              <w:t>杭 州易康投资 管理有限公 司</w:t>
            </w:r>
            <w:r>
              <w:rPr>
                <w:rFonts w:ascii="Times New Roman" w:hAnsi="Times New Roman" w:cs="Times New Roman" w:eastAsia="Times New Roman" w:hint="default"/>
                <w:sz w:val="18"/>
                <w:szCs w:val="18"/>
              </w:rPr>
              <w:t>;</w:t>
            </w:r>
            <w:r>
              <w:rPr>
                <w:rFonts w:ascii="宋体" w:hAnsi="宋体" w:cs="宋体" w:eastAsia="宋体" w:hint="default"/>
                <w:sz w:val="18"/>
                <w:szCs w:val="18"/>
              </w:rPr>
              <w:t>杭州正浩 投资管理有 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杭州 正元企业管 理咨询有限 公司</w:t>
            </w:r>
            <w:r>
              <w:rPr>
                <w:rFonts w:ascii="Times New Roman" w:hAnsi="Times New Roman" w:cs="Times New Roman" w:eastAsia="Times New Roman" w:hint="default"/>
                <w:sz w:val="18"/>
                <w:szCs w:val="18"/>
              </w:rPr>
              <w:t>;</w:t>
            </w:r>
            <w:r>
              <w:rPr>
                <w:rFonts w:ascii="宋体" w:hAnsi="宋体" w:cs="宋体" w:eastAsia="宋体" w:hint="default"/>
                <w:sz w:val="18"/>
                <w:szCs w:val="18"/>
              </w:rPr>
              <w:t>黄金明</w:t>
            </w:r>
            <w:r>
              <w:rPr>
                <w:rFonts w:ascii="Times New Roman" w:hAnsi="Times New Roman" w:cs="Times New Roman" w:eastAsia="Times New Roman" w:hint="default"/>
                <w:sz w:val="18"/>
                <w:szCs w:val="18"/>
              </w:rPr>
              <w:t>; </w:t>
            </w:r>
            <w:r>
              <w:rPr>
                <w:rFonts w:ascii="宋体" w:hAnsi="宋体" w:cs="宋体" w:eastAsia="宋体" w:hint="default"/>
                <w:sz w:val="18"/>
                <w:szCs w:val="18"/>
              </w:rPr>
              <w:t>陆卫明</w:t>
            </w:r>
            <w:r>
              <w:rPr>
                <w:rFonts w:ascii="Times New Roman" w:hAnsi="Times New Roman" w:cs="Times New Roman" w:eastAsia="Times New Roman" w:hint="default"/>
                <w:sz w:val="18"/>
                <w:szCs w:val="18"/>
              </w:rPr>
              <w:t>;</w:t>
            </w:r>
            <w:r>
              <w:rPr>
                <w:rFonts w:ascii="宋体" w:hAnsi="宋体" w:cs="宋体" w:eastAsia="宋体" w:hint="default"/>
                <w:sz w:val="18"/>
                <w:szCs w:val="18"/>
              </w:rPr>
              <w:t>潘利 华</w:t>
            </w:r>
            <w:r>
              <w:rPr>
                <w:rFonts w:ascii="Times New Roman" w:hAnsi="Times New Roman" w:cs="Times New Roman" w:eastAsia="Times New Roman" w:hint="default"/>
                <w:sz w:val="18"/>
                <w:szCs w:val="18"/>
              </w:rPr>
              <w:t>;</w:t>
            </w:r>
            <w:r>
              <w:rPr>
                <w:rFonts w:ascii="宋体" w:hAnsi="宋体" w:cs="宋体" w:eastAsia="宋体" w:hint="default"/>
                <w:sz w:val="18"/>
                <w:szCs w:val="18"/>
              </w:rPr>
              <w:t>童本立</w:t>
            </w:r>
            <w:r>
              <w:rPr>
                <w:rFonts w:ascii="Times New Roman" w:hAnsi="Times New Roman" w:cs="Times New Roman" w:eastAsia="Times New Roman" w:hint="default"/>
                <w:sz w:val="18"/>
                <w:szCs w:val="18"/>
              </w:rPr>
              <w:t>;</w:t>
            </w:r>
            <w:r>
              <w:rPr>
                <w:rFonts w:ascii="宋体" w:hAnsi="宋体" w:cs="宋体" w:eastAsia="宋体" w:hint="default"/>
                <w:sz w:val="18"/>
                <w:szCs w:val="18"/>
              </w:rPr>
              <w:t>余 锴</w:t>
            </w:r>
            <w:r>
              <w:rPr>
                <w:rFonts w:ascii="Times New Roman" w:hAnsi="Times New Roman" w:cs="Times New Roman" w:eastAsia="Times New Roman" w:hint="default"/>
                <w:sz w:val="18"/>
                <w:szCs w:val="18"/>
              </w:rPr>
              <w:t>;</w:t>
            </w:r>
            <w:r>
              <w:rPr>
                <w:rFonts w:ascii="宋体" w:hAnsi="宋体" w:cs="宋体" w:eastAsia="宋体" w:hint="default"/>
                <w:sz w:val="18"/>
                <w:szCs w:val="18"/>
              </w:rPr>
              <w:t>浙江合力 创业投资有 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浙江 正元智慧科 技股份有限 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朱加宁</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3"/>
              <w:ind w:right="83"/>
              <w:jc w:val="center"/>
              <w:rPr>
                <w:rFonts w:ascii="宋体" w:hAnsi="宋体" w:cs="宋体" w:eastAsia="宋体" w:hint="default"/>
                <w:sz w:val="18"/>
                <w:szCs w:val="18"/>
              </w:rPr>
            </w:pPr>
            <w:r>
              <w:rPr>
                <w:rFonts w:ascii="宋体" w:hAnsi="宋体" w:cs="宋体" w:eastAsia="宋体" w:hint="default"/>
                <w:sz w:val="18"/>
                <w:szCs w:val="18"/>
              </w:rPr>
              <w:t>其他承诺</w:t>
            </w:r>
          </w:p>
        </w:tc>
        <w:tc>
          <w:tcPr>
            <w:tcW w:w="2993" w:type="dxa"/>
            <w:tcBorders>
              <w:top w:val="single" w:sz="4" w:space="0" w:color="000000"/>
              <w:left w:val="single" w:sz="4" w:space="0" w:color="000000"/>
              <w:bottom w:val="single" w:sz="4" w:space="0" w:color="000000"/>
              <w:right w:val="single" w:sz="4" w:space="0" w:color="000000"/>
            </w:tcBorders>
          </w:tcPr>
          <w:p>
            <w:pPr>
              <w:pStyle w:val="TableParagraph"/>
              <w:tabs>
                <w:tab w:pos="1356" w:val="left" w:leader="none"/>
              </w:tabs>
              <w:spacing w:line="309"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强化对相关责任主体承诺事项的约 束措施：</w:t>
              <w:tab/>
            </w:r>
            <w:r>
              <w:rPr>
                <w:rFonts w:ascii="宋体" w:hAnsi="宋体" w:cs="宋体" w:eastAsia="宋体" w:hint="default"/>
                <w:spacing w:val="-2"/>
                <w:sz w:val="18"/>
                <w:szCs w:val="18"/>
              </w:rPr>
              <w:t>公司、控股股东杭州</w:t>
            </w:r>
            <w:r>
              <w:rPr>
                <w:rFonts w:ascii="宋体" w:hAnsi="宋体" w:cs="宋体" w:eastAsia="宋体" w:hint="default"/>
                <w:sz w:val="18"/>
                <w:szCs w:val="18"/>
              </w:rPr>
              <w:t> </w:t>
            </w:r>
            <w:r>
              <w:rPr>
                <w:rFonts w:ascii="宋体" w:hAnsi="宋体" w:cs="宋体" w:eastAsia="宋体" w:hint="default"/>
                <w:spacing w:val="-4"/>
                <w:sz w:val="18"/>
                <w:szCs w:val="18"/>
              </w:rPr>
              <w:t>正元、实际控制人陈坚、持股</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 股东及全体董事、监事和高级管理人 员承诺：本公司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本人保证将严格履行 正元智慧首次公开发行股票并上市招 股说明书披露的承诺事项，并承诺严 </w:t>
            </w:r>
            <w:r>
              <w:rPr>
                <w:rFonts w:ascii="宋体" w:hAnsi="宋体" w:cs="宋体" w:eastAsia="宋体" w:hint="default"/>
                <w:spacing w:val="-2"/>
                <w:sz w:val="18"/>
                <w:szCs w:val="18"/>
              </w:rPr>
              <w:t>格遵守下列约束措施：</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、如果本公司</w:t>
            </w:r>
          </w:p>
          <w:p>
            <w:pPr>
              <w:pStyle w:val="TableParagraph"/>
              <w:spacing w:line="312" w:lineRule="auto" w:before="5"/>
              <w:ind w:left="22" w:right="-25"/>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本人未履行相关承诺事项，本公司</w:t>
            </w:r>
            <w:r>
              <w:rPr>
                <w:rFonts w:ascii="Times New Roman" w:hAnsi="Times New Roman" w:cs="Times New Roman" w:eastAsia="Times New Roman" w:hint="default"/>
                <w:sz w:val="18"/>
                <w:szCs w:val="18"/>
              </w:rPr>
              <w:t>/ </w:t>
            </w:r>
            <w:r>
              <w:rPr>
                <w:rFonts w:ascii="宋体" w:hAnsi="宋体" w:cs="宋体" w:eastAsia="宋体" w:hint="default"/>
                <w:sz w:val="18"/>
                <w:szCs w:val="18"/>
              </w:rPr>
              <w:t>本人将在正元智慧股东大会及中国证 监会指定报刊上公开说明未履行承诺 的具体原因并向股东和社会公众投资 者道歉。</w:t>
            </w:r>
            <w:r>
              <w:rPr>
                <w:rFonts w:ascii="Times New Roman" w:hAnsi="Times New Roman" w:cs="Times New Roman" w:eastAsia="Times New Roman" w:hint="default"/>
                <w:sz w:val="18"/>
                <w:szCs w:val="18"/>
              </w:rPr>
              <w:t>2</w:t>
            </w:r>
            <w:r>
              <w:rPr>
                <w:rFonts w:ascii="宋体" w:hAnsi="宋体" w:cs="宋体" w:eastAsia="宋体" w:hint="default"/>
                <w:sz w:val="18"/>
                <w:szCs w:val="18"/>
              </w:rPr>
              <w:t>、及时、充分披露相关承诺 未能履行、无法履行或无法按期履行 的具体原因。</w:t>
            </w:r>
            <w:r>
              <w:rPr>
                <w:rFonts w:ascii="Times New Roman" w:hAnsi="Times New Roman" w:cs="Times New Roman" w:eastAsia="Times New Roman" w:hint="default"/>
                <w:sz w:val="18"/>
                <w:szCs w:val="18"/>
              </w:rPr>
              <w:t>3</w:t>
            </w:r>
            <w:r>
              <w:rPr>
                <w:rFonts w:ascii="宋体" w:hAnsi="宋体" w:cs="宋体" w:eastAsia="宋体" w:hint="default"/>
                <w:sz w:val="18"/>
                <w:szCs w:val="18"/>
              </w:rPr>
              <w:t>、向投资者提出补充承 诺或替代承诺，以尽可能保护投资者 的权益。</w:t>
            </w:r>
            <w:r>
              <w:rPr>
                <w:rFonts w:ascii="Times New Roman" w:hAnsi="Times New Roman" w:cs="Times New Roman" w:eastAsia="Times New Roman" w:hint="default"/>
                <w:sz w:val="18"/>
                <w:szCs w:val="18"/>
              </w:rPr>
              <w:t>4</w:t>
            </w:r>
            <w:r>
              <w:rPr>
                <w:rFonts w:ascii="宋体" w:hAnsi="宋体" w:cs="宋体" w:eastAsia="宋体" w:hint="default"/>
                <w:sz w:val="18"/>
                <w:szCs w:val="18"/>
              </w:rPr>
              <w:t>、违反承诺给投资者造成损 失的，将依法对投资者进行赔偿。此 外，控股股东杭州正元、实际控制人 陈坚、持股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以上股东及全体董事、 监事和高级管理人员还承诺：因未履 行相关承诺事项而获得收入的，所得 的收入归正元智慧所有，并将在获得 收入的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日内将前述收入支付给正元 智慧指定账户；若因未履行上述承诺 事项给正元智慧或其他投资者造成损 失的，本单位</w:t>
            </w:r>
            <w:r>
              <w:rPr>
                <w:rFonts w:ascii="Times New Roman" w:hAnsi="Times New Roman" w:cs="Times New Roman" w:eastAsia="Times New Roman" w:hint="default"/>
                <w:sz w:val="18"/>
                <w:szCs w:val="18"/>
              </w:rPr>
              <w:t>/</w:t>
            </w:r>
            <w:r>
              <w:rPr>
                <w:rFonts w:ascii="宋体" w:hAnsi="宋体" w:cs="宋体" w:eastAsia="宋体" w:hint="default"/>
                <w:sz w:val="18"/>
                <w:szCs w:val="18"/>
              </w:rPr>
              <w:t>本人将向正元智慧或其 他投资者依法承担赔偿责任。</w:t>
            </w:r>
            <w:r>
              <w:rPr>
                <w:rFonts w:ascii="Times New Roman" w:hAnsi="Times New Roman" w:cs="Times New Roman" w:eastAsia="Times New Roman" w:hint="default"/>
                <w:sz w:val="18"/>
                <w:szCs w:val="18"/>
              </w:rPr>
              <w:t>"</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3"/>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3"/>
              <w:ind w:right="-7"/>
              <w:jc w:val="righ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1338" w:hRule="exact"/>
        </w:trPr>
        <w:tc>
          <w:tcPr>
            <w:tcW w:w="12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191"/>
              <w:jc w:val="both"/>
              <w:rPr>
                <w:rFonts w:ascii="宋体" w:hAnsi="宋体" w:cs="宋体" w:eastAsia="宋体" w:hint="default"/>
                <w:sz w:val="18"/>
                <w:szCs w:val="18"/>
              </w:rPr>
            </w:pPr>
            <w:r>
              <w:rPr>
                <w:rFonts w:ascii="宋体" w:hAnsi="宋体" w:cs="宋体" w:eastAsia="宋体" w:hint="default"/>
                <w:sz w:val="18"/>
                <w:szCs w:val="18"/>
              </w:rPr>
              <w:t>浙江正元智 慧科技股份 有限公司</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83"/>
              <w:jc w:val="center"/>
              <w:rPr>
                <w:rFonts w:ascii="宋体" w:hAnsi="宋体" w:cs="宋体" w:eastAsia="宋体" w:hint="default"/>
                <w:sz w:val="18"/>
                <w:szCs w:val="18"/>
              </w:rPr>
            </w:pPr>
            <w:r>
              <w:rPr>
                <w:rFonts w:ascii="宋体" w:hAnsi="宋体" w:cs="宋体" w:eastAsia="宋体" w:hint="default"/>
                <w:sz w:val="18"/>
                <w:szCs w:val="18"/>
              </w:rPr>
              <w:t>其他承诺</w:t>
            </w:r>
          </w:p>
        </w:tc>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both"/>
              <w:rPr>
                <w:rFonts w:ascii="宋体" w:hAnsi="宋体" w:cs="宋体" w:eastAsia="宋体" w:hint="default"/>
                <w:sz w:val="18"/>
                <w:szCs w:val="18"/>
              </w:rPr>
            </w:pPr>
            <w:r>
              <w:rPr>
                <w:rFonts w:ascii="宋体" w:hAnsi="宋体" w:cs="宋体" w:eastAsia="宋体" w:hint="default"/>
                <w:sz w:val="18"/>
                <w:szCs w:val="18"/>
              </w:rPr>
              <w:t>本公司不为任何激励对象依本激励计 划获取有关权益提供贷款以及其他任 何形式的财务资助，包括为其贷款提 供担保。</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7"/>
              <w:jc w:val="righ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1026" w:hRule="exact"/>
        </w:trPr>
        <w:tc>
          <w:tcPr>
            <w:tcW w:w="127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91"/>
              <w:jc w:val="both"/>
              <w:rPr>
                <w:rFonts w:ascii="宋体" w:hAnsi="宋体" w:cs="宋体" w:eastAsia="宋体" w:hint="default"/>
                <w:sz w:val="18"/>
                <w:szCs w:val="18"/>
              </w:rPr>
            </w:pPr>
            <w:r>
              <w:rPr>
                <w:rFonts w:ascii="宋体" w:hAnsi="宋体" w:cs="宋体" w:eastAsia="宋体" w:hint="default"/>
                <w:sz w:val="18"/>
                <w:szCs w:val="18"/>
              </w:rPr>
              <w:t>浙江正元智 慧科技股份 有限公司</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83"/>
              <w:jc w:val="center"/>
              <w:rPr>
                <w:rFonts w:ascii="宋体" w:hAnsi="宋体" w:cs="宋体" w:eastAsia="宋体" w:hint="default"/>
                <w:sz w:val="18"/>
                <w:szCs w:val="18"/>
              </w:rPr>
            </w:pPr>
            <w:r>
              <w:rPr>
                <w:rFonts w:ascii="宋体" w:hAnsi="宋体" w:cs="宋体" w:eastAsia="宋体" w:hint="default"/>
                <w:sz w:val="18"/>
                <w:szCs w:val="18"/>
              </w:rPr>
              <w:t>其他承诺</w:t>
            </w:r>
          </w:p>
        </w:tc>
        <w:tc>
          <w:tcPr>
            <w:tcW w:w="2993"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44"/>
              <w:jc w:val="left"/>
              <w:rPr>
                <w:rFonts w:ascii="宋体" w:hAnsi="宋体" w:cs="宋体" w:eastAsia="宋体" w:hint="default"/>
                <w:sz w:val="18"/>
                <w:szCs w:val="18"/>
              </w:rPr>
            </w:pPr>
            <w:r>
              <w:rPr>
                <w:rFonts w:ascii="宋体" w:hAnsi="宋体" w:cs="宋体" w:eastAsia="宋体" w:hint="default"/>
                <w:sz w:val="18"/>
                <w:szCs w:val="18"/>
              </w:rPr>
              <w:t>本激励计划相关信息披露文件不存在 </w:t>
            </w:r>
            <w:r>
              <w:rPr>
                <w:rFonts w:ascii="宋体" w:hAnsi="宋体" w:cs="宋体" w:eastAsia="宋体" w:hint="default"/>
                <w:spacing w:val="-5"/>
                <w:sz w:val="18"/>
                <w:szCs w:val="18"/>
              </w:rPr>
              <w:t>虚假记载、误导性陈述或者重大遗漏。</w:t>
            </w:r>
            <w:r>
              <w:rPr>
                <w:rFonts w:ascii="宋体" w:hAnsi="宋体" w:cs="宋体" w:eastAsia="宋体" w:hint="default"/>
                <w:sz w:val="18"/>
                <w:szCs w:val="18"/>
              </w:rPr>
            </w:r>
          </w:p>
        </w:tc>
        <w:tc>
          <w:tcPr>
            <w:tcW w:w="1126"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352" w:lineRule="exact"/>
              <w:ind w:left="11" w:right="-28"/>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
                <w:sz w:val="20"/>
                <w:szCs w:val="20"/>
              </w:rPr>
              <w:pict>
                <v:group style="width:53.55pt;height:17.650pt;mso-position-horizontal-relative:char;mso-position-vertical-relative:line" coordorigin="0,0" coordsize="1071,353">
                  <v:group style="position:absolute;left:0;top:0;width:1071;height:353" coordorigin="0,0" coordsize="1071,353">
                    <v:shape style="position:absolute;left:0;top:0;width:1071;height:353" coordorigin="0,0" coordsize="1071,353" path="m0,353l1071,353,1071,0,0,0,0,353xe" filled="true" fillcolor="#ffffff" stroked="false">
                      <v:path arrowok="t"/>
                      <v:fill type="solid"/>
                    </v:shape>
                  </v:group>
                </v:group>
              </w:pict>
            </w:r>
            <w:r>
              <w:rPr>
                <w:rFonts w:ascii="Times New Roman" w:hAnsi="Times New Roman" w:cs="Times New Roman" w:eastAsia="Times New Roman" w:hint="default"/>
                <w:position w:val="-6"/>
                <w:sz w:val="20"/>
                <w:szCs w:val="20"/>
              </w:rPr>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7"/>
              <w:jc w:val="righ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674"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其他对公司中 小股东所作承</w:t>
            </w:r>
          </w:p>
        </w:tc>
        <w:tc>
          <w:tcPr>
            <w:tcW w:w="1126"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2993"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1253"/>
        <w:gridCol w:w="1137"/>
        <w:gridCol w:w="859"/>
        <w:gridCol w:w="2993"/>
        <w:gridCol w:w="1126"/>
        <w:gridCol w:w="1121"/>
        <w:gridCol w:w="1096"/>
      </w:tblGrid>
      <w:tr>
        <w:trPr>
          <w:trHeight w:val="362"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诺</w:t>
            </w:r>
          </w:p>
        </w:tc>
        <w:tc>
          <w:tcPr>
            <w:tcW w:w="1137" w:type="dxa"/>
            <w:tcBorders>
              <w:top w:val="single" w:sz="4" w:space="0" w:color="000000"/>
              <w:left w:val="single" w:sz="13" w:space="0" w:color="D2D2D2"/>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2993"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25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 w:right="150"/>
              <w:jc w:val="left"/>
              <w:rPr>
                <w:rFonts w:ascii="宋体" w:hAnsi="宋体" w:cs="宋体" w:eastAsia="宋体" w:hint="default"/>
                <w:sz w:val="18"/>
                <w:szCs w:val="18"/>
              </w:rPr>
            </w:pPr>
            <w:r>
              <w:rPr>
                <w:rFonts w:ascii="宋体" w:hAnsi="宋体" w:cs="宋体" w:eastAsia="宋体" w:hint="default"/>
                <w:sz w:val="18"/>
                <w:szCs w:val="18"/>
              </w:rPr>
              <w:t>承诺是否按时 履行</w:t>
            </w:r>
          </w:p>
        </w:tc>
        <w:tc>
          <w:tcPr>
            <w:tcW w:w="1137" w:type="dxa"/>
            <w:vMerge w:val="restart"/>
            <w:tcBorders>
              <w:top w:val="single" w:sz="4" w:space="0" w:color="000000"/>
              <w:left w:val="single" w:sz="13" w:space="0" w:color="D2D2D2"/>
              <w:right w:val="single" w:sz="9" w:space="0" w:color="D2D2D2"/>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9" w:type="dxa"/>
            <w:tcBorders>
              <w:top w:val="single" w:sz="4" w:space="0" w:color="000000"/>
              <w:left w:val="single" w:sz="4" w:space="0" w:color="000000"/>
              <w:bottom w:val="nil" w:sz="6" w:space="0" w:color="auto"/>
              <w:right w:val="single" w:sz="4" w:space="0" w:color="000000"/>
            </w:tcBorders>
            <w:shd w:val="clear" w:color="auto" w:fill="D2D2D2"/>
          </w:tcPr>
          <w:p>
            <w:pPr/>
          </w:p>
        </w:tc>
        <w:tc>
          <w:tcPr>
            <w:tcW w:w="2993" w:type="dxa"/>
            <w:tcBorders>
              <w:top w:val="single" w:sz="4" w:space="0" w:color="000000"/>
              <w:left w:val="single" w:sz="4" w:space="0" w:color="000000"/>
              <w:bottom w:val="nil" w:sz="6" w:space="0" w:color="auto"/>
              <w:right w:val="single" w:sz="4" w:space="0" w:color="000000"/>
            </w:tcBorders>
            <w:shd w:val="clear" w:color="auto" w:fill="D2D2D2"/>
          </w:tcPr>
          <w:p>
            <w:pPr/>
          </w:p>
        </w:tc>
        <w:tc>
          <w:tcPr>
            <w:tcW w:w="112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21" w:type="dxa"/>
            <w:tcBorders>
              <w:top w:val="single" w:sz="4" w:space="0" w:color="000000"/>
              <w:left w:val="single" w:sz="4" w:space="0" w:color="000000"/>
              <w:bottom w:val="nil" w:sz="6" w:space="0" w:color="auto"/>
              <w:right w:val="single" w:sz="4" w:space="0" w:color="000000"/>
            </w:tcBorders>
            <w:shd w:val="clear" w:color="auto" w:fill="D2D2D2"/>
          </w:tcPr>
          <w:p>
            <w:pPr/>
          </w:p>
        </w:tc>
        <w:tc>
          <w:tcPr>
            <w:tcW w:w="109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253" w:type="dxa"/>
            <w:vMerge/>
            <w:tcBorders>
              <w:left w:val="single" w:sz="4" w:space="0" w:color="000000"/>
              <w:right w:val="single" w:sz="4" w:space="0" w:color="000000"/>
            </w:tcBorders>
            <w:shd w:val="clear" w:color="auto" w:fill="D2D2D2"/>
          </w:tcPr>
          <w:p>
            <w:pPr/>
          </w:p>
        </w:tc>
        <w:tc>
          <w:tcPr>
            <w:tcW w:w="1137" w:type="dxa"/>
            <w:vMerge/>
            <w:tcBorders>
              <w:left w:val="single" w:sz="13" w:space="0" w:color="D2D2D2"/>
              <w:right w:val="single" w:sz="9" w:space="0" w:color="D2D2D2"/>
            </w:tcBorders>
          </w:tcPr>
          <w:p>
            <w:pPr/>
          </w:p>
        </w:tc>
        <w:tc>
          <w:tcPr>
            <w:tcW w:w="859" w:type="dxa"/>
            <w:tcBorders>
              <w:top w:val="nil" w:sz="6" w:space="0" w:color="auto"/>
              <w:left w:val="single" w:sz="4" w:space="0" w:color="000000"/>
              <w:bottom w:val="nil" w:sz="6" w:space="0" w:color="auto"/>
              <w:right w:val="single" w:sz="4" w:space="0" w:color="000000"/>
            </w:tcBorders>
            <w:shd w:val="clear" w:color="auto" w:fill="D2D2D2"/>
          </w:tcPr>
          <w:p>
            <w:pPr/>
          </w:p>
        </w:tc>
        <w:tc>
          <w:tcPr>
            <w:tcW w:w="2993" w:type="dxa"/>
            <w:tcBorders>
              <w:top w:val="nil" w:sz="6" w:space="0" w:color="auto"/>
              <w:left w:val="single" w:sz="4" w:space="0" w:color="000000"/>
              <w:bottom w:val="nil" w:sz="6" w:space="0" w:color="auto"/>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shd w:val="clear" w:color="auto" w:fill="D2D2D2"/>
          </w:tcPr>
          <w:p>
            <w:pPr/>
          </w:p>
        </w:tc>
        <w:tc>
          <w:tcPr>
            <w:tcW w:w="1121" w:type="dxa"/>
            <w:tcBorders>
              <w:top w:val="nil" w:sz="6" w:space="0" w:color="auto"/>
              <w:left w:val="single" w:sz="4" w:space="0" w:color="000000"/>
              <w:bottom w:val="nil" w:sz="6" w:space="0" w:color="auto"/>
              <w:right w:val="single" w:sz="4" w:space="0" w:color="000000"/>
            </w:tcBorders>
            <w:shd w:val="clear" w:color="auto" w:fill="D2D2D2"/>
          </w:tcPr>
          <w:p>
            <w:pPr/>
          </w:p>
        </w:tc>
        <w:tc>
          <w:tcPr>
            <w:tcW w:w="1096" w:type="dxa"/>
            <w:tcBorders>
              <w:top w:val="nil" w:sz="6" w:space="0" w:color="auto"/>
              <w:left w:val="single" w:sz="4" w:space="0" w:color="000000"/>
              <w:bottom w:val="nil" w:sz="6" w:space="0" w:color="auto"/>
              <w:right w:val="single" w:sz="4" w:space="0" w:color="000000"/>
            </w:tcBorders>
            <w:shd w:val="clear" w:color="auto" w:fill="D2D2D2"/>
          </w:tcPr>
          <w:p>
            <w:pPr/>
          </w:p>
        </w:tc>
      </w:tr>
      <w:tr>
        <w:trPr>
          <w:trHeight w:val="161" w:hRule="exact"/>
        </w:trPr>
        <w:tc>
          <w:tcPr>
            <w:tcW w:w="1253" w:type="dxa"/>
            <w:vMerge/>
            <w:tcBorders>
              <w:left w:val="single" w:sz="4" w:space="0" w:color="000000"/>
              <w:bottom w:val="single" w:sz="4" w:space="0" w:color="000000"/>
              <w:right w:val="single" w:sz="4" w:space="0" w:color="000000"/>
            </w:tcBorders>
            <w:shd w:val="clear" w:color="auto" w:fill="D2D2D2"/>
          </w:tcPr>
          <w:p>
            <w:pPr/>
          </w:p>
        </w:tc>
        <w:tc>
          <w:tcPr>
            <w:tcW w:w="1137" w:type="dxa"/>
            <w:vMerge/>
            <w:tcBorders>
              <w:left w:val="single" w:sz="13" w:space="0" w:color="D2D2D2"/>
              <w:bottom w:val="single" w:sz="4" w:space="0" w:color="000000"/>
              <w:right w:val="single" w:sz="9" w:space="0" w:color="D2D2D2"/>
            </w:tcBorders>
          </w:tcPr>
          <w:p>
            <w:pPr/>
          </w:p>
        </w:tc>
        <w:tc>
          <w:tcPr>
            <w:tcW w:w="859" w:type="dxa"/>
            <w:tcBorders>
              <w:top w:val="nil" w:sz="6" w:space="0" w:color="auto"/>
              <w:left w:val="single" w:sz="4" w:space="0" w:color="000000"/>
              <w:bottom w:val="single" w:sz="4" w:space="0" w:color="000000"/>
              <w:right w:val="single" w:sz="4" w:space="0" w:color="000000"/>
            </w:tcBorders>
            <w:shd w:val="clear" w:color="auto" w:fill="D2D2D2"/>
          </w:tcPr>
          <w:p>
            <w:pPr/>
          </w:p>
        </w:tc>
        <w:tc>
          <w:tcPr>
            <w:tcW w:w="2993" w:type="dxa"/>
            <w:tcBorders>
              <w:top w:val="nil" w:sz="6" w:space="0" w:color="auto"/>
              <w:left w:val="single" w:sz="4" w:space="0" w:color="000000"/>
              <w:bottom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21" w:type="dxa"/>
            <w:tcBorders>
              <w:top w:val="nil" w:sz="6" w:space="0" w:color="auto"/>
              <w:left w:val="single" w:sz="4" w:space="0" w:color="000000"/>
              <w:bottom w:val="single" w:sz="4" w:space="0" w:color="000000"/>
              <w:right w:val="single" w:sz="4" w:space="0" w:color="000000"/>
            </w:tcBorders>
            <w:shd w:val="clear" w:color="auto" w:fill="D2D2D2"/>
          </w:tcPr>
          <w:p>
            <w:pPr/>
          </w:p>
        </w:tc>
        <w:tc>
          <w:tcPr>
            <w:tcW w:w="109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332" w:type="dxa"/>
            <w:gridSpan w:val="6"/>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10"/>
        <w:rPr>
          <w:rFonts w:ascii="Times New Roman" w:hAnsi="Times New Roman" w:cs="Times New Roman" w:eastAsia="Times New Roman" w:hint="default"/>
          <w:sz w:val="21"/>
          <w:szCs w:val="21"/>
        </w:rPr>
      </w:pPr>
    </w:p>
    <w:p>
      <w:pPr>
        <w:spacing w:line="259" w:lineRule="auto" w:before="35"/>
        <w:ind w:left="154" w:right="0" w:firstLine="0"/>
        <w:jc w:val="left"/>
        <w:rPr>
          <w:rFonts w:ascii="宋体" w:hAnsi="宋体" w:cs="宋体" w:eastAsia="宋体" w:hint="default"/>
          <w:sz w:val="21"/>
          <w:szCs w:val="21"/>
        </w:rPr>
      </w:pPr>
      <w:bookmarkStart w:name="2、公司资产或项目存在盈利预测，且报告期仍处在盈利预测期间，公司就资产或项目达到" w:id="65"/>
      <w:bookmarkEnd w:id="65"/>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、公司资产或项目存在盈利预测，且报告期仍处在盈利预测期间，公司就资产或项目达到原盈利预测及</w:t>
      </w:r>
      <w:r>
        <w:rPr>
          <w:rFonts w:ascii="宋体" w:hAnsi="宋体" w:cs="宋体" w:eastAsia="宋体" w:hint="default"/>
          <w:b/>
          <w:bCs/>
          <w:spacing w:val="-74"/>
          <w:sz w:val="21"/>
          <w:szCs w:val="21"/>
        </w:rPr>
        <w:t> </w:t>
      </w:r>
      <w:r>
        <w:rPr>
          <w:rFonts w:ascii="宋体" w:hAnsi="宋体" w:cs="宋体" w:eastAsia="宋体" w:hint="default"/>
          <w:b/>
          <w:bCs/>
          <w:spacing w:val="-74"/>
          <w:sz w:val="21"/>
          <w:szCs w:val="21"/>
        </w:rPr>
      </w:r>
      <w:r>
        <w:rPr>
          <w:rFonts w:ascii="宋体" w:hAnsi="宋体" w:cs="宋体" w:eastAsia="宋体" w:hint="default"/>
          <w:b/>
          <w:bCs/>
          <w:sz w:val="21"/>
          <w:szCs w:val="21"/>
        </w:rPr>
        <w:t>其原因做出说明</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both"/>
        <w:rPr>
          <w:b w:val="0"/>
          <w:bCs w:val="0"/>
        </w:rPr>
      </w:pPr>
      <w:bookmarkStart w:name="三、控股股东及其关联方对上市公司的非经营性占用资金情况" w:id="66"/>
      <w:bookmarkEnd w:id="66"/>
      <w:r>
        <w:rPr>
          <w:b w:val="0"/>
          <w:bCs w:val="0"/>
        </w:rPr>
      </w:r>
      <w:r>
        <w:rPr/>
        <w:t>三、控股股东及其关联方对上市公司的非经营性占用资金情况</w:t>
      </w:r>
      <w:r>
        <w:rPr>
          <w:b w:val="0"/>
          <w:bCs w:val="0"/>
        </w:rPr>
      </w:r>
    </w:p>
    <w:p>
      <w:pPr>
        <w:spacing w:line="240" w:lineRule="auto" w:before="9"/>
        <w:rPr>
          <w:rFonts w:ascii="宋体" w:hAnsi="宋体" w:cs="宋体" w:eastAsia="宋体" w:hint="default"/>
          <w:b/>
          <w:bCs/>
          <w:sz w:val="26"/>
          <w:szCs w:val="26"/>
        </w:rPr>
      </w:pPr>
    </w:p>
    <w:p>
      <w:pPr>
        <w:spacing w:line="340" w:lineRule="auto" w:before="0"/>
        <w:ind w:left="154" w:right="49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公司报告期不存在控股股东及其关联方对上市公司的非经营性占用资金。</w:t>
      </w:r>
    </w:p>
    <w:p>
      <w:pPr>
        <w:spacing w:line="240" w:lineRule="auto" w:before="3"/>
        <w:rPr>
          <w:rFonts w:ascii="宋体" w:hAnsi="宋体" w:cs="宋体" w:eastAsia="宋体" w:hint="default"/>
          <w:sz w:val="19"/>
          <w:szCs w:val="19"/>
        </w:rPr>
      </w:pPr>
    </w:p>
    <w:p>
      <w:pPr>
        <w:pStyle w:val="Heading2"/>
        <w:spacing w:line="240" w:lineRule="auto"/>
        <w:ind w:right="0"/>
        <w:jc w:val="both"/>
        <w:rPr>
          <w:b w:val="0"/>
          <w:bCs w:val="0"/>
        </w:rPr>
      </w:pPr>
      <w:bookmarkStart w:name="四、董事会对最近一期“非标准审计报告”相关情况的说明" w:id="67"/>
      <w:bookmarkEnd w:id="67"/>
      <w:r>
        <w:rPr>
          <w:b w:val="0"/>
          <w:bCs w:val="0"/>
        </w:rPr>
      </w: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spacing w:line="240" w:lineRule="auto" w:before="4"/>
        <w:rPr>
          <w:rFonts w:ascii="宋体" w:hAnsi="宋体" w:cs="宋体" w:eastAsia="宋体" w:hint="default"/>
          <w:b/>
          <w:bCs/>
          <w:sz w:val="25"/>
          <w:szCs w:val="25"/>
        </w:rPr>
      </w:pPr>
    </w:p>
    <w:p>
      <w:pPr>
        <w:spacing w:before="0"/>
        <w:ind w:left="15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both"/>
        <w:rPr>
          <w:b w:val="0"/>
          <w:bCs w:val="0"/>
        </w:rPr>
      </w:pPr>
      <w:bookmarkStart w:name="五、董事会、监事会、独立董事（如有）对会计师事务所本报告期“非标准审计报告”的说" w:id="68"/>
      <w:bookmarkEnd w:id="68"/>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4"/>
        <w:rPr>
          <w:rFonts w:ascii="宋体" w:hAnsi="宋体" w:cs="宋体" w:eastAsia="宋体" w:hint="default"/>
          <w:b/>
          <w:bCs/>
          <w:sz w:val="25"/>
          <w:szCs w:val="25"/>
        </w:rPr>
      </w:pPr>
    </w:p>
    <w:p>
      <w:pPr>
        <w:spacing w:before="0"/>
        <w:ind w:left="15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3"/>
          <w:szCs w:val="23"/>
        </w:rPr>
      </w:pPr>
    </w:p>
    <w:p>
      <w:pPr>
        <w:pStyle w:val="Heading2"/>
        <w:spacing w:line="240" w:lineRule="auto"/>
        <w:ind w:right="0"/>
        <w:jc w:val="both"/>
        <w:rPr>
          <w:b w:val="0"/>
          <w:bCs w:val="0"/>
        </w:rPr>
      </w:pPr>
      <w:bookmarkStart w:name="六、董事会关于报告期会计政策、会计估计变更或重大会计差错更正的说明" w:id="69"/>
      <w:bookmarkEnd w:id="69"/>
      <w:r>
        <w:rPr>
          <w:b w:val="0"/>
          <w:bCs w:val="0"/>
        </w:rPr>
      </w:r>
      <w:r>
        <w:rPr/>
        <w:t>六、董事会关于报告期会计政策、会计估计变更或重大会计差错更正的说明</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2"/>
          <w:szCs w:val="12"/>
        </w:rPr>
      </w:pPr>
    </w:p>
    <w:p>
      <w:pPr>
        <w:pStyle w:val="BodyText"/>
        <w:spacing w:line="357" w:lineRule="auto" w:before="0"/>
        <w:ind w:left="634" w:right="1032"/>
        <w:jc w:val="left"/>
      </w:pPr>
      <w:r>
        <w:rPr>
          <w:rFonts w:ascii="宋体" w:hAnsi="宋体" w:cs="宋体" w:eastAsia="宋体" w:hint="default"/>
        </w:rPr>
        <w:t>1</w:t>
      </w:r>
      <w:r>
        <w:rPr/>
        <w:t>、变更原因 财政部于</w:t>
      </w:r>
      <w:r>
        <w:rPr>
          <w:rFonts w:ascii="宋体" w:hAnsi="宋体" w:cs="宋体" w:eastAsia="宋体" w:hint="default"/>
        </w:rPr>
        <w:t>2018</w:t>
      </w:r>
      <w:r>
        <w:rPr/>
        <w:t>年</w:t>
      </w:r>
      <w:r>
        <w:rPr>
          <w:rFonts w:ascii="宋体" w:hAnsi="宋体" w:cs="宋体" w:eastAsia="宋体" w:hint="default"/>
        </w:rPr>
        <w:t>6</w:t>
      </w:r>
      <w:r>
        <w:rPr/>
        <w:t>月</w:t>
      </w:r>
      <w:r>
        <w:rPr>
          <w:rFonts w:ascii="宋体" w:hAnsi="宋体" w:cs="宋体" w:eastAsia="宋体" w:hint="default"/>
        </w:rPr>
        <w:t>15</w:t>
      </w:r>
      <w:r>
        <w:rPr/>
        <w:t>日颁布了《关于修订印发</w:t>
      </w:r>
      <w:r>
        <w:rPr>
          <w:rFonts w:ascii="宋体" w:hAnsi="宋体" w:cs="宋体" w:eastAsia="宋体" w:hint="default"/>
        </w:rPr>
        <w:t>2018</w:t>
      </w:r>
      <w:r>
        <w:rPr/>
        <w:t>年度一般企业财务报表格式的通知》</w:t>
      </w:r>
    </w:p>
    <w:p>
      <w:pPr>
        <w:pStyle w:val="BodyText"/>
        <w:spacing w:line="240" w:lineRule="auto"/>
        <w:ind w:right="0"/>
        <w:jc w:val="both"/>
      </w:pPr>
      <w:r>
        <w:rPr>
          <w:rFonts w:ascii="宋体" w:hAnsi="宋体" w:cs="宋体" w:eastAsia="宋体" w:hint="default"/>
          <w:spacing w:val="-5"/>
        </w:rPr>
        <w:t>(</w:t>
      </w:r>
      <w:r>
        <w:rPr>
          <w:spacing w:val="-5"/>
        </w:rPr>
        <w:t>财会</w:t>
      </w:r>
      <w:r>
        <w:rPr>
          <w:rFonts w:ascii="宋体" w:hAnsi="宋体" w:cs="宋体" w:eastAsia="宋体" w:hint="default"/>
          <w:spacing w:val="-5"/>
        </w:rPr>
        <w:t>[2018]15</w:t>
      </w:r>
      <w:r>
        <w:rPr>
          <w:spacing w:val="-5"/>
        </w:rPr>
        <w:t>号），于</w:t>
      </w:r>
      <w:r>
        <w:rPr>
          <w:rFonts w:ascii="宋体" w:hAnsi="宋体" w:cs="宋体" w:eastAsia="宋体" w:hint="default"/>
          <w:spacing w:val="-5"/>
        </w:rPr>
        <w:t>2017</w:t>
      </w:r>
      <w:r>
        <w:rPr>
          <w:spacing w:val="-5"/>
        </w:rPr>
        <w:t>年</w:t>
      </w:r>
      <w:r>
        <w:rPr>
          <w:rFonts w:ascii="宋体" w:hAnsi="宋体" w:cs="宋体" w:eastAsia="宋体" w:hint="default"/>
          <w:spacing w:val="-5"/>
        </w:rPr>
        <w:t>12</w:t>
      </w:r>
      <w:r>
        <w:rPr>
          <w:spacing w:val="-5"/>
        </w:rPr>
        <w:t>月</w:t>
      </w:r>
      <w:r>
        <w:rPr>
          <w:rFonts w:ascii="宋体" w:hAnsi="宋体" w:cs="宋体" w:eastAsia="宋体" w:hint="default"/>
          <w:spacing w:val="-5"/>
        </w:rPr>
        <w:t>25</w:t>
      </w:r>
      <w:r>
        <w:rPr>
          <w:spacing w:val="-5"/>
        </w:rPr>
        <w:t>日发布的《关于修订印发一般企业财务报表格式的通知》</w:t>
      </w:r>
    </w:p>
    <w:p>
      <w:pPr>
        <w:pStyle w:val="BodyText"/>
        <w:spacing w:line="357" w:lineRule="auto" w:before="154"/>
        <w:ind w:left="634" w:right="1114" w:hanging="480"/>
        <w:jc w:val="left"/>
      </w:pPr>
      <w:r>
        <w:rPr/>
        <w:t>（财会</w:t>
      </w:r>
      <w:r>
        <w:rPr>
          <w:rFonts w:ascii="宋体" w:hAnsi="宋体" w:cs="宋体" w:eastAsia="宋体" w:hint="default"/>
        </w:rPr>
        <w:t>[2017]30</w:t>
      </w:r>
      <w:r>
        <w:rPr/>
        <w:t>号）同时废止。 </w:t>
      </w:r>
      <w:r>
        <w:rPr>
          <w:spacing w:val="-2"/>
        </w:rPr>
        <w:t>国家财政部于</w:t>
      </w:r>
      <w:r>
        <w:rPr>
          <w:rFonts w:ascii="宋体" w:hAnsi="宋体" w:cs="宋体" w:eastAsia="宋体" w:hint="default"/>
          <w:spacing w:val="-2"/>
        </w:rPr>
        <w:t>2017</w:t>
      </w:r>
      <w:r>
        <w:rPr>
          <w:spacing w:val="-2"/>
        </w:rPr>
        <w:t>年度颁布了《企业会计准则解释第</w:t>
      </w:r>
      <w:r>
        <w:rPr>
          <w:rFonts w:ascii="宋体" w:hAnsi="宋体" w:cs="宋体" w:eastAsia="宋体" w:hint="default"/>
          <w:spacing w:val="-2"/>
        </w:rPr>
        <w:t>9</w:t>
      </w:r>
      <w:r>
        <w:rPr>
          <w:spacing w:val="-2"/>
        </w:rPr>
        <w:t>号——关于权益法下投资净损失的</w:t>
      </w:r>
    </w:p>
    <w:p>
      <w:pPr>
        <w:pStyle w:val="BodyText"/>
        <w:spacing w:line="357" w:lineRule="auto"/>
        <w:ind w:right="1130"/>
        <w:jc w:val="both"/>
      </w:pPr>
      <w:r>
        <w:rPr/>
        <w:t>会计处理</w:t>
      </w:r>
      <w:r>
        <w:rPr>
          <w:spacing w:val="-161"/>
        </w:rPr>
        <w:t>》</w:t>
      </w:r>
      <w:r>
        <w:rPr/>
        <w:t>（财会</w:t>
      </w:r>
      <w:r>
        <w:rPr>
          <w:rFonts w:ascii="宋体" w:hAnsi="宋体" w:cs="宋体" w:eastAsia="宋体" w:hint="default"/>
        </w:rPr>
        <w:t>[2017]16</w:t>
      </w:r>
      <w:r>
        <w:rPr/>
        <w:t>号</w:t>
      </w:r>
      <w:r>
        <w:rPr>
          <w:spacing w:val="-120"/>
        </w:rPr>
        <w:t>）</w:t>
      </w:r>
      <w:r>
        <w:rPr>
          <w:spacing w:val="-161"/>
        </w:rPr>
        <w:t>、</w:t>
      </w:r>
      <w:r>
        <w:rPr/>
        <w:t>《企业会计准则解释第</w:t>
      </w:r>
      <w:r>
        <w:rPr>
          <w:rFonts w:ascii="宋体" w:hAnsi="宋体" w:cs="宋体" w:eastAsia="宋体" w:hint="default"/>
        </w:rPr>
        <w:t>10</w:t>
      </w:r>
      <w:r>
        <w:rPr/>
        <w:t>号——关于以使用固定资产产生的收 入为基础的折旧方法</w:t>
      </w:r>
      <w:r>
        <w:rPr>
          <w:spacing w:val="-161"/>
        </w:rPr>
        <w:t>》</w:t>
      </w:r>
      <w:r>
        <w:rPr/>
        <w:t>（财会</w:t>
      </w:r>
      <w:r>
        <w:rPr>
          <w:rFonts w:ascii="宋体" w:hAnsi="宋体" w:cs="宋体" w:eastAsia="宋体" w:hint="default"/>
        </w:rPr>
        <w:t>[2017]17</w:t>
      </w:r>
      <w:r>
        <w:rPr/>
        <w:t>号</w:t>
      </w:r>
      <w:r>
        <w:rPr>
          <w:spacing w:val="-120"/>
        </w:rPr>
        <w:t>）</w:t>
      </w:r>
      <w:r>
        <w:rPr>
          <w:spacing w:val="-161"/>
        </w:rPr>
        <w:t>、</w:t>
      </w:r>
      <w:r>
        <w:rPr/>
        <w:t>《企业会计准则解释第</w:t>
      </w:r>
      <w:r>
        <w:rPr>
          <w:rFonts w:ascii="宋体" w:hAnsi="宋体" w:cs="宋体" w:eastAsia="宋体" w:hint="default"/>
        </w:rPr>
        <w:t>11</w:t>
      </w:r>
      <w:r>
        <w:rPr/>
        <w:t>号——关于以使用无形资 产产生的收入为基础的摊销方法</w:t>
      </w:r>
      <w:r>
        <w:rPr>
          <w:spacing w:val="-148"/>
        </w:rPr>
        <w:t>》</w:t>
      </w:r>
      <w:r>
        <w:rPr/>
        <w:t>（财会</w:t>
      </w:r>
      <w:r>
        <w:rPr>
          <w:rFonts w:ascii="宋体" w:hAnsi="宋体" w:cs="宋体" w:eastAsia="宋体" w:hint="default"/>
        </w:rPr>
        <w:t>[2017]18</w:t>
      </w:r>
      <w:r>
        <w:rPr/>
        <w:t>号</w:t>
      </w:r>
      <w:r>
        <w:rPr>
          <w:spacing w:val="-28"/>
        </w:rPr>
        <w:t>）及</w:t>
      </w:r>
      <w:r>
        <w:rPr/>
        <w:t>《企业会计准则解释第</w:t>
      </w:r>
      <w:r>
        <w:rPr>
          <w:rFonts w:ascii="宋体" w:hAnsi="宋体" w:cs="宋体" w:eastAsia="宋体" w:hint="default"/>
        </w:rPr>
        <w:t>12</w:t>
      </w:r>
      <w:r>
        <w:rPr/>
        <w:t>号——关于 关键管理人员服务的提供方与接受方是否为关联方</w:t>
      </w:r>
      <w:r>
        <w:rPr>
          <w:spacing w:val="-119"/>
        </w:rPr>
        <w:t>》</w:t>
      </w:r>
      <w:r>
        <w:rPr/>
        <w:t>（财</w:t>
      </w:r>
      <w:r>
        <w:rPr>
          <w:spacing w:val="6"/>
        </w:rPr>
        <w:t>会</w:t>
      </w:r>
      <w:r>
        <w:rPr>
          <w:rFonts w:ascii="宋体" w:hAnsi="宋体" w:cs="宋体" w:eastAsia="宋体" w:hint="default"/>
        </w:rPr>
        <w:t>[2017]1</w:t>
      </w:r>
      <w:r>
        <w:rPr>
          <w:rFonts w:ascii="宋体" w:hAnsi="宋体" w:cs="宋体" w:eastAsia="宋体" w:hint="default"/>
          <w:spacing w:val="1"/>
        </w:rPr>
        <w:t>9</w:t>
      </w:r>
      <w:r>
        <w:rPr/>
        <w:t>号</w:t>
      </w:r>
      <w:r>
        <w:rPr>
          <w:spacing w:val="-119"/>
        </w:rPr>
        <w:t>）</w:t>
      </w:r>
      <w:r>
        <w:rPr/>
        <w:t>（以上四项统称“四</w:t>
      </w:r>
      <w:r>
        <w:rPr/>
        <w:t> 项会计准则解释</w:t>
      </w:r>
      <w:r>
        <w:rPr>
          <w:spacing w:val="-120"/>
        </w:rPr>
        <w:t>”）</w:t>
      </w:r>
      <w:r>
        <w:rPr/>
        <w:t>，并要求企业自</w:t>
      </w:r>
      <w:r>
        <w:rPr>
          <w:rFonts w:ascii="宋体" w:hAnsi="宋体" w:cs="宋体" w:eastAsia="宋体" w:hint="default"/>
        </w:rPr>
        <w:t>2018</w:t>
      </w:r>
      <w:r>
        <w:rPr/>
        <w:t>年</w:t>
      </w:r>
      <w:r>
        <w:rPr>
          <w:rFonts w:ascii="宋体" w:hAnsi="宋体" w:cs="宋体" w:eastAsia="宋体" w:hint="default"/>
        </w:rPr>
        <w:t>1</w:t>
      </w:r>
      <w:r>
        <w:rPr/>
        <w:t>月</w:t>
      </w:r>
      <w:r>
        <w:rPr>
          <w:rFonts w:ascii="宋体" w:hAnsi="宋体" w:cs="宋体" w:eastAsia="宋体" w:hint="default"/>
        </w:rPr>
        <w:t>1</w:t>
      </w:r>
      <w:r>
        <w:rPr/>
        <w:t>日起施行上述四项解释。</w:t>
      </w:r>
    </w:p>
    <w:p>
      <w:pPr>
        <w:pStyle w:val="BodyText"/>
        <w:spacing w:line="240" w:lineRule="auto"/>
        <w:ind w:left="636" w:right="0"/>
        <w:jc w:val="left"/>
      </w:pPr>
      <w:r>
        <w:rPr>
          <w:rFonts w:ascii="宋体" w:hAnsi="宋体" w:cs="宋体" w:eastAsia="宋体" w:hint="default"/>
        </w:rPr>
        <w:t>2</w:t>
      </w:r>
      <w:r>
        <w:rPr/>
        <w:t>、会计政策变更对公司的影响</w:t>
      </w:r>
    </w:p>
    <w:p>
      <w:pPr>
        <w:spacing w:after="0" w:line="240" w:lineRule="auto"/>
        <w:jc w:val="left"/>
        <w:sectPr>
          <w:pgSz w:w="11910" w:h="16840"/>
          <w:pgMar w:header="747" w:footer="979" w:top="1060" w:bottom="1160" w:left="980" w:right="0"/>
        </w:sectPr>
      </w:pPr>
    </w:p>
    <w:p>
      <w:pPr>
        <w:spacing w:line="240" w:lineRule="auto" w:before="7"/>
        <w:rPr>
          <w:rFonts w:ascii="宋体" w:hAnsi="宋体" w:cs="宋体" w:eastAsia="宋体" w:hint="default"/>
          <w:sz w:val="29"/>
          <w:szCs w:val="29"/>
        </w:rPr>
      </w:pPr>
    </w:p>
    <w:p>
      <w:pPr>
        <w:pStyle w:val="BodyText"/>
        <w:spacing w:line="357" w:lineRule="auto" w:before="26"/>
        <w:ind w:left="194" w:right="472" w:firstLine="480"/>
        <w:jc w:val="left"/>
      </w:pPr>
      <w:r>
        <w:rPr/>
        <w:t>根据财会</w:t>
      </w:r>
      <w:r>
        <w:rPr>
          <w:rFonts w:ascii="宋体" w:hAnsi="宋体" w:cs="宋体" w:eastAsia="宋体" w:hint="default"/>
        </w:rPr>
        <w:t>[2018]15</w:t>
      </w:r>
      <w:r>
        <w:rPr/>
        <w:t>号文件的要求，公司调整以下财务报表项目的列示，并对可比会计期 间的比较数据进行相应调整：</w:t>
      </w:r>
    </w:p>
    <w:p>
      <w:pPr>
        <w:pStyle w:val="BodyText"/>
        <w:spacing w:line="240" w:lineRule="auto"/>
        <w:ind w:left="674" w:right="472"/>
        <w:jc w:val="left"/>
      </w:pPr>
      <w:r>
        <w:rPr>
          <w:rFonts w:ascii="宋体" w:hAnsi="宋体" w:cs="宋体" w:eastAsia="宋体" w:hint="default"/>
        </w:rPr>
        <w:t>1</w:t>
      </w:r>
      <w:r>
        <w:rPr/>
        <w:t>）原“应收票据”和“应收账款”项目合并计入新增的“应收票据及应收账款”项目；</w:t>
      </w:r>
    </w:p>
    <w:p>
      <w:pPr>
        <w:pStyle w:val="BodyText"/>
        <w:spacing w:line="240" w:lineRule="auto" w:before="154"/>
        <w:ind w:left="674" w:right="472"/>
        <w:jc w:val="left"/>
      </w:pPr>
      <w:r>
        <w:rPr>
          <w:rFonts w:ascii="宋体" w:hAnsi="宋体" w:cs="宋体" w:eastAsia="宋体" w:hint="default"/>
          <w:spacing w:val="-6"/>
        </w:rPr>
        <w:t>2</w:t>
      </w:r>
      <w:r>
        <w:rPr>
          <w:spacing w:val="-6"/>
        </w:rPr>
        <w:t>）原“应收利息”、“应收股利”和“其他应收款”项目合并计入“其他应收款”项目；</w:t>
      </w:r>
    </w:p>
    <w:p>
      <w:pPr>
        <w:pStyle w:val="BodyText"/>
        <w:spacing w:line="240" w:lineRule="auto" w:before="154"/>
        <w:ind w:left="674" w:right="472"/>
        <w:jc w:val="left"/>
      </w:pPr>
      <w:r>
        <w:rPr>
          <w:rFonts w:ascii="宋体" w:hAnsi="宋体" w:cs="宋体" w:eastAsia="宋体" w:hint="default"/>
        </w:rPr>
        <w:t>3</w:t>
      </w:r>
      <w:r>
        <w:rPr/>
        <w:t>）原“固定资产清理”和“固定资产”项目合并计入“固定资产”项目；</w:t>
      </w:r>
    </w:p>
    <w:p>
      <w:pPr>
        <w:pStyle w:val="BodyText"/>
        <w:spacing w:line="240" w:lineRule="auto" w:before="154"/>
        <w:ind w:left="674" w:right="472"/>
        <w:jc w:val="left"/>
      </w:pPr>
      <w:r>
        <w:rPr>
          <w:rFonts w:ascii="宋体" w:hAnsi="宋体" w:cs="宋体" w:eastAsia="宋体" w:hint="default"/>
        </w:rPr>
        <w:t>4</w:t>
      </w:r>
      <w:r>
        <w:rPr/>
        <w:t>）原“工程物资”和“在建工程”项目合并计入“在建工程”项目；</w:t>
      </w:r>
    </w:p>
    <w:p>
      <w:pPr>
        <w:pStyle w:val="BodyText"/>
        <w:spacing w:line="240" w:lineRule="auto" w:before="154"/>
        <w:ind w:left="674" w:right="472"/>
        <w:jc w:val="left"/>
      </w:pPr>
      <w:r>
        <w:rPr>
          <w:rFonts w:ascii="宋体" w:hAnsi="宋体" w:cs="宋体" w:eastAsia="宋体" w:hint="default"/>
        </w:rPr>
        <w:t>5</w:t>
      </w:r>
      <w:r>
        <w:rPr/>
        <w:t>）原“应付票据”和“应付账款”项目合并计入新增的“应付票据及应付账款”项目；</w:t>
      </w:r>
    </w:p>
    <w:p>
      <w:pPr>
        <w:pStyle w:val="BodyText"/>
        <w:spacing w:line="240" w:lineRule="auto" w:before="154"/>
        <w:ind w:left="674" w:right="472"/>
        <w:jc w:val="left"/>
      </w:pPr>
      <w:r>
        <w:rPr>
          <w:rFonts w:ascii="宋体" w:hAnsi="宋体" w:cs="宋体" w:eastAsia="宋体" w:hint="default"/>
          <w:spacing w:val="-6"/>
        </w:rPr>
        <w:t>6</w:t>
      </w:r>
      <w:r>
        <w:rPr>
          <w:spacing w:val="-6"/>
        </w:rPr>
        <w:t>）原“应付利息”、“应付股利”和“其他应付款”项目合并计入“其他应付款”项目；</w:t>
      </w:r>
    </w:p>
    <w:p>
      <w:pPr>
        <w:pStyle w:val="BodyText"/>
        <w:spacing w:line="240" w:lineRule="auto" w:before="154"/>
        <w:ind w:left="674" w:right="472"/>
        <w:jc w:val="left"/>
      </w:pPr>
      <w:r>
        <w:rPr>
          <w:rFonts w:ascii="宋体" w:hAnsi="宋体" w:cs="宋体" w:eastAsia="宋体" w:hint="default"/>
        </w:rPr>
        <w:t>7</w:t>
      </w:r>
      <w:r>
        <w:rPr/>
        <w:t>）原“专项应付款”和“长期应付款”项目合并计入“长期应付款”项目；</w:t>
      </w:r>
    </w:p>
    <w:p>
      <w:pPr>
        <w:pStyle w:val="BodyText"/>
        <w:spacing w:line="357" w:lineRule="auto" w:before="154"/>
        <w:ind w:left="194" w:right="472" w:firstLine="480"/>
        <w:jc w:val="left"/>
      </w:pPr>
      <w:r>
        <w:rPr>
          <w:rFonts w:ascii="宋体" w:hAnsi="宋体" w:cs="宋体" w:eastAsia="宋体" w:hint="default"/>
          <w:spacing w:val="-6"/>
        </w:rPr>
        <w:t>8</w:t>
      </w:r>
      <w:r>
        <w:rPr>
          <w:spacing w:val="-6"/>
        </w:rPr>
        <w:t>）新增“研发费用”项目，原计入“管理费用”项目的研发费用单独列示为“研发费用”</w:t>
      </w:r>
      <w:r>
        <w:rPr/>
        <w:t> 项目；</w:t>
      </w:r>
    </w:p>
    <w:p>
      <w:pPr>
        <w:pStyle w:val="BodyText"/>
        <w:spacing w:line="357" w:lineRule="auto"/>
        <w:ind w:left="674" w:right="472"/>
        <w:jc w:val="left"/>
      </w:pPr>
      <w:r>
        <w:rPr>
          <w:rFonts w:ascii="宋体" w:hAnsi="宋体" w:cs="宋体" w:eastAsia="宋体" w:hint="default"/>
        </w:rPr>
        <w:t>9</w:t>
      </w:r>
      <w:r>
        <w:rPr/>
        <w:t>）在“财务费用”项目下列示“利息费用”和“利息收入”明细项目。 除上述项目变动影响外，本次会计政策变更不涉及对公司以前年度的追溯调整本次会计</w:t>
      </w:r>
    </w:p>
    <w:p>
      <w:pPr>
        <w:pStyle w:val="BodyText"/>
        <w:spacing w:line="357" w:lineRule="auto"/>
        <w:ind w:left="194" w:right="472"/>
        <w:jc w:val="left"/>
      </w:pPr>
      <w:r>
        <w:rPr/>
        <w:t>变更不会对当期及会计政策变更之前公司资产总额、负债总额、净资产、及净利润产生任何 影响。</w:t>
      </w:r>
    </w:p>
    <w:p>
      <w:pPr>
        <w:spacing w:line="528" w:lineRule="auto" w:before="36"/>
        <w:ind w:left="194" w:right="3790" w:firstLine="482"/>
        <w:jc w:val="left"/>
        <w:rPr>
          <w:rFonts w:ascii="宋体" w:hAnsi="宋体" w:cs="宋体" w:eastAsia="宋体" w:hint="default"/>
          <w:sz w:val="24"/>
          <w:szCs w:val="24"/>
        </w:rPr>
      </w:pPr>
      <w:r>
        <w:rPr>
          <w:rFonts w:ascii="宋体" w:hAnsi="宋体" w:cs="宋体" w:eastAsia="宋体" w:hint="default"/>
          <w:sz w:val="24"/>
          <w:szCs w:val="24"/>
        </w:rPr>
        <w:t>公司执行上述“四项会计准则解释”对期初财务数据无影响。 </w:t>
      </w:r>
      <w:bookmarkStart w:name="七、与上年度财务报告相比，合并报表范围发生变化的情况说明" w:id="70"/>
      <w:bookmarkEnd w:id="70"/>
      <w:r>
        <w:rPr>
          <w:rFonts w:ascii="宋体" w:hAnsi="宋体" w:cs="宋体" w:eastAsia="宋体" w:hint="default"/>
          <w:sz w:val="24"/>
          <w:szCs w:val="24"/>
        </w:rPr>
      </w:r>
      <w:r>
        <w:rPr>
          <w:rFonts w:ascii="宋体" w:hAnsi="宋体" w:cs="宋体" w:eastAsia="宋体" w:hint="default"/>
          <w:b/>
          <w:bCs/>
          <w:sz w:val="24"/>
          <w:szCs w:val="24"/>
        </w:rPr>
        <w:t>七、与上年度财务报告相比，合并报表范围发生变化的情况说明</w:t>
      </w:r>
      <w:r>
        <w:rPr>
          <w:rFonts w:ascii="宋体" w:hAnsi="宋体" w:cs="宋体" w:eastAsia="宋体" w:hint="default"/>
          <w:sz w:val="24"/>
          <w:szCs w:val="24"/>
        </w:rPr>
      </w:r>
    </w:p>
    <w:p>
      <w:pPr>
        <w:spacing w:before="59"/>
        <w:ind w:left="194" w:right="4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75"/>
        <w:ind w:left="194" w:right="472" w:firstLine="0"/>
        <w:jc w:val="left"/>
        <w:rPr>
          <w:rFonts w:ascii="宋体" w:hAnsi="宋体" w:cs="宋体" w:eastAsia="宋体" w:hint="default"/>
          <w:sz w:val="21"/>
          <w:szCs w:val="21"/>
        </w:rPr>
      </w:pPr>
      <w:r>
        <w:rPr>
          <w:rFonts w:ascii="宋体" w:hAnsi="宋体" w:cs="宋体" w:eastAsia="宋体" w:hint="default"/>
          <w:sz w:val="21"/>
          <w:szCs w:val="21"/>
        </w:rPr>
        <w:t>合并范围增加</w:t>
      </w:r>
    </w:p>
    <w:p>
      <w:pPr>
        <w:spacing w:line="240" w:lineRule="auto" w:before="13"/>
        <w:rPr>
          <w:rFonts w:ascii="宋体" w:hAnsi="宋体" w:cs="宋体" w:eastAsia="宋体" w:hint="default"/>
          <w:sz w:val="3"/>
          <w:szCs w:val="3"/>
        </w:rPr>
      </w:pPr>
    </w:p>
    <w:tbl>
      <w:tblPr>
        <w:tblW w:w="0" w:type="auto"/>
        <w:jc w:val="left"/>
        <w:tblInd w:w="111" w:type="dxa"/>
        <w:tblLayout w:type="fixed"/>
        <w:tblCellMar>
          <w:top w:w="0" w:type="dxa"/>
          <w:left w:w="0" w:type="dxa"/>
          <w:bottom w:w="0" w:type="dxa"/>
          <w:right w:w="0" w:type="dxa"/>
        </w:tblCellMar>
        <w:tblLook w:val="01E0"/>
      </w:tblPr>
      <w:tblGrid>
        <w:gridCol w:w="1919"/>
        <w:gridCol w:w="1988"/>
        <w:gridCol w:w="2125"/>
        <w:gridCol w:w="2127"/>
        <w:gridCol w:w="1468"/>
      </w:tblGrid>
      <w:tr>
        <w:trPr>
          <w:trHeight w:val="347" w:hRule="exact"/>
        </w:trPr>
        <w:tc>
          <w:tcPr>
            <w:tcW w:w="1919"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公司名称</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center"/>
              <w:rPr>
                <w:rFonts w:ascii="宋体" w:hAnsi="宋体" w:cs="宋体" w:eastAsia="宋体" w:hint="default"/>
                <w:sz w:val="21"/>
                <w:szCs w:val="21"/>
              </w:rPr>
            </w:pPr>
            <w:r>
              <w:rPr>
                <w:rFonts w:ascii="宋体" w:hAnsi="宋体" w:cs="宋体" w:eastAsia="宋体" w:hint="default"/>
                <w:sz w:val="21"/>
                <w:szCs w:val="21"/>
              </w:rPr>
              <w:t>股权取得方式</w:t>
            </w:r>
          </w:p>
        </w:tc>
        <w:tc>
          <w:tcPr>
            <w:tcW w:w="2125"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 w:right="0"/>
              <w:jc w:val="center"/>
              <w:rPr>
                <w:rFonts w:ascii="宋体" w:hAnsi="宋体" w:cs="宋体" w:eastAsia="宋体" w:hint="default"/>
                <w:sz w:val="21"/>
                <w:szCs w:val="21"/>
              </w:rPr>
            </w:pPr>
            <w:r>
              <w:rPr>
                <w:rFonts w:ascii="宋体" w:hAnsi="宋体" w:cs="宋体" w:eastAsia="宋体" w:hint="default"/>
                <w:sz w:val="21"/>
                <w:szCs w:val="21"/>
              </w:rPr>
              <w:t>股权取得时点</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425" w:right="0"/>
              <w:jc w:val="left"/>
              <w:rPr>
                <w:rFonts w:ascii="宋体" w:hAnsi="宋体" w:cs="宋体" w:eastAsia="宋体" w:hint="default"/>
                <w:sz w:val="21"/>
                <w:szCs w:val="21"/>
              </w:rPr>
            </w:pPr>
            <w:r>
              <w:rPr>
                <w:rFonts w:ascii="宋体" w:hAnsi="宋体" w:cs="宋体" w:eastAsia="宋体" w:hint="default"/>
                <w:sz w:val="21"/>
                <w:szCs w:val="21"/>
              </w:rPr>
              <w:t>出资额（元）</w:t>
            </w:r>
          </w:p>
        </w:tc>
        <w:tc>
          <w:tcPr>
            <w:tcW w:w="1468"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08" w:right="0"/>
              <w:jc w:val="left"/>
              <w:rPr>
                <w:rFonts w:ascii="宋体" w:hAnsi="宋体" w:cs="宋体" w:eastAsia="宋体" w:hint="default"/>
                <w:sz w:val="21"/>
                <w:szCs w:val="21"/>
              </w:rPr>
            </w:pPr>
            <w:r>
              <w:rPr>
                <w:rFonts w:ascii="宋体" w:hAnsi="宋体" w:cs="宋体" w:eastAsia="宋体" w:hint="default"/>
                <w:sz w:val="21"/>
                <w:szCs w:val="21"/>
              </w:rPr>
              <w:t>出资比例</w:t>
            </w:r>
          </w:p>
        </w:tc>
      </w:tr>
      <w:tr>
        <w:trPr>
          <w:trHeight w:val="348" w:hRule="exact"/>
        </w:trPr>
        <w:tc>
          <w:tcPr>
            <w:tcW w:w="1919"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小兰智慧</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新设子公司</w:t>
            </w:r>
          </w:p>
        </w:tc>
        <w:tc>
          <w:tcPr>
            <w:tcW w:w="2125"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宋体" w:hAnsi="宋体" w:cs="宋体" w:eastAsia="宋体" w:hint="default"/>
                <w:sz w:val="21"/>
                <w:szCs w:val="21"/>
              </w:rPr>
              <w:t>年</w:t>
            </w:r>
            <w:r>
              <w:rPr>
                <w:rFonts w:ascii="Times New Roman" w:hAnsi="Times New Roman" w:cs="Times New Roman" w:eastAsia="Times New Roman" w:hint="default"/>
                <w:sz w:val="21"/>
                <w:szCs w:val="21"/>
              </w:rPr>
              <w:t>6</w:t>
            </w:r>
            <w:r>
              <w:rPr>
                <w:rFonts w:ascii="宋体" w:hAnsi="宋体" w:cs="宋体" w:eastAsia="宋体" w:hint="default"/>
                <w:sz w:val="21"/>
                <w:szCs w:val="21"/>
              </w:rPr>
              <w:t>月</w:t>
            </w:r>
            <w:r>
              <w:rPr>
                <w:rFonts w:ascii="Times New Roman" w:hAnsi="Times New Roman" w:cs="Times New Roman" w:eastAsia="Times New Roman" w:hint="default"/>
                <w:sz w:val="21"/>
                <w:szCs w:val="21"/>
              </w:rPr>
              <w:t>26</w:t>
            </w:r>
            <w:r>
              <w:rPr>
                <w:rFonts w:ascii="宋体" w:hAnsi="宋体" w:cs="宋体" w:eastAsia="宋体" w:hint="default"/>
                <w:sz w:val="21"/>
                <w:szCs w:val="21"/>
              </w:rPr>
              <w:t>日</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73"/>
              <w:jc w:val="right"/>
              <w:rPr>
                <w:rFonts w:ascii="Times New Roman" w:hAnsi="Times New Roman" w:cs="Times New Roman" w:eastAsia="Times New Roman" w:hint="default"/>
                <w:sz w:val="21"/>
                <w:szCs w:val="21"/>
              </w:rPr>
            </w:pPr>
            <w:r>
              <w:rPr>
                <w:rFonts w:ascii="Times New Roman"/>
                <w:sz w:val="21"/>
              </w:rPr>
              <w:t>25,500,000.00</w:t>
            </w:r>
          </w:p>
        </w:tc>
        <w:tc>
          <w:tcPr>
            <w:tcW w:w="1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73"/>
              <w:jc w:val="right"/>
              <w:rPr>
                <w:rFonts w:ascii="Times New Roman" w:hAnsi="Times New Roman" w:cs="Times New Roman" w:eastAsia="Times New Roman" w:hint="default"/>
                <w:sz w:val="21"/>
                <w:szCs w:val="21"/>
              </w:rPr>
            </w:pPr>
            <w:r>
              <w:rPr>
                <w:rFonts w:ascii="Times New Roman"/>
                <w:sz w:val="21"/>
              </w:rPr>
              <w:t>51%</w:t>
            </w:r>
          </w:p>
        </w:tc>
      </w:tr>
      <w:tr>
        <w:trPr>
          <w:trHeight w:val="347" w:hRule="exact"/>
        </w:trPr>
        <w:tc>
          <w:tcPr>
            <w:tcW w:w="1919"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sz w:val="21"/>
                <w:szCs w:val="21"/>
              </w:rPr>
              <w:t>坚果智慧</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sz w:val="21"/>
                <w:szCs w:val="21"/>
              </w:rPr>
              <w:t>新设子公司</w:t>
            </w:r>
          </w:p>
        </w:tc>
        <w:tc>
          <w:tcPr>
            <w:tcW w:w="2125"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宋体" w:hAnsi="宋体" w:cs="宋体" w:eastAsia="宋体" w:hint="default"/>
                <w:sz w:val="21"/>
                <w:szCs w:val="21"/>
              </w:rPr>
              <w:t>年</w:t>
            </w:r>
            <w:r>
              <w:rPr>
                <w:rFonts w:ascii="Times New Roman" w:hAnsi="Times New Roman" w:cs="Times New Roman" w:eastAsia="Times New Roman" w:hint="default"/>
                <w:sz w:val="21"/>
                <w:szCs w:val="21"/>
              </w:rPr>
              <w:t>10</w:t>
            </w:r>
            <w:r>
              <w:rPr>
                <w:rFonts w:ascii="宋体" w:hAnsi="宋体" w:cs="宋体" w:eastAsia="宋体" w:hint="default"/>
                <w:sz w:val="21"/>
                <w:szCs w:val="21"/>
              </w:rPr>
              <w:t>月</w:t>
            </w:r>
            <w:r>
              <w:rPr>
                <w:rFonts w:ascii="Times New Roman" w:hAnsi="Times New Roman" w:cs="Times New Roman" w:eastAsia="Times New Roman" w:hint="default"/>
                <w:sz w:val="21"/>
                <w:szCs w:val="21"/>
              </w:rPr>
              <w:t>11</w:t>
            </w:r>
            <w:r>
              <w:rPr>
                <w:rFonts w:ascii="宋体" w:hAnsi="宋体" w:cs="宋体" w:eastAsia="宋体" w:hint="default"/>
                <w:sz w:val="21"/>
                <w:szCs w:val="21"/>
              </w:rPr>
              <w:t>日</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73"/>
              <w:jc w:val="right"/>
              <w:rPr>
                <w:rFonts w:ascii="Times New Roman" w:hAnsi="Times New Roman" w:cs="Times New Roman" w:eastAsia="Times New Roman" w:hint="default"/>
                <w:sz w:val="21"/>
                <w:szCs w:val="21"/>
              </w:rPr>
            </w:pPr>
            <w:r>
              <w:rPr>
                <w:rFonts w:ascii="Times New Roman"/>
                <w:spacing w:val="-1"/>
                <w:sz w:val="21"/>
              </w:rPr>
              <w:t>3,675,060.00</w:t>
            </w:r>
          </w:p>
        </w:tc>
        <w:tc>
          <w:tcPr>
            <w:tcW w:w="1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73"/>
              <w:jc w:val="right"/>
              <w:rPr>
                <w:rFonts w:ascii="Times New Roman" w:hAnsi="Times New Roman" w:cs="Times New Roman" w:eastAsia="Times New Roman" w:hint="default"/>
                <w:sz w:val="21"/>
                <w:szCs w:val="21"/>
              </w:rPr>
            </w:pPr>
            <w:r>
              <w:rPr>
                <w:rFonts w:ascii="Times New Roman"/>
                <w:sz w:val="21"/>
              </w:rPr>
              <w:t>51%</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1"/>
          <w:szCs w:val="21"/>
        </w:rPr>
      </w:pPr>
    </w:p>
    <w:p>
      <w:pPr>
        <w:pStyle w:val="Heading2"/>
        <w:spacing w:line="240" w:lineRule="auto" w:before="26"/>
        <w:ind w:left="194" w:right="472"/>
        <w:jc w:val="left"/>
        <w:rPr>
          <w:b w:val="0"/>
          <w:bCs w:val="0"/>
        </w:rPr>
      </w:pPr>
      <w:bookmarkStart w:name="八、聘任、解聘会计师事务所情况" w:id="71"/>
      <w:bookmarkEnd w:id="71"/>
      <w:r>
        <w:rPr>
          <w:b w:val="0"/>
          <w:bCs w:val="0"/>
        </w:rPr>
      </w:r>
      <w:r>
        <w:rPr/>
        <w:t>八、聘任、解聘会计师事务所情况</w:t>
      </w:r>
      <w:r>
        <w:rPr>
          <w:b w:val="0"/>
          <w:bCs w:val="0"/>
        </w:rPr>
      </w:r>
    </w:p>
    <w:p>
      <w:pPr>
        <w:spacing w:line="240" w:lineRule="auto" w:before="7"/>
        <w:rPr>
          <w:rFonts w:ascii="宋体" w:hAnsi="宋体" w:cs="宋体" w:eastAsia="宋体" w:hint="default"/>
          <w:b/>
          <w:bCs/>
          <w:sz w:val="26"/>
          <w:szCs w:val="26"/>
        </w:rPr>
      </w:pPr>
    </w:p>
    <w:p>
      <w:pPr>
        <w:spacing w:before="0"/>
        <w:ind w:left="194" w:right="472" w:firstLine="0"/>
        <w:jc w:val="left"/>
        <w:rPr>
          <w:rFonts w:ascii="宋体" w:hAnsi="宋体" w:cs="宋体" w:eastAsia="宋体" w:hint="default"/>
          <w:sz w:val="18"/>
          <w:szCs w:val="18"/>
        </w:rPr>
      </w:pPr>
      <w:r>
        <w:rPr>
          <w:rFonts w:ascii="宋体" w:hAnsi="宋体" w:cs="宋体" w:eastAsia="宋体" w:hint="default"/>
          <w:sz w:val="18"/>
          <w:szCs w:val="18"/>
        </w:rPr>
        <w:t>现聘任的会计事务所</w:t>
      </w:r>
    </w:p>
    <w:p>
      <w:pPr>
        <w:spacing w:line="240" w:lineRule="auto" w:before="1"/>
        <w:rPr>
          <w:rFonts w:ascii="宋体" w:hAnsi="宋体" w:cs="宋体" w:eastAsia="宋体" w:hint="default"/>
          <w:sz w:val="8"/>
          <w:szCs w:val="8"/>
        </w:rPr>
      </w:pPr>
    </w:p>
    <w:tbl>
      <w:tblPr>
        <w:tblW w:w="0" w:type="auto"/>
        <w:jc w:val="left"/>
        <w:tblInd w:w="132" w:type="dxa"/>
        <w:tblLayout w:type="fixed"/>
        <w:tblCellMar>
          <w:top w:w="0" w:type="dxa"/>
          <w:left w:w="0" w:type="dxa"/>
          <w:bottom w:w="0" w:type="dxa"/>
          <w:right w:w="0" w:type="dxa"/>
        </w:tblCellMar>
        <w:tblLook w:val="01E0"/>
      </w:tblPr>
      <w:tblGrid>
        <w:gridCol w:w="4792"/>
        <w:gridCol w:w="4778"/>
      </w:tblGrid>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9"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天健会计师事务所（特殊普通合伙）</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9"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8"/>
              <w:jc w:val="right"/>
              <w:rPr>
                <w:rFonts w:ascii="Times New Roman" w:hAnsi="Times New Roman" w:cs="Times New Roman" w:eastAsia="Times New Roman" w:hint="default"/>
                <w:sz w:val="18"/>
                <w:szCs w:val="18"/>
              </w:rPr>
            </w:pPr>
            <w:r>
              <w:rPr>
                <w:rFonts w:ascii="Times New Roman"/>
                <w:sz w:val="18"/>
              </w:rPr>
              <w:t>80</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9"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9"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胡燕华、罗衡</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9"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胡燕华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年、罗衡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bl>
    <w:p>
      <w:pPr>
        <w:spacing w:after="0" w:line="240" w:lineRule="auto"/>
        <w:jc w:val="left"/>
        <w:rPr>
          <w:rFonts w:ascii="宋体" w:hAnsi="宋体" w:cs="宋体" w:eastAsia="宋体" w:hint="default"/>
          <w:sz w:val="18"/>
          <w:szCs w:val="18"/>
        </w:rPr>
        <w:sectPr>
          <w:pgSz w:w="11910" w:h="16840"/>
          <w:pgMar w:header="747" w:footer="979" w:top="1060" w:bottom="1160" w:left="940" w:right="0"/>
        </w:sectPr>
      </w:pPr>
    </w:p>
    <w:p>
      <w:pPr>
        <w:spacing w:line="240" w:lineRule="auto" w:before="13"/>
        <w:rPr>
          <w:rFonts w:ascii="宋体" w:hAnsi="宋体" w:cs="宋体" w:eastAsia="宋体" w:hint="default"/>
          <w:sz w:val="25"/>
          <w:szCs w:val="25"/>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是否改聘会计师事务所</w:t>
      </w:r>
    </w:p>
    <w:p>
      <w:pPr>
        <w:spacing w:line="340" w:lineRule="auto" w:before="116"/>
        <w:ind w:left="154" w:right="625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聘请内部控制审计会计师事务所、财务顾问或保荐人情况</w:t>
      </w:r>
    </w:p>
    <w:p>
      <w:pPr>
        <w:spacing w:before="4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九、年度报告披露后面临暂停上市和终止上市情况" w:id="72"/>
      <w:bookmarkEnd w:id="72"/>
      <w:r>
        <w:rPr>
          <w:b w:val="0"/>
          <w:bCs w:val="0"/>
        </w:rPr>
      </w:r>
      <w:r>
        <w:rPr/>
        <w:t>九、年度报告披露后面临暂停上市和终止上市情况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十、破产重整相关事项" w:id="73"/>
      <w:bookmarkEnd w:id="73"/>
      <w:r>
        <w:rPr>
          <w:b w:val="0"/>
          <w:bCs w:val="0"/>
        </w:rPr>
      </w:r>
      <w:r>
        <w:rPr/>
        <w:t>十、破产重整相关事项</w:t>
      </w:r>
      <w:r>
        <w:rPr>
          <w:b w:val="0"/>
          <w:bCs w:val="0"/>
        </w:rPr>
      </w:r>
    </w:p>
    <w:p>
      <w:pPr>
        <w:spacing w:line="240" w:lineRule="auto" w:before="9"/>
        <w:rPr>
          <w:rFonts w:ascii="宋体" w:hAnsi="宋体" w:cs="宋体" w:eastAsia="宋体" w:hint="default"/>
          <w:b/>
          <w:bCs/>
          <w:sz w:val="26"/>
          <w:szCs w:val="26"/>
        </w:rPr>
      </w:pPr>
    </w:p>
    <w:p>
      <w:pPr>
        <w:spacing w:line="338" w:lineRule="auto" w:before="0"/>
        <w:ind w:left="154" w:right="76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公司报告期未发生破产重整相关事项。</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十一、重大诉讼、仲裁事项" w:id="74"/>
      <w:bookmarkEnd w:id="74"/>
      <w:r>
        <w:rPr>
          <w:b w:val="0"/>
          <w:bCs w:val="0"/>
        </w:rPr>
      </w:r>
      <w:r>
        <w:rPr/>
        <w:t>十一、重大诉讼、仲裁事项</w:t>
      </w:r>
      <w:r>
        <w:rPr>
          <w:b w:val="0"/>
          <w:bCs w:val="0"/>
        </w:rPr>
      </w:r>
    </w:p>
    <w:p>
      <w:pPr>
        <w:spacing w:line="240" w:lineRule="auto" w:before="9"/>
        <w:rPr>
          <w:rFonts w:ascii="宋体" w:hAnsi="宋体" w:cs="宋体" w:eastAsia="宋体" w:hint="default"/>
          <w:b/>
          <w:bCs/>
          <w:sz w:val="26"/>
          <w:szCs w:val="26"/>
        </w:rPr>
      </w:pPr>
    </w:p>
    <w:p>
      <w:pPr>
        <w:spacing w:line="338" w:lineRule="auto" w:before="0"/>
        <w:ind w:left="154" w:right="78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本年度公司无重大诉讼、仲裁事项。</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十二、处罚及整改情况" w:id="75"/>
      <w:bookmarkEnd w:id="75"/>
      <w:r>
        <w:rPr>
          <w:b w:val="0"/>
          <w:bCs w:val="0"/>
        </w:rPr>
      </w:r>
      <w:r>
        <w:rPr/>
        <w:t>十二、处罚及整改情况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4" w:right="78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公司报告期不存在处罚及整改情况。</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十三、公司及其控股股东、实际控制人的诚信状况" w:id="76"/>
      <w:bookmarkEnd w:id="76"/>
      <w:r>
        <w:rPr>
          <w:b w:val="0"/>
          <w:bCs w:val="0"/>
        </w:rPr>
      </w:r>
      <w:r>
        <w:rPr/>
        <w:t>十三、公司及其控股股东、实际控制人的诚信状况</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十四、公司股权激励计划、员工持股计划或其他员工激励措施的实施情况" w:id="77"/>
      <w:bookmarkEnd w:id="77"/>
      <w:r>
        <w:rPr>
          <w:b w:val="0"/>
          <w:bCs w:val="0"/>
        </w:rPr>
      </w:r>
      <w:r>
        <w:rPr/>
        <w:t>十四、公司股权激励计划、员工持股计划或其他员工激励措施的实施情况</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357" w:lineRule="auto" w:before="132"/>
        <w:ind w:right="1130" w:firstLine="480"/>
        <w:jc w:val="both"/>
      </w:pPr>
      <w:r>
        <w:rPr>
          <w:rFonts w:ascii="宋体" w:hAnsi="宋体" w:cs="宋体" w:eastAsia="宋体" w:hint="default"/>
          <w:spacing w:val="-2"/>
        </w:rPr>
        <w:t>1</w:t>
      </w:r>
      <w:r>
        <w:rPr>
          <w:spacing w:val="-2"/>
        </w:rPr>
        <w:t>、</w:t>
      </w:r>
      <w:r>
        <w:rPr>
          <w:rFonts w:ascii="宋体" w:hAnsi="宋体" w:cs="宋体" w:eastAsia="宋体" w:hint="default"/>
          <w:spacing w:val="-2"/>
        </w:rPr>
        <w:t>2018</w:t>
      </w:r>
      <w:r>
        <w:rPr>
          <w:spacing w:val="-2"/>
        </w:rPr>
        <w:t>年</w:t>
      </w:r>
      <w:r>
        <w:rPr>
          <w:rFonts w:ascii="宋体" w:hAnsi="宋体" w:cs="宋体" w:eastAsia="宋体" w:hint="default"/>
          <w:spacing w:val="-2"/>
        </w:rPr>
        <w:t>7</w:t>
      </w:r>
      <w:r>
        <w:rPr>
          <w:spacing w:val="-2"/>
        </w:rPr>
        <w:t>月</w:t>
      </w:r>
      <w:r>
        <w:rPr>
          <w:rFonts w:ascii="宋体" w:hAnsi="宋体" w:cs="宋体" w:eastAsia="宋体" w:hint="default"/>
          <w:spacing w:val="-2"/>
        </w:rPr>
        <w:t>13</w:t>
      </w:r>
      <w:r>
        <w:rPr>
          <w:spacing w:val="-2"/>
        </w:rPr>
        <w:t>日，公司召开第二届董事会第二十二次会议，审议通过了《关于</w:t>
      </w:r>
      <w:r>
        <w:rPr>
          <w:rFonts w:ascii="宋体" w:hAnsi="宋体" w:cs="宋体" w:eastAsia="宋体" w:hint="default"/>
          <w:spacing w:val="-2"/>
        </w:rPr>
        <w:t>&lt;</w:t>
      </w:r>
      <w:r>
        <w:rPr>
          <w:spacing w:val="-2"/>
        </w:rPr>
        <w:t>浙江正</w:t>
      </w:r>
      <w:r>
        <w:rPr/>
        <w:t> 元智慧科技股份有限公司</w:t>
      </w:r>
      <w:r>
        <w:rPr>
          <w:rFonts w:ascii="宋体" w:hAnsi="宋体" w:cs="宋体" w:eastAsia="宋体" w:hint="default"/>
        </w:rPr>
        <w:t>2018</w:t>
      </w:r>
      <w:r>
        <w:rPr/>
        <w:t>年股票期权激励计划（草案）</w:t>
      </w:r>
      <w:r>
        <w:rPr>
          <w:rFonts w:ascii="宋体" w:hAnsi="宋体" w:cs="宋体" w:eastAsia="宋体" w:hint="default"/>
        </w:rPr>
        <w:t>&gt;</w:t>
      </w:r>
      <w:r>
        <w:rPr/>
        <w:t>及其摘要的议案》《关于</w:t>
      </w:r>
      <w:r>
        <w:rPr>
          <w:rFonts w:ascii="宋体" w:hAnsi="宋体" w:cs="宋体" w:eastAsia="宋体" w:hint="default"/>
        </w:rPr>
        <w:t>&lt;</w:t>
      </w:r>
      <w:r>
        <w:rPr/>
        <w:t>浙江</w:t>
      </w:r>
      <w:r>
        <w:rPr>
          <w:spacing w:val="-109"/>
        </w:rPr>
        <w:t> </w:t>
      </w:r>
      <w:r>
        <w:rPr>
          <w:spacing w:val="-2"/>
        </w:rPr>
        <w:t>正元智慧科技股份有限公司</w:t>
      </w:r>
      <w:r>
        <w:rPr>
          <w:rFonts w:ascii="宋体" w:hAnsi="宋体" w:cs="宋体" w:eastAsia="宋体" w:hint="default"/>
          <w:spacing w:val="-2"/>
        </w:rPr>
        <w:t>2018</w:t>
      </w:r>
      <w:r>
        <w:rPr>
          <w:spacing w:val="-2"/>
        </w:rPr>
        <w:t>年股票期权激励计划实施考核管理办法</w:t>
      </w:r>
      <w:r>
        <w:rPr>
          <w:rFonts w:ascii="宋体" w:hAnsi="宋体" w:cs="宋体" w:eastAsia="宋体" w:hint="default"/>
          <w:spacing w:val="-2"/>
        </w:rPr>
        <w:t>&gt;</w:t>
      </w:r>
      <w:r>
        <w:rPr>
          <w:spacing w:val="-2"/>
        </w:rPr>
        <w:t>的议案》《关于提请</w:t>
      </w:r>
      <w:r>
        <w:rPr>
          <w:spacing w:val="-116"/>
        </w:rPr>
        <w:t> </w:t>
      </w:r>
      <w:r>
        <w:rPr>
          <w:spacing w:val="-116"/>
        </w:rPr>
      </w:r>
      <w:r>
        <w:rPr/>
        <w:t>股东大会授权董事会办理</w:t>
      </w:r>
      <w:r>
        <w:rPr>
          <w:rFonts w:ascii="宋体" w:hAnsi="宋体" w:cs="宋体" w:eastAsia="宋体" w:hint="default"/>
        </w:rPr>
        <w:t>2018</w:t>
      </w:r>
      <w:r>
        <w:rPr/>
        <w:t>年股票期权激励计划相关事宜的议案》，公司独立董事对本次</w:t>
      </w:r>
      <w:r>
        <w:rPr>
          <w:spacing w:val="-115"/>
        </w:rPr>
        <w:t> </w:t>
      </w:r>
      <w:r>
        <w:rPr>
          <w:spacing w:val="-115"/>
        </w:rPr>
      </w:r>
      <w:r>
        <w:rPr/>
        <w:t>激励计划议案发表了独立意见。</w:t>
      </w:r>
    </w:p>
    <w:p>
      <w:pPr>
        <w:pStyle w:val="BodyText"/>
        <w:spacing w:line="357" w:lineRule="auto"/>
        <w:ind w:right="1130" w:firstLine="480"/>
        <w:jc w:val="both"/>
      </w:pPr>
      <w:r>
        <w:rPr>
          <w:rFonts w:ascii="宋体" w:hAnsi="宋体" w:cs="宋体" w:eastAsia="宋体" w:hint="default"/>
          <w:spacing w:val="-2"/>
        </w:rPr>
        <w:t>2</w:t>
      </w:r>
      <w:r>
        <w:rPr>
          <w:spacing w:val="-2"/>
        </w:rPr>
        <w:t>、</w:t>
      </w:r>
      <w:r>
        <w:rPr>
          <w:rFonts w:ascii="宋体" w:hAnsi="宋体" w:cs="宋体" w:eastAsia="宋体" w:hint="default"/>
          <w:spacing w:val="-2"/>
        </w:rPr>
        <w:t>2018</w:t>
      </w:r>
      <w:r>
        <w:rPr>
          <w:spacing w:val="-2"/>
        </w:rPr>
        <w:t>年</w:t>
      </w:r>
      <w:r>
        <w:rPr>
          <w:rFonts w:ascii="宋体" w:hAnsi="宋体" w:cs="宋体" w:eastAsia="宋体" w:hint="default"/>
          <w:spacing w:val="-2"/>
        </w:rPr>
        <w:t>7</w:t>
      </w:r>
      <w:r>
        <w:rPr>
          <w:spacing w:val="-2"/>
        </w:rPr>
        <w:t>月</w:t>
      </w:r>
      <w:r>
        <w:rPr>
          <w:rFonts w:ascii="宋体" w:hAnsi="宋体" w:cs="宋体" w:eastAsia="宋体" w:hint="default"/>
          <w:spacing w:val="-2"/>
        </w:rPr>
        <w:t>13</w:t>
      </w:r>
      <w:r>
        <w:rPr>
          <w:spacing w:val="-2"/>
        </w:rPr>
        <w:t>日，公司召开第二届监事会第十二次会议，审议通过了《关于</w:t>
      </w:r>
      <w:r>
        <w:rPr>
          <w:rFonts w:ascii="宋体" w:hAnsi="宋体" w:cs="宋体" w:eastAsia="宋体" w:hint="default"/>
          <w:spacing w:val="-2"/>
        </w:rPr>
        <w:t>&lt;</w:t>
      </w:r>
      <w:r>
        <w:rPr>
          <w:spacing w:val="-2"/>
        </w:rPr>
        <w:t>浙江正元</w:t>
      </w:r>
      <w:r>
        <w:rPr/>
        <w:t> 智慧科技股份有限公司</w:t>
      </w:r>
      <w:r>
        <w:rPr>
          <w:rFonts w:ascii="宋体" w:hAnsi="宋体" w:cs="宋体" w:eastAsia="宋体" w:hint="default"/>
        </w:rPr>
        <w:t>2018</w:t>
      </w:r>
      <w:r>
        <w:rPr/>
        <w:t>年股票期权激励计划（草案）</w:t>
      </w:r>
      <w:r>
        <w:rPr>
          <w:rFonts w:ascii="宋体" w:hAnsi="宋体" w:cs="宋体" w:eastAsia="宋体" w:hint="default"/>
        </w:rPr>
        <w:t>&gt;</w:t>
      </w:r>
      <w:r>
        <w:rPr/>
        <w:t>及其摘要的议案》《关于</w:t>
      </w:r>
      <w:r>
        <w:rPr>
          <w:rFonts w:ascii="宋体" w:hAnsi="宋体" w:cs="宋体" w:eastAsia="宋体" w:hint="default"/>
        </w:rPr>
        <w:t>&lt;</w:t>
      </w:r>
      <w:r>
        <w:rPr/>
        <w:t>浙江正</w:t>
      </w:r>
      <w:r>
        <w:rPr>
          <w:spacing w:val="-110"/>
        </w:rPr>
        <w:t> </w:t>
      </w:r>
      <w:r>
        <w:rPr>
          <w:spacing w:val="-2"/>
        </w:rPr>
        <w:t>元智慧科技股份有限公司</w:t>
      </w:r>
      <w:r>
        <w:rPr>
          <w:rFonts w:ascii="宋体" w:hAnsi="宋体" w:cs="宋体" w:eastAsia="宋体" w:hint="default"/>
          <w:spacing w:val="-2"/>
        </w:rPr>
        <w:t>2018</w:t>
      </w:r>
      <w:r>
        <w:rPr>
          <w:spacing w:val="-2"/>
        </w:rPr>
        <w:t>年股票期权激励计划实施考核管理办法</w:t>
      </w:r>
      <w:r>
        <w:rPr>
          <w:rFonts w:ascii="宋体" w:hAnsi="宋体" w:cs="宋体" w:eastAsia="宋体" w:hint="default"/>
          <w:spacing w:val="-2"/>
        </w:rPr>
        <w:t>&gt;</w:t>
      </w:r>
      <w:r>
        <w:rPr>
          <w:spacing w:val="-2"/>
        </w:rPr>
        <w:t>的议案》《关于核查公</w:t>
      </w:r>
      <w:r>
        <w:rPr>
          <w:spacing w:val="-116"/>
        </w:rPr>
        <w:t> </w:t>
      </w:r>
      <w:r>
        <w:rPr>
          <w:spacing w:val="-116"/>
        </w:rPr>
      </w:r>
      <w:r>
        <w:rPr/>
        <w:t>司</w:t>
      </w:r>
      <w:r>
        <w:rPr>
          <w:rFonts w:ascii="宋体" w:hAnsi="宋体" w:cs="宋体" w:eastAsia="宋体" w:hint="default"/>
        </w:rPr>
        <w:t>2018</w:t>
      </w:r>
      <w:r>
        <w:rPr/>
        <w:t>年股票期权激励计划激励对象名单的议案》。</w:t>
      </w:r>
    </w:p>
    <w:p>
      <w:pPr>
        <w:spacing w:after="0" w:line="357" w:lineRule="auto"/>
        <w:jc w:val="both"/>
        <w:sectPr>
          <w:pgSz w:w="11910" w:h="16840"/>
          <w:pgMar w:header="747" w:footer="979" w:top="1060" w:bottom="1160" w:left="980" w:right="0"/>
        </w:sectPr>
      </w:pPr>
    </w:p>
    <w:p>
      <w:pPr>
        <w:spacing w:line="240" w:lineRule="auto" w:before="7"/>
        <w:rPr>
          <w:rFonts w:ascii="宋体" w:hAnsi="宋体" w:cs="宋体" w:eastAsia="宋体" w:hint="default"/>
          <w:sz w:val="29"/>
          <w:szCs w:val="29"/>
        </w:rPr>
      </w:pPr>
    </w:p>
    <w:p>
      <w:pPr>
        <w:pStyle w:val="BodyText"/>
        <w:spacing w:line="357" w:lineRule="auto" w:before="26"/>
        <w:ind w:right="0" w:firstLine="480"/>
        <w:jc w:val="left"/>
      </w:pPr>
      <w:r>
        <w:rPr>
          <w:rFonts w:ascii="宋体" w:hAnsi="宋体" w:cs="宋体" w:eastAsia="宋体" w:hint="default"/>
          <w:spacing w:val="-5"/>
        </w:rPr>
        <w:t>3</w:t>
      </w:r>
      <w:r>
        <w:rPr>
          <w:spacing w:val="-5"/>
        </w:rPr>
        <w:t>、</w:t>
      </w:r>
      <w:r>
        <w:rPr>
          <w:rFonts w:ascii="宋体" w:hAnsi="宋体" w:cs="宋体" w:eastAsia="宋体" w:hint="default"/>
          <w:spacing w:val="-5"/>
        </w:rPr>
        <w:t>2018</w:t>
      </w:r>
      <w:r>
        <w:rPr>
          <w:spacing w:val="-5"/>
        </w:rPr>
        <w:t>年</w:t>
      </w:r>
      <w:r>
        <w:rPr>
          <w:rFonts w:ascii="宋体" w:hAnsi="宋体" w:cs="宋体" w:eastAsia="宋体" w:hint="default"/>
          <w:spacing w:val="-5"/>
        </w:rPr>
        <w:t>7</w:t>
      </w:r>
      <w:r>
        <w:rPr>
          <w:spacing w:val="-5"/>
        </w:rPr>
        <w:t>月</w:t>
      </w:r>
      <w:r>
        <w:rPr>
          <w:rFonts w:ascii="宋体" w:hAnsi="宋体" w:cs="宋体" w:eastAsia="宋体" w:hint="default"/>
          <w:spacing w:val="-5"/>
        </w:rPr>
        <w:t>16</w:t>
      </w:r>
      <w:r>
        <w:rPr>
          <w:spacing w:val="-5"/>
        </w:rPr>
        <w:t>日至</w:t>
      </w:r>
      <w:r>
        <w:rPr>
          <w:rFonts w:ascii="宋体" w:hAnsi="宋体" w:cs="宋体" w:eastAsia="宋体" w:hint="default"/>
          <w:spacing w:val="-5"/>
        </w:rPr>
        <w:t>2018</w:t>
      </w:r>
      <w:r>
        <w:rPr>
          <w:spacing w:val="-5"/>
        </w:rPr>
        <w:t>年</w:t>
      </w:r>
      <w:r>
        <w:rPr>
          <w:rFonts w:ascii="宋体" w:hAnsi="宋体" w:cs="宋体" w:eastAsia="宋体" w:hint="default"/>
          <w:spacing w:val="-5"/>
        </w:rPr>
        <w:t>7</w:t>
      </w:r>
      <w:r>
        <w:rPr>
          <w:spacing w:val="-5"/>
        </w:rPr>
        <w:t>月</w:t>
      </w:r>
      <w:r>
        <w:rPr>
          <w:rFonts w:ascii="宋体" w:hAnsi="宋体" w:cs="宋体" w:eastAsia="宋体" w:hint="default"/>
          <w:spacing w:val="-5"/>
        </w:rPr>
        <w:t>25</w:t>
      </w:r>
      <w:r>
        <w:rPr>
          <w:spacing w:val="-5"/>
        </w:rPr>
        <w:t>日，公司对</w:t>
      </w:r>
      <w:r>
        <w:rPr>
          <w:rFonts w:ascii="宋体" w:hAnsi="宋体" w:cs="宋体" w:eastAsia="宋体" w:hint="default"/>
          <w:spacing w:val="-5"/>
        </w:rPr>
        <w:t>2018</w:t>
      </w:r>
      <w:r>
        <w:rPr>
          <w:spacing w:val="-5"/>
        </w:rPr>
        <w:t>年股票期权激励计划拟激励对象的姓名、</w:t>
      </w:r>
      <w:r>
        <w:rPr/>
        <w:t> 职务予在公司内部网站上进行了公示，在公示期内，监事会未接到任何对公司本次激励计划 拟激励对象提出的异议。</w:t>
      </w:r>
      <w:r>
        <w:rPr>
          <w:rFonts w:ascii="宋体" w:hAnsi="宋体" w:cs="宋体" w:eastAsia="宋体" w:hint="default"/>
        </w:rPr>
        <w:t>2018</w:t>
      </w:r>
      <w:r>
        <w:rPr/>
        <w:t>年</w:t>
      </w:r>
      <w:r>
        <w:rPr>
          <w:rFonts w:ascii="宋体" w:hAnsi="宋体" w:cs="宋体" w:eastAsia="宋体" w:hint="default"/>
        </w:rPr>
        <w:t>7</w:t>
      </w:r>
      <w:r>
        <w:rPr/>
        <w:t>月</w:t>
      </w:r>
      <w:r>
        <w:rPr>
          <w:rFonts w:ascii="宋体" w:hAnsi="宋体" w:cs="宋体" w:eastAsia="宋体" w:hint="default"/>
        </w:rPr>
        <w:t>26</w:t>
      </w:r>
      <w:r>
        <w:rPr/>
        <w:t>日，公司召开第二届监事会第十三次会议，审议通过了</w:t>
      </w:r>
    </w:p>
    <w:p>
      <w:pPr>
        <w:pStyle w:val="BodyText"/>
        <w:spacing w:line="357" w:lineRule="auto"/>
        <w:ind w:left="634" w:right="1122" w:hanging="480"/>
        <w:jc w:val="left"/>
      </w:pPr>
      <w:r>
        <w:rPr/>
        <w:t>《监事会关于公司</w:t>
      </w:r>
      <w:r>
        <w:rPr>
          <w:rFonts w:ascii="宋体" w:hAnsi="宋体" w:cs="宋体" w:eastAsia="宋体" w:hint="default"/>
        </w:rPr>
        <w:t>2018</w:t>
      </w:r>
      <w:r>
        <w:rPr/>
        <w:t>年股票期权激励计划激励对象名单的核查意见及公示情况说明》。 </w:t>
      </w:r>
      <w:r>
        <w:rPr>
          <w:rFonts w:ascii="宋体" w:hAnsi="宋体" w:cs="宋体" w:eastAsia="宋体" w:hint="default"/>
          <w:spacing w:val="-2"/>
        </w:rPr>
        <w:t>4</w:t>
      </w:r>
      <w:r>
        <w:rPr>
          <w:spacing w:val="-2"/>
        </w:rPr>
        <w:t>、</w:t>
      </w:r>
      <w:r>
        <w:rPr>
          <w:rFonts w:ascii="宋体" w:hAnsi="宋体" w:cs="宋体" w:eastAsia="宋体" w:hint="default"/>
          <w:spacing w:val="-2"/>
        </w:rPr>
        <w:t>2018</w:t>
      </w:r>
      <w:r>
        <w:rPr>
          <w:spacing w:val="-2"/>
        </w:rPr>
        <w:t>年</w:t>
      </w:r>
      <w:r>
        <w:rPr>
          <w:rFonts w:ascii="宋体" w:hAnsi="宋体" w:cs="宋体" w:eastAsia="宋体" w:hint="default"/>
          <w:spacing w:val="-2"/>
        </w:rPr>
        <w:t>7</w:t>
      </w:r>
      <w:r>
        <w:rPr>
          <w:spacing w:val="-2"/>
        </w:rPr>
        <w:t>月</w:t>
      </w:r>
      <w:r>
        <w:rPr>
          <w:rFonts w:ascii="宋体" w:hAnsi="宋体" w:cs="宋体" w:eastAsia="宋体" w:hint="default"/>
          <w:spacing w:val="-2"/>
        </w:rPr>
        <w:t>31</w:t>
      </w:r>
      <w:r>
        <w:rPr>
          <w:spacing w:val="-2"/>
        </w:rPr>
        <w:t>日，公司召开</w:t>
      </w:r>
      <w:r>
        <w:rPr>
          <w:rFonts w:ascii="宋体" w:hAnsi="宋体" w:cs="宋体" w:eastAsia="宋体" w:hint="default"/>
          <w:spacing w:val="-2"/>
        </w:rPr>
        <w:t>2018</w:t>
      </w:r>
      <w:r>
        <w:rPr>
          <w:spacing w:val="-2"/>
        </w:rPr>
        <w:t>年第一次临时股东大会，审议通过了《关于</w:t>
      </w:r>
      <w:r>
        <w:rPr>
          <w:rFonts w:ascii="宋体" w:hAnsi="宋体" w:cs="宋体" w:eastAsia="宋体" w:hint="default"/>
          <w:spacing w:val="-2"/>
        </w:rPr>
        <w:t>&lt;</w:t>
      </w:r>
      <w:r>
        <w:rPr>
          <w:spacing w:val="-2"/>
        </w:rPr>
        <w:t>浙江正元</w:t>
      </w:r>
    </w:p>
    <w:p>
      <w:pPr>
        <w:pStyle w:val="BodyText"/>
        <w:spacing w:line="357" w:lineRule="auto"/>
        <w:ind w:right="1130"/>
        <w:jc w:val="both"/>
      </w:pPr>
      <w:r>
        <w:rPr/>
        <w:t>智慧科技股份有限公司</w:t>
      </w:r>
      <w:r>
        <w:rPr>
          <w:rFonts w:ascii="宋体" w:hAnsi="宋体" w:cs="宋体" w:eastAsia="宋体" w:hint="default"/>
        </w:rPr>
        <w:t>2018</w:t>
      </w:r>
      <w:r>
        <w:rPr/>
        <w:t>年股票期权激励计划（草案）</w:t>
      </w:r>
      <w:r>
        <w:rPr>
          <w:rFonts w:ascii="宋体" w:hAnsi="宋体" w:cs="宋体" w:eastAsia="宋体" w:hint="default"/>
        </w:rPr>
        <w:t>&gt;</w:t>
      </w:r>
      <w:r>
        <w:rPr/>
        <w:t>及其摘要的议案》《关于</w:t>
      </w:r>
      <w:r>
        <w:rPr>
          <w:rFonts w:ascii="宋体" w:hAnsi="宋体" w:cs="宋体" w:eastAsia="宋体" w:hint="default"/>
        </w:rPr>
        <w:t>&lt;</w:t>
      </w:r>
      <w:r>
        <w:rPr/>
        <w:t>浙江正</w:t>
      </w:r>
      <w:r>
        <w:rPr>
          <w:spacing w:val="-110"/>
        </w:rPr>
        <w:t> </w:t>
      </w:r>
      <w:r>
        <w:rPr>
          <w:spacing w:val="-2"/>
        </w:rPr>
        <w:t>元智慧科技股份有限公司</w:t>
      </w:r>
      <w:r>
        <w:rPr>
          <w:rFonts w:ascii="宋体" w:hAnsi="宋体" w:cs="宋体" w:eastAsia="宋体" w:hint="default"/>
          <w:spacing w:val="-2"/>
        </w:rPr>
        <w:t>2018</w:t>
      </w:r>
      <w:r>
        <w:rPr>
          <w:spacing w:val="-2"/>
        </w:rPr>
        <w:t>年股票期权激励计划实施考核管理办法</w:t>
      </w:r>
      <w:r>
        <w:rPr>
          <w:rFonts w:ascii="宋体" w:hAnsi="宋体" w:cs="宋体" w:eastAsia="宋体" w:hint="default"/>
          <w:spacing w:val="-2"/>
        </w:rPr>
        <w:t>&gt;</w:t>
      </w:r>
      <w:r>
        <w:rPr>
          <w:spacing w:val="-2"/>
        </w:rPr>
        <w:t>的议案》《关于提请股</w:t>
      </w:r>
      <w:r>
        <w:rPr>
          <w:spacing w:val="-116"/>
        </w:rPr>
        <w:t> </w:t>
      </w:r>
      <w:r>
        <w:rPr>
          <w:spacing w:val="-116"/>
        </w:rPr>
      </w:r>
      <w:r>
        <w:rPr/>
        <w:t>东大会授权董事会办理</w:t>
      </w:r>
      <w:r>
        <w:rPr>
          <w:rFonts w:ascii="宋体" w:hAnsi="宋体" w:cs="宋体" w:eastAsia="宋体" w:hint="default"/>
        </w:rPr>
        <w:t>2018</w:t>
      </w:r>
      <w:r>
        <w:rPr/>
        <w:t>年股票期权激励计划相关事宜的议案》，并披露了《关于</w:t>
      </w:r>
      <w:r>
        <w:rPr>
          <w:rFonts w:ascii="宋体" w:hAnsi="宋体" w:cs="宋体" w:eastAsia="宋体" w:hint="default"/>
        </w:rPr>
        <w:t>2018</w:t>
      </w:r>
      <w:r>
        <w:rPr/>
        <w:t>年</w:t>
      </w:r>
      <w:r>
        <w:rPr>
          <w:spacing w:val="-110"/>
        </w:rPr>
        <w:t> </w:t>
      </w:r>
      <w:r>
        <w:rPr/>
        <w:t>股票期权激励计划内幕信息知情人及激励对象买卖公司股票情况的自查报告》。</w:t>
      </w:r>
    </w:p>
    <w:p>
      <w:pPr>
        <w:pStyle w:val="BodyText"/>
        <w:spacing w:line="357" w:lineRule="auto"/>
        <w:ind w:right="1131" w:firstLine="480"/>
        <w:jc w:val="both"/>
      </w:pPr>
      <w:r>
        <w:rPr>
          <w:rFonts w:ascii="宋体" w:hAnsi="宋体" w:cs="宋体" w:eastAsia="宋体" w:hint="default"/>
          <w:spacing w:val="-2"/>
        </w:rPr>
        <w:t>5</w:t>
      </w:r>
      <w:r>
        <w:rPr>
          <w:spacing w:val="-2"/>
        </w:rPr>
        <w:t>、</w:t>
      </w:r>
      <w:r>
        <w:rPr>
          <w:rFonts w:ascii="宋体" w:hAnsi="宋体" w:cs="宋体" w:eastAsia="宋体" w:hint="default"/>
          <w:spacing w:val="-2"/>
        </w:rPr>
        <w:t>2018</w:t>
      </w:r>
      <w:r>
        <w:rPr>
          <w:spacing w:val="-2"/>
        </w:rPr>
        <w:t>年</w:t>
      </w:r>
      <w:r>
        <w:rPr>
          <w:rFonts w:ascii="宋体" w:hAnsi="宋体" w:cs="宋体" w:eastAsia="宋体" w:hint="default"/>
          <w:spacing w:val="-2"/>
        </w:rPr>
        <w:t>8</w:t>
      </w:r>
      <w:r>
        <w:rPr>
          <w:spacing w:val="-2"/>
        </w:rPr>
        <w:t>月</w:t>
      </w:r>
      <w:r>
        <w:rPr>
          <w:rFonts w:ascii="宋体" w:hAnsi="宋体" w:cs="宋体" w:eastAsia="宋体" w:hint="default"/>
          <w:spacing w:val="-2"/>
        </w:rPr>
        <w:t>7</w:t>
      </w:r>
      <w:r>
        <w:rPr>
          <w:spacing w:val="-2"/>
        </w:rPr>
        <w:t>日，公司召开了第二届董事会第二十三次会议和第二届监事会第十四次会</w:t>
      </w:r>
      <w:r>
        <w:rPr/>
        <w:t> 议，审议通过《关于向激励对象授予股票期权的议案》，公司独立董事对相关事项发表了独 立意见，监事会对本次股票期权激励计划激励对象名单进行了核实。</w:t>
      </w:r>
    </w:p>
    <w:p>
      <w:pPr>
        <w:pStyle w:val="BodyText"/>
        <w:spacing w:line="357" w:lineRule="auto"/>
        <w:ind w:right="1032" w:firstLine="480"/>
        <w:jc w:val="left"/>
      </w:pPr>
      <w:r>
        <w:rPr>
          <w:rFonts w:ascii="宋体" w:hAnsi="宋体" w:cs="宋体" w:eastAsia="宋体" w:hint="default"/>
        </w:rPr>
        <w:t>6</w:t>
      </w:r>
      <w:r>
        <w:rPr/>
        <w:t>、</w:t>
      </w:r>
      <w:r>
        <w:rPr>
          <w:rFonts w:ascii="宋体" w:hAnsi="宋体" w:cs="宋体" w:eastAsia="宋体" w:hint="default"/>
        </w:rPr>
        <w:t>2018</w:t>
      </w:r>
      <w:r>
        <w:rPr/>
        <w:t>年</w:t>
      </w:r>
      <w:r>
        <w:rPr>
          <w:rFonts w:ascii="宋体" w:hAnsi="宋体" w:cs="宋体" w:eastAsia="宋体" w:hint="default"/>
        </w:rPr>
        <w:t>8</w:t>
      </w:r>
      <w:r>
        <w:rPr/>
        <w:t>月</w:t>
      </w:r>
      <w:r>
        <w:rPr>
          <w:rFonts w:ascii="宋体" w:hAnsi="宋体" w:cs="宋体" w:eastAsia="宋体" w:hint="default"/>
        </w:rPr>
        <w:t>15</w:t>
      </w:r>
      <w:r>
        <w:rPr/>
        <w:t>日，公司在巨潮资讯网披露了《关于</w:t>
      </w:r>
      <w:r>
        <w:rPr>
          <w:rFonts w:ascii="宋体" w:hAnsi="宋体" w:cs="宋体" w:eastAsia="宋体" w:hint="default"/>
        </w:rPr>
        <w:t>2018</w:t>
      </w:r>
      <w:r>
        <w:rPr/>
        <w:t>年股票期权激励计划授予登记 完成的公告》，公司向</w:t>
      </w:r>
      <w:r>
        <w:rPr>
          <w:rFonts w:ascii="宋体" w:hAnsi="宋体" w:cs="宋体" w:eastAsia="宋体" w:hint="default"/>
        </w:rPr>
        <w:t>176</w:t>
      </w:r>
      <w:r>
        <w:rPr/>
        <w:t>名激励对象授予股票期权，本次股票期权授予日为</w:t>
      </w:r>
      <w:r>
        <w:rPr>
          <w:rFonts w:ascii="宋体" w:hAnsi="宋体" w:cs="宋体" w:eastAsia="宋体" w:hint="default"/>
        </w:rPr>
        <w:t>2018</w:t>
      </w:r>
      <w:r>
        <w:rPr/>
        <w:t>年</w:t>
      </w:r>
      <w:r>
        <w:rPr>
          <w:rFonts w:ascii="宋体" w:hAnsi="宋体" w:cs="宋体" w:eastAsia="宋体" w:hint="default"/>
        </w:rPr>
        <w:t>8</w:t>
      </w:r>
      <w:r>
        <w:rPr/>
        <w:t>月</w:t>
      </w:r>
      <w:r>
        <w:rPr>
          <w:rFonts w:ascii="宋体" w:hAnsi="宋体" w:cs="宋体" w:eastAsia="宋体" w:hint="default"/>
        </w:rPr>
        <w:t>7</w:t>
      </w:r>
      <w:r>
        <w:rPr/>
        <w:t>日， 授予股票期权登记完成时间为</w:t>
      </w:r>
      <w:r>
        <w:rPr>
          <w:rFonts w:ascii="宋体" w:hAnsi="宋体" w:cs="宋体" w:eastAsia="宋体" w:hint="default"/>
        </w:rPr>
        <w:t>2018</w:t>
      </w:r>
      <w:r>
        <w:rPr/>
        <w:t>年</w:t>
      </w:r>
      <w:r>
        <w:rPr>
          <w:rFonts w:ascii="宋体" w:hAnsi="宋体" w:cs="宋体" w:eastAsia="宋体" w:hint="default"/>
        </w:rPr>
        <w:t>8</w:t>
      </w:r>
      <w:r>
        <w:rPr/>
        <w:t>月</w:t>
      </w:r>
      <w:r>
        <w:rPr>
          <w:rFonts w:ascii="宋体" w:hAnsi="宋体" w:cs="宋体" w:eastAsia="宋体" w:hint="default"/>
        </w:rPr>
        <w:t>15</w:t>
      </w:r>
      <w:r>
        <w:rPr/>
        <w:t>日。</w:t>
      </w:r>
    </w:p>
    <w:p>
      <w:pPr>
        <w:pStyle w:val="BodyText"/>
        <w:spacing w:line="357" w:lineRule="auto"/>
        <w:ind w:right="1118" w:firstLine="480"/>
        <w:jc w:val="left"/>
      </w:pPr>
      <w:r>
        <w:rPr/>
        <w:t>上述审议审批相关内容详见公司于巨潮资讯网（</w:t>
      </w:r>
      <w:hyperlink r:id="rId11">
        <w:r>
          <w:rPr>
            <w:rFonts w:ascii="宋体" w:hAnsi="宋体" w:cs="宋体" w:eastAsia="宋体" w:hint="default"/>
          </w:rPr>
          <w:t>http://www.cninfo.com.cn</w:t>
        </w:r>
      </w:hyperlink>
      <w:r>
        <w:rPr/>
        <w:t>）披露的相 关公告。</w:t>
      </w:r>
    </w:p>
    <w:p>
      <w:pPr>
        <w:spacing w:before="47"/>
        <w:ind w:left="154" w:right="0" w:firstLine="0"/>
        <w:jc w:val="both"/>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上市公司从事软件与信息技术服务业务》的披露要求</w:t>
      </w:r>
    </w:p>
    <w:p>
      <w:pPr>
        <w:pStyle w:val="BodyText"/>
        <w:spacing w:line="357" w:lineRule="auto" w:before="132"/>
        <w:ind w:right="1013" w:firstLine="480"/>
        <w:jc w:val="left"/>
      </w:pPr>
      <w:r>
        <w:rPr/>
        <w:t>公司向激励对象授予股票期权</w:t>
      </w:r>
      <w:r>
        <w:rPr>
          <w:rFonts w:ascii="宋体" w:hAnsi="宋体" w:cs="宋体" w:eastAsia="宋体" w:hint="default"/>
        </w:rPr>
        <w:t>300.00</w:t>
      </w:r>
      <w:r>
        <w:rPr/>
        <w:t>万份，按照相关估值工具测算授权日股票期权的公 允价值，最终确认授予的权益工具公允价值总额为</w:t>
      </w:r>
      <w:r>
        <w:rPr>
          <w:rFonts w:ascii="宋体" w:hAnsi="宋体" w:cs="宋体" w:eastAsia="宋体" w:hint="default"/>
        </w:rPr>
        <w:t>722.98</w:t>
      </w:r>
      <w:r>
        <w:rPr/>
        <w:t>万元，该等公允价值总额作为公司</w:t>
      </w:r>
      <w:r>
        <w:rPr>
          <w:spacing w:val="-111"/>
        </w:rPr>
        <w:t> </w:t>
      </w:r>
      <w:r>
        <w:rPr>
          <w:spacing w:val="-111"/>
        </w:rPr>
      </w:r>
      <w:r>
        <w:rPr/>
        <w:t>本次股权激励计划的激励成本将在本激励计划的实施过程中按照行权比例进行分期确认。根 据会计准则的规定，具体金额应以实际授权日计算的股份公允价值为准，公司</w:t>
      </w:r>
      <w:r>
        <w:rPr>
          <w:rFonts w:ascii="宋体" w:hAnsi="宋体" w:cs="宋体" w:eastAsia="宋体" w:hint="default"/>
        </w:rPr>
        <w:t>2018</w:t>
      </w:r>
      <w:r>
        <w:rPr/>
        <w:t>年</w:t>
      </w:r>
      <w:r>
        <w:rPr>
          <w:rFonts w:ascii="宋体" w:hAnsi="宋体" w:cs="宋体" w:eastAsia="宋体" w:hint="default"/>
        </w:rPr>
        <w:t>8</w:t>
      </w:r>
      <w:r>
        <w:rPr/>
        <w:t>月授予 </w:t>
      </w:r>
      <w:r>
        <w:rPr>
          <w:spacing w:val="-2"/>
        </w:rPr>
        <w:t>股票期权，假设授予的全部激励对象均符合本计划规定的行权条件且在各行权期内全部行权，</w:t>
      </w:r>
      <w:r>
        <w:rPr/>
        <w:t> 则</w:t>
      </w:r>
      <w:r>
        <w:rPr>
          <w:rFonts w:ascii="宋体" w:hAnsi="宋体" w:cs="宋体" w:eastAsia="宋体" w:hint="default"/>
        </w:rPr>
        <w:t>2018</w:t>
      </w:r>
      <w:r>
        <w:rPr/>
        <w:t>年</w:t>
      </w:r>
      <w:r>
        <w:rPr>
          <w:rFonts w:ascii="宋体" w:hAnsi="宋体" w:cs="宋体" w:eastAsia="宋体" w:hint="default"/>
        </w:rPr>
        <w:t>-2020</w:t>
      </w:r>
      <w:r>
        <w:rPr/>
        <w:t>年股票期权成本摊销情况如下：</w:t>
      </w:r>
    </w:p>
    <w:p>
      <w:pPr>
        <w:spacing w:before="101"/>
        <w:ind w:left="0" w:right="1970" w:firstLine="0"/>
        <w:jc w:val="right"/>
        <w:rPr>
          <w:rFonts w:ascii="宋体" w:hAnsi="宋体" w:cs="宋体" w:eastAsia="宋体" w:hint="default"/>
          <w:sz w:val="21"/>
          <w:szCs w:val="21"/>
        </w:rPr>
      </w:pPr>
      <w:r>
        <w:rPr>
          <w:rFonts w:ascii="宋体" w:hAnsi="宋体" w:cs="宋体" w:eastAsia="宋体" w:hint="default"/>
          <w:spacing w:val="-5"/>
          <w:sz w:val="21"/>
          <w:szCs w:val="21"/>
        </w:rPr>
        <w:t>单位：万元</w:t>
      </w:r>
    </w:p>
    <w:p>
      <w:pPr>
        <w:spacing w:line="240" w:lineRule="auto" w:before="13"/>
        <w:rPr>
          <w:rFonts w:ascii="宋体" w:hAnsi="宋体" w:cs="宋体" w:eastAsia="宋体" w:hint="default"/>
          <w:sz w:val="3"/>
          <w:szCs w:val="3"/>
        </w:rPr>
      </w:pPr>
    </w:p>
    <w:tbl>
      <w:tblPr>
        <w:tblW w:w="0" w:type="auto"/>
        <w:jc w:val="left"/>
        <w:tblInd w:w="146" w:type="dxa"/>
        <w:tblLayout w:type="fixed"/>
        <w:tblCellMar>
          <w:top w:w="0" w:type="dxa"/>
          <w:left w:w="0" w:type="dxa"/>
          <w:bottom w:w="0" w:type="dxa"/>
          <w:right w:w="0" w:type="dxa"/>
        </w:tblCellMar>
        <w:tblLook w:val="01E0"/>
      </w:tblPr>
      <w:tblGrid>
        <w:gridCol w:w="2764"/>
        <w:gridCol w:w="1842"/>
        <w:gridCol w:w="1418"/>
        <w:gridCol w:w="1418"/>
        <w:gridCol w:w="1418"/>
      </w:tblGrid>
      <w:tr>
        <w:trPr>
          <w:trHeight w:val="347" w:hRule="exact"/>
        </w:trPr>
        <w:tc>
          <w:tcPr>
            <w:tcW w:w="2764" w:type="dxa"/>
            <w:vMerge w:val="restart"/>
            <w:tcBorders>
              <w:top w:val="single" w:sz="6" w:space="0" w:color="000000"/>
              <w:left w:val="single" w:sz="6" w:space="0" w:color="000000"/>
              <w:right w:val="single" w:sz="6"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b/>
                <w:bCs/>
                <w:sz w:val="21"/>
                <w:szCs w:val="21"/>
              </w:rPr>
              <w:t>激励对象</w:t>
            </w:r>
            <w:r>
              <w:rPr>
                <w:rFonts w:ascii="宋体" w:hAnsi="宋体" w:cs="宋体" w:eastAsia="宋体" w:hint="default"/>
                <w:sz w:val="21"/>
                <w:szCs w:val="21"/>
              </w:rPr>
            </w:r>
          </w:p>
        </w:tc>
        <w:tc>
          <w:tcPr>
            <w:tcW w:w="6097" w:type="dxa"/>
            <w:gridSpan w:val="4"/>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880" w:right="0"/>
              <w:jc w:val="left"/>
              <w:rPr>
                <w:rFonts w:ascii="宋体" w:hAnsi="宋体" w:cs="宋体" w:eastAsia="宋体" w:hint="default"/>
                <w:sz w:val="21"/>
                <w:szCs w:val="21"/>
              </w:rPr>
            </w:pPr>
            <w:r>
              <w:rPr>
                <w:rFonts w:ascii="宋体" w:hAnsi="宋体" w:cs="宋体" w:eastAsia="宋体" w:hint="default"/>
                <w:b/>
                <w:bCs/>
                <w:sz w:val="21"/>
                <w:szCs w:val="21"/>
              </w:rPr>
              <w:t>股权激励计划的激励成本</w:t>
            </w:r>
            <w:r>
              <w:rPr>
                <w:rFonts w:ascii="宋体" w:hAnsi="宋体" w:cs="宋体" w:eastAsia="宋体" w:hint="default"/>
                <w:sz w:val="21"/>
                <w:szCs w:val="21"/>
              </w:rPr>
            </w:r>
          </w:p>
        </w:tc>
      </w:tr>
      <w:tr>
        <w:trPr>
          <w:trHeight w:val="347" w:hRule="exact"/>
        </w:trPr>
        <w:tc>
          <w:tcPr>
            <w:tcW w:w="2764" w:type="dxa"/>
            <w:vMerge/>
            <w:tcBorders>
              <w:left w:val="single" w:sz="6" w:space="0" w:color="000000"/>
              <w:bottom w:val="single" w:sz="6" w:space="0" w:color="000000"/>
              <w:right w:val="single" w:sz="6" w:space="0" w:color="000000"/>
            </w:tcBorders>
          </w:tcPr>
          <w:p>
            <w:pP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b/>
                <w:bCs/>
                <w:sz w:val="21"/>
                <w:szCs w:val="21"/>
              </w:rPr>
              <w:t>总额</w:t>
            </w:r>
            <w:r>
              <w:rPr>
                <w:rFonts w:ascii="宋体" w:hAnsi="宋体" w:cs="宋体" w:eastAsia="宋体" w:hint="default"/>
                <w:sz w:val="21"/>
                <w:szCs w:val="21"/>
              </w:rPr>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386"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2018</w:t>
            </w:r>
            <w:r>
              <w:rPr>
                <w:rFonts w:ascii="宋体" w:hAnsi="宋体" w:cs="宋体" w:eastAsia="宋体" w:hint="default"/>
                <w:b/>
                <w:bCs/>
                <w:sz w:val="21"/>
                <w:szCs w:val="21"/>
              </w:rPr>
              <w:t>年</w:t>
            </w:r>
            <w:r>
              <w:rPr>
                <w:rFonts w:ascii="宋体" w:hAnsi="宋体" w:cs="宋体" w:eastAsia="宋体" w:hint="default"/>
                <w:sz w:val="21"/>
                <w:szCs w:val="21"/>
              </w:rPr>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385"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2019</w:t>
            </w:r>
            <w:r>
              <w:rPr>
                <w:rFonts w:ascii="宋体" w:hAnsi="宋体" w:cs="宋体" w:eastAsia="宋体" w:hint="default"/>
                <w:b/>
                <w:bCs/>
                <w:sz w:val="21"/>
                <w:szCs w:val="21"/>
              </w:rPr>
              <w:t>年</w:t>
            </w:r>
            <w:r>
              <w:rPr>
                <w:rFonts w:ascii="宋体" w:hAnsi="宋体" w:cs="宋体" w:eastAsia="宋体" w:hint="default"/>
                <w:sz w:val="21"/>
                <w:szCs w:val="21"/>
              </w:rPr>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385"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2020</w:t>
            </w:r>
            <w:r>
              <w:rPr>
                <w:rFonts w:ascii="宋体" w:hAnsi="宋体" w:cs="宋体" w:eastAsia="宋体" w:hint="default"/>
                <w:b/>
                <w:bCs/>
                <w:sz w:val="21"/>
                <w:szCs w:val="21"/>
              </w:rPr>
              <w:t>年</w:t>
            </w:r>
            <w:r>
              <w:rPr>
                <w:rFonts w:ascii="宋体" w:hAnsi="宋体" w:cs="宋体" w:eastAsia="宋体" w:hint="default"/>
                <w:sz w:val="21"/>
                <w:szCs w:val="21"/>
              </w:rPr>
            </w:r>
          </w:p>
        </w:tc>
      </w:tr>
      <w:tr>
        <w:trPr>
          <w:trHeight w:val="347" w:hRule="exact"/>
        </w:trPr>
        <w:tc>
          <w:tcPr>
            <w:tcW w:w="2764"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2" w:right="0"/>
              <w:jc w:val="left"/>
              <w:rPr>
                <w:rFonts w:ascii="宋体" w:hAnsi="宋体" w:cs="宋体" w:eastAsia="宋体" w:hint="default"/>
                <w:sz w:val="22"/>
                <w:szCs w:val="22"/>
              </w:rPr>
            </w:pPr>
            <w:r>
              <w:rPr>
                <w:rFonts w:ascii="宋体" w:hAnsi="宋体" w:cs="宋体" w:eastAsia="宋体" w:hint="default"/>
                <w:sz w:val="22"/>
                <w:szCs w:val="22"/>
              </w:rPr>
              <w:t>全体激励对象</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0"/>
              <w:jc w:val="right"/>
              <w:rPr>
                <w:rFonts w:ascii="Times New Roman" w:hAnsi="Times New Roman" w:cs="Times New Roman" w:eastAsia="Times New Roman" w:hint="default"/>
                <w:sz w:val="22"/>
                <w:szCs w:val="22"/>
              </w:rPr>
            </w:pPr>
            <w:r>
              <w:rPr>
                <w:rFonts w:ascii="Times New Roman"/>
                <w:w w:val="95"/>
                <w:sz w:val="22"/>
              </w:rPr>
              <w:t>722.98</w:t>
            </w:r>
            <w:r>
              <w:rPr>
                <w:rFonts w:ascii="Times New Roman"/>
                <w:sz w:val="22"/>
              </w:rPr>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0"/>
              <w:jc w:val="right"/>
              <w:rPr>
                <w:rFonts w:ascii="Times New Roman" w:hAnsi="Times New Roman" w:cs="Times New Roman" w:eastAsia="Times New Roman" w:hint="default"/>
                <w:sz w:val="22"/>
                <w:szCs w:val="22"/>
              </w:rPr>
            </w:pPr>
            <w:r>
              <w:rPr>
                <w:rFonts w:ascii="Times New Roman"/>
                <w:w w:val="95"/>
                <w:sz w:val="22"/>
              </w:rPr>
              <w:t>163.45</w:t>
            </w:r>
            <w:r>
              <w:rPr>
                <w:rFonts w:ascii="Times New Roman"/>
                <w:sz w:val="22"/>
              </w:rPr>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2"/>
              <w:jc w:val="right"/>
              <w:rPr>
                <w:rFonts w:ascii="Times New Roman" w:hAnsi="Times New Roman" w:cs="Times New Roman" w:eastAsia="Times New Roman" w:hint="default"/>
                <w:sz w:val="22"/>
                <w:szCs w:val="22"/>
              </w:rPr>
            </w:pPr>
            <w:r>
              <w:rPr>
                <w:rFonts w:ascii="Times New Roman"/>
                <w:w w:val="95"/>
                <w:sz w:val="22"/>
              </w:rPr>
              <w:t>404.45</w:t>
            </w:r>
            <w:r>
              <w:rPr>
                <w:rFonts w:ascii="Times New Roman"/>
                <w:sz w:val="22"/>
              </w:rPr>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22"/>
                <w:szCs w:val="22"/>
              </w:rPr>
            </w:pPr>
            <w:r>
              <w:rPr>
                <w:rFonts w:ascii="Times New Roman"/>
                <w:w w:val="95"/>
                <w:sz w:val="22"/>
              </w:rPr>
              <w:t>155.08</w:t>
            </w:r>
            <w:r>
              <w:rPr>
                <w:rFonts w:ascii="Times New Roman"/>
                <w:sz w:val="22"/>
              </w:rPr>
            </w:r>
          </w:p>
        </w:tc>
      </w:tr>
      <w:tr>
        <w:trPr>
          <w:trHeight w:val="427" w:hRule="exact"/>
        </w:trPr>
        <w:tc>
          <w:tcPr>
            <w:tcW w:w="2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2" w:right="0"/>
              <w:jc w:val="left"/>
              <w:rPr>
                <w:rFonts w:ascii="宋体" w:hAnsi="宋体" w:cs="宋体" w:eastAsia="宋体" w:hint="default"/>
                <w:sz w:val="22"/>
                <w:szCs w:val="22"/>
              </w:rPr>
            </w:pPr>
            <w:r>
              <w:rPr>
                <w:rFonts w:ascii="宋体" w:hAnsi="宋体" w:cs="宋体" w:eastAsia="宋体" w:hint="default"/>
                <w:sz w:val="22"/>
                <w:szCs w:val="22"/>
              </w:rPr>
              <w:t>其中：核心技术人员</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0"/>
              <w:jc w:val="right"/>
              <w:rPr>
                <w:rFonts w:ascii="Times New Roman" w:hAnsi="Times New Roman" w:cs="Times New Roman" w:eastAsia="Times New Roman" w:hint="default"/>
                <w:sz w:val="22"/>
                <w:szCs w:val="22"/>
              </w:rPr>
            </w:pPr>
            <w:r>
              <w:rPr>
                <w:rFonts w:ascii="Times New Roman"/>
                <w:w w:val="95"/>
                <w:sz w:val="22"/>
              </w:rPr>
              <w:t>285.29</w:t>
            </w:r>
            <w:r>
              <w:rPr>
                <w:rFonts w:ascii="Times New Roman"/>
                <w:sz w:val="22"/>
              </w:rPr>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22"/>
                <w:szCs w:val="22"/>
              </w:rPr>
            </w:pPr>
            <w:r>
              <w:rPr>
                <w:rFonts w:ascii="Times New Roman"/>
                <w:w w:val="95"/>
                <w:sz w:val="22"/>
              </w:rPr>
              <w:t>64.50</w:t>
            </w:r>
            <w:r>
              <w:rPr>
                <w:rFonts w:ascii="Times New Roman"/>
                <w:sz w:val="22"/>
              </w:rPr>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3"/>
              <w:jc w:val="right"/>
              <w:rPr>
                <w:rFonts w:ascii="Times New Roman" w:hAnsi="Times New Roman" w:cs="Times New Roman" w:eastAsia="Times New Roman" w:hint="default"/>
                <w:sz w:val="22"/>
                <w:szCs w:val="22"/>
              </w:rPr>
            </w:pPr>
            <w:r>
              <w:rPr>
                <w:rFonts w:ascii="Times New Roman"/>
                <w:w w:val="95"/>
                <w:sz w:val="22"/>
              </w:rPr>
              <w:t>159.59</w:t>
            </w:r>
            <w:r>
              <w:rPr>
                <w:rFonts w:ascii="Times New Roman"/>
                <w:sz w:val="22"/>
              </w:rPr>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2"/>
              <w:jc w:val="right"/>
              <w:rPr>
                <w:rFonts w:ascii="Times New Roman" w:hAnsi="Times New Roman" w:cs="Times New Roman" w:eastAsia="Times New Roman" w:hint="default"/>
                <w:sz w:val="22"/>
                <w:szCs w:val="22"/>
              </w:rPr>
            </w:pPr>
            <w:r>
              <w:rPr>
                <w:rFonts w:ascii="Times New Roman"/>
                <w:w w:val="95"/>
                <w:sz w:val="22"/>
              </w:rPr>
              <w:t>61.19</w:t>
            </w:r>
            <w:r>
              <w:rPr>
                <w:rFonts w:ascii="Times New Roman"/>
                <w:sz w:val="22"/>
              </w:rPr>
            </w:r>
          </w:p>
        </w:tc>
      </w:tr>
      <w:tr>
        <w:trPr>
          <w:trHeight w:val="739" w:hRule="exact"/>
        </w:trPr>
        <w:tc>
          <w:tcPr>
            <w:tcW w:w="2764" w:type="dxa"/>
            <w:tcBorders>
              <w:top w:val="single" w:sz="6" w:space="0" w:color="000000"/>
              <w:left w:val="single" w:sz="6" w:space="0" w:color="000000"/>
              <w:bottom w:val="single" w:sz="6" w:space="0" w:color="000000"/>
              <w:right w:val="single" w:sz="6" w:space="0" w:color="000000"/>
            </w:tcBorders>
          </w:tcPr>
          <w:p>
            <w:pPr>
              <w:pStyle w:val="TableParagraph"/>
              <w:spacing w:line="259" w:lineRule="auto" w:before="28"/>
              <w:ind w:left="2" w:right="3"/>
              <w:jc w:val="left"/>
              <w:rPr>
                <w:rFonts w:ascii="宋体" w:hAnsi="宋体" w:cs="宋体" w:eastAsia="宋体" w:hint="default"/>
                <w:sz w:val="22"/>
                <w:szCs w:val="22"/>
              </w:rPr>
            </w:pPr>
            <w:r>
              <w:rPr>
                <w:rFonts w:ascii="宋体" w:hAnsi="宋体" w:cs="宋体" w:eastAsia="宋体" w:hint="default"/>
                <w:spacing w:val="8"/>
                <w:sz w:val="22"/>
                <w:szCs w:val="22"/>
              </w:rPr>
              <w:t>核心技术人员股权激励费用</w:t>
            </w:r>
            <w:r>
              <w:rPr>
                <w:rFonts w:ascii="宋体" w:hAnsi="宋体" w:cs="宋体" w:eastAsia="宋体" w:hint="default"/>
                <w:w w:val="99"/>
                <w:sz w:val="22"/>
                <w:szCs w:val="22"/>
              </w:rPr>
              <w:t> </w:t>
            </w:r>
            <w:r>
              <w:rPr>
                <w:rFonts w:ascii="宋体" w:hAnsi="宋体" w:cs="宋体" w:eastAsia="宋体" w:hint="default"/>
                <w:sz w:val="22"/>
                <w:szCs w:val="22"/>
              </w:rPr>
              <w:t>占当期股权激励费用的比重</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0"/>
              <w:jc w:val="right"/>
              <w:rPr>
                <w:rFonts w:ascii="Times New Roman" w:hAnsi="Times New Roman" w:cs="Times New Roman" w:eastAsia="Times New Roman" w:hint="default"/>
                <w:sz w:val="22"/>
                <w:szCs w:val="22"/>
              </w:rPr>
            </w:pPr>
            <w:r>
              <w:rPr>
                <w:rFonts w:ascii="Times New Roman"/>
                <w:w w:val="95"/>
                <w:sz w:val="22"/>
              </w:rPr>
              <w:t>39.46%</w:t>
            </w:r>
            <w:r>
              <w:rPr>
                <w:rFonts w:ascii="Times New Roman"/>
                <w:sz w:val="22"/>
              </w:rPr>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0"/>
              <w:jc w:val="right"/>
              <w:rPr>
                <w:rFonts w:ascii="Times New Roman" w:hAnsi="Times New Roman" w:cs="Times New Roman" w:eastAsia="Times New Roman" w:hint="default"/>
                <w:sz w:val="22"/>
                <w:szCs w:val="22"/>
              </w:rPr>
            </w:pPr>
            <w:r>
              <w:rPr>
                <w:rFonts w:ascii="Times New Roman"/>
                <w:w w:val="95"/>
                <w:sz w:val="22"/>
              </w:rPr>
              <w:t>39.46%</w:t>
            </w:r>
            <w:r>
              <w:rPr>
                <w:rFonts w:ascii="Times New Roman"/>
                <w:sz w:val="22"/>
              </w:rPr>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2"/>
              <w:jc w:val="right"/>
              <w:rPr>
                <w:rFonts w:ascii="Times New Roman" w:hAnsi="Times New Roman" w:cs="Times New Roman" w:eastAsia="Times New Roman" w:hint="default"/>
                <w:sz w:val="22"/>
                <w:szCs w:val="22"/>
              </w:rPr>
            </w:pPr>
            <w:r>
              <w:rPr>
                <w:rFonts w:ascii="Times New Roman"/>
                <w:w w:val="95"/>
                <w:sz w:val="22"/>
              </w:rPr>
              <w:t>39.46%</w:t>
            </w:r>
            <w:r>
              <w:rPr>
                <w:rFonts w:ascii="Times New Roman"/>
                <w:sz w:val="22"/>
              </w:rPr>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22"/>
                <w:szCs w:val="22"/>
              </w:rPr>
            </w:pPr>
            <w:r>
              <w:rPr>
                <w:rFonts w:ascii="Times New Roman"/>
                <w:w w:val="95"/>
                <w:sz w:val="22"/>
              </w:rPr>
              <w:t>39.46%</w:t>
            </w:r>
            <w:r>
              <w:rPr>
                <w:rFonts w:ascii="Times New Roman"/>
                <w:sz w:val="22"/>
              </w:rPr>
            </w:r>
          </w:p>
        </w:tc>
      </w:tr>
    </w:tbl>
    <w:p>
      <w:pPr>
        <w:spacing w:after="0" w:line="240" w:lineRule="auto"/>
        <w:jc w:val="right"/>
        <w:rPr>
          <w:rFonts w:ascii="Times New Roman" w:hAnsi="Times New Roman" w:cs="Times New Roman" w:eastAsia="Times New Roman" w:hint="default"/>
          <w:sz w:val="22"/>
          <w:szCs w:val="22"/>
        </w:rPr>
        <w:sectPr>
          <w:pgSz w:w="11910" w:h="16840"/>
          <w:pgMar w:header="747" w:footer="979" w:top="1060" w:bottom="1160" w:left="980" w:right="0"/>
        </w:sectPr>
      </w:pPr>
    </w:p>
    <w:p>
      <w:pPr>
        <w:spacing w:line="240" w:lineRule="auto" w:before="7"/>
        <w:rPr>
          <w:rFonts w:ascii="宋体" w:hAnsi="宋体" w:cs="宋体" w:eastAsia="宋体" w:hint="default"/>
          <w:sz w:val="29"/>
          <w:szCs w:val="29"/>
        </w:rPr>
      </w:pPr>
    </w:p>
    <w:p>
      <w:pPr>
        <w:pStyle w:val="BodyText"/>
        <w:spacing w:line="357" w:lineRule="auto" w:before="26"/>
        <w:ind w:right="1139" w:firstLine="482"/>
        <w:jc w:val="both"/>
      </w:pPr>
      <w:r>
        <w:rPr/>
        <w:t>本激励计划的成本将在管理费用中列支。公司以目前信息估计，在不考虑本激励计划对 公司业绩的正向作用情况下，本激励计划成本费用的摊销对有效期内各年净利润有所影响， 但影响程度不大。考虑到本激励计划对公司经营发展产生的正向作用，由此激发管理、业务 团队的积极性，提高经营效率，降低经营成本，本激励计划带来的公司业绩提升将高于因其 带来的费用增加。</w:t>
      </w:r>
    </w:p>
    <w:p>
      <w:pPr>
        <w:spacing w:line="240" w:lineRule="auto" w:before="11"/>
        <w:rPr>
          <w:rFonts w:ascii="宋体" w:hAnsi="宋体" w:cs="宋体" w:eastAsia="宋体" w:hint="default"/>
          <w:sz w:val="19"/>
          <w:szCs w:val="19"/>
        </w:rPr>
      </w:pPr>
    </w:p>
    <w:p>
      <w:pPr>
        <w:pStyle w:val="Heading2"/>
        <w:spacing w:line="240" w:lineRule="auto"/>
        <w:ind w:right="0"/>
        <w:jc w:val="left"/>
        <w:rPr>
          <w:b w:val="0"/>
          <w:bCs w:val="0"/>
        </w:rPr>
      </w:pPr>
      <w:bookmarkStart w:name="十五、重大关联交易" w:id="78"/>
      <w:bookmarkEnd w:id="78"/>
      <w:r>
        <w:rPr>
          <w:b w:val="0"/>
          <w:bCs w:val="0"/>
        </w:rPr>
      </w:r>
      <w:r>
        <w:rPr/>
        <w:t>十五、重大关联交易</w:t>
      </w:r>
      <w:r>
        <w:rPr>
          <w:b w:val="0"/>
          <w:bCs w:val="0"/>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bookmarkStart w:name="1、与日常经营相关的关联交易" w:id="79"/>
      <w:bookmarkEnd w:id="79"/>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、与日常经营相关的关联交易</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line="338" w:lineRule="auto" w:before="0"/>
        <w:ind w:left="154" w:right="66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公司报告期未发生与日常经营相关的关联交易。</w:t>
      </w:r>
    </w:p>
    <w:p>
      <w:pPr>
        <w:spacing w:line="240" w:lineRule="auto" w:before="2"/>
        <w:rPr>
          <w:rFonts w:ascii="宋体" w:hAnsi="宋体" w:cs="宋体" w:eastAsia="宋体" w:hint="default"/>
          <w:sz w:val="21"/>
          <w:szCs w:val="21"/>
        </w:rPr>
      </w:pPr>
    </w:p>
    <w:p>
      <w:pPr>
        <w:spacing w:before="0"/>
        <w:ind w:left="154" w:right="0" w:firstLine="0"/>
        <w:jc w:val="left"/>
        <w:rPr>
          <w:rFonts w:ascii="宋体" w:hAnsi="宋体" w:cs="宋体" w:eastAsia="宋体" w:hint="default"/>
          <w:sz w:val="21"/>
          <w:szCs w:val="21"/>
        </w:rPr>
      </w:pPr>
      <w:bookmarkStart w:name="2、资产或股权收购、出售发生的关联交易" w:id="80"/>
      <w:bookmarkEnd w:id="80"/>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、资产或股权收购、出售发生的关联交易</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line="338" w:lineRule="auto" w:before="0"/>
        <w:ind w:left="154" w:right="643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公司报告期未发生资产或股权收购、出售的关联交易。</w:t>
      </w:r>
    </w:p>
    <w:p>
      <w:pPr>
        <w:spacing w:line="240" w:lineRule="auto" w:before="1"/>
        <w:rPr>
          <w:rFonts w:ascii="宋体" w:hAnsi="宋体" w:cs="宋体" w:eastAsia="宋体" w:hint="default"/>
          <w:sz w:val="21"/>
          <w:szCs w:val="21"/>
        </w:rPr>
      </w:pPr>
    </w:p>
    <w:p>
      <w:pPr>
        <w:spacing w:before="0"/>
        <w:ind w:left="154" w:right="0" w:firstLine="0"/>
        <w:jc w:val="left"/>
        <w:rPr>
          <w:rFonts w:ascii="宋体" w:hAnsi="宋体" w:cs="宋体" w:eastAsia="宋体" w:hint="default"/>
          <w:sz w:val="21"/>
          <w:szCs w:val="21"/>
        </w:rPr>
      </w:pPr>
      <w:bookmarkStart w:name="3、共同对外投资的关联交易" w:id="81"/>
      <w:bookmarkEnd w:id="81"/>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、共同对外投资的关联交易</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line="338" w:lineRule="auto" w:before="0"/>
        <w:ind w:left="154" w:right="715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公司报告期未发生共同对外投资的关联交易。</w:t>
      </w:r>
    </w:p>
    <w:p>
      <w:pPr>
        <w:spacing w:line="240" w:lineRule="auto" w:before="2"/>
        <w:rPr>
          <w:rFonts w:ascii="宋体" w:hAnsi="宋体" w:cs="宋体" w:eastAsia="宋体" w:hint="default"/>
          <w:sz w:val="21"/>
          <w:szCs w:val="21"/>
        </w:rPr>
      </w:pPr>
    </w:p>
    <w:p>
      <w:pPr>
        <w:spacing w:before="0"/>
        <w:ind w:left="154" w:right="0" w:firstLine="0"/>
        <w:jc w:val="left"/>
        <w:rPr>
          <w:rFonts w:ascii="宋体" w:hAnsi="宋体" w:cs="宋体" w:eastAsia="宋体" w:hint="default"/>
          <w:sz w:val="21"/>
          <w:szCs w:val="21"/>
        </w:rPr>
      </w:pPr>
      <w:bookmarkStart w:name="4、关联债权债务往来" w:id="82"/>
      <w:bookmarkEnd w:id="82"/>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、关联债权债务往来</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line="340" w:lineRule="auto" w:before="0"/>
        <w:ind w:left="154" w:right="76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公司报告期不存在关联债权债务往来。</w:t>
      </w:r>
    </w:p>
    <w:p>
      <w:pPr>
        <w:spacing w:line="240" w:lineRule="auto" w:before="12"/>
        <w:rPr>
          <w:rFonts w:ascii="宋体" w:hAnsi="宋体" w:cs="宋体" w:eastAsia="宋体" w:hint="default"/>
          <w:sz w:val="20"/>
          <w:szCs w:val="20"/>
        </w:rPr>
      </w:pPr>
    </w:p>
    <w:p>
      <w:pPr>
        <w:spacing w:before="0"/>
        <w:ind w:left="154" w:right="0" w:firstLine="0"/>
        <w:jc w:val="left"/>
        <w:rPr>
          <w:rFonts w:ascii="宋体" w:hAnsi="宋体" w:cs="宋体" w:eastAsia="宋体" w:hint="default"/>
          <w:sz w:val="21"/>
          <w:szCs w:val="21"/>
        </w:rPr>
      </w:pPr>
      <w:bookmarkStart w:name="5、其他重大关联交易" w:id="83"/>
      <w:bookmarkEnd w:id="83"/>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、其他重大关联交易</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18"/>
          <w:szCs w:val="18"/>
        </w:rPr>
      </w:pPr>
    </w:p>
    <w:p>
      <w:pPr>
        <w:pStyle w:val="BodyText"/>
        <w:spacing w:line="357" w:lineRule="auto" w:before="0"/>
        <w:ind w:right="1128" w:firstLine="480"/>
        <w:jc w:val="both"/>
      </w:pPr>
      <w:r>
        <w:rPr>
          <w:spacing w:val="3"/>
        </w:rPr>
        <w:t>经公司</w:t>
      </w:r>
      <w:r>
        <w:rPr>
          <w:rFonts w:ascii="宋体" w:hAnsi="宋体" w:cs="宋体" w:eastAsia="宋体" w:hint="default"/>
          <w:spacing w:val="3"/>
        </w:rPr>
        <w:t>2017</w:t>
      </w:r>
      <w:r>
        <w:rPr>
          <w:spacing w:val="3"/>
        </w:rPr>
        <w:t>年</w:t>
      </w:r>
      <w:r>
        <w:rPr>
          <w:rFonts w:ascii="宋体" w:hAnsi="宋体" w:cs="宋体" w:eastAsia="宋体" w:hint="default"/>
          <w:spacing w:val="3"/>
        </w:rPr>
        <w:t>7</w:t>
      </w:r>
      <w:r>
        <w:rPr>
          <w:spacing w:val="3"/>
        </w:rPr>
        <w:t>月</w:t>
      </w:r>
      <w:r>
        <w:rPr>
          <w:rFonts w:ascii="宋体" w:hAnsi="宋体" w:cs="宋体" w:eastAsia="宋体" w:hint="default"/>
          <w:spacing w:val="3"/>
        </w:rPr>
        <w:t>14</w:t>
      </w:r>
      <w:r>
        <w:rPr>
          <w:spacing w:val="3"/>
        </w:rPr>
        <w:t>日召开的第二届董事会第十四次会议及第二届监事会第十次会议审</w:t>
      </w:r>
      <w:r>
        <w:rPr/>
        <w:t> 议通过了《关于承包工程项目暨关联交易的议案》，拟与杭州卓然实业有限公司（以下简称 “卓然实业”）签订工程承包合同，约定由公司承包卓然实业的正元智慧总部大厦智能化系</w:t>
      </w:r>
      <w:r>
        <w:rPr>
          <w:spacing w:val="-109"/>
        </w:rPr>
        <w:t> </w:t>
      </w:r>
      <w:r>
        <w:rPr>
          <w:spacing w:val="-109"/>
        </w:rPr>
      </w:r>
      <w:r>
        <w:rPr/>
        <w:t>统工程项目。工程地点位于杭州市余杭区龙潭路与舒心路交叉口；工程内容为智能化系统工 </w:t>
      </w:r>
      <w:r>
        <w:rPr>
          <w:spacing w:val="10"/>
        </w:rPr>
        <w:t>程（</w:t>
      </w:r>
      <w:r>
        <w:rPr>
          <w:spacing w:val="-95"/>
        </w:rPr>
        <w:t> </w:t>
      </w:r>
      <w:r>
        <w:rPr>
          <w:spacing w:val="18"/>
        </w:rPr>
        <w:t>含工程设备及安装、调试、</w:t>
      </w:r>
      <w:r>
        <w:rPr>
          <w:spacing w:val="-95"/>
        </w:rPr>
        <w:t> </w:t>
      </w:r>
      <w:r>
        <w:rPr>
          <w:spacing w:val="17"/>
        </w:rPr>
        <w:t>验收的总承包），</w:t>
      </w:r>
      <w:r>
        <w:rPr>
          <w:spacing w:val="-95"/>
        </w:rPr>
        <w:t> </w:t>
      </w:r>
      <w:r>
        <w:rPr>
          <w:spacing w:val="19"/>
        </w:rPr>
        <w:t>预计工程项目合同总金额为人民币</w:t>
      </w:r>
      <w:r>
        <w:rPr>
          <w:spacing w:val="-115"/>
        </w:rPr>
        <w:t> </w:t>
      </w:r>
      <w:r>
        <w:rPr>
          <w:spacing w:val="-115"/>
        </w:rPr>
      </w:r>
      <w:r>
        <w:rPr>
          <w:rFonts w:ascii="宋体" w:hAnsi="宋体" w:cs="宋体" w:eastAsia="宋体" w:hint="default"/>
        </w:rPr>
        <w:t>9,773,625.03</w:t>
      </w:r>
      <w:r>
        <w:rPr/>
        <w:t>元，项目实际金额以卓然实业最终验收付款金额为准。截至</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日公</w:t>
      </w:r>
      <w:r>
        <w:rPr>
          <w:spacing w:val="-86"/>
        </w:rPr>
        <w:t> </w:t>
      </w:r>
      <w:r>
        <w:rPr/>
        <w:t>司已收到工程款</w:t>
      </w:r>
      <w:r>
        <w:rPr>
          <w:rFonts w:ascii="宋体" w:hAnsi="宋体" w:cs="宋体" w:eastAsia="宋体" w:hint="default"/>
        </w:rPr>
        <w:t>1,114,725.00</w:t>
      </w:r>
      <w:r>
        <w:rPr/>
        <w:t>元。</w:t>
      </w:r>
    </w:p>
    <w:p>
      <w:pPr>
        <w:spacing w:after="0" w:line="357"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重大关联交易临时报告披露网站相关查询</w:t>
      </w:r>
    </w:p>
    <w:p>
      <w:pPr>
        <w:spacing w:line="240" w:lineRule="auto" w:before="3"/>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3460"/>
        <w:gridCol w:w="2650"/>
        <w:gridCol w:w="3459"/>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临时公告名称</w:t>
            </w:r>
          </w:p>
        </w:tc>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0" w:right="0"/>
              <w:jc w:val="left"/>
              <w:rPr>
                <w:rFonts w:ascii="宋体" w:hAnsi="宋体" w:cs="宋体" w:eastAsia="宋体" w:hint="default"/>
                <w:sz w:val="18"/>
                <w:szCs w:val="18"/>
              </w:rPr>
            </w:pPr>
            <w:r>
              <w:rPr>
                <w:rFonts w:ascii="宋体" w:hAnsi="宋体" w:cs="宋体" w:eastAsia="宋体" w:hint="default"/>
                <w:sz w:val="18"/>
                <w:szCs w:val="18"/>
              </w:rPr>
              <w:t>临时公告披露日期</w:t>
            </w:r>
          </w:p>
        </w:tc>
        <w:tc>
          <w:tcPr>
            <w:tcW w:w="3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4" w:right="0"/>
              <w:jc w:val="left"/>
              <w:rPr>
                <w:rFonts w:ascii="宋体" w:hAnsi="宋体" w:cs="宋体" w:eastAsia="宋体" w:hint="default"/>
                <w:sz w:val="18"/>
                <w:szCs w:val="18"/>
              </w:rPr>
            </w:pPr>
            <w:r>
              <w:rPr>
                <w:rFonts w:ascii="宋体" w:hAnsi="宋体" w:cs="宋体" w:eastAsia="宋体" w:hint="default"/>
                <w:sz w:val="18"/>
                <w:szCs w:val="18"/>
              </w:rPr>
              <w:t>临时公告披露网站名称</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关于承包工程项目暨关联交易的公告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十六、重大合同及其履行情况" w:id="84"/>
      <w:bookmarkEnd w:id="84"/>
      <w:r>
        <w:rPr>
          <w:b w:val="0"/>
          <w:bCs w:val="0"/>
        </w:rPr>
      </w:r>
      <w:r>
        <w:rPr/>
        <w:t>十六、重大合同及其履行情况</w:t>
      </w:r>
      <w:r>
        <w:rPr>
          <w:b w:val="0"/>
          <w:bCs w:val="0"/>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bookmarkStart w:name="1、托管、承包、租赁事项情况" w:id="85"/>
      <w:bookmarkEnd w:id="85"/>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、托管、承包、租赁事项情况</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bookmarkStart w:name="（1）托管情况" w:id="86"/>
      <w:bookmarkEnd w:id="8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）托管情况</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line="338" w:lineRule="auto" w:before="0"/>
        <w:ind w:left="154" w:right="84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公司报告期不存在托管情况。</w:t>
      </w:r>
    </w:p>
    <w:p>
      <w:pPr>
        <w:spacing w:line="240" w:lineRule="auto" w:before="1"/>
        <w:rPr>
          <w:rFonts w:ascii="宋体" w:hAnsi="宋体" w:cs="宋体" w:eastAsia="宋体" w:hint="default"/>
          <w:sz w:val="21"/>
          <w:szCs w:val="21"/>
        </w:rPr>
      </w:pPr>
    </w:p>
    <w:p>
      <w:pPr>
        <w:spacing w:before="0"/>
        <w:ind w:left="154" w:right="0" w:firstLine="0"/>
        <w:jc w:val="left"/>
        <w:rPr>
          <w:rFonts w:ascii="宋体" w:hAnsi="宋体" w:cs="宋体" w:eastAsia="宋体" w:hint="default"/>
          <w:sz w:val="21"/>
          <w:szCs w:val="21"/>
        </w:rPr>
      </w:pPr>
      <w:bookmarkStart w:name="（2）承包情况" w:id="87"/>
      <w:bookmarkEnd w:id="8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）承包情况</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line="338" w:lineRule="auto" w:before="0"/>
        <w:ind w:left="154" w:right="84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公司报告期不存在承包情况。</w:t>
      </w:r>
    </w:p>
    <w:p>
      <w:pPr>
        <w:spacing w:line="240" w:lineRule="auto" w:before="2"/>
        <w:rPr>
          <w:rFonts w:ascii="宋体" w:hAnsi="宋体" w:cs="宋体" w:eastAsia="宋体" w:hint="default"/>
          <w:sz w:val="21"/>
          <w:szCs w:val="21"/>
        </w:rPr>
      </w:pPr>
    </w:p>
    <w:p>
      <w:pPr>
        <w:spacing w:before="0"/>
        <w:ind w:left="154" w:right="0" w:firstLine="0"/>
        <w:jc w:val="left"/>
        <w:rPr>
          <w:rFonts w:ascii="宋体" w:hAnsi="宋体" w:cs="宋体" w:eastAsia="宋体" w:hint="default"/>
          <w:sz w:val="21"/>
          <w:szCs w:val="21"/>
        </w:rPr>
      </w:pPr>
      <w:bookmarkStart w:name="（3）租赁情况" w:id="88"/>
      <w:bookmarkEnd w:id="8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）租赁情况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line="340" w:lineRule="auto" w:before="0"/>
        <w:ind w:left="154" w:right="84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租赁情况说明</w:t>
      </w:r>
    </w:p>
    <w:p>
      <w:pPr>
        <w:pStyle w:val="BodyText"/>
        <w:spacing w:line="357" w:lineRule="auto" w:before="68"/>
        <w:ind w:right="1128" w:firstLine="480"/>
        <w:jc w:val="both"/>
      </w:pPr>
      <w:r>
        <w:rPr>
          <w:spacing w:val="6"/>
        </w:rPr>
        <w:t>公司与杭州卓然签订房屋租赁合同，承租杭州市余杭区龙潭路与舒心路交叉口西北侧</w:t>
      </w:r>
      <w:r>
        <w:rPr/>
        <w:t> “智慧教育产业生态园（拟名）”办公用房，租赁面积</w:t>
      </w:r>
      <w:r>
        <w:rPr>
          <w:rFonts w:ascii="宋体" w:hAnsi="宋体" w:cs="宋体" w:eastAsia="宋体" w:hint="default"/>
        </w:rPr>
        <w:t>9,593.10</w:t>
      </w:r>
      <w:r>
        <w:rPr/>
        <w:t>平方米，租金为</w:t>
      </w:r>
      <w:r>
        <w:rPr>
          <w:rFonts w:ascii="宋体" w:hAnsi="宋体" w:cs="宋体" w:eastAsia="宋体" w:hint="default"/>
        </w:rPr>
        <w:t>1.5</w:t>
      </w:r>
      <w:r>
        <w:rPr/>
        <w:t>元</w:t>
      </w:r>
      <w:r>
        <w:rPr>
          <w:rFonts w:ascii="宋体" w:hAnsi="宋体" w:cs="宋体" w:eastAsia="宋体" w:hint="default"/>
        </w:rPr>
        <w:t>/</w:t>
      </w:r>
      <w:r>
        <w:rPr/>
        <w:t>平方</w:t>
      </w:r>
      <w:r>
        <w:rPr>
          <w:spacing w:val="-100"/>
        </w:rPr>
        <w:t> </w:t>
      </w:r>
      <w:r>
        <w:rPr>
          <w:spacing w:val="-2"/>
        </w:rPr>
        <w:t>米</w:t>
      </w:r>
      <w:r>
        <w:rPr>
          <w:rFonts w:ascii="宋体" w:hAnsi="宋体" w:cs="宋体" w:eastAsia="宋体" w:hint="default"/>
          <w:spacing w:val="-2"/>
        </w:rPr>
        <w:t>/</w:t>
      </w:r>
      <w:r>
        <w:rPr>
          <w:spacing w:val="-2"/>
        </w:rPr>
        <w:t>天，按年支付，租赁期限自入驻之日起至</w:t>
      </w:r>
      <w:r>
        <w:rPr>
          <w:rFonts w:ascii="宋体" w:hAnsi="宋体" w:cs="宋体" w:eastAsia="宋体" w:hint="default"/>
          <w:spacing w:val="-2"/>
        </w:rPr>
        <w:t>2022</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日止，租金价格按每年递增</w:t>
      </w:r>
      <w:r>
        <w:rPr>
          <w:rFonts w:ascii="宋体" w:hAnsi="宋体" w:cs="宋体" w:eastAsia="宋体" w:hint="default"/>
          <w:spacing w:val="-2"/>
        </w:rPr>
        <w:t>0.1</w:t>
      </w:r>
      <w:r>
        <w:rPr>
          <w:spacing w:val="-2"/>
        </w:rPr>
        <w:t>元</w:t>
      </w:r>
      <w:r>
        <w:rPr>
          <w:rFonts w:ascii="宋体" w:hAnsi="宋体" w:cs="宋体" w:eastAsia="宋体" w:hint="default"/>
          <w:spacing w:val="-2"/>
        </w:rPr>
        <w:t>/</w:t>
      </w:r>
      <w:r>
        <w:rPr>
          <w:rFonts w:ascii="宋体" w:hAnsi="宋体" w:cs="宋体" w:eastAsia="宋体" w:hint="default"/>
          <w:spacing w:val="-110"/>
        </w:rPr>
        <w:t> </w:t>
      </w:r>
      <w:r>
        <w:rPr/>
        <w:t>平方米</w:t>
      </w:r>
      <w:r>
        <w:rPr>
          <w:rFonts w:ascii="宋体" w:hAnsi="宋体" w:cs="宋体" w:eastAsia="宋体" w:hint="default"/>
        </w:rPr>
        <w:t>/</w:t>
      </w:r>
      <w:r>
        <w:rPr/>
        <w:t>天计算。</w:t>
      </w:r>
    </w:p>
    <w:p>
      <w:pPr>
        <w:spacing w:before="47"/>
        <w:ind w:left="154" w:right="0" w:firstLine="0"/>
        <w:jc w:val="left"/>
        <w:rPr>
          <w:rFonts w:ascii="宋体" w:hAnsi="宋体" w:cs="宋体" w:eastAsia="宋体" w:hint="default"/>
          <w:sz w:val="18"/>
          <w:szCs w:val="18"/>
        </w:rPr>
      </w:pPr>
      <w:r>
        <w:rPr>
          <w:rFonts w:ascii="宋体" w:hAnsi="宋体" w:cs="宋体" w:eastAsia="宋体" w:hint="default"/>
          <w:sz w:val="18"/>
          <w:szCs w:val="18"/>
        </w:rPr>
        <w:t>为公司带来的损益达到公司报告期利润总额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以上的项目</w:t>
      </w:r>
    </w:p>
    <w:p>
      <w:pPr>
        <w:spacing w:before="103"/>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154" w:right="0" w:firstLine="0"/>
        <w:jc w:val="left"/>
        <w:rPr>
          <w:rFonts w:ascii="宋体" w:hAnsi="宋体" w:cs="宋体" w:eastAsia="宋体" w:hint="default"/>
          <w:sz w:val="18"/>
          <w:szCs w:val="18"/>
        </w:rPr>
      </w:pPr>
      <w:r>
        <w:rPr>
          <w:rFonts w:ascii="宋体" w:hAnsi="宋体" w:cs="宋体" w:eastAsia="宋体" w:hint="default"/>
          <w:sz w:val="18"/>
          <w:szCs w:val="18"/>
        </w:rPr>
        <w:t>公司报告期不存在为公司带来的损益达到公司报告期利润总额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以上的租赁项目。</w:t>
      </w:r>
    </w:p>
    <w:p>
      <w:pPr>
        <w:spacing w:line="240" w:lineRule="auto" w:before="9"/>
        <w:rPr>
          <w:rFonts w:ascii="宋体" w:hAnsi="宋体" w:cs="宋体" w:eastAsia="宋体" w:hint="default"/>
          <w:sz w:val="25"/>
          <w:szCs w:val="25"/>
        </w:rPr>
      </w:pPr>
    </w:p>
    <w:p>
      <w:pPr>
        <w:spacing w:before="0"/>
        <w:ind w:left="154" w:right="0" w:firstLine="0"/>
        <w:jc w:val="left"/>
        <w:rPr>
          <w:rFonts w:ascii="宋体" w:hAnsi="宋体" w:cs="宋体" w:eastAsia="宋体" w:hint="default"/>
          <w:sz w:val="21"/>
          <w:szCs w:val="21"/>
        </w:rPr>
      </w:pPr>
      <w:bookmarkStart w:name="2、重大担保" w:id="89"/>
      <w:bookmarkEnd w:id="89"/>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、重大担保</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spacing w:before="0"/>
        <w:ind w:left="154" w:right="0" w:firstLine="0"/>
        <w:jc w:val="left"/>
        <w:rPr>
          <w:rFonts w:ascii="宋体" w:hAnsi="宋体" w:cs="宋体" w:eastAsia="宋体" w:hint="default"/>
          <w:sz w:val="21"/>
          <w:szCs w:val="21"/>
        </w:rPr>
      </w:pPr>
      <w:bookmarkStart w:name="（1）担保情况" w:id="90"/>
      <w:bookmarkEnd w:id="9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）担保情况</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709"/>
        <w:gridCol w:w="930"/>
        <w:gridCol w:w="920"/>
        <w:gridCol w:w="1296"/>
        <w:gridCol w:w="1063"/>
        <w:gridCol w:w="1034"/>
        <w:gridCol w:w="1053"/>
        <w:gridCol w:w="788"/>
        <w:gridCol w:w="779"/>
      </w:tblGrid>
      <w:tr>
        <w:trPr>
          <w:trHeight w:val="402" w:hRule="exact"/>
        </w:trPr>
        <w:tc>
          <w:tcPr>
            <w:tcW w:w="9574"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31"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713"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8"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99" w:right="98"/>
              <w:jc w:val="left"/>
              <w:rPr>
                <w:rFonts w:ascii="宋体" w:hAnsi="宋体" w:cs="宋体" w:eastAsia="宋体" w:hint="default"/>
                <w:sz w:val="18"/>
                <w:szCs w:val="18"/>
              </w:rPr>
            </w:pPr>
            <w:r>
              <w:rPr>
                <w:rFonts w:ascii="宋体" w:hAnsi="宋体" w:cs="宋体" w:eastAsia="宋体" w:hint="default"/>
                <w:sz w:val="18"/>
                <w:szCs w:val="18"/>
              </w:rPr>
              <w:t>担保额度 相关公告</w:t>
            </w:r>
          </w:p>
        </w:tc>
        <w:tc>
          <w:tcPr>
            <w:tcW w:w="9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4"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52"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1"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08" w:right="29"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5" w:right="22"/>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713"/>
        <w:gridCol w:w="909"/>
        <w:gridCol w:w="932"/>
        <w:gridCol w:w="1308"/>
        <w:gridCol w:w="1051"/>
        <w:gridCol w:w="1035"/>
        <w:gridCol w:w="1054"/>
        <w:gridCol w:w="790"/>
        <w:gridCol w:w="783"/>
      </w:tblGrid>
      <w:tr>
        <w:trPr>
          <w:trHeight w:val="362" w:hRule="exact"/>
        </w:trPr>
        <w:tc>
          <w:tcPr>
            <w:tcW w:w="17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09" w:type="dxa"/>
            <w:tcBorders>
              <w:top w:val="single" w:sz="4" w:space="0" w:color="000000"/>
              <w:left w:val="single" w:sz="4" w:space="0" w:color="000000"/>
              <w:bottom w:val="single" w:sz="4" w:space="0" w:color="000000"/>
              <w:right w:val="single" w:sz="5" w:space="0" w:color="000000"/>
            </w:tcBorders>
            <w:shd w:val="clear" w:color="auto" w:fill="D2D2D2"/>
          </w:tcPr>
          <w:p>
            <w:pPr>
              <w:pStyle w:val="TableParagraph"/>
              <w:spacing w:line="240" w:lineRule="auto" w:before="11"/>
              <w:ind w:left="95"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932" w:type="dxa"/>
            <w:tcBorders>
              <w:top w:val="single" w:sz="4" w:space="0" w:color="000000"/>
              <w:left w:val="single" w:sz="5" w:space="0" w:color="000000"/>
              <w:bottom w:val="single" w:sz="4" w:space="0" w:color="000000"/>
              <w:right w:val="single" w:sz="4" w:space="0" w:color="000000"/>
            </w:tcBorders>
            <w:shd w:val="clear" w:color="auto" w:fill="D2D2D2"/>
          </w:tcPr>
          <w:p>
            <w:pPr/>
          </w:p>
        </w:tc>
        <w:tc>
          <w:tcPr>
            <w:tcW w:w="130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3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1713" w:type="dxa"/>
            <w:tcBorders>
              <w:top w:val="single" w:sz="4" w:space="0" w:color="000000"/>
              <w:left w:val="single" w:sz="4" w:space="0" w:color="000000"/>
              <w:bottom w:val="single" w:sz="4" w:space="0" w:color="000000"/>
              <w:right w:val="single" w:sz="4" w:space="0" w:color="000000"/>
            </w:tcBorders>
          </w:tcPr>
          <w:p>
            <w:pPr/>
          </w:p>
        </w:tc>
        <w:tc>
          <w:tcPr>
            <w:tcW w:w="909" w:type="dxa"/>
            <w:tcBorders>
              <w:top w:val="single" w:sz="4" w:space="0" w:color="000000"/>
              <w:left w:val="single" w:sz="4" w:space="0" w:color="000000"/>
              <w:bottom w:val="single" w:sz="4" w:space="0" w:color="000000"/>
              <w:right w:val="single" w:sz="5" w:space="0" w:color="000000"/>
            </w:tcBorders>
          </w:tcPr>
          <w:p>
            <w:pPr/>
          </w:p>
        </w:tc>
        <w:tc>
          <w:tcPr>
            <w:tcW w:w="932" w:type="dxa"/>
            <w:tcBorders>
              <w:top w:val="single" w:sz="4" w:space="0" w:color="000000"/>
              <w:left w:val="single" w:sz="5"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6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67"/>
              <w:jc w:val="left"/>
              <w:rPr>
                <w:rFonts w:ascii="宋体" w:hAnsi="宋体" w:cs="宋体" w:eastAsia="宋体" w:hint="default"/>
                <w:sz w:val="18"/>
                <w:szCs w:val="18"/>
              </w:rPr>
            </w:pPr>
            <w:r>
              <w:rPr>
                <w:rFonts w:ascii="宋体" w:hAnsi="宋体" w:cs="宋体" w:eastAsia="宋体" w:hint="default"/>
                <w:sz w:val="18"/>
                <w:szCs w:val="18"/>
              </w:rPr>
              <w:t>报告期内审批的对外担保额度合 计（</w:t>
            </w:r>
            <w:r>
              <w:rPr>
                <w:rFonts w:ascii="Times New Roman" w:hAnsi="Times New Roman" w:cs="Times New Roman" w:eastAsia="Times New Roman" w:hint="default"/>
                <w:sz w:val="18"/>
                <w:szCs w:val="18"/>
              </w:rPr>
              <w:t>A1</w:t>
            </w:r>
            <w:r>
              <w:rPr>
                <w:rFonts w:ascii="宋体" w:hAnsi="宋体" w:cs="宋体" w:eastAsia="宋体" w:hint="default"/>
                <w:sz w:val="18"/>
                <w:szCs w:val="18"/>
              </w:rPr>
              <w:t>）</w:t>
            </w:r>
          </w:p>
        </w:tc>
        <w:tc>
          <w:tcPr>
            <w:tcW w:w="2240" w:type="dxa"/>
            <w:gridSpan w:val="2"/>
            <w:tcBorders>
              <w:top w:val="single" w:sz="4" w:space="0" w:color="000000"/>
              <w:left w:val="single" w:sz="13" w:space="0" w:color="D2D2D2"/>
              <w:bottom w:val="single" w:sz="4" w:space="0" w:color="000000"/>
              <w:right w:val="single" w:sz="9" w:space="0" w:color="D2D2D2"/>
            </w:tcBorders>
          </w:tcPr>
          <w:p>
            <w:pPr/>
          </w:p>
        </w:tc>
        <w:tc>
          <w:tcPr>
            <w:tcW w:w="20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7" w:right="77"/>
              <w:jc w:val="left"/>
              <w:rPr>
                <w:rFonts w:ascii="宋体" w:hAnsi="宋体" w:cs="宋体" w:eastAsia="宋体" w:hint="default"/>
                <w:sz w:val="18"/>
                <w:szCs w:val="18"/>
              </w:rPr>
            </w:pPr>
            <w:r>
              <w:rPr>
                <w:rFonts w:ascii="宋体" w:hAnsi="宋体" w:cs="宋体" w:eastAsia="宋体" w:hint="default"/>
                <w:sz w:val="18"/>
                <w:szCs w:val="18"/>
              </w:rPr>
              <w:t>报告期内对外担保实际发 生额合计（</w:t>
            </w:r>
            <w:r>
              <w:rPr>
                <w:rFonts w:ascii="Times New Roman" w:hAnsi="Times New Roman" w:cs="Times New Roman" w:eastAsia="Times New Roman" w:hint="default"/>
                <w:sz w:val="18"/>
                <w:szCs w:val="18"/>
              </w:rPr>
              <w:t>A2</w:t>
            </w:r>
            <w:r>
              <w:rPr>
                <w:rFonts w:ascii="宋体" w:hAnsi="宋体" w:cs="宋体" w:eastAsia="宋体" w:hint="default"/>
                <w:sz w:val="18"/>
                <w:szCs w:val="18"/>
              </w:rPr>
              <w:t>）</w:t>
            </w:r>
          </w:p>
        </w:tc>
        <w:tc>
          <w:tcPr>
            <w:tcW w:w="2627" w:type="dxa"/>
            <w:gridSpan w:val="3"/>
            <w:tcBorders>
              <w:top w:val="single" w:sz="4" w:space="0" w:color="000000"/>
              <w:left w:val="single" w:sz="13" w:space="0" w:color="D2D2D2"/>
              <w:bottom w:val="single" w:sz="4" w:space="0" w:color="000000"/>
              <w:right w:val="single" w:sz="4" w:space="0" w:color="000000"/>
            </w:tcBorders>
          </w:tcPr>
          <w:p>
            <w:pPr/>
          </w:p>
        </w:tc>
      </w:tr>
      <w:tr>
        <w:trPr>
          <w:trHeight w:val="719" w:hRule="exact"/>
        </w:trPr>
        <w:tc>
          <w:tcPr>
            <w:tcW w:w="26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68"/>
              <w:jc w:val="left"/>
              <w:rPr>
                <w:rFonts w:ascii="宋体" w:hAnsi="宋体" w:cs="宋体" w:eastAsia="宋体" w:hint="default"/>
                <w:sz w:val="18"/>
                <w:szCs w:val="18"/>
              </w:rPr>
            </w:pPr>
            <w:r>
              <w:rPr>
                <w:rFonts w:ascii="宋体" w:hAnsi="宋体" w:cs="宋体" w:eastAsia="宋体" w:hint="default"/>
                <w:sz w:val="18"/>
                <w:szCs w:val="18"/>
              </w:rPr>
              <w:t>报告期末已审批的对外担保额度 合计（</w:t>
            </w:r>
            <w:r>
              <w:rPr>
                <w:rFonts w:ascii="Times New Roman" w:hAnsi="Times New Roman" w:cs="Times New Roman" w:eastAsia="Times New Roman" w:hint="default"/>
                <w:sz w:val="18"/>
                <w:szCs w:val="18"/>
              </w:rPr>
              <w:t>A3</w:t>
            </w:r>
            <w:r>
              <w:rPr>
                <w:rFonts w:ascii="宋体" w:hAnsi="宋体" w:cs="宋体" w:eastAsia="宋体" w:hint="default"/>
                <w:sz w:val="18"/>
                <w:szCs w:val="18"/>
              </w:rPr>
              <w:t>）</w:t>
            </w:r>
          </w:p>
        </w:tc>
        <w:tc>
          <w:tcPr>
            <w:tcW w:w="2240" w:type="dxa"/>
            <w:gridSpan w:val="2"/>
            <w:tcBorders>
              <w:top w:val="single" w:sz="4" w:space="0" w:color="000000"/>
              <w:left w:val="single" w:sz="13" w:space="0" w:color="D2D2D2"/>
              <w:bottom w:val="single" w:sz="4" w:space="0" w:color="000000"/>
              <w:right w:val="single" w:sz="9" w:space="0" w:color="D2D2D2"/>
            </w:tcBorders>
          </w:tcPr>
          <w:p>
            <w:pPr/>
          </w:p>
        </w:tc>
        <w:tc>
          <w:tcPr>
            <w:tcW w:w="20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7" w:right="77"/>
              <w:jc w:val="left"/>
              <w:rPr>
                <w:rFonts w:ascii="宋体" w:hAnsi="宋体" w:cs="宋体" w:eastAsia="宋体" w:hint="default"/>
                <w:sz w:val="18"/>
                <w:szCs w:val="18"/>
              </w:rPr>
            </w:pPr>
            <w:r>
              <w:rPr>
                <w:rFonts w:ascii="宋体" w:hAnsi="宋体" w:cs="宋体" w:eastAsia="宋体" w:hint="default"/>
                <w:sz w:val="18"/>
                <w:szCs w:val="18"/>
              </w:rPr>
              <w:t>报告期末实际对外担保余 额合计（</w:t>
            </w:r>
            <w:r>
              <w:rPr>
                <w:rFonts w:ascii="Times New Roman" w:hAnsi="Times New Roman" w:cs="Times New Roman" w:eastAsia="Times New Roman" w:hint="default"/>
                <w:sz w:val="18"/>
                <w:szCs w:val="18"/>
              </w:rPr>
              <w:t>A4</w:t>
            </w:r>
            <w:r>
              <w:rPr>
                <w:rFonts w:ascii="宋体" w:hAnsi="宋体" w:cs="宋体" w:eastAsia="宋体" w:hint="default"/>
                <w:sz w:val="18"/>
                <w:szCs w:val="18"/>
              </w:rPr>
              <w:t>）</w:t>
            </w:r>
          </w:p>
        </w:tc>
        <w:tc>
          <w:tcPr>
            <w:tcW w:w="2627" w:type="dxa"/>
            <w:gridSpan w:val="3"/>
            <w:tcBorders>
              <w:top w:val="single" w:sz="4" w:space="0" w:color="000000"/>
              <w:left w:val="single" w:sz="13" w:space="0" w:color="D2D2D2"/>
              <w:bottom w:val="single" w:sz="4" w:space="0" w:color="000000"/>
              <w:right w:val="single" w:sz="4" w:space="0" w:color="000000"/>
            </w:tcBorders>
          </w:tcPr>
          <w:p>
            <w:pPr/>
          </w:p>
        </w:tc>
      </w:tr>
      <w:tr>
        <w:trPr>
          <w:trHeight w:val="39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1"/>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66" w:hRule="exact"/>
        </w:trPr>
        <w:tc>
          <w:tcPr>
            <w:tcW w:w="1713" w:type="dxa"/>
            <w:vMerge w:val="restart"/>
            <w:tcBorders>
              <w:top w:val="single" w:sz="4" w:space="0" w:color="000000"/>
              <w:left w:val="single" w:sz="4" w:space="0" w:color="000000"/>
              <w:right w:val="single" w:sz="4" w:space="0" w:color="000000"/>
            </w:tcBorders>
            <w:shd w:val="clear" w:color="auto" w:fill="D2D2D2"/>
          </w:tcPr>
          <w:p>
            <w:pPr/>
          </w:p>
        </w:tc>
        <w:tc>
          <w:tcPr>
            <w:tcW w:w="90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92" w:right="86"/>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32" w:type="dxa"/>
            <w:vMerge w:val="restart"/>
            <w:tcBorders>
              <w:top w:val="single" w:sz="4" w:space="0" w:color="000000"/>
              <w:left w:val="single" w:sz="4" w:space="0" w:color="000000"/>
              <w:right w:val="single" w:sz="4" w:space="0" w:color="000000"/>
            </w:tcBorders>
            <w:shd w:val="clear" w:color="auto" w:fill="D2D2D2"/>
          </w:tcPr>
          <w:p>
            <w:pPr/>
          </w:p>
        </w:tc>
        <w:tc>
          <w:tcPr>
            <w:tcW w:w="1308" w:type="dxa"/>
            <w:vMerge w:val="restart"/>
            <w:tcBorders>
              <w:top w:val="single" w:sz="4" w:space="0" w:color="000000"/>
              <w:left w:val="single" w:sz="4" w:space="0" w:color="000000"/>
              <w:right w:val="single" w:sz="4" w:space="0" w:color="000000"/>
            </w:tcBorders>
            <w:shd w:val="clear" w:color="auto" w:fill="D2D2D2"/>
          </w:tcPr>
          <w:p>
            <w:pPr/>
          </w:p>
        </w:tc>
        <w:tc>
          <w:tcPr>
            <w:tcW w:w="1051" w:type="dxa"/>
            <w:tcBorders>
              <w:top w:val="single" w:sz="4" w:space="0" w:color="000000"/>
              <w:left w:val="single" w:sz="4" w:space="0" w:color="000000"/>
              <w:bottom w:val="nil" w:sz="6" w:space="0" w:color="auto"/>
              <w:right w:val="single" w:sz="4" w:space="0" w:color="FFFFFF"/>
            </w:tcBorders>
            <w:shd w:val="clear" w:color="auto" w:fill="D2D2D2"/>
          </w:tcPr>
          <w:p>
            <w:pPr/>
          </w:p>
        </w:tc>
        <w:tc>
          <w:tcPr>
            <w:tcW w:w="1035" w:type="dxa"/>
            <w:vMerge w:val="restart"/>
            <w:tcBorders>
              <w:top w:val="single" w:sz="4" w:space="0" w:color="000000"/>
              <w:left w:val="single" w:sz="4" w:space="0" w:color="FFFFFF"/>
              <w:right w:val="single" w:sz="4" w:space="0" w:color="000000"/>
            </w:tcBorders>
            <w:shd w:val="clear" w:color="auto" w:fill="D2D2D2"/>
          </w:tcPr>
          <w:p>
            <w:pPr/>
          </w:p>
        </w:tc>
        <w:tc>
          <w:tcPr>
            <w:tcW w:w="1054" w:type="dxa"/>
            <w:vMerge w:val="restart"/>
            <w:tcBorders>
              <w:top w:val="single" w:sz="4" w:space="0" w:color="000000"/>
              <w:left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nil" w:sz="6" w:space="0" w:color="auto"/>
              <w:right w:val="single" w:sz="4" w:space="0" w:color="000000"/>
            </w:tcBorders>
            <w:shd w:val="clear" w:color="auto" w:fill="D2D2D2"/>
          </w:tcPr>
          <w:p>
            <w:pPr/>
          </w:p>
        </w:tc>
        <w:tc>
          <w:tcPr>
            <w:tcW w:w="78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713" w:type="dxa"/>
            <w:vMerge/>
            <w:tcBorders>
              <w:left w:val="single" w:sz="4" w:space="0" w:color="000000"/>
              <w:bottom w:val="nil" w:sz="6" w:space="0" w:color="auto"/>
              <w:right w:val="single" w:sz="4" w:space="0" w:color="000000"/>
            </w:tcBorders>
            <w:shd w:val="clear" w:color="auto" w:fill="D2D2D2"/>
          </w:tcPr>
          <w:p>
            <w:pPr/>
          </w:p>
        </w:tc>
        <w:tc>
          <w:tcPr>
            <w:tcW w:w="909" w:type="dxa"/>
            <w:vMerge/>
            <w:tcBorders>
              <w:left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1308" w:type="dxa"/>
            <w:vMerge/>
            <w:tcBorders>
              <w:left w:val="single" w:sz="4" w:space="0" w:color="000000"/>
              <w:bottom w:val="nil" w:sz="6" w:space="0" w:color="auto"/>
              <w:right w:val="single" w:sz="4" w:space="0" w:color="000000"/>
            </w:tcBorders>
            <w:shd w:val="clear" w:color="auto" w:fill="D2D2D2"/>
          </w:tcPr>
          <w:p>
            <w:pPr/>
          </w:p>
        </w:tc>
        <w:tc>
          <w:tcPr>
            <w:tcW w:w="1051" w:type="dxa"/>
            <w:vMerge w:val="restart"/>
            <w:tcBorders>
              <w:top w:val="nil" w:sz="6" w:space="0" w:color="auto"/>
              <w:left w:val="single" w:sz="4" w:space="0" w:color="000000"/>
              <w:right w:val="single" w:sz="4" w:space="0" w:color="FFFFFF"/>
            </w:tcBorders>
            <w:shd w:val="clear" w:color="auto" w:fill="D2D2D2"/>
          </w:tcPr>
          <w:p>
            <w:pPr>
              <w:pStyle w:val="TableParagraph"/>
              <w:spacing w:line="316" w:lineRule="auto" w:before="51"/>
              <w:ind w:left="429" w:right="69"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5" w:type="dxa"/>
            <w:vMerge/>
            <w:tcBorders>
              <w:left w:val="single" w:sz="4" w:space="0" w:color="FFFFFF"/>
              <w:bottom w:val="nil" w:sz="6" w:space="0" w:color="auto"/>
              <w:right w:val="single" w:sz="4" w:space="0" w:color="000000"/>
            </w:tcBorders>
            <w:shd w:val="clear" w:color="auto" w:fill="D2D2D2"/>
          </w:tcPr>
          <w:p>
            <w:pPr/>
          </w:p>
        </w:tc>
        <w:tc>
          <w:tcPr>
            <w:tcW w:w="1054" w:type="dxa"/>
            <w:vMerge/>
            <w:tcBorders>
              <w:left w:val="single" w:sz="4" w:space="0" w:color="000000"/>
              <w:bottom w:val="nil" w:sz="6" w:space="0" w:color="auto"/>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09" w:right="28"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8" w:right="23"/>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2" w:hRule="exact"/>
        </w:trPr>
        <w:tc>
          <w:tcPr>
            <w:tcW w:w="17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314"/>
              <w:jc w:val="right"/>
              <w:rPr>
                <w:rFonts w:ascii="宋体" w:hAnsi="宋体" w:cs="宋体" w:eastAsia="宋体" w:hint="default"/>
                <w:sz w:val="18"/>
                <w:szCs w:val="18"/>
              </w:rPr>
            </w:pPr>
            <w:r>
              <w:rPr>
                <w:rFonts w:ascii="宋体" w:hAnsi="宋体" w:cs="宋体" w:eastAsia="宋体" w:hint="default"/>
                <w:sz w:val="18"/>
                <w:szCs w:val="18"/>
              </w:rPr>
              <w:t>担保对象名称</w:t>
            </w:r>
          </w:p>
        </w:tc>
        <w:tc>
          <w:tcPr>
            <w:tcW w:w="909" w:type="dxa"/>
            <w:vMerge/>
            <w:tcBorders>
              <w:left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09"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07"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51" w:type="dxa"/>
            <w:vMerge/>
            <w:tcBorders>
              <w:left w:val="single" w:sz="4" w:space="0" w:color="000000"/>
              <w:right w:val="single" w:sz="4" w:space="0" w:color="FFFFFF"/>
            </w:tcBorders>
            <w:shd w:val="clear" w:color="auto" w:fill="D2D2D2"/>
          </w:tcPr>
          <w:p>
            <w:pPr/>
          </w:p>
        </w:tc>
        <w:tc>
          <w:tcPr>
            <w:tcW w:w="1035" w:type="dxa"/>
            <w:tcBorders>
              <w:top w:val="nil" w:sz="6" w:space="0" w:color="auto"/>
              <w:left w:val="single" w:sz="4" w:space="0" w:color="FFFFFF"/>
              <w:bottom w:val="nil" w:sz="6" w:space="0" w:color="auto"/>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5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90" w:type="dxa"/>
            <w:vMerge/>
            <w:tcBorders>
              <w:left w:val="single" w:sz="4" w:space="0" w:color="000000"/>
              <w:right w:val="single" w:sz="4" w:space="0" w:color="000000"/>
            </w:tcBorders>
            <w:shd w:val="clear" w:color="auto" w:fill="D2D2D2"/>
          </w:tcPr>
          <w:p>
            <w:pPr/>
          </w:p>
        </w:tc>
        <w:tc>
          <w:tcPr>
            <w:tcW w:w="783" w:type="dxa"/>
            <w:vMerge/>
            <w:tcBorders>
              <w:left w:val="single" w:sz="4" w:space="0" w:color="000000"/>
              <w:right w:val="single" w:sz="4" w:space="0" w:color="000000"/>
            </w:tcBorders>
            <w:shd w:val="clear" w:color="auto" w:fill="D2D2D2"/>
          </w:tcPr>
          <w:p>
            <w:pPr/>
          </w:p>
        </w:tc>
      </w:tr>
      <w:tr>
        <w:trPr>
          <w:trHeight w:val="156" w:hRule="exact"/>
        </w:trPr>
        <w:tc>
          <w:tcPr>
            <w:tcW w:w="1713" w:type="dxa"/>
            <w:vMerge w:val="restart"/>
            <w:tcBorders>
              <w:top w:val="nil" w:sz="6" w:space="0" w:color="auto"/>
              <w:left w:val="single" w:sz="4" w:space="0" w:color="000000"/>
              <w:right w:val="single" w:sz="4" w:space="0" w:color="000000"/>
            </w:tcBorders>
            <w:shd w:val="clear" w:color="auto" w:fill="D2D2D2"/>
          </w:tcPr>
          <w:p>
            <w:pPr/>
          </w:p>
        </w:tc>
        <w:tc>
          <w:tcPr>
            <w:tcW w:w="909" w:type="dxa"/>
            <w:vMerge/>
            <w:tcBorders>
              <w:left w:val="single" w:sz="4" w:space="0" w:color="000000"/>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c>
          <w:tcPr>
            <w:tcW w:w="1308" w:type="dxa"/>
            <w:vMerge w:val="restart"/>
            <w:tcBorders>
              <w:top w:val="nil" w:sz="6" w:space="0" w:color="auto"/>
              <w:left w:val="single" w:sz="4" w:space="0" w:color="000000"/>
              <w:right w:val="single" w:sz="4" w:space="0" w:color="000000"/>
            </w:tcBorders>
            <w:shd w:val="clear" w:color="auto" w:fill="D2D2D2"/>
          </w:tcPr>
          <w:p>
            <w:pPr/>
          </w:p>
        </w:tc>
        <w:tc>
          <w:tcPr>
            <w:tcW w:w="1051" w:type="dxa"/>
            <w:vMerge/>
            <w:tcBorders>
              <w:left w:val="single" w:sz="4" w:space="0" w:color="000000"/>
              <w:bottom w:val="nil" w:sz="6" w:space="0" w:color="auto"/>
              <w:right w:val="single" w:sz="4" w:space="0" w:color="FFFFFF"/>
            </w:tcBorders>
            <w:shd w:val="clear" w:color="auto" w:fill="D2D2D2"/>
          </w:tcPr>
          <w:p>
            <w:pPr/>
          </w:p>
        </w:tc>
        <w:tc>
          <w:tcPr>
            <w:tcW w:w="1035" w:type="dxa"/>
            <w:vMerge w:val="restart"/>
            <w:tcBorders>
              <w:top w:val="nil" w:sz="6" w:space="0" w:color="auto"/>
              <w:left w:val="single" w:sz="4" w:space="0" w:color="FFFFFF"/>
              <w:right w:val="single" w:sz="4" w:space="0" w:color="000000"/>
            </w:tcBorders>
            <w:shd w:val="clear" w:color="auto" w:fill="D2D2D2"/>
          </w:tcPr>
          <w:p>
            <w:pPr/>
          </w:p>
        </w:tc>
        <w:tc>
          <w:tcPr>
            <w:tcW w:w="1054" w:type="dxa"/>
            <w:vMerge w:val="restart"/>
            <w:tcBorders>
              <w:top w:val="nil" w:sz="6" w:space="0" w:color="auto"/>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783"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713" w:type="dxa"/>
            <w:vMerge/>
            <w:tcBorders>
              <w:left w:val="single" w:sz="4" w:space="0" w:color="000000"/>
              <w:bottom w:val="single" w:sz="4" w:space="0" w:color="000000"/>
              <w:right w:val="single" w:sz="4" w:space="0" w:color="000000"/>
            </w:tcBorders>
            <w:shd w:val="clear" w:color="auto" w:fill="D2D2D2"/>
          </w:tcPr>
          <w:p>
            <w:pPr/>
          </w:p>
        </w:tc>
        <w:tc>
          <w:tcPr>
            <w:tcW w:w="909" w:type="dxa"/>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c>
          <w:tcPr>
            <w:tcW w:w="1308" w:type="dxa"/>
            <w:vMerge/>
            <w:tcBorders>
              <w:left w:val="single" w:sz="4" w:space="0" w:color="000000"/>
              <w:bottom w:val="single" w:sz="4" w:space="0" w:color="000000"/>
              <w:right w:val="single" w:sz="4" w:space="0" w:color="000000"/>
            </w:tcBorders>
            <w:shd w:val="clear" w:color="auto" w:fill="D2D2D2"/>
          </w:tcPr>
          <w:p>
            <w:pPr/>
          </w:p>
        </w:tc>
        <w:tc>
          <w:tcPr>
            <w:tcW w:w="1051" w:type="dxa"/>
            <w:tcBorders>
              <w:top w:val="nil" w:sz="6" w:space="0" w:color="auto"/>
              <w:left w:val="single" w:sz="4" w:space="0" w:color="000000"/>
              <w:bottom w:val="single" w:sz="4" w:space="0" w:color="000000"/>
              <w:right w:val="single" w:sz="4" w:space="0" w:color="FFFFFF"/>
            </w:tcBorders>
            <w:shd w:val="clear" w:color="auto" w:fill="D2D2D2"/>
          </w:tcPr>
          <w:p>
            <w:pPr/>
          </w:p>
        </w:tc>
        <w:tc>
          <w:tcPr>
            <w:tcW w:w="1035" w:type="dxa"/>
            <w:vMerge/>
            <w:tcBorders>
              <w:left w:val="single" w:sz="4" w:space="0" w:color="FFFFFF"/>
              <w:bottom w:val="single" w:sz="4" w:space="0" w:color="000000"/>
              <w:right w:val="single" w:sz="4" w:space="0" w:color="000000"/>
            </w:tcBorders>
            <w:shd w:val="clear" w:color="auto" w:fill="D2D2D2"/>
          </w:tcPr>
          <w:p>
            <w:pPr/>
          </w:p>
        </w:tc>
        <w:tc>
          <w:tcPr>
            <w:tcW w:w="1054" w:type="dxa"/>
            <w:vMerge/>
            <w:tcBorders>
              <w:left w:val="single" w:sz="4" w:space="0" w:color="000000"/>
              <w:bottom w:val="single" w:sz="4" w:space="0" w:color="000000"/>
              <w:right w:val="single" w:sz="4" w:space="0" w:color="000000"/>
            </w:tcBorders>
            <w:shd w:val="clear" w:color="auto" w:fill="D2D2D2"/>
          </w:tcPr>
          <w:p>
            <w:pPr/>
          </w:p>
        </w:tc>
        <w:tc>
          <w:tcPr>
            <w:tcW w:w="790" w:type="dxa"/>
            <w:tcBorders>
              <w:top w:val="nil" w:sz="6" w:space="0" w:color="auto"/>
              <w:left w:val="single" w:sz="4" w:space="0" w:color="000000"/>
              <w:bottom w:val="single" w:sz="4" w:space="0" w:color="000000"/>
              <w:right w:val="single" w:sz="4" w:space="0" w:color="000000"/>
            </w:tcBorders>
            <w:shd w:val="clear" w:color="auto" w:fill="D2D2D2"/>
          </w:tcPr>
          <w:p>
            <w:pPr/>
          </w:p>
        </w:tc>
        <w:tc>
          <w:tcPr>
            <w:tcW w:w="78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338" w:hRule="exact"/>
        </w:trPr>
        <w:tc>
          <w:tcPr>
            <w:tcW w:w="1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青岛天高</w:t>
            </w:r>
          </w:p>
        </w:tc>
        <w:tc>
          <w:tcPr>
            <w:tcW w:w="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19"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4"/>
              <w:jc w:val="right"/>
              <w:rPr>
                <w:rFonts w:ascii="Times New Roman" w:hAnsi="Times New Roman" w:cs="Times New Roman" w:eastAsia="Times New Roman" w:hint="default"/>
                <w:sz w:val="18"/>
                <w:szCs w:val="18"/>
              </w:rPr>
            </w:pPr>
            <w:r>
              <w:rPr>
                <w:rFonts w:ascii="Times New Roman"/>
                <w:sz w:val="18"/>
              </w:rPr>
              <w:t>1,100</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1"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4"/>
              <w:jc w:val="right"/>
              <w:rPr>
                <w:rFonts w:ascii="Times New Roman" w:hAnsi="Times New Roman" w:cs="Times New Roman" w:eastAsia="Times New Roman" w:hint="default"/>
                <w:sz w:val="18"/>
                <w:szCs w:val="18"/>
              </w:rPr>
            </w:pPr>
            <w:r>
              <w:rPr>
                <w:rFonts w:ascii="Times New Roman"/>
                <w:sz w:val="18"/>
              </w:rPr>
              <w:t>1,100</w:t>
            </w:r>
          </w:p>
        </w:tc>
        <w:tc>
          <w:tcPr>
            <w:tcW w:w="1035"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9" w:right="94"/>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240" w:lineRule="auto" w:before="61"/>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-2019</w:t>
            </w:r>
          </w:p>
          <w:p>
            <w:pPr>
              <w:pStyle w:val="TableParagraph"/>
              <w:spacing w:line="240" w:lineRule="auto" w:before="63"/>
              <w:ind w:left="2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8"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38" w:hRule="exact"/>
        </w:trPr>
        <w:tc>
          <w:tcPr>
            <w:tcW w:w="1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广西筑波</w:t>
            </w:r>
          </w:p>
        </w:tc>
        <w:tc>
          <w:tcPr>
            <w:tcW w:w="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19"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4"/>
              <w:jc w:val="right"/>
              <w:rPr>
                <w:rFonts w:ascii="Times New Roman" w:hAnsi="Times New Roman" w:cs="Times New Roman" w:eastAsia="Times New Roman" w:hint="default"/>
                <w:sz w:val="18"/>
                <w:szCs w:val="18"/>
              </w:rPr>
            </w:pPr>
            <w:r>
              <w:rPr>
                <w:rFonts w:ascii="Times New Roman"/>
                <w:sz w:val="18"/>
              </w:rPr>
              <w:t>3,000</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1"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4"/>
              <w:jc w:val="right"/>
              <w:rPr>
                <w:rFonts w:ascii="Times New Roman" w:hAnsi="Times New Roman" w:cs="Times New Roman" w:eastAsia="Times New Roman" w:hint="default"/>
                <w:sz w:val="18"/>
                <w:szCs w:val="18"/>
              </w:rPr>
            </w:pPr>
            <w:r>
              <w:rPr>
                <w:rFonts w:ascii="Times New Roman"/>
                <w:sz w:val="18"/>
              </w:rPr>
              <w:t>1,500</w:t>
            </w:r>
          </w:p>
        </w:tc>
        <w:tc>
          <w:tcPr>
            <w:tcW w:w="1035"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9" w:right="94"/>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p>
          <w:p>
            <w:pPr>
              <w:pStyle w:val="TableParagraph"/>
              <w:spacing w:line="240" w:lineRule="auto" w:before="61"/>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-2020</w:t>
            </w:r>
          </w:p>
          <w:p>
            <w:pPr>
              <w:pStyle w:val="TableParagraph"/>
              <w:spacing w:line="240" w:lineRule="auto" w:before="63"/>
              <w:ind w:left="2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8"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6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67"/>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240" w:type="dxa"/>
            <w:gridSpan w:val="2"/>
            <w:tcBorders>
              <w:top w:val="single" w:sz="4" w:space="0" w:color="000000"/>
              <w:left w:val="single" w:sz="13" w:space="0" w:color="D2D2D2"/>
              <w:bottom w:val="single" w:sz="4" w:space="0" w:color="000000"/>
              <w:right w:val="single" w:sz="9"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w:t>
            </w:r>
          </w:p>
        </w:tc>
        <w:tc>
          <w:tcPr>
            <w:tcW w:w="20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7" w:right="77"/>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27"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9" w:hRule="exact"/>
        </w:trPr>
        <w:tc>
          <w:tcPr>
            <w:tcW w:w="26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67"/>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240" w:type="dxa"/>
            <w:gridSpan w:val="2"/>
            <w:tcBorders>
              <w:top w:val="single" w:sz="4" w:space="0" w:color="000000"/>
              <w:left w:val="single" w:sz="13" w:space="0" w:color="D2D2D2"/>
              <w:bottom w:val="single" w:sz="4" w:space="0" w:color="000000"/>
              <w:right w:val="single" w:sz="9"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4,100</w:t>
            </w:r>
          </w:p>
        </w:tc>
        <w:tc>
          <w:tcPr>
            <w:tcW w:w="20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7" w:right="77"/>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27"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2,600</w:t>
            </w:r>
          </w:p>
        </w:tc>
      </w:tr>
      <w:tr>
        <w:trPr>
          <w:trHeight w:val="39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166" w:hRule="exact"/>
        </w:trPr>
        <w:tc>
          <w:tcPr>
            <w:tcW w:w="1713" w:type="dxa"/>
            <w:vMerge w:val="restart"/>
            <w:tcBorders>
              <w:top w:val="single" w:sz="4" w:space="0" w:color="000000"/>
              <w:left w:val="single" w:sz="4" w:space="0" w:color="000000"/>
              <w:right w:val="single" w:sz="4" w:space="0" w:color="000000"/>
            </w:tcBorders>
            <w:shd w:val="clear" w:color="auto" w:fill="D2D2D2"/>
          </w:tcPr>
          <w:p>
            <w:pPr/>
          </w:p>
        </w:tc>
        <w:tc>
          <w:tcPr>
            <w:tcW w:w="90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88" w:right="88"/>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32" w:type="dxa"/>
            <w:vMerge w:val="restart"/>
            <w:tcBorders>
              <w:top w:val="single" w:sz="4" w:space="0" w:color="000000"/>
              <w:left w:val="single" w:sz="4" w:space="0" w:color="000000"/>
              <w:right w:val="single" w:sz="4" w:space="0" w:color="000000"/>
            </w:tcBorders>
            <w:shd w:val="clear" w:color="auto" w:fill="D2D2D2"/>
          </w:tcPr>
          <w:p>
            <w:pPr/>
          </w:p>
        </w:tc>
        <w:tc>
          <w:tcPr>
            <w:tcW w:w="1308" w:type="dxa"/>
            <w:vMerge w:val="restart"/>
            <w:tcBorders>
              <w:top w:val="single" w:sz="4" w:space="0" w:color="000000"/>
              <w:left w:val="single" w:sz="4" w:space="0" w:color="000000"/>
              <w:right w:val="single" w:sz="4" w:space="0" w:color="000000"/>
            </w:tcBorders>
            <w:shd w:val="clear" w:color="auto" w:fill="D2D2D2"/>
          </w:tcPr>
          <w:p>
            <w:pPr/>
          </w:p>
        </w:tc>
        <w:tc>
          <w:tcPr>
            <w:tcW w:w="1051" w:type="dxa"/>
            <w:tcBorders>
              <w:top w:val="single" w:sz="4" w:space="0" w:color="000000"/>
              <w:left w:val="single" w:sz="4" w:space="0" w:color="000000"/>
              <w:bottom w:val="nil" w:sz="6" w:space="0" w:color="auto"/>
              <w:right w:val="single" w:sz="4" w:space="0" w:color="000000"/>
            </w:tcBorders>
            <w:shd w:val="clear" w:color="auto" w:fill="D2D2D2"/>
          </w:tcPr>
          <w:p>
            <w:pPr/>
          </w:p>
        </w:tc>
        <w:tc>
          <w:tcPr>
            <w:tcW w:w="1035" w:type="dxa"/>
            <w:vMerge w:val="restart"/>
            <w:tcBorders>
              <w:top w:val="single" w:sz="4" w:space="0" w:color="000000"/>
              <w:left w:val="single" w:sz="4" w:space="0" w:color="000000"/>
              <w:right w:val="single" w:sz="4" w:space="0" w:color="000000"/>
            </w:tcBorders>
            <w:shd w:val="clear" w:color="auto" w:fill="D2D2D2"/>
          </w:tcPr>
          <w:p>
            <w:pPr/>
          </w:p>
        </w:tc>
        <w:tc>
          <w:tcPr>
            <w:tcW w:w="1054" w:type="dxa"/>
            <w:vMerge w:val="restart"/>
            <w:tcBorders>
              <w:top w:val="single" w:sz="4" w:space="0" w:color="000000"/>
              <w:left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nil" w:sz="6" w:space="0" w:color="auto"/>
              <w:right w:val="single" w:sz="4" w:space="0" w:color="000000"/>
            </w:tcBorders>
            <w:shd w:val="clear" w:color="auto" w:fill="D2D2D2"/>
          </w:tcPr>
          <w:p>
            <w:pPr/>
          </w:p>
        </w:tc>
        <w:tc>
          <w:tcPr>
            <w:tcW w:w="78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713" w:type="dxa"/>
            <w:vMerge/>
            <w:tcBorders>
              <w:left w:val="single" w:sz="4" w:space="0" w:color="000000"/>
              <w:bottom w:val="nil" w:sz="6" w:space="0" w:color="auto"/>
              <w:right w:val="single" w:sz="4" w:space="0" w:color="000000"/>
            </w:tcBorders>
            <w:shd w:val="clear" w:color="auto" w:fill="D2D2D2"/>
          </w:tcPr>
          <w:p>
            <w:pPr/>
          </w:p>
        </w:tc>
        <w:tc>
          <w:tcPr>
            <w:tcW w:w="909" w:type="dxa"/>
            <w:vMerge/>
            <w:tcBorders>
              <w:left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1308" w:type="dxa"/>
            <w:vMerge/>
            <w:tcBorders>
              <w:left w:val="single" w:sz="4" w:space="0" w:color="000000"/>
              <w:bottom w:val="nil" w:sz="6" w:space="0" w:color="auto"/>
              <w:right w:val="single" w:sz="4" w:space="0" w:color="000000"/>
            </w:tcBorders>
            <w:shd w:val="clear" w:color="auto" w:fill="D2D2D2"/>
          </w:tcPr>
          <w:p>
            <w:pPr/>
          </w:p>
        </w:tc>
        <w:tc>
          <w:tcPr>
            <w:tcW w:w="1051"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420" w:right="79"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5" w:type="dxa"/>
            <w:vMerge/>
            <w:tcBorders>
              <w:left w:val="single" w:sz="4" w:space="0" w:color="000000"/>
              <w:bottom w:val="nil" w:sz="6" w:space="0" w:color="auto"/>
              <w:right w:val="single" w:sz="4" w:space="0" w:color="000000"/>
            </w:tcBorders>
            <w:shd w:val="clear" w:color="auto" w:fill="D2D2D2"/>
          </w:tcPr>
          <w:p>
            <w:pPr/>
          </w:p>
        </w:tc>
        <w:tc>
          <w:tcPr>
            <w:tcW w:w="1054" w:type="dxa"/>
            <w:vMerge/>
            <w:tcBorders>
              <w:left w:val="single" w:sz="4" w:space="0" w:color="000000"/>
              <w:bottom w:val="nil" w:sz="6" w:space="0" w:color="auto"/>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05" w:right="33"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2" w:hRule="exact"/>
        </w:trPr>
        <w:tc>
          <w:tcPr>
            <w:tcW w:w="17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314"/>
              <w:jc w:val="right"/>
              <w:rPr>
                <w:rFonts w:ascii="宋体" w:hAnsi="宋体" w:cs="宋体" w:eastAsia="宋体" w:hint="default"/>
                <w:sz w:val="18"/>
                <w:szCs w:val="18"/>
              </w:rPr>
            </w:pPr>
            <w:r>
              <w:rPr>
                <w:rFonts w:ascii="宋体" w:hAnsi="宋体" w:cs="宋体" w:eastAsia="宋体" w:hint="default"/>
                <w:sz w:val="18"/>
                <w:szCs w:val="18"/>
              </w:rPr>
              <w:t>担保对象名称</w:t>
            </w:r>
          </w:p>
        </w:tc>
        <w:tc>
          <w:tcPr>
            <w:tcW w:w="909" w:type="dxa"/>
            <w:vMerge/>
            <w:tcBorders>
              <w:left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97"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51" w:type="dxa"/>
            <w:vMerge/>
            <w:tcBorders>
              <w:left w:val="single" w:sz="4" w:space="0" w:color="000000"/>
              <w:right w:val="single" w:sz="4" w:space="0" w:color="000000"/>
            </w:tcBorders>
            <w:shd w:val="clear" w:color="auto" w:fill="D2D2D2"/>
          </w:tcPr>
          <w:p>
            <w:pPr/>
          </w:p>
        </w:tc>
        <w:tc>
          <w:tcPr>
            <w:tcW w:w="10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5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90" w:type="dxa"/>
            <w:vMerge/>
            <w:tcBorders>
              <w:left w:val="single" w:sz="4" w:space="0" w:color="000000"/>
              <w:right w:val="single" w:sz="4" w:space="0" w:color="000000"/>
            </w:tcBorders>
            <w:shd w:val="clear" w:color="auto" w:fill="D2D2D2"/>
          </w:tcPr>
          <w:p>
            <w:pPr/>
          </w:p>
        </w:tc>
        <w:tc>
          <w:tcPr>
            <w:tcW w:w="783" w:type="dxa"/>
            <w:vMerge/>
            <w:tcBorders>
              <w:left w:val="single" w:sz="4" w:space="0" w:color="000000"/>
              <w:right w:val="single" w:sz="4" w:space="0" w:color="000000"/>
            </w:tcBorders>
            <w:shd w:val="clear" w:color="auto" w:fill="D2D2D2"/>
          </w:tcPr>
          <w:p>
            <w:pPr/>
          </w:p>
        </w:tc>
      </w:tr>
      <w:tr>
        <w:trPr>
          <w:trHeight w:val="156" w:hRule="exact"/>
        </w:trPr>
        <w:tc>
          <w:tcPr>
            <w:tcW w:w="1713" w:type="dxa"/>
            <w:vMerge w:val="restart"/>
            <w:tcBorders>
              <w:top w:val="nil" w:sz="6" w:space="0" w:color="auto"/>
              <w:left w:val="single" w:sz="4" w:space="0" w:color="000000"/>
              <w:right w:val="single" w:sz="4" w:space="0" w:color="000000"/>
            </w:tcBorders>
            <w:shd w:val="clear" w:color="auto" w:fill="D2D2D2"/>
          </w:tcPr>
          <w:p>
            <w:pPr/>
          </w:p>
        </w:tc>
        <w:tc>
          <w:tcPr>
            <w:tcW w:w="909" w:type="dxa"/>
            <w:vMerge/>
            <w:tcBorders>
              <w:left w:val="single" w:sz="4" w:space="0" w:color="000000"/>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c>
          <w:tcPr>
            <w:tcW w:w="1308" w:type="dxa"/>
            <w:vMerge w:val="restart"/>
            <w:tcBorders>
              <w:top w:val="nil" w:sz="6" w:space="0" w:color="auto"/>
              <w:left w:val="single" w:sz="4" w:space="0" w:color="000000"/>
              <w:right w:val="single" w:sz="4" w:space="0" w:color="000000"/>
            </w:tcBorders>
            <w:shd w:val="clear" w:color="auto" w:fill="D2D2D2"/>
          </w:tcPr>
          <w:p>
            <w:pPr/>
          </w:p>
        </w:tc>
        <w:tc>
          <w:tcPr>
            <w:tcW w:w="1051" w:type="dxa"/>
            <w:vMerge/>
            <w:tcBorders>
              <w:left w:val="single" w:sz="4" w:space="0" w:color="000000"/>
              <w:bottom w:val="nil" w:sz="6" w:space="0" w:color="auto"/>
              <w:right w:val="single" w:sz="4" w:space="0" w:color="000000"/>
            </w:tcBorders>
            <w:shd w:val="clear" w:color="auto" w:fill="D2D2D2"/>
          </w:tcPr>
          <w:p>
            <w:pPr/>
          </w:p>
        </w:tc>
        <w:tc>
          <w:tcPr>
            <w:tcW w:w="1035" w:type="dxa"/>
            <w:vMerge w:val="restart"/>
            <w:tcBorders>
              <w:top w:val="nil" w:sz="6" w:space="0" w:color="auto"/>
              <w:left w:val="single" w:sz="4" w:space="0" w:color="000000"/>
              <w:right w:val="single" w:sz="4" w:space="0" w:color="000000"/>
            </w:tcBorders>
            <w:shd w:val="clear" w:color="auto" w:fill="D2D2D2"/>
          </w:tcPr>
          <w:p>
            <w:pPr/>
          </w:p>
        </w:tc>
        <w:tc>
          <w:tcPr>
            <w:tcW w:w="1054" w:type="dxa"/>
            <w:vMerge w:val="restart"/>
            <w:tcBorders>
              <w:top w:val="nil" w:sz="6" w:space="0" w:color="auto"/>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783"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713" w:type="dxa"/>
            <w:vMerge/>
            <w:tcBorders>
              <w:left w:val="single" w:sz="4" w:space="0" w:color="000000"/>
              <w:bottom w:val="single" w:sz="4" w:space="0" w:color="000000"/>
              <w:right w:val="single" w:sz="4" w:space="0" w:color="000000"/>
            </w:tcBorders>
            <w:shd w:val="clear" w:color="auto" w:fill="D2D2D2"/>
          </w:tcPr>
          <w:p>
            <w:pPr/>
          </w:p>
        </w:tc>
        <w:tc>
          <w:tcPr>
            <w:tcW w:w="909" w:type="dxa"/>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c>
          <w:tcPr>
            <w:tcW w:w="1308" w:type="dxa"/>
            <w:vMerge/>
            <w:tcBorders>
              <w:left w:val="single" w:sz="4" w:space="0" w:color="000000"/>
              <w:bottom w:val="single" w:sz="4" w:space="0" w:color="000000"/>
              <w:right w:val="single" w:sz="4" w:space="0" w:color="000000"/>
            </w:tcBorders>
            <w:shd w:val="clear" w:color="auto" w:fill="D2D2D2"/>
          </w:tcPr>
          <w:p>
            <w:pPr/>
          </w:p>
        </w:tc>
        <w:tc>
          <w:tcPr>
            <w:tcW w:w="1051" w:type="dxa"/>
            <w:tcBorders>
              <w:top w:val="nil" w:sz="6" w:space="0" w:color="auto"/>
              <w:left w:val="single" w:sz="4" w:space="0" w:color="000000"/>
              <w:bottom w:val="single" w:sz="4" w:space="0" w:color="000000"/>
              <w:right w:val="single" w:sz="4" w:space="0" w:color="000000"/>
            </w:tcBorders>
            <w:shd w:val="clear" w:color="auto" w:fill="D2D2D2"/>
          </w:tcPr>
          <w:p>
            <w:pPr/>
          </w:p>
        </w:tc>
        <w:tc>
          <w:tcPr>
            <w:tcW w:w="1035" w:type="dxa"/>
            <w:vMerge/>
            <w:tcBorders>
              <w:left w:val="single" w:sz="4" w:space="0" w:color="000000"/>
              <w:bottom w:val="single" w:sz="4" w:space="0" w:color="000000"/>
              <w:right w:val="single" w:sz="4" w:space="0" w:color="000000"/>
            </w:tcBorders>
            <w:shd w:val="clear" w:color="auto" w:fill="D2D2D2"/>
          </w:tcPr>
          <w:p>
            <w:pPr/>
          </w:p>
        </w:tc>
        <w:tc>
          <w:tcPr>
            <w:tcW w:w="1054" w:type="dxa"/>
            <w:vMerge/>
            <w:tcBorders>
              <w:left w:val="single" w:sz="4" w:space="0" w:color="000000"/>
              <w:bottom w:val="single" w:sz="4" w:space="0" w:color="000000"/>
              <w:right w:val="single" w:sz="4" w:space="0" w:color="000000"/>
            </w:tcBorders>
            <w:shd w:val="clear" w:color="auto" w:fill="D2D2D2"/>
          </w:tcPr>
          <w:p>
            <w:pPr/>
          </w:p>
        </w:tc>
        <w:tc>
          <w:tcPr>
            <w:tcW w:w="790" w:type="dxa"/>
            <w:tcBorders>
              <w:top w:val="nil" w:sz="6" w:space="0" w:color="auto"/>
              <w:left w:val="single" w:sz="4" w:space="0" w:color="000000"/>
              <w:bottom w:val="single" w:sz="4" w:space="0" w:color="000000"/>
              <w:right w:val="single" w:sz="4" w:space="0" w:color="000000"/>
            </w:tcBorders>
            <w:shd w:val="clear" w:color="auto" w:fill="D2D2D2"/>
          </w:tcPr>
          <w:p>
            <w:pPr/>
          </w:p>
        </w:tc>
        <w:tc>
          <w:tcPr>
            <w:tcW w:w="78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713" w:type="dxa"/>
            <w:tcBorders>
              <w:top w:val="single" w:sz="4" w:space="0" w:color="000000"/>
              <w:left w:val="single" w:sz="4" w:space="0" w:color="000000"/>
              <w:bottom w:val="single" w:sz="4" w:space="0" w:color="000000"/>
              <w:right w:val="single" w:sz="4" w:space="0" w:color="000000"/>
            </w:tcBorders>
          </w:tcPr>
          <w:p>
            <w:pPr/>
          </w:p>
        </w:tc>
        <w:tc>
          <w:tcPr>
            <w:tcW w:w="909"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6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67"/>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C1</w:t>
            </w:r>
            <w:r>
              <w:rPr>
                <w:rFonts w:ascii="宋体" w:hAnsi="宋体" w:cs="宋体" w:eastAsia="宋体" w:hint="default"/>
                <w:sz w:val="18"/>
                <w:szCs w:val="18"/>
              </w:rPr>
              <w:t>）</w:t>
            </w:r>
          </w:p>
        </w:tc>
        <w:tc>
          <w:tcPr>
            <w:tcW w:w="2240" w:type="dxa"/>
            <w:gridSpan w:val="2"/>
            <w:tcBorders>
              <w:top w:val="single" w:sz="4" w:space="0" w:color="000000"/>
              <w:left w:val="single" w:sz="13" w:space="0" w:color="D2D2D2"/>
              <w:bottom w:val="single" w:sz="4" w:space="0" w:color="000000"/>
              <w:right w:val="single" w:sz="9" w:space="0" w:color="D2D2D2"/>
            </w:tcBorders>
          </w:tcPr>
          <w:p>
            <w:pPr/>
          </w:p>
        </w:tc>
        <w:tc>
          <w:tcPr>
            <w:tcW w:w="20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7" w:right="77"/>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C2</w:t>
            </w:r>
            <w:r>
              <w:rPr>
                <w:rFonts w:ascii="宋体" w:hAnsi="宋体" w:cs="宋体" w:eastAsia="宋体" w:hint="default"/>
                <w:sz w:val="18"/>
                <w:szCs w:val="18"/>
              </w:rPr>
              <w:t>）</w:t>
            </w:r>
          </w:p>
        </w:tc>
        <w:tc>
          <w:tcPr>
            <w:tcW w:w="2627" w:type="dxa"/>
            <w:gridSpan w:val="3"/>
            <w:tcBorders>
              <w:top w:val="single" w:sz="4" w:space="0" w:color="000000"/>
              <w:left w:val="single" w:sz="13" w:space="0" w:color="D2D2D2"/>
              <w:bottom w:val="single" w:sz="4" w:space="0" w:color="000000"/>
              <w:right w:val="single" w:sz="4" w:space="0" w:color="000000"/>
            </w:tcBorders>
          </w:tcPr>
          <w:p>
            <w:pPr/>
          </w:p>
        </w:tc>
      </w:tr>
      <w:tr>
        <w:trPr>
          <w:trHeight w:val="719" w:hRule="exact"/>
        </w:trPr>
        <w:tc>
          <w:tcPr>
            <w:tcW w:w="26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68"/>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C3</w:t>
            </w:r>
            <w:r>
              <w:rPr>
                <w:rFonts w:ascii="宋体" w:hAnsi="宋体" w:cs="宋体" w:eastAsia="宋体" w:hint="default"/>
                <w:sz w:val="18"/>
                <w:szCs w:val="18"/>
              </w:rPr>
              <w:t>）</w:t>
            </w:r>
          </w:p>
        </w:tc>
        <w:tc>
          <w:tcPr>
            <w:tcW w:w="2240" w:type="dxa"/>
            <w:gridSpan w:val="2"/>
            <w:tcBorders>
              <w:top w:val="single" w:sz="4" w:space="0" w:color="000000"/>
              <w:left w:val="single" w:sz="13" w:space="0" w:color="D2D2D2"/>
              <w:bottom w:val="single" w:sz="4" w:space="0" w:color="000000"/>
              <w:right w:val="single" w:sz="9" w:space="0" w:color="D2D2D2"/>
            </w:tcBorders>
          </w:tcPr>
          <w:p>
            <w:pPr/>
          </w:p>
        </w:tc>
        <w:tc>
          <w:tcPr>
            <w:tcW w:w="20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7" w:right="77"/>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C4</w:t>
            </w:r>
            <w:r>
              <w:rPr>
                <w:rFonts w:ascii="宋体" w:hAnsi="宋体" w:cs="宋体" w:eastAsia="宋体" w:hint="default"/>
                <w:sz w:val="18"/>
                <w:szCs w:val="18"/>
              </w:rPr>
              <w:t>）</w:t>
            </w:r>
          </w:p>
        </w:tc>
        <w:tc>
          <w:tcPr>
            <w:tcW w:w="2627" w:type="dxa"/>
            <w:gridSpan w:val="3"/>
            <w:tcBorders>
              <w:top w:val="single" w:sz="4" w:space="0" w:color="000000"/>
              <w:left w:val="single" w:sz="13" w:space="0" w:color="D2D2D2"/>
              <w:bottom w:val="single" w:sz="4" w:space="0" w:color="000000"/>
              <w:right w:val="single" w:sz="4" w:space="0" w:color="000000"/>
            </w:tcBorders>
          </w:tcPr>
          <w:p>
            <w:pPr/>
          </w:p>
        </w:tc>
      </w:tr>
      <w:tr>
        <w:trPr>
          <w:trHeight w:val="39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719" w:hRule="exact"/>
        </w:trPr>
        <w:tc>
          <w:tcPr>
            <w:tcW w:w="26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240" w:type="dxa"/>
            <w:gridSpan w:val="2"/>
            <w:tcBorders>
              <w:top w:val="single" w:sz="4" w:space="0" w:color="000000"/>
              <w:left w:val="single" w:sz="13" w:space="0" w:color="D2D2D2"/>
              <w:bottom w:val="single" w:sz="4" w:space="0" w:color="000000"/>
              <w:right w:val="single" w:sz="9" w:space="0" w:color="D2D2D2"/>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w:t>
            </w:r>
          </w:p>
        </w:tc>
        <w:tc>
          <w:tcPr>
            <w:tcW w:w="20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6"/>
              <w:ind w:left="17" w:right="77"/>
              <w:jc w:val="left"/>
              <w:rPr>
                <w:rFonts w:ascii="宋体" w:hAnsi="宋体" w:cs="宋体" w:eastAsia="宋体" w:hint="default"/>
                <w:sz w:val="18"/>
                <w:szCs w:val="18"/>
              </w:rPr>
            </w:pPr>
            <w:r>
              <w:rPr>
                <w:rFonts w:ascii="宋体" w:hAnsi="宋体" w:cs="宋体" w:eastAsia="宋体" w:hint="default"/>
                <w:sz w:val="18"/>
                <w:szCs w:val="18"/>
              </w:rPr>
              <w:t>报告期内担保实际发生额 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627"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26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240" w:type="dxa"/>
            <w:gridSpan w:val="2"/>
            <w:tcBorders>
              <w:top w:val="single" w:sz="4" w:space="0" w:color="000000"/>
              <w:left w:val="single" w:sz="13" w:space="0" w:color="D2D2D2"/>
              <w:bottom w:val="single" w:sz="4" w:space="0" w:color="000000"/>
              <w:right w:val="single" w:sz="9"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4,100</w:t>
            </w:r>
          </w:p>
        </w:tc>
        <w:tc>
          <w:tcPr>
            <w:tcW w:w="20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7" w:right="77"/>
              <w:jc w:val="left"/>
              <w:rPr>
                <w:rFonts w:ascii="宋体" w:hAnsi="宋体" w:cs="宋体" w:eastAsia="宋体" w:hint="default"/>
                <w:sz w:val="18"/>
                <w:szCs w:val="18"/>
              </w:rPr>
            </w:pPr>
            <w:r>
              <w:rPr>
                <w:rFonts w:ascii="宋体" w:hAnsi="宋体" w:cs="宋体" w:eastAsia="宋体" w:hint="default"/>
                <w:sz w:val="18"/>
                <w:szCs w:val="18"/>
              </w:rPr>
              <w:t>报告期末实际担保余额合 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27"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2,600</w:t>
            </w:r>
          </w:p>
        </w:tc>
      </w:tr>
      <w:tr>
        <w:trPr>
          <w:trHeight w:val="407" w:hRule="exact"/>
        </w:trPr>
        <w:tc>
          <w:tcPr>
            <w:tcW w:w="486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p>
        </w:tc>
        <w:tc>
          <w:tcPr>
            <w:tcW w:w="4713"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4.45%</w:t>
            </w:r>
          </w:p>
        </w:tc>
      </w:tr>
      <w:tr>
        <w:trPr>
          <w:trHeight w:val="397"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4856"/>
        <w:gridCol w:w="4719"/>
      </w:tblGrid>
      <w:tr>
        <w:trPr>
          <w:trHeight w:val="402" w:hRule="exact"/>
        </w:trPr>
        <w:tc>
          <w:tcPr>
            <w:tcW w:w="4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为股东、实际控制人及其关联方提供担保的余额（</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4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4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26"/>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的被担保对象提供的债务 担保余额（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部分的金额（</w:t>
            </w:r>
            <w:r>
              <w:rPr>
                <w:rFonts w:ascii="Times New Roman" w:hAnsi="Times New Roman" w:cs="Times New Roman" w:eastAsia="Times New Roman" w:hint="default"/>
                <w:sz w:val="18"/>
                <w:szCs w:val="18"/>
              </w:rPr>
              <w:t>F</w:t>
            </w:r>
            <w:r>
              <w:rPr>
                <w:rFonts w:ascii="宋体" w:hAnsi="宋体" w:cs="宋体" w:eastAsia="宋体" w:hint="default"/>
                <w:sz w:val="18"/>
                <w:szCs w:val="18"/>
              </w:rPr>
              <w:t>）</w:t>
            </w:r>
          </w:p>
        </w:tc>
        <w:tc>
          <w:tcPr>
            <w:tcW w:w="4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D+E+F</w:t>
            </w:r>
            <w:r>
              <w:rPr>
                <w:rFonts w:ascii="宋体" w:hAnsi="宋体" w:cs="宋体" w:eastAsia="宋体" w:hint="default"/>
                <w:sz w:val="18"/>
                <w:szCs w:val="18"/>
              </w:rPr>
              <w:t>）</w:t>
            </w:r>
          </w:p>
        </w:tc>
        <w:tc>
          <w:tcPr>
            <w:tcW w:w="4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4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3"/>
                <w:sz w:val="18"/>
                <w:szCs w:val="18"/>
              </w:rPr>
              <w:t>对未到期担保，报告期内已发生担保责任或可能承担连带清偿</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责任的情况说明（如有）</w:t>
            </w:r>
          </w:p>
        </w:tc>
        <w:tc>
          <w:tcPr>
            <w:tcW w:w="4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违反规定程序对外提供担保的说明（如有）</w:t>
            </w:r>
          </w:p>
        </w:tc>
        <w:tc>
          <w:tcPr>
            <w:tcW w:w="4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5"/>
          <w:szCs w:val="15"/>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采用复合方式担保的具体情况说明</w:t>
      </w:r>
    </w:p>
    <w:p>
      <w:pPr>
        <w:spacing w:line="240" w:lineRule="auto" w:before="10"/>
        <w:rPr>
          <w:rFonts w:ascii="宋体" w:hAnsi="宋体" w:cs="宋体" w:eastAsia="宋体" w:hint="default"/>
          <w:sz w:val="26"/>
          <w:szCs w:val="26"/>
        </w:rPr>
      </w:pPr>
    </w:p>
    <w:p>
      <w:pPr>
        <w:spacing w:before="0"/>
        <w:ind w:left="154" w:right="0" w:firstLine="0"/>
        <w:jc w:val="left"/>
        <w:rPr>
          <w:rFonts w:ascii="宋体" w:hAnsi="宋体" w:cs="宋体" w:eastAsia="宋体" w:hint="default"/>
          <w:sz w:val="21"/>
          <w:szCs w:val="21"/>
        </w:rPr>
      </w:pPr>
      <w:bookmarkStart w:name="（2）违规对外担保情况" w:id="91"/>
      <w:bookmarkEnd w:id="9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）违规对外担保情况</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line="338" w:lineRule="auto" w:before="0"/>
        <w:ind w:left="154" w:right="76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公司报告期无违规对外担保情况。</w:t>
      </w:r>
    </w:p>
    <w:p>
      <w:pPr>
        <w:spacing w:line="240" w:lineRule="auto" w:before="2"/>
        <w:rPr>
          <w:rFonts w:ascii="宋体" w:hAnsi="宋体" w:cs="宋体" w:eastAsia="宋体" w:hint="default"/>
          <w:sz w:val="21"/>
          <w:szCs w:val="21"/>
        </w:rPr>
      </w:pPr>
    </w:p>
    <w:p>
      <w:pPr>
        <w:spacing w:before="0"/>
        <w:ind w:left="154" w:right="0" w:firstLine="0"/>
        <w:jc w:val="left"/>
        <w:rPr>
          <w:rFonts w:ascii="宋体" w:hAnsi="宋体" w:cs="宋体" w:eastAsia="宋体" w:hint="default"/>
          <w:sz w:val="21"/>
          <w:szCs w:val="21"/>
        </w:rPr>
      </w:pPr>
      <w:bookmarkStart w:name="3、委托他人进行现金资产管理情况" w:id="92"/>
      <w:bookmarkEnd w:id="92"/>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、委托他人进行现金资产管理情况</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bookmarkStart w:name="（1）委托理财情况" w:id="93"/>
      <w:bookmarkEnd w:id="9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）委托理财情况</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spacing w:line="338" w:lineRule="auto" w:before="44"/>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报告期内委托理财概况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单位：万元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1955" w:space="6785"/>
            <w:col w:w="219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869"/>
        <w:gridCol w:w="1962"/>
        <w:gridCol w:w="1981"/>
        <w:gridCol w:w="1908"/>
        <w:gridCol w:w="1848"/>
      </w:tblGrid>
      <w:tr>
        <w:trPr>
          <w:trHeight w:val="402" w:hRule="exact"/>
        </w:trPr>
        <w:tc>
          <w:tcPr>
            <w:tcW w:w="1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9" w:right="0"/>
              <w:jc w:val="left"/>
              <w:rPr>
                <w:rFonts w:ascii="宋体" w:hAnsi="宋体" w:cs="宋体" w:eastAsia="宋体" w:hint="default"/>
                <w:sz w:val="18"/>
                <w:szCs w:val="18"/>
              </w:rPr>
            </w:pPr>
            <w:r>
              <w:rPr>
                <w:rFonts w:ascii="宋体" w:hAnsi="宋体" w:cs="宋体" w:eastAsia="宋体" w:hint="default"/>
                <w:sz w:val="18"/>
                <w:szCs w:val="18"/>
              </w:rPr>
              <w:t>具体类型</w:t>
            </w:r>
          </w:p>
        </w:tc>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委托理财的资金来源</w:t>
            </w:r>
          </w:p>
        </w:tc>
        <w:tc>
          <w:tcPr>
            <w:tcW w:w="19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55" w:right="0"/>
              <w:jc w:val="left"/>
              <w:rPr>
                <w:rFonts w:ascii="宋体" w:hAnsi="宋体" w:cs="宋体" w:eastAsia="宋体" w:hint="default"/>
                <w:sz w:val="18"/>
                <w:szCs w:val="18"/>
              </w:rPr>
            </w:pPr>
            <w:r>
              <w:rPr>
                <w:rFonts w:ascii="宋体" w:hAnsi="宋体" w:cs="宋体" w:eastAsia="宋体" w:hint="default"/>
                <w:sz w:val="18"/>
                <w:szCs w:val="18"/>
              </w:rPr>
              <w:t>委托理财发生额</w:t>
            </w:r>
          </w:p>
        </w:tc>
        <w:tc>
          <w:tcPr>
            <w:tcW w:w="1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9"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402" w:hRule="exact"/>
        </w:trPr>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募集资金</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4,000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6,000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11,000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单项金额重大或安全性较低、流动性较差、不保本的高风险委托理财具体情况</w:t>
      </w:r>
    </w:p>
    <w:p>
      <w:pPr>
        <w:spacing w:line="338" w:lineRule="auto" w:before="117"/>
        <w:ind w:left="154" w:right="57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委托理财出现预期无法收回本金或存在其他可能导致减值的情形</w:t>
      </w:r>
    </w:p>
    <w:p>
      <w:pPr>
        <w:spacing w:before="42"/>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spacing w:before="0"/>
        <w:ind w:left="154" w:right="0" w:firstLine="0"/>
        <w:jc w:val="left"/>
        <w:rPr>
          <w:rFonts w:ascii="宋体" w:hAnsi="宋体" w:cs="宋体" w:eastAsia="宋体" w:hint="default"/>
          <w:sz w:val="21"/>
          <w:szCs w:val="21"/>
        </w:rPr>
      </w:pPr>
      <w:bookmarkStart w:name="（2）委托贷款情况" w:id="94"/>
      <w:bookmarkEnd w:id="9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）委托贷款情况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line="340" w:lineRule="auto" w:before="0"/>
        <w:ind w:left="154" w:right="84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公司报告期不存在委托贷款。</w:t>
      </w:r>
    </w:p>
    <w:p>
      <w:pPr>
        <w:spacing w:line="240" w:lineRule="auto" w:before="13"/>
        <w:rPr>
          <w:rFonts w:ascii="宋体" w:hAnsi="宋体" w:cs="宋体" w:eastAsia="宋体" w:hint="default"/>
          <w:sz w:val="20"/>
          <w:szCs w:val="20"/>
        </w:rPr>
      </w:pPr>
    </w:p>
    <w:p>
      <w:pPr>
        <w:spacing w:before="0"/>
        <w:ind w:left="154" w:right="0" w:firstLine="0"/>
        <w:jc w:val="left"/>
        <w:rPr>
          <w:rFonts w:ascii="宋体" w:hAnsi="宋体" w:cs="宋体" w:eastAsia="宋体" w:hint="default"/>
          <w:sz w:val="21"/>
          <w:szCs w:val="21"/>
        </w:rPr>
      </w:pPr>
      <w:bookmarkStart w:name="4、其他重大合同" w:id="95"/>
      <w:bookmarkEnd w:id="95"/>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、其他重大合同</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13"/>
        <w:rPr>
          <w:rFonts w:ascii="宋体" w:hAnsi="宋体" w:cs="宋体" w:eastAsia="宋体" w:hint="default"/>
          <w:sz w:val="25"/>
          <w:szCs w:val="25"/>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公司报告期不存在其他重大合同。</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bookmarkStart w:name="十七、社会责任情况" w:id="96"/>
      <w:bookmarkEnd w:id="96"/>
      <w:r>
        <w:rPr>
          <w:b w:val="0"/>
          <w:bCs w:val="0"/>
        </w:rPr>
      </w:r>
      <w:r>
        <w:rPr/>
        <w:t>十七、社会责任情况</w:t>
      </w:r>
      <w:r>
        <w:rPr>
          <w:b w:val="0"/>
          <w:bCs w:val="0"/>
        </w:rPr>
      </w:r>
    </w:p>
    <w:p>
      <w:pPr>
        <w:spacing w:line="240" w:lineRule="auto" w:before="10"/>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bookmarkStart w:name="1、履行社会责任情况" w:id="97"/>
      <w:bookmarkEnd w:id="97"/>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、履行社会责任情况</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357" w:lineRule="auto" w:before="0"/>
        <w:ind w:left="634" w:right="1118" w:firstLine="2"/>
        <w:jc w:val="left"/>
      </w:pPr>
      <w:r>
        <w:rPr>
          <w:rFonts w:ascii="宋体" w:hAnsi="宋体" w:cs="宋体" w:eastAsia="宋体" w:hint="default"/>
          <w:b/>
          <w:bCs/>
        </w:rPr>
        <w:t>（</w:t>
      </w:r>
      <w:r>
        <w:rPr>
          <w:rFonts w:ascii="宋体" w:hAnsi="宋体" w:cs="宋体" w:eastAsia="宋体" w:hint="default"/>
          <w:b/>
          <w:bCs/>
        </w:rPr>
        <w:t>1</w:t>
      </w:r>
      <w:r>
        <w:rPr>
          <w:rFonts w:ascii="宋体" w:hAnsi="宋体" w:cs="宋体" w:eastAsia="宋体" w:hint="default"/>
          <w:b/>
          <w:bCs/>
        </w:rPr>
        <w:t>）概述</w:t>
      </w:r>
      <w:r>
        <w:rPr>
          <w:rFonts w:ascii="宋体" w:hAnsi="宋体" w:cs="宋体" w:eastAsia="宋体" w:hint="default"/>
          <w:b/>
          <w:bCs/>
          <w:spacing w:val="1"/>
          <w:w w:val="99"/>
        </w:rPr>
        <w:t> </w:t>
      </w:r>
      <w:r>
        <w:rPr/>
        <w:t>正元智慧一直秉承“正合奇胜、积贤培元”的企业文化，自</w:t>
      </w:r>
      <w:r>
        <w:rPr>
          <w:rFonts w:ascii="宋体" w:hAnsi="宋体" w:cs="宋体" w:eastAsia="宋体" w:hint="default"/>
        </w:rPr>
        <w:t>2017</w:t>
      </w:r>
      <w:r>
        <w:rPr/>
        <w:t>年上市以来，始终以建</w:t>
      </w:r>
    </w:p>
    <w:p>
      <w:pPr>
        <w:pStyle w:val="BodyText"/>
        <w:spacing w:line="357" w:lineRule="auto"/>
        <w:ind w:right="1139"/>
        <w:jc w:val="both"/>
      </w:pPr>
      <w:r>
        <w:rPr/>
        <w:t>设现代企业制度为目标，努力探索，完善公司治理，与投资者建立信任共赢关系，注重保护 投资者、尤其是中小投资者的合法权益。本着客观、规范、透明、全面的原则，本节内容详 细披露了正元智慧本年度在经营、社会、环境等责任领域的实践和绩效。</w:t>
      </w:r>
    </w:p>
    <w:p>
      <w:pPr>
        <w:spacing w:line="357" w:lineRule="auto" w:before="36"/>
        <w:ind w:left="634" w:right="0" w:firstLine="2"/>
        <w:jc w:val="left"/>
        <w:rPr>
          <w:rFonts w:ascii="宋体" w:hAnsi="宋体" w:cs="宋体" w:eastAsia="宋体" w:hint="default"/>
          <w:sz w:val="24"/>
          <w:szCs w:val="24"/>
        </w:rPr>
      </w:pPr>
      <w:r>
        <w:rPr>
          <w:rFonts w:ascii="宋体" w:hAnsi="宋体" w:cs="宋体" w:eastAsia="宋体" w:hint="default"/>
          <w:b/>
          <w:bCs/>
          <w:sz w:val="24"/>
          <w:szCs w:val="24"/>
        </w:rPr>
        <w:t>（</w:t>
      </w:r>
      <w:r>
        <w:rPr>
          <w:rFonts w:ascii="宋体" w:hAnsi="宋体" w:cs="宋体" w:eastAsia="宋体" w:hint="default"/>
          <w:b/>
          <w:bCs/>
          <w:sz w:val="24"/>
          <w:szCs w:val="24"/>
        </w:rPr>
        <w:t>2</w:t>
      </w:r>
      <w:r>
        <w:rPr>
          <w:rFonts w:ascii="宋体" w:hAnsi="宋体" w:cs="宋体" w:eastAsia="宋体" w:hint="default"/>
          <w:b/>
          <w:bCs/>
          <w:sz w:val="24"/>
          <w:szCs w:val="24"/>
        </w:rPr>
        <w:t>）股东及债权人权益保护</w:t>
      </w:r>
      <w:r>
        <w:rPr>
          <w:rFonts w:ascii="宋体" w:hAnsi="宋体" w:cs="宋体" w:eastAsia="宋体" w:hint="default"/>
          <w:b/>
          <w:bCs/>
          <w:w w:val="99"/>
          <w:sz w:val="24"/>
          <w:szCs w:val="24"/>
        </w:rPr>
        <w:t> </w:t>
      </w:r>
      <w:r>
        <w:rPr>
          <w:rFonts w:ascii="宋体" w:hAnsi="宋体" w:cs="宋体" w:eastAsia="宋体" w:hint="default"/>
          <w:sz w:val="24"/>
          <w:szCs w:val="24"/>
        </w:rPr>
        <w:t>公司严格按照《公司法》《证券法》和中国证监会有关法律法规及公司章程等规定，以</w:t>
      </w:r>
    </w:p>
    <w:p>
      <w:pPr>
        <w:pStyle w:val="BodyText"/>
        <w:spacing w:line="357" w:lineRule="auto"/>
        <w:ind w:right="994"/>
        <w:jc w:val="left"/>
      </w:pPr>
      <w:r>
        <w:rPr>
          <w:spacing w:val="-3"/>
        </w:rPr>
        <w:t>建立公开、公正、透明、零维度的投资者关系为目标，报告期内共发布公告</w:t>
      </w:r>
      <w:r>
        <w:rPr>
          <w:rFonts w:ascii="宋体" w:hAnsi="宋体" w:cs="宋体" w:eastAsia="宋体" w:hint="default"/>
          <w:spacing w:val="-3"/>
        </w:rPr>
        <w:t>162</w:t>
      </w:r>
      <w:r>
        <w:rPr>
          <w:spacing w:val="-3"/>
        </w:rPr>
        <w:t>份，举办网上</w:t>
      </w:r>
      <w:r>
        <w:rPr>
          <w:spacing w:val="-79"/>
        </w:rPr>
        <w:t> </w:t>
      </w:r>
      <w:r>
        <w:rPr>
          <w:spacing w:val="-79"/>
        </w:rPr>
      </w:r>
      <w:r>
        <w:rPr/>
        <w:t>业绩说明会、交流会若干次，回答投资者互动易提问</w:t>
      </w:r>
      <w:r>
        <w:rPr>
          <w:rFonts w:ascii="宋体" w:hAnsi="宋体" w:cs="宋体" w:eastAsia="宋体" w:hint="default"/>
        </w:rPr>
        <w:t>83</w:t>
      </w:r>
      <w:r>
        <w:rPr/>
        <w:t>个；通过投资者电话、传真、电子邮</w:t>
      </w:r>
      <w:r>
        <w:rPr>
          <w:spacing w:val="-113"/>
        </w:rPr>
        <w:t> </w:t>
      </w:r>
      <w:r>
        <w:rPr/>
        <w:t>箱和投资者关系互动平台、接待投资者现场调研等多种方式与投资者进行沟通交流，建立良 好的互动平台；建立完善的决策机制，共召开股东大会</w:t>
      </w:r>
      <w:r>
        <w:rPr>
          <w:rFonts w:ascii="宋体" w:hAnsi="宋体" w:cs="宋体" w:eastAsia="宋体" w:hint="default"/>
        </w:rPr>
        <w:t>4</w:t>
      </w:r>
      <w:r>
        <w:rPr/>
        <w:t>次、董事会</w:t>
      </w:r>
      <w:r>
        <w:rPr>
          <w:rFonts w:ascii="宋体" w:hAnsi="宋体" w:cs="宋体" w:eastAsia="宋体" w:hint="default"/>
        </w:rPr>
        <w:t>12</w:t>
      </w:r>
      <w:r>
        <w:rPr/>
        <w:t>次、监事会</w:t>
      </w:r>
      <w:r>
        <w:rPr>
          <w:rFonts w:ascii="宋体" w:hAnsi="宋体" w:cs="宋体" w:eastAsia="宋体" w:hint="default"/>
        </w:rPr>
        <w:t>9</w:t>
      </w:r>
      <w:r>
        <w:rPr/>
        <w:t>次，公司</w:t>
      </w:r>
      <w:r>
        <w:rPr>
          <w:spacing w:val="-108"/>
        </w:rPr>
        <w:t> </w:t>
      </w:r>
      <w:r>
        <w:rPr/>
        <w:t>独立董事遵守法律法规，对公司重大事项发表独立意见，切实维护了公司整体利益与中小股</w:t>
      </w:r>
      <w:r>
        <w:rPr>
          <w:spacing w:val="-109"/>
        </w:rPr>
        <w:t> </w:t>
      </w:r>
      <w:r>
        <w:rPr>
          <w:spacing w:val="-109"/>
        </w:rPr>
      </w:r>
      <w:r>
        <w:rPr/>
        <w:t>东利益；正元智慧遵循真实、准确、完整、及时的信息披露原则，多层次地反应公司经营动</w:t>
      </w:r>
      <w:r>
        <w:rPr>
          <w:spacing w:val="-113"/>
        </w:rPr>
        <w:t> </w:t>
      </w:r>
      <w:r>
        <w:rPr>
          <w:spacing w:val="-113"/>
        </w:rPr>
      </w:r>
      <w:r>
        <w:rPr/>
        <w:t>态，充分保障投资者的知情权；公司积极响应证监会和交易所等监管部门的倡导，以实实在</w:t>
      </w:r>
      <w:r>
        <w:rPr>
          <w:spacing w:val="-112"/>
        </w:rPr>
        <w:t> </w:t>
      </w:r>
      <w:r>
        <w:rPr>
          <w:spacing w:val="-112"/>
        </w:rPr>
      </w:r>
      <w:r>
        <w:rPr/>
        <w:t>在的现金分红回报股东，实施权益分派方案，分派现金红利合计</w:t>
      </w:r>
      <w:r>
        <w:rPr>
          <w:rFonts w:ascii="宋体" w:hAnsi="宋体" w:cs="宋体" w:eastAsia="宋体" w:hint="default"/>
        </w:rPr>
        <w:t>1333.33</w:t>
      </w:r>
      <w:r>
        <w:rPr/>
        <w:t>万元，增强了投资机 构对公司的关注度；根据上市公司要求，公司不断健全内部控制体系，增强控制环境建设、 </w:t>
      </w:r>
      <w:r>
        <w:rPr>
          <w:spacing w:val="-3"/>
        </w:rPr>
        <w:t>风险评估、控制活动、信息沟通、内部监督等内控功能，保证公司经营管理合规、资金安全、</w:t>
      </w:r>
      <w:r>
        <w:rPr>
          <w:spacing w:val="-82"/>
        </w:rPr>
        <w:t> </w:t>
      </w:r>
      <w:r>
        <w:rPr>
          <w:spacing w:val="-82"/>
        </w:rPr>
      </w:r>
      <w:r>
        <w:rPr>
          <w:spacing w:val="-3"/>
        </w:rPr>
        <w:t>财报完整；公司进一步规范合同审批、会计核算、资金管控、工程建设等日常经营管理行为，</w:t>
      </w:r>
      <w:r>
        <w:rPr>
          <w:spacing w:val="-81"/>
        </w:rPr>
        <w:t> </w:t>
      </w:r>
      <w:r>
        <w:rPr>
          <w:spacing w:val="-81"/>
        </w:rPr>
      </w:r>
      <w:r>
        <w:rPr/>
        <w:t>促进公司发展。公司的财务政策稳健，资产、资金安全，在维护股东利益的同时兼顾债权人</w:t>
      </w:r>
      <w:r>
        <w:rPr/>
        <w:t> 的利益。报告期内公司不存在控股股东及其他关联方占用公司资金的情况，也不存在以前期 间发生并延续到报告期的控股股东及其他关联方占用公司资金的情况。报告期内，除公司控 股子公司外</w:t>
      </w:r>
      <w:r>
        <w:rPr>
          <w:rFonts w:ascii="宋体" w:hAnsi="宋体" w:cs="宋体" w:eastAsia="宋体" w:hint="default"/>
        </w:rPr>
        <w:t>,</w:t>
      </w:r>
      <w:r>
        <w:rPr/>
        <w:t>公司没有为控股股东、实际控制人及其他关联方、任何非法人单位或个人提供担 保；控股股东、实际控制人及其他关联方也未强制公司为他人提供担保，公司为子公司提供 担保事项的决策程序符合相关法律、法规及公司章程的规定</w:t>
      </w:r>
      <w:r>
        <w:rPr>
          <w:rFonts w:ascii="宋体" w:hAnsi="宋体" w:cs="宋体" w:eastAsia="宋体" w:hint="default"/>
        </w:rPr>
        <w:t>,</w:t>
      </w:r>
      <w:r>
        <w:rPr/>
        <w:t>不存在损害公司和中小股东利益 的情形。</w:t>
      </w:r>
    </w:p>
    <w:p>
      <w:pPr>
        <w:pStyle w:val="Heading2"/>
        <w:spacing w:line="240" w:lineRule="auto" w:before="36"/>
        <w:ind w:left="636" w:right="0"/>
        <w:jc w:val="left"/>
        <w:rPr>
          <w:b w:val="0"/>
          <w:bCs w:val="0"/>
        </w:rPr>
      </w:pPr>
      <w:r>
        <w:rPr/>
        <w:t>（</w:t>
      </w:r>
      <w:r>
        <w:rPr>
          <w:rFonts w:ascii="宋体" w:hAnsi="宋体" w:cs="宋体" w:eastAsia="宋体" w:hint="default"/>
        </w:rPr>
        <w:t>3</w:t>
      </w:r>
      <w:r>
        <w:rPr/>
        <w:t>）职工权益保护</w:t>
      </w:r>
      <w:r>
        <w:rPr>
          <w:b w:val="0"/>
          <w:bCs w:val="0"/>
        </w:rPr>
      </w:r>
    </w:p>
    <w:p>
      <w:pPr>
        <w:spacing w:after="0" w:line="240" w:lineRule="auto"/>
        <w:jc w:val="left"/>
        <w:sectPr>
          <w:pgSz w:w="11910" w:h="16840"/>
          <w:pgMar w:header="747" w:footer="979" w:top="1060" w:bottom="1160" w:left="980" w:right="0"/>
        </w:sectPr>
      </w:pPr>
    </w:p>
    <w:p>
      <w:pPr>
        <w:spacing w:line="240" w:lineRule="auto" w:before="7"/>
        <w:rPr>
          <w:rFonts w:ascii="宋体" w:hAnsi="宋体" w:cs="宋体" w:eastAsia="宋体" w:hint="default"/>
          <w:b/>
          <w:bCs/>
          <w:sz w:val="29"/>
          <w:szCs w:val="29"/>
        </w:rPr>
      </w:pPr>
    </w:p>
    <w:p>
      <w:pPr>
        <w:pStyle w:val="BodyText"/>
        <w:spacing w:line="357" w:lineRule="auto" w:before="26"/>
        <w:ind w:right="0" w:firstLine="480"/>
        <w:jc w:val="left"/>
      </w:pPr>
      <w:r>
        <w:rPr/>
        <w:t>公司严格遵守《劳动法》和《劳动合同法》，依法保护职工的合法权益。公司严格按照 </w:t>
      </w:r>
      <w:r>
        <w:rPr>
          <w:spacing w:val="-3"/>
        </w:rPr>
        <w:t>国家规定和标准，及时发放工资、缴纳社保，为员工提供福利保障；不断优化员工关怀体系，</w:t>
      </w:r>
      <w:r>
        <w:rPr>
          <w:spacing w:val="-81"/>
        </w:rPr>
        <w:t> </w:t>
      </w:r>
      <w:r>
        <w:rPr>
          <w:spacing w:val="-81"/>
        </w:rPr>
      </w:r>
      <w:r>
        <w:rPr/>
        <w:t>定期发放节日礼品提供更多人文关怀；注重员工自身素质提升，建立合理的职业发展通道，</w:t>
      </w:r>
      <w:r>
        <w:rPr>
          <w:spacing w:val="-110"/>
        </w:rPr>
        <w:t> </w:t>
      </w:r>
      <w:r>
        <w:rPr>
          <w:spacing w:val="-110"/>
        </w:rPr>
      </w:r>
      <w:r>
        <w:rPr/>
        <w:t>积极开展培训工作。报告期内，公司发布股权激励计划，与员工共享公司发展红利；通过正</w:t>
      </w:r>
      <w:r>
        <w:rPr>
          <w:spacing w:val="-110"/>
        </w:rPr>
        <w:t> </w:t>
      </w:r>
      <w:r>
        <w:rPr>
          <w:spacing w:val="-110"/>
        </w:rPr>
      </w:r>
      <w:r>
        <w:rPr/>
        <w:t>元学堂加强培训，邀请行业专家，与员工分享行业课程；积极开展党建活动，增加团队凝聚</w:t>
      </w:r>
      <w:r>
        <w:rPr>
          <w:spacing w:val="-113"/>
        </w:rPr>
        <w:t> </w:t>
      </w:r>
      <w:r>
        <w:rPr>
          <w:spacing w:val="-113"/>
        </w:rPr>
      </w:r>
      <w:r>
        <w:rPr/>
        <w:t>力；及时召开职工代表大会，由职工民主选举公司监事会职工代表监事。</w:t>
      </w:r>
    </w:p>
    <w:p>
      <w:pPr>
        <w:spacing w:line="357" w:lineRule="auto" w:before="36"/>
        <w:ind w:left="634" w:right="0" w:firstLine="2"/>
        <w:jc w:val="left"/>
        <w:rPr>
          <w:rFonts w:ascii="宋体" w:hAnsi="宋体" w:cs="宋体" w:eastAsia="宋体" w:hint="default"/>
          <w:sz w:val="24"/>
          <w:szCs w:val="24"/>
        </w:rPr>
      </w:pPr>
      <w:r>
        <w:rPr>
          <w:rFonts w:ascii="宋体" w:hAnsi="宋体" w:cs="宋体" w:eastAsia="宋体" w:hint="default"/>
          <w:b/>
          <w:bCs/>
          <w:sz w:val="24"/>
          <w:szCs w:val="24"/>
        </w:rPr>
        <w:t>（</w:t>
      </w:r>
      <w:r>
        <w:rPr>
          <w:rFonts w:ascii="宋体" w:hAnsi="宋体" w:cs="宋体" w:eastAsia="宋体" w:hint="default"/>
          <w:b/>
          <w:bCs/>
          <w:sz w:val="24"/>
          <w:szCs w:val="24"/>
        </w:rPr>
        <w:t>4</w:t>
      </w:r>
      <w:r>
        <w:rPr>
          <w:rFonts w:ascii="宋体" w:hAnsi="宋体" w:cs="宋体" w:eastAsia="宋体" w:hint="default"/>
          <w:b/>
          <w:bCs/>
          <w:sz w:val="24"/>
          <w:szCs w:val="24"/>
        </w:rPr>
        <w:t>）供应商、客户权益保护</w:t>
      </w:r>
      <w:r>
        <w:rPr>
          <w:rFonts w:ascii="宋体" w:hAnsi="宋体" w:cs="宋体" w:eastAsia="宋体" w:hint="default"/>
          <w:b/>
          <w:bCs/>
          <w:w w:val="99"/>
          <w:sz w:val="24"/>
          <w:szCs w:val="24"/>
        </w:rPr>
        <w:t> </w:t>
      </w:r>
      <w:r>
        <w:rPr>
          <w:rFonts w:ascii="宋体" w:hAnsi="宋体" w:cs="宋体" w:eastAsia="宋体" w:hint="default"/>
          <w:spacing w:val="-3"/>
          <w:sz w:val="24"/>
          <w:szCs w:val="24"/>
        </w:rPr>
        <w:t>公司将诚实守信作为企业发展之基，与供应商和客户建立合作共赢的战略合作伙伴关系，</w:t>
      </w:r>
    </w:p>
    <w:p>
      <w:pPr>
        <w:pStyle w:val="BodyText"/>
        <w:spacing w:line="357" w:lineRule="auto"/>
        <w:ind w:right="1137"/>
        <w:jc w:val="both"/>
      </w:pPr>
      <w:r>
        <w:rPr/>
        <w:t>与之保持长期良好的合作关系，充分尊重并保护供应商、客户的合法权益。与供应商依法履 行合同、本着公平公正的原则建立完善的采购制度；与合作伙伴积极开展项目合作，带动行</w:t>
      </w:r>
      <w:r>
        <w:rPr>
          <w:spacing w:val="-117"/>
        </w:rPr>
        <w:t> </w:t>
      </w:r>
      <w:r>
        <w:rPr>
          <w:spacing w:val="-117"/>
        </w:rPr>
      </w:r>
      <w:r>
        <w:rPr/>
        <w:t>业健康发展；建立完善的监控监测体系，实行客户满意度调查。</w:t>
      </w:r>
    </w:p>
    <w:p>
      <w:pPr>
        <w:spacing w:line="357" w:lineRule="auto" w:before="36"/>
        <w:ind w:left="634" w:right="0" w:firstLine="2"/>
        <w:jc w:val="left"/>
        <w:rPr>
          <w:rFonts w:ascii="宋体" w:hAnsi="宋体" w:cs="宋体" w:eastAsia="宋体" w:hint="default"/>
          <w:sz w:val="24"/>
          <w:szCs w:val="24"/>
        </w:rPr>
      </w:pPr>
      <w:r>
        <w:rPr>
          <w:rFonts w:ascii="宋体" w:hAnsi="宋体" w:cs="宋体" w:eastAsia="宋体" w:hint="default"/>
          <w:b/>
          <w:bCs/>
          <w:sz w:val="24"/>
          <w:szCs w:val="24"/>
        </w:rPr>
        <w:t>（</w:t>
      </w:r>
      <w:r>
        <w:rPr>
          <w:rFonts w:ascii="宋体" w:hAnsi="宋体" w:cs="宋体" w:eastAsia="宋体" w:hint="default"/>
          <w:b/>
          <w:bCs/>
          <w:sz w:val="24"/>
          <w:szCs w:val="24"/>
        </w:rPr>
        <w:t>5</w:t>
      </w:r>
      <w:r>
        <w:rPr>
          <w:rFonts w:ascii="宋体" w:hAnsi="宋体" w:cs="宋体" w:eastAsia="宋体" w:hint="default"/>
          <w:b/>
          <w:bCs/>
          <w:sz w:val="24"/>
          <w:szCs w:val="24"/>
        </w:rPr>
        <w:t>）环境保护与可持续发展</w:t>
      </w:r>
      <w:r>
        <w:rPr>
          <w:rFonts w:ascii="宋体" w:hAnsi="宋体" w:cs="宋体" w:eastAsia="宋体" w:hint="default"/>
          <w:b/>
          <w:bCs/>
          <w:w w:val="99"/>
          <w:sz w:val="24"/>
          <w:szCs w:val="24"/>
        </w:rPr>
        <w:t> </w:t>
      </w:r>
      <w:r>
        <w:rPr>
          <w:rFonts w:ascii="宋体" w:hAnsi="宋体" w:cs="宋体" w:eastAsia="宋体" w:hint="default"/>
          <w:sz w:val="24"/>
          <w:szCs w:val="24"/>
        </w:rPr>
        <w:t>公司坚持环境保护与资源的合理利用，努力实现经济与环境的可持续发展，为国家经济</w:t>
      </w:r>
    </w:p>
    <w:p>
      <w:pPr>
        <w:pStyle w:val="BodyText"/>
        <w:spacing w:line="357" w:lineRule="auto"/>
        <w:ind w:right="1130"/>
        <w:jc w:val="both"/>
      </w:pPr>
      <w:r>
        <w:rPr/>
        <w:t>建设而努力。在报告期内，公司坚持创新、关注环保节能，公司使用节能材料，合理规划空 调、灯具等使用，节约能源；公司建立信息化办公，通过</w:t>
      </w:r>
      <w:r>
        <w:rPr>
          <w:rFonts w:ascii="宋体" w:hAnsi="宋体" w:cs="宋体" w:eastAsia="宋体" w:hint="default"/>
        </w:rPr>
        <w:t>OA</w:t>
      </w:r>
      <w:r>
        <w:rPr/>
        <w:t>等系统，减少办公用纸，提升工</w:t>
      </w:r>
      <w:r>
        <w:rPr>
          <w:spacing w:val="-110"/>
        </w:rPr>
        <w:t> </w:t>
      </w:r>
      <w:r>
        <w:rPr>
          <w:spacing w:val="-110"/>
        </w:rPr>
      </w:r>
      <w:r>
        <w:rPr/>
        <w:t>作效率。</w:t>
      </w:r>
    </w:p>
    <w:p>
      <w:pPr>
        <w:spacing w:line="240" w:lineRule="auto" w:before="8"/>
        <w:rPr>
          <w:rFonts w:ascii="宋体" w:hAnsi="宋体" w:cs="宋体" w:eastAsia="宋体" w:hint="default"/>
          <w:sz w:val="21"/>
          <w:szCs w:val="21"/>
        </w:rPr>
      </w:pPr>
    </w:p>
    <w:p>
      <w:pPr>
        <w:spacing w:before="0"/>
        <w:ind w:left="154" w:right="0" w:firstLine="0"/>
        <w:jc w:val="both"/>
        <w:rPr>
          <w:rFonts w:ascii="宋体" w:hAnsi="宋体" w:cs="宋体" w:eastAsia="宋体" w:hint="default"/>
          <w:sz w:val="21"/>
          <w:szCs w:val="21"/>
        </w:rPr>
      </w:pPr>
      <w:bookmarkStart w:name="2、履行精准扶贫社会责任情况" w:id="98"/>
      <w:bookmarkEnd w:id="98"/>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、履行精准扶贫社会责任情况</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line="547" w:lineRule="auto" w:before="0"/>
        <w:ind w:left="154" w:right="3792" w:firstLine="0"/>
        <w:jc w:val="left"/>
        <w:rPr>
          <w:rFonts w:ascii="宋体" w:hAnsi="宋体" w:cs="宋体" w:eastAsia="宋体" w:hint="default"/>
          <w:sz w:val="21"/>
          <w:szCs w:val="21"/>
        </w:rPr>
      </w:pPr>
      <w:bookmarkStart w:name="（1）精准扶贫规划" w:id="99"/>
      <w:bookmarkEnd w:id="9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）精准扶贫规划</w:t>
      </w:r>
      <w:r>
        <w:rPr>
          <w:rFonts w:ascii="宋体" w:hAnsi="宋体" w:cs="宋体" w:eastAsia="宋体" w:hint="default"/>
          <w:b/>
          <w:bCs/>
          <w:w w:val="99"/>
          <w:sz w:val="21"/>
          <w:szCs w:val="21"/>
        </w:rPr>
        <w:t> </w:t>
      </w:r>
      <w:r>
        <w:rPr>
          <w:rFonts w:ascii="宋体" w:hAnsi="宋体" w:cs="宋体" w:eastAsia="宋体" w:hint="default"/>
          <w:sz w:val="24"/>
          <w:szCs w:val="24"/>
        </w:rPr>
        <w:t>公司报告年度暂未开展精准扶贫工作，也暂无后续精准扶贫计划。 </w:t>
      </w:r>
      <w:bookmarkStart w:name="3、环境保护相关的情况" w:id="100"/>
      <w:bookmarkEnd w:id="100"/>
      <w:r>
        <w:rPr>
          <w:rFonts w:ascii="宋体" w:hAnsi="宋体" w:cs="宋体" w:eastAsia="宋体" w:hint="default"/>
          <w:sz w:val="24"/>
          <w:szCs w:val="24"/>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、环境保护相关的情况</w:t>
      </w:r>
      <w:r>
        <w:rPr>
          <w:rFonts w:ascii="宋体" w:hAnsi="宋体" w:cs="宋体" w:eastAsia="宋体" w:hint="default"/>
          <w:sz w:val="21"/>
          <w:szCs w:val="21"/>
        </w:rPr>
      </w:r>
    </w:p>
    <w:p>
      <w:pPr>
        <w:spacing w:line="357" w:lineRule="auto" w:before="50"/>
        <w:ind w:left="154" w:right="5712" w:firstLine="0"/>
        <w:jc w:val="left"/>
        <w:rPr>
          <w:rFonts w:ascii="宋体" w:hAnsi="宋体" w:cs="宋体" w:eastAsia="宋体" w:hint="default"/>
          <w:sz w:val="18"/>
          <w:szCs w:val="18"/>
        </w:rPr>
      </w:pPr>
      <w:r>
        <w:rPr>
          <w:rFonts w:ascii="宋体" w:hAnsi="宋体" w:cs="宋体" w:eastAsia="宋体" w:hint="default"/>
          <w:sz w:val="18"/>
          <w:szCs w:val="18"/>
        </w:rPr>
        <w:t>上市公司及其子公司是否属于环境保护部门公布的重点排污单位 否</w:t>
      </w:r>
    </w:p>
    <w:p>
      <w:pPr>
        <w:spacing w:line="528" w:lineRule="auto" w:before="57"/>
        <w:ind w:left="154" w:right="6672" w:firstLine="0"/>
        <w:jc w:val="left"/>
        <w:rPr>
          <w:rFonts w:ascii="宋体" w:hAnsi="宋体" w:cs="宋体" w:eastAsia="宋体" w:hint="default"/>
          <w:sz w:val="24"/>
          <w:szCs w:val="24"/>
        </w:rPr>
      </w:pPr>
      <w:r>
        <w:rPr>
          <w:rFonts w:ascii="宋体" w:hAnsi="宋体" w:cs="宋体" w:eastAsia="宋体" w:hint="default"/>
          <w:sz w:val="24"/>
          <w:szCs w:val="24"/>
        </w:rPr>
        <w:t>本公司及子公司不属于重点排污单位。 </w:t>
      </w:r>
      <w:bookmarkStart w:name="十八、其他重大事项的说明" w:id="101"/>
      <w:bookmarkEnd w:id="101"/>
      <w:r>
        <w:rPr>
          <w:rFonts w:ascii="宋体" w:hAnsi="宋体" w:cs="宋体" w:eastAsia="宋体" w:hint="default"/>
          <w:sz w:val="24"/>
          <w:szCs w:val="24"/>
        </w:rPr>
      </w:r>
      <w:r>
        <w:rPr>
          <w:rFonts w:ascii="宋体" w:hAnsi="宋体" w:cs="宋体" w:eastAsia="宋体" w:hint="default"/>
          <w:b/>
          <w:bCs/>
          <w:sz w:val="24"/>
          <w:szCs w:val="24"/>
        </w:rPr>
        <w:t>十八、其他重大事项的说明</w:t>
      </w:r>
      <w:r>
        <w:rPr>
          <w:rFonts w:ascii="宋体" w:hAnsi="宋体" w:cs="宋体" w:eastAsia="宋体" w:hint="default"/>
          <w:sz w:val="24"/>
          <w:szCs w:val="24"/>
        </w:rPr>
      </w:r>
    </w:p>
    <w:p>
      <w:pPr>
        <w:spacing w:line="338" w:lineRule="auto" w:before="60"/>
        <w:ind w:left="154" w:right="715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公司报告期不存在需要说明的其他重大事项。</w:t>
      </w:r>
    </w:p>
    <w:p>
      <w:pPr>
        <w:spacing w:after="0" w:line="338"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十九、公司子公司重大事项" w:id="102"/>
      <w:bookmarkEnd w:id="102"/>
      <w:r>
        <w:rPr>
          <w:b w:val="0"/>
          <w:bCs w:val="0"/>
        </w:rPr>
      </w:r>
      <w:r>
        <w:rPr/>
        <w:t>十九、公司子公司重大事项</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986" w:right="1392"/>
        <w:jc w:val="left"/>
        <w:rPr>
          <w:b w:val="0"/>
          <w:bCs w:val="0"/>
        </w:rPr>
      </w:pPr>
      <w:bookmarkStart w:name="第六节 股份变动及股东情况" w:id="103"/>
      <w:bookmarkEnd w:id="103"/>
      <w:r>
        <w:rPr>
          <w:b w:val="0"/>
          <w:bCs w:val="0"/>
        </w:rPr>
      </w:r>
      <w:bookmarkStart w:name="_bookmark4" w:id="104"/>
      <w:bookmarkEnd w:id="104"/>
      <w:r>
        <w:rPr>
          <w:b w:val="0"/>
          <w:bCs w:val="0"/>
        </w:rPr>
      </w:r>
      <w:r>
        <w:rPr/>
        <w:t>第六节</w:t>
      </w:r>
      <w:r>
        <w:rPr>
          <w:spacing w:val="-10"/>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left="174" w:right="1392"/>
        <w:jc w:val="left"/>
        <w:rPr>
          <w:b w:val="0"/>
          <w:bCs w:val="0"/>
        </w:rPr>
      </w:pPr>
      <w:bookmarkStart w:name="一、股份变动情况" w:id="105"/>
      <w:bookmarkEnd w:id="105"/>
      <w:r>
        <w:rPr>
          <w:b w:val="0"/>
          <w:bCs w:val="0"/>
        </w:rPr>
      </w:r>
      <w:r>
        <w:rPr/>
        <w:t>一、股份变动情况</w:t>
      </w:r>
      <w:r>
        <w:rPr>
          <w:b w:val="0"/>
          <w:bCs w:val="0"/>
        </w:rPr>
      </w:r>
    </w:p>
    <w:p>
      <w:pPr>
        <w:spacing w:line="240" w:lineRule="auto" w:before="8"/>
        <w:rPr>
          <w:rFonts w:ascii="宋体" w:hAnsi="宋体" w:cs="宋体" w:eastAsia="宋体" w:hint="default"/>
          <w:b/>
          <w:bCs/>
          <w:sz w:val="24"/>
          <w:szCs w:val="24"/>
        </w:rPr>
      </w:pPr>
    </w:p>
    <w:p>
      <w:pPr>
        <w:spacing w:before="0"/>
        <w:ind w:left="174" w:right="1392" w:firstLine="0"/>
        <w:jc w:val="left"/>
        <w:rPr>
          <w:rFonts w:ascii="宋体" w:hAnsi="宋体" w:cs="宋体" w:eastAsia="宋体" w:hint="default"/>
          <w:sz w:val="21"/>
          <w:szCs w:val="21"/>
        </w:rPr>
      </w:pPr>
      <w:bookmarkStart w:name="1、股份变动情况" w:id="106"/>
      <w:bookmarkEnd w:id="106"/>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、股份变动情况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
        <w:rPr>
          <w:rFonts w:ascii="宋体" w:hAnsi="宋体" w:cs="宋体" w:eastAsia="宋体" w:hint="default"/>
          <w:sz w:val="8"/>
          <w:szCs w:val="8"/>
        </w:rPr>
      </w:pPr>
    </w:p>
    <w:tbl>
      <w:tblPr>
        <w:tblW w:w="0" w:type="auto"/>
        <w:jc w:val="left"/>
        <w:tblInd w:w="111" w:type="dxa"/>
        <w:tblLayout w:type="fixed"/>
        <w:tblCellMar>
          <w:top w:w="0" w:type="dxa"/>
          <w:left w:w="0" w:type="dxa"/>
          <w:bottom w:w="0" w:type="dxa"/>
          <w:right w:w="0" w:type="dxa"/>
        </w:tblCellMar>
        <w:tblLook w:val="01E0"/>
      </w:tblPr>
      <w:tblGrid>
        <w:gridCol w:w="2228"/>
        <w:gridCol w:w="823"/>
        <w:gridCol w:w="824"/>
        <w:gridCol w:w="823"/>
        <w:gridCol w:w="822"/>
        <w:gridCol w:w="822"/>
        <w:gridCol w:w="822"/>
        <w:gridCol w:w="822"/>
        <w:gridCol w:w="794"/>
        <w:gridCol w:w="793"/>
      </w:tblGrid>
      <w:tr>
        <w:trPr>
          <w:trHeight w:val="402" w:hRule="exact"/>
        </w:trPr>
        <w:tc>
          <w:tcPr>
            <w:tcW w:w="2228" w:type="dxa"/>
            <w:vMerge w:val="restart"/>
            <w:tcBorders>
              <w:top w:val="single" w:sz="4" w:space="0" w:color="000000"/>
              <w:left w:val="single" w:sz="4" w:space="0" w:color="000000"/>
              <w:right w:val="single" w:sz="4" w:space="0" w:color="000000"/>
            </w:tcBorders>
            <w:shd w:val="clear" w:color="auto" w:fill="D2D2D2"/>
          </w:tcPr>
          <w:p>
            <w:pPr/>
          </w:p>
        </w:tc>
        <w:tc>
          <w:tcPr>
            <w:tcW w:w="16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8"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60"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9"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714" w:hRule="exact"/>
        </w:trPr>
        <w:tc>
          <w:tcPr>
            <w:tcW w:w="2228" w:type="dxa"/>
            <w:vMerge/>
            <w:tcBorders>
              <w:left w:val="single" w:sz="4" w:space="0" w:color="000000"/>
              <w:bottom w:val="single" w:sz="4" w:space="0" w:color="000000"/>
              <w:right w:val="single" w:sz="4" w:space="0" w:color="000000"/>
            </w:tcBorders>
            <w:shd w:val="clear" w:color="auto" w:fill="D2D2D2"/>
          </w:tcPr>
          <w:p>
            <w:pPr/>
          </w:p>
        </w:tc>
        <w:tc>
          <w:tcPr>
            <w:tcW w:w="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6"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6" w:right="134" w:hanging="180"/>
              <w:jc w:val="left"/>
              <w:rPr>
                <w:rFonts w:ascii="宋体" w:hAnsi="宋体" w:cs="宋体" w:eastAsia="宋体" w:hint="default"/>
                <w:sz w:val="18"/>
                <w:szCs w:val="18"/>
              </w:rPr>
            </w:pPr>
            <w:r>
              <w:rPr>
                <w:rFonts w:ascii="宋体" w:hAnsi="宋体" w:cs="宋体" w:eastAsia="宋体" w:hint="default"/>
                <w:sz w:val="18"/>
                <w:szCs w:val="18"/>
              </w:rPr>
              <w:t>发行新 股</w:t>
            </w:r>
          </w:p>
        </w:tc>
        <w:tc>
          <w:tcPr>
            <w:tcW w:w="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5" w:right="134" w:hanging="90"/>
              <w:jc w:val="left"/>
              <w:rPr>
                <w:rFonts w:ascii="宋体" w:hAnsi="宋体" w:cs="宋体" w:eastAsia="宋体" w:hint="default"/>
                <w:sz w:val="18"/>
                <w:szCs w:val="18"/>
              </w:rPr>
            </w:pPr>
            <w:r>
              <w:rPr>
                <w:rFonts w:ascii="宋体" w:hAnsi="宋体" w:cs="宋体" w:eastAsia="宋体" w:hint="default"/>
                <w:sz w:val="18"/>
                <w:szCs w:val="18"/>
              </w:rPr>
              <w:t>公积金 转股</w:t>
            </w:r>
          </w:p>
        </w:tc>
        <w:tc>
          <w:tcPr>
            <w:tcW w:w="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714"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0"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7"/>
              <w:jc w:val="right"/>
              <w:rPr>
                <w:rFonts w:ascii="Times New Roman" w:hAnsi="Times New Roman" w:cs="Times New Roman" w:eastAsia="Times New Roman" w:hint="default"/>
                <w:sz w:val="18"/>
                <w:szCs w:val="18"/>
              </w:rPr>
            </w:pPr>
            <w:r>
              <w:rPr>
                <w:rFonts w:ascii="Times New Roman"/>
                <w:sz w:val="18"/>
              </w:rPr>
              <w:t>50,000,0</w:t>
            </w:r>
          </w:p>
          <w:p>
            <w:pPr>
              <w:pStyle w:val="TableParagraph"/>
              <w:spacing w:line="240" w:lineRule="auto" w:before="105"/>
              <w:ind w:right="78"/>
              <w:jc w:val="right"/>
              <w:rPr>
                <w:rFonts w:ascii="Times New Roman" w:hAnsi="Times New Roman" w:cs="Times New Roman" w:eastAsia="Times New Roman" w:hint="default"/>
                <w:sz w:val="18"/>
                <w:szCs w:val="18"/>
              </w:rPr>
            </w:pPr>
            <w:r>
              <w:rPr>
                <w:rFonts w:ascii="Times New Roman"/>
                <w:sz w:val="18"/>
              </w:rPr>
              <w:t>00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center"/>
              <w:rPr>
                <w:rFonts w:ascii="Times New Roman" w:hAnsi="Times New Roman" w:cs="Times New Roman" w:eastAsia="Times New Roman" w:hint="default"/>
                <w:sz w:val="18"/>
                <w:szCs w:val="18"/>
              </w:rPr>
            </w:pPr>
            <w:r>
              <w:rPr>
                <w:rFonts w:ascii="Times New Roman"/>
                <w:sz w:val="18"/>
              </w:rPr>
              <w:t>75.00%</w:t>
            </w:r>
          </w:p>
        </w:tc>
        <w:tc>
          <w:tcPr>
            <w:tcW w:w="823"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2" w:right="0"/>
              <w:jc w:val="left"/>
              <w:rPr>
                <w:rFonts w:ascii="Times New Roman" w:hAnsi="Times New Roman" w:cs="Times New Roman" w:eastAsia="Times New Roman" w:hint="default"/>
                <w:sz w:val="18"/>
                <w:szCs w:val="18"/>
              </w:rPr>
            </w:pPr>
            <w:r>
              <w:rPr>
                <w:rFonts w:ascii="Times New Roman"/>
                <w:sz w:val="18"/>
              </w:rPr>
              <w:t>-28,752,</w:t>
            </w:r>
          </w:p>
          <w:p>
            <w:pPr>
              <w:pStyle w:val="TableParagraph"/>
              <w:spacing w:line="240" w:lineRule="auto" w:before="105"/>
              <w:ind w:left="462" w:right="0"/>
              <w:jc w:val="left"/>
              <w:rPr>
                <w:rFonts w:ascii="Times New Roman" w:hAnsi="Times New Roman" w:cs="Times New Roman" w:eastAsia="Times New Roman" w:hint="default"/>
                <w:sz w:val="18"/>
                <w:szCs w:val="18"/>
              </w:rPr>
            </w:pPr>
            <w:r>
              <w:rPr>
                <w:rFonts w:ascii="Times New Roman"/>
                <w:sz w:val="18"/>
              </w:rPr>
              <w:t>432</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2" w:right="0"/>
              <w:jc w:val="left"/>
              <w:rPr>
                <w:rFonts w:ascii="Times New Roman" w:hAnsi="Times New Roman" w:cs="Times New Roman" w:eastAsia="Times New Roman" w:hint="default"/>
                <w:sz w:val="18"/>
                <w:szCs w:val="18"/>
              </w:rPr>
            </w:pPr>
            <w:r>
              <w:rPr>
                <w:rFonts w:ascii="Times New Roman"/>
                <w:sz w:val="18"/>
              </w:rPr>
              <w:t>-28,752,</w:t>
            </w:r>
          </w:p>
          <w:p>
            <w:pPr>
              <w:pStyle w:val="TableParagraph"/>
              <w:spacing w:line="240" w:lineRule="auto" w:before="105"/>
              <w:ind w:left="462" w:right="0"/>
              <w:jc w:val="left"/>
              <w:rPr>
                <w:rFonts w:ascii="Times New Roman" w:hAnsi="Times New Roman" w:cs="Times New Roman" w:eastAsia="Times New Roman" w:hint="default"/>
                <w:sz w:val="18"/>
                <w:szCs w:val="18"/>
              </w:rPr>
            </w:pPr>
            <w:r>
              <w:rPr>
                <w:rFonts w:ascii="Times New Roman"/>
                <w:sz w:val="18"/>
              </w:rPr>
              <w:t>432</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4" w:right="0"/>
              <w:jc w:val="left"/>
              <w:rPr>
                <w:rFonts w:ascii="Times New Roman" w:hAnsi="Times New Roman" w:cs="Times New Roman" w:eastAsia="Times New Roman" w:hint="default"/>
                <w:sz w:val="18"/>
                <w:szCs w:val="18"/>
              </w:rPr>
            </w:pPr>
            <w:r>
              <w:rPr>
                <w:rFonts w:ascii="Times New Roman"/>
                <w:sz w:val="18"/>
              </w:rPr>
              <w:t>21,247,</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568</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77"/>
              <w:jc w:val="right"/>
              <w:rPr>
                <w:rFonts w:ascii="Times New Roman" w:hAnsi="Times New Roman" w:cs="Times New Roman" w:eastAsia="Times New Roman" w:hint="default"/>
                <w:sz w:val="18"/>
                <w:szCs w:val="18"/>
              </w:rPr>
            </w:pPr>
            <w:r>
              <w:rPr>
                <w:rFonts w:ascii="Times New Roman"/>
                <w:sz w:val="18"/>
              </w:rPr>
              <w:t>31.87%</w:t>
            </w:r>
          </w:p>
        </w:tc>
      </w:tr>
      <w:tr>
        <w:trPr>
          <w:trHeight w:val="714"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7"/>
              <w:jc w:val="right"/>
              <w:rPr>
                <w:rFonts w:ascii="Times New Roman" w:hAnsi="Times New Roman" w:cs="Times New Roman" w:eastAsia="Times New Roman" w:hint="default"/>
                <w:sz w:val="18"/>
                <w:szCs w:val="18"/>
              </w:rPr>
            </w:pPr>
            <w:r>
              <w:rPr>
                <w:rFonts w:ascii="Times New Roman"/>
                <w:sz w:val="18"/>
              </w:rPr>
              <w:t>50,000,0</w:t>
            </w:r>
          </w:p>
          <w:p>
            <w:pPr>
              <w:pStyle w:val="TableParagraph"/>
              <w:spacing w:line="240" w:lineRule="auto" w:before="105"/>
              <w:ind w:right="78"/>
              <w:jc w:val="right"/>
              <w:rPr>
                <w:rFonts w:ascii="Times New Roman" w:hAnsi="Times New Roman" w:cs="Times New Roman" w:eastAsia="Times New Roman" w:hint="default"/>
                <w:sz w:val="18"/>
                <w:szCs w:val="18"/>
              </w:rPr>
            </w:pPr>
            <w:r>
              <w:rPr>
                <w:rFonts w:ascii="Times New Roman"/>
                <w:sz w:val="18"/>
              </w:rPr>
              <w:t>00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center"/>
              <w:rPr>
                <w:rFonts w:ascii="Times New Roman" w:hAnsi="Times New Roman" w:cs="Times New Roman" w:eastAsia="Times New Roman" w:hint="default"/>
                <w:sz w:val="18"/>
                <w:szCs w:val="18"/>
              </w:rPr>
            </w:pPr>
            <w:r>
              <w:rPr>
                <w:rFonts w:ascii="Times New Roman"/>
                <w:sz w:val="18"/>
              </w:rPr>
              <w:t>75.00%</w:t>
            </w:r>
          </w:p>
        </w:tc>
        <w:tc>
          <w:tcPr>
            <w:tcW w:w="823"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2" w:right="0"/>
              <w:jc w:val="left"/>
              <w:rPr>
                <w:rFonts w:ascii="Times New Roman" w:hAnsi="Times New Roman" w:cs="Times New Roman" w:eastAsia="Times New Roman" w:hint="default"/>
                <w:sz w:val="18"/>
                <w:szCs w:val="18"/>
              </w:rPr>
            </w:pPr>
            <w:r>
              <w:rPr>
                <w:rFonts w:ascii="Times New Roman"/>
                <w:sz w:val="18"/>
              </w:rPr>
              <w:t>-28,752,</w:t>
            </w:r>
          </w:p>
          <w:p>
            <w:pPr>
              <w:pStyle w:val="TableParagraph"/>
              <w:spacing w:line="240" w:lineRule="auto" w:before="105"/>
              <w:ind w:left="462" w:right="0"/>
              <w:jc w:val="left"/>
              <w:rPr>
                <w:rFonts w:ascii="Times New Roman" w:hAnsi="Times New Roman" w:cs="Times New Roman" w:eastAsia="Times New Roman" w:hint="default"/>
                <w:sz w:val="18"/>
                <w:szCs w:val="18"/>
              </w:rPr>
            </w:pPr>
            <w:r>
              <w:rPr>
                <w:rFonts w:ascii="Times New Roman"/>
                <w:sz w:val="18"/>
              </w:rPr>
              <w:t>432</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2" w:right="0"/>
              <w:jc w:val="left"/>
              <w:rPr>
                <w:rFonts w:ascii="Times New Roman" w:hAnsi="Times New Roman" w:cs="Times New Roman" w:eastAsia="Times New Roman" w:hint="default"/>
                <w:sz w:val="18"/>
                <w:szCs w:val="18"/>
              </w:rPr>
            </w:pPr>
            <w:r>
              <w:rPr>
                <w:rFonts w:ascii="Times New Roman"/>
                <w:sz w:val="18"/>
              </w:rPr>
              <w:t>-28,752,</w:t>
            </w:r>
          </w:p>
          <w:p>
            <w:pPr>
              <w:pStyle w:val="TableParagraph"/>
              <w:spacing w:line="240" w:lineRule="auto" w:before="105"/>
              <w:ind w:left="462" w:right="0"/>
              <w:jc w:val="left"/>
              <w:rPr>
                <w:rFonts w:ascii="Times New Roman" w:hAnsi="Times New Roman" w:cs="Times New Roman" w:eastAsia="Times New Roman" w:hint="default"/>
                <w:sz w:val="18"/>
                <w:szCs w:val="18"/>
              </w:rPr>
            </w:pPr>
            <w:r>
              <w:rPr>
                <w:rFonts w:ascii="Times New Roman"/>
                <w:sz w:val="18"/>
              </w:rPr>
              <w:t>432</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4" w:right="0"/>
              <w:jc w:val="left"/>
              <w:rPr>
                <w:rFonts w:ascii="Times New Roman" w:hAnsi="Times New Roman" w:cs="Times New Roman" w:eastAsia="Times New Roman" w:hint="default"/>
                <w:sz w:val="18"/>
                <w:szCs w:val="18"/>
              </w:rPr>
            </w:pPr>
            <w:r>
              <w:rPr>
                <w:rFonts w:ascii="Times New Roman"/>
                <w:sz w:val="18"/>
              </w:rPr>
              <w:t>21,247,</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568</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77"/>
              <w:jc w:val="right"/>
              <w:rPr>
                <w:rFonts w:ascii="Times New Roman" w:hAnsi="Times New Roman" w:cs="Times New Roman" w:eastAsia="Times New Roman" w:hint="default"/>
                <w:sz w:val="18"/>
                <w:szCs w:val="18"/>
              </w:rPr>
            </w:pPr>
            <w:r>
              <w:rPr>
                <w:rFonts w:ascii="Times New Roman"/>
                <w:sz w:val="18"/>
              </w:rPr>
              <w:t>31.87%</w:t>
            </w:r>
          </w:p>
        </w:tc>
      </w:tr>
      <w:tr>
        <w:trPr>
          <w:trHeight w:val="714"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0"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7"/>
              <w:jc w:val="right"/>
              <w:rPr>
                <w:rFonts w:ascii="Times New Roman" w:hAnsi="Times New Roman" w:cs="Times New Roman" w:eastAsia="Times New Roman" w:hint="default"/>
                <w:sz w:val="18"/>
                <w:szCs w:val="18"/>
              </w:rPr>
            </w:pPr>
            <w:r>
              <w:rPr>
                <w:rFonts w:ascii="Times New Roman"/>
                <w:sz w:val="18"/>
              </w:rPr>
              <w:t>47,046,4</w:t>
            </w:r>
          </w:p>
          <w:p>
            <w:pPr>
              <w:pStyle w:val="TableParagraph"/>
              <w:spacing w:line="240" w:lineRule="auto" w:before="105"/>
              <w:ind w:right="78"/>
              <w:jc w:val="right"/>
              <w:rPr>
                <w:rFonts w:ascii="Times New Roman" w:hAnsi="Times New Roman" w:cs="Times New Roman" w:eastAsia="Times New Roman" w:hint="default"/>
                <w:sz w:val="18"/>
                <w:szCs w:val="18"/>
              </w:rPr>
            </w:pPr>
            <w:r>
              <w:rPr>
                <w:rFonts w:ascii="Times New Roman"/>
                <w:sz w:val="18"/>
              </w:rPr>
              <w:t>75</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center"/>
              <w:rPr>
                <w:rFonts w:ascii="Times New Roman" w:hAnsi="Times New Roman" w:cs="Times New Roman" w:eastAsia="Times New Roman" w:hint="default"/>
                <w:sz w:val="18"/>
                <w:szCs w:val="18"/>
              </w:rPr>
            </w:pPr>
            <w:r>
              <w:rPr>
                <w:rFonts w:ascii="Times New Roman"/>
                <w:sz w:val="18"/>
              </w:rPr>
              <w:t>70.57%</w:t>
            </w:r>
          </w:p>
        </w:tc>
        <w:tc>
          <w:tcPr>
            <w:tcW w:w="823"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2" w:right="0"/>
              <w:jc w:val="left"/>
              <w:rPr>
                <w:rFonts w:ascii="Times New Roman" w:hAnsi="Times New Roman" w:cs="Times New Roman" w:eastAsia="Times New Roman" w:hint="default"/>
                <w:sz w:val="18"/>
                <w:szCs w:val="18"/>
              </w:rPr>
            </w:pPr>
            <w:r>
              <w:rPr>
                <w:rFonts w:ascii="Times New Roman"/>
                <w:sz w:val="18"/>
              </w:rPr>
              <w:t>-27,740,</w:t>
            </w:r>
          </w:p>
          <w:p>
            <w:pPr>
              <w:pStyle w:val="TableParagraph"/>
              <w:spacing w:line="240" w:lineRule="auto" w:before="105"/>
              <w:ind w:left="462" w:right="0"/>
              <w:jc w:val="left"/>
              <w:rPr>
                <w:rFonts w:ascii="Times New Roman" w:hAnsi="Times New Roman" w:cs="Times New Roman" w:eastAsia="Times New Roman" w:hint="default"/>
                <w:sz w:val="18"/>
                <w:szCs w:val="18"/>
              </w:rPr>
            </w:pPr>
            <w:r>
              <w:rPr>
                <w:rFonts w:ascii="Times New Roman"/>
                <w:sz w:val="18"/>
              </w:rPr>
              <w:t>887</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2" w:right="0"/>
              <w:jc w:val="left"/>
              <w:rPr>
                <w:rFonts w:ascii="Times New Roman" w:hAnsi="Times New Roman" w:cs="Times New Roman" w:eastAsia="Times New Roman" w:hint="default"/>
                <w:sz w:val="18"/>
                <w:szCs w:val="18"/>
              </w:rPr>
            </w:pPr>
            <w:r>
              <w:rPr>
                <w:rFonts w:ascii="Times New Roman"/>
                <w:sz w:val="18"/>
              </w:rPr>
              <w:t>-27,740,</w:t>
            </w:r>
          </w:p>
          <w:p>
            <w:pPr>
              <w:pStyle w:val="TableParagraph"/>
              <w:spacing w:line="240" w:lineRule="auto" w:before="105"/>
              <w:ind w:left="462" w:right="0"/>
              <w:jc w:val="left"/>
              <w:rPr>
                <w:rFonts w:ascii="Times New Roman" w:hAnsi="Times New Roman" w:cs="Times New Roman" w:eastAsia="Times New Roman" w:hint="default"/>
                <w:sz w:val="18"/>
                <w:szCs w:val="18"/>
              </w:rPr>
            </w:pPr>
            <w:r>
              <w:rPr>
                <w:rFonts w:ascii="Times New Roman"/>
                <w:sz w:val="18"/>
              </w:rPr>
              <w:t>887</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4" w:right="0"/>
              <w:jc w:val="left"/>
              <w:rPr>
                <w:rFonts w:ascii="Times New Roman" w:hAnsi="Times New Roman" w:cs="Times New Roman" w:eastAsia="Times New Roman" w:hint="default"/>
                <w:sz w:val="18"/>
                <w:szCs w:val="18"/>
              </w:rPr>
            </w:pPr>
            <w:r>
              <w:rPr>
                <w:rFonts w:ascii="Times New Roman"/>
                <w:sz w:val="18"/>
              </w:rPr>
              <w:t>19,305,</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588</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77"/>
              <w:jc w:val="right"/>
              <w:rPr>
                <w:rFonts w:ascii="Times New Roman" w:hAnsi="Times New Roman" w:cs="Times New Roman" w:eastAsia="Times New Roman" w:hint="default"/>
                <w:sz w:val="18"/>
                <w:szCs w:val="18"/>
              </w:rPr>
            </w:pPr>
            <w:r>
              <w:rPr>
                <w:rFonts w:ascii="Times New Roman"/>
                <w:sz w:val="18"/>
              </w:rPr>
              <w:t>28.96%</w:t>
            </w:r>
          </w:p>
        </w:tc>
      </w:tr>
      <w:tr>
        <w:trPr>
          <w:trHeight w:val="714"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20"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7"/>
              <w:jc w:val="right"/>
              <w:rPr>
                <w:rFonts w:ascii="Times New Roman" w:hAnsi="Times New Roman" w:cs="Times New Roman" w:eastAsia="Times New Roman" w:hint="default"/>
                <w:sz w:val="18"/>
                <w:szCs w:val="18"/>
              </w:rPr>
            </w:pPr>
            <w:r>
              <w:rPr>
                <w:rFonts w:ascii="Times New Roman"/>
                <w:sz w:val="18"/>
              </w:rPr>
              <w:t>2,953,52</w:t>
            </w:r>
          </w:p>
          <w:p>
            <w:pPr>
              <w:pStyle w:val="TableParagraph"/>
              <w:spacing w:line="240" w:lineRule="auto" w:before="105"/>
              <w:ind w:right="78"/>
              <w:jc w:val="right"/>
              <w:rPr>
                <w:rFonts w:ascii="Times New Roman" w:hAnsi="Times New Roman" w:cs="Times New Roman" w:eastAsia="Times New Roman" w:hint="default"/>
                <w:sz w:val="18"/>
                <w:szCs w:val="18"/>
              </w:rPr>
            </w:pPr>
            <w:r>
              <w:rPr>
                <w:rFonts w:ascii="Times New Roman"/>
                <w:sz w:val="18"/>
              </w:rPr>
              <w:t>5</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8" w:right="0"/>
              <w:jc w:val="center"/>
              <w:rPr>
                <w:rFonts w:ascii="Times New Roman" w:hAnsi="Times New Roman" w:cs="Times New Roman" w:eastAsia="Times New Roman" w:hint="default"/>
                <w:sz w:val="18"/>
                <w:szCs w:val="18"/>
              </w:rPr>
            </w:pPr>
            <w:r>
              <w:rPr>
                <w:rFonts w:ascii="Times New Roman"/>
                <w:sz w:val="18"/>
              </w:rPr>
              <w:t>4.43%</w:t>
            </w:r>
          </w:p>
        </w:tc>
        <w:tc>
          <w:tcPr>
            <w:tcW w:w="823"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8"/>
              <w:jc w:val="right"/>
              <w:rPr>
                <w:rFonts w:ascii="Times New Roman" w:hAnsi="Times New Roman" w:cs="Times New Roman" w:eastAsia="Times New Roman" w:hint="default"/>
                <w:sz w:val="18"/>
                <w:szCs w:val="18"/>
              </w:rPr>
            </w:pPr>
            <w:r>
              <w:rPr>
                <w:rFonts w:ascii="Times New Roman"/>
                <w:spacing w:val="-1"/>
                <w:w w:val="95"/>
                <w:sz w:val="18"/>
              </w:rPr>
              <w:t>-1,011,5</w:t>
            </w:r>
            <w:r>
              <w:rPr>
                <w:rFonts w:ascii="Times New Roman"/>
                <w:spacing w:val="-1"/>
                <w:sz w:val="18"/>
              </w:rPr>
            </w:r>
          </w:p>
          <w:p>
            <w:pPr>
              <w:pStyle w:val="TableParagraph"/>
              <w:spacing w:line="240" w:lineRule="auto" w:before="105"/>
              <w:ind w:right="78"/>
              <w:jc w:val="right"/>
              <w:rPr>
                <w:rFonts w:ascii="Times New Roman" w:hAnsi="Times New Roman" w:cs="Times New Roman" w:eastAsia="Times New Roman" w:hint="default"/>
                <w:sz w:val="18"/>
                <w:szCs w:val="18"/>
              </w:rPr>
            </w:pPr>
            <w:r>
              <w:rPr>
                <w:rFonts w:ascii="Times New Roman"/>
                <w:sz w:val="18"/>
              </w:rPr>
              <w:t>45</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7"/>
              <w:jc w:val="right"/>
              <w:rPr>
                <w:rFonts w:ascii="Times New Roman" w:hAnsi="Times New Roman" w:cs="Times New Roman" w:eastAsia="Times New Roman" w:hint="default"/>
                <w:sz w:val="18"/>
                <w:szCs w:val="18"/>
              </w:rPr>
            </w:pPr>
            <w:r>
              <w:rPr>
                <w:rFonts w:ascii="Times New Roman"/>
                <w:spacing w:val="-1"/>
                <w:w w:val="95"/>
                <w:sz w:val="18"/>
              </w:rPr>
              <w:t>-1,011,5</w:t>
            </w:r>
            <w:r>
              <w:rPr>
                <w:rFonts w:ascii="Times New Roman"/>
                <w:spacing w:val="-1"/>
                <w:sz w:val="18"/>
              </w:rPr>
            </w:r>
          </w:p>
          <w:p>
            <w:pPr>
              <w:pStyle w:val="TableParagraph"/>
              <w:spacing w:line="240" w:lineRule="auto" w:before="105"/>
              <w:ind w:right="78"/>
              <w:jc w:val="right"/>
              <w:rPr>
                <w:rFonts w:ascii="Times New Roman" w:hAnsi="Times New Roman" w:cs="Times New Roman" w:eastAsia="Times New Roman" w:hint="default"/>
                <w:sz w:val="18"/>
                <w:szCs w:val="18"/>
              </w:rPr>
            </w:pPr>
            <w:r>
              <w:rPr>
                <w:rFonts w:ascii="Times New Roman"/>
                <w:sz w:val="18"/>
              </w:rPr>
              <w:t>45</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7"/>
              <w:jc w:val="right"/>
              <w:rPr>
                <w:rFonts w:ascii="Times New Roman" w:hAnsi="Times New Roman" w:cs="Times New Roman" w:eastAsia="Times New Roman" w:hint="default"/>
                <w:sz w:val="18"/>
                <w:szCs w:val="18"/>
              </w:rPr>
            </w:pPr>
            <w:r>
              <w:rPr>
                <w:rFonts w:ascii="Times New Roman"/>
                <w:sz w:val="18"/>
              </w:rPr>
              <w:t>1,941,9</w:t>
            </w:r>
          </w:p>
          <w:p>
            <w:pPr>
              <w:pStyle w:val="TableParagraph"/>
              <w:spacing w:line="240" w:lineRule="auto" w:before="105"/>
              <w:ind w:right="78"/>
              <w:jc w:val="right"/>
              <w:rPr>
                <w:rFonts w:ascii="Times New Roman" w:hAnsi="Times New Roman" w:cs="Times New Roman" w:eastAsia="Times New Roman" w:hint="default"/>
                <w:sz w:val="18"/>
                <w:szCs w:val="18"/>
              </w:rPr>
            </w:pPr>
            <w:r>
              <w:rPr>
                <w:rFonts w:ascii="Times New Roman"/>
                <w:sz w:val="18"/>
              </w:rPr>
              <w:t>80</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77"/>
              <w:jc w:val="right"/>
              <w:rPr>
                <w:rFonts w:ascii="Times New Roman" w:hAnsi="Times New Roman" w:cs="Times New Roman" w:eastAsia="Times New Roman" w:hint="default"/>
                <w:sz w:val="18"/>
                <w:szCs w:val="18"/>
              </w:rPr>
            </w:pPr>
            <w:r>
              <w:rPr>
                <w:rFonts w:ascii="Times New Roman"/>
                <w:sz w:val="18"/>
              </w:rPr>
              <w:t>2.91%</w:t>
            </w:r>
          </w:p>
        </w:tc>
      </w:tr>
      <w:tr>
        <w:trPr>
          <w:trHeight w:val="714"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0"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7"/>
              <w:jc w:val="right"/>
              <w:rPr>
                <w:rFonts w:ascii="Times New Roman" w:hAnsi="Times New Roman" w:cs="Times New Roman" w:eastAsia="Times New Roman" w:hint="default"/>
                <w:sz w:val="18"/>
                <w:szCs w:val="18"/>
              </w:rPr>
            </w:pPr>
            <w:r>
              <w:rPr>
                <w:rFonts w:ascii="Times New Roman"/>
                <w:sz w:val="18"/>
              </w:rPr>
              <w:t>16,666,6</w:t>
            </w:r>
          </w:p>
          <w:p>
            <w:pPr>
              <w:pStyle w:val="TableParagraph"/>
              <w:spacing w:line="240" w:lineRule="auto" w:before="105"/>
              <w:ind w:right="78"/>
              <w:jc w:val="right"/>
              <w:rPr>
                <w:rFonts w:ascii="Times New Roman" w:hAnsi="Times New Roman" w:cs="Times New Roman" w:eastAsia="Times New Roman" w:hint="default"/>
                <w:sz w:val="18"/>
                <w:szCs w:val="18"/>
              </w:rPr>
            </w:pPr>
            <w:r>
              <w:rPr>
                <w:rFonts w:ascii="Times New Roman"/>
                <w:sz w:val="18"/>
              </w:rPr>
              <w:t>67</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center"/>
              <w:rPr>
                <w:rFonts w:ascii="Times New Roman" w:hAnsi="Times New Roman" w:cs="Times New Roman" w:eastAsia="Times New Roman" w:hint="default"/>
                <w:sz w:val="18"/>
                <w:szCs w:val="18"/>
              </w:rPr>
            </w:pPr>
            <w:r>
              <w:rPr>
                <w:rFonts w:ascii="Times New Roman"/>
                <w:sz w:val="18"/>
              </w:rPr>
              <w:t>25.00%</w:t>
            </w:r>
          </w:p>
        </w:tc>
        <w:tc>
          <w:tcPr>
            <w:tcW w:w="823"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8"/>
              <w:jc w:val="right"/>
              <w:rPr>
                <w:rFonts w:ascii="Times New Roman" w:hAnsi="Times New Roman" w:cs="Times New Roman" w:eastAsia="Times New Roman" w:hint="default"/>
                <w:sz w:val="18"/>
                <w:szCs w:val="18"/>
              </w:rPr>
            </w:pPr>
            <w:r>
              <w:rPr>
                <w:rFonts w:ascii="Times New Roman"/>
                <w:sz w:val="18"/>
              </w:rPr>
              <w:t>28,752,4</w:t>
            </w:r>
          </w:p>
          <w:p>
            <w:pPr>
              <w:pStyle w:val="TableParagraph"/>
              <w:spacing w:line="240" w:lineRule="auto" w:before="105"/>
              <w:ind w:right="78"/>
              <w:jc w:val="right"/>
              <w:rPr>
                <w:rFonts w:ascii="Times New Roman" w:hAnsi="Times New Roman" w:cs="Times New Roman" w:eastAsia="Times New Roman" w:hint="default"/>
                <w:sz w:val="18"/>
                <w:szCs w:val="18"/>
              </w:rPr>
            </w:pPr>
            <w:r>
              <w:rPr>
                <w:rFonts w:ascii="Times New Roman"/>
                <w:sz w:val="18"/>
              </w:rPr>
              <w:t>32</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7"/>
              <w:jc w:val="right"/>
              <w:rPr>
                <w:rFonts w:ascii="Times New Roman" w:hAnsi="Times New Roman" w:cs="Times New Roman" w:eastAsia="Times New Roman" w:hint="default"/>
                <w:sz w:val="18"/>
                <w:szCs w:val="18"/>
              </w:rPr>
            </w:pPr>
            <w:r>
              <w:rPr>
                <w:rFonts w:ascii="Times New Roman"/>
                <w:sz w:val="18"/>
              </w:rPr>
              <w:t>28,752,4</w:t>
            </w:r>
          </w:p>
          <w:p>
            <w:pPr>
              <w:pStyle w:val="TableParagraph"/>
              <w:spacing w:line="240" w:lineRule="auto" w:before="105"/>
              <w:ind w:right="78"/>
              <w:jc w:val="right"/>
              <w:rPr>
                <w:rFonts w:ascii="Times New Roman" w:hAnsi="Times New Roman" w:cs="Times New Roman" w:eastAsia="Times New Roman" w:hint="default"/>
                <w:sz w:val="18"/>
                <w:szCs w:val="18"/>
              </w:rPr>
            </w:pPr>
            <w:r>
              <w:rPr>
                <w:rFonts w:ascii="Times New Roman"/>
                <w:sz w:val="18"/>
              </w:rPr>
              <w:t>32</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4" w:right="0"/>
              <w:jc w:val="left"/>
              <w:rPr>
                <w:rFonts w:ascii="Times New Roman" w:hAnsi="Times New Roman" w:cs="Times New Roman" w:eastAsia="Times New Roman" w:hint="default"/>
                <w:sz w:val="18"/>
                <w:szCs w:val="18"/>
              </w:rPr>
            </w:pPr>
            <w:r>
              <w:rPr>
                <w:rFonts w:ascii="Times New Roman"/>
                <w:sz w:val="18"/>
              </w:rPr>
              <w:t>45,419,</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099</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77"/>
              <w:jc w:val="right"/>
              <w:rPr>
                <w:rFonts w:ascii="Times New Roman" w:hAnsi="Times New Roman" w:cs="Times New Roman" w:eastAsia="Times New Roman" w:hint="default"/>
                <w:sz w:val="18"/>
                <w:szCs w:val="18"/>
              </w:rPr>
            </w:pPr>
            <w:r>
              <w:rPr>
                <w:rFonts w:ascii="Times New Roman"/>
                <w:sz w:val="18"/>
              </w:rPr>
              <w:t>68.13%</w:t>
            </w:r>
          </w:p>
        </w:tc>
      </w:tr>
      <w:tr>
        <w:trPr>
          <w:trHeight w:val="714"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7"/>
              <w:jc w:val="right"/>
              <w:rPr>
                <w:rFonts w:ascii="Times New Roman" w:hAnsi="Times New Roman" w:cs="Times New Roman" w:eastAsia="Times New Roman" w:hint="default"/>
                <w:sz w:val="18"/>
                <w:szCs w:val="18"/>
              </w:rPr>
            </w:pPr>
            <w:r>
              <w:rPr>
                <w:rFonts w:ascii="Times New Roman"/>
                <w:sz w:val="18"/>
              </w:rPr>
              <w:t>16,666,6</w:t>
            </w:r>
          </w:p>
          <w:p>
            <w:pPr>
              <w:pStyle w:val="TableParagraph"/>
              <w:spacing w:line="240" w:lineRule="auto" w:before="105"/>
              <w:ind w:right="78"/>
              <w:jc w:val="right"/>
              <w:rPr>
                <w:rFonts w:ascii="Times New Roman" w:hAnsi="Times New Roman" w:cs="Times New Roman" w:eastAsia="Times New Roman" w:hint="default"/>
                <w:sz w:val="18"/>
                <w:szCs w:val="18"/>
              </w:rPr>
            </w:pPr>
            <w:r>
              <w:rPr>
                <w:rFonts w:ascii="Times New Roman"/>
                <w:sz w:val="18"/>
              </w:rPr>
              <w:t>67</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center"/>
              <w:rPr>
                <w:rFonts w:ascii="Times New Roman" w:hAnsi="Times New Roman" w:cs="Times New Roman" w:eastAsia="Times New Roman" w:hint="default"/>
                <w:sz w:val="18"/>
                <w:szCs w:val="18"/>
              </w:rPr>
            </w:pPr>
            <w:r>
              <w:rPr>
                <w:rFonts w:ascii="Times New Roman"/>
                <w:sz w:val="18"/>
              </w:rPr>
              <w:t>25.00%</w:t>
            </w:r>
          </w:p>
        </w:tc>
        <w:tc>
          <w:tcPr>
            <w:tcW w:w="823"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8"/>
              <w:jc w:val="right"/>
              <w:rPr>
                <w:rFonts w:ascii="Times New Roman" w:hAnsi="Times New Roman" w:cs="Times New Roman" w:eastAsia="Times New Roman" w:hint="default"/>
                <w:sz w:val="18"/>
                <w:szCs w:val="18"/>
              </w:rPr>
            </w:pPr>
            <w:r>
              <w:rPr>
                <w:rFonts w:ascii="Times New Roman"/>
                <w:sz w:val="18"/>
              </w:rPr>
              <w:t>28,752,4</w:t>
            </w:r>
          </w:p>
          <w:p>
            <w:pPr>
              <w:pStyle w:val="TableParagraph"/>
              <w:spacing w:line="240" w:lineRule="auto" w:before="105"/>
              <w:ind w:right="78"/>
              <w:jc w:val="right"/>
              <w:rPr>
                <w:rFonts w:ascii="Times New Roman" w:hAnsi="Times New Roman" w:cs="Times New Roman" w:eastAsia="Times New Roman" w:hint="default"/>
                <w:sz w:val="18"/>
                <w:szCs w:val="18"/>
              </w:rPr>
            </w:pPr>
            <w:r>
              <w:rPr>
                <w:rFonts w:ascii="Times New Roman"/>
                <w:sz w:val="18"/>
              </w:rPr>
              <w:t>32</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7"/>
              <w:jc w:val="right"/>
              <w:rPr>
                <w:rFonts w:ascii="Times New Roman" w:hAnsi="Times New Roman" w:cs="Times New Roman" w:eastAsia="Times New Roman" w:hint="default"/>
                <w:sz w:val="18"/>
                <w:szCs w:val="18"/>
              </w:rPr>
            </w:pPr>
            <w:r>
              <w:rPr>
                <w:rFonts w:ascii="Times New Roman"/>
                <w:sz w:val="18"/>
              </w:rPr>
              <w:t>28,752,4</w:t>
            </w:r>
          </w:p>
          <w:p>
            <w:pPr>
              <w:pStyle w:val="TableParagraph"/>
              <w:spacing w:line="240" w:lineRule="auto" w:before="105"/>
              <w:ind w:right="78"/>
              <w:jc w:val="right"/>
              <w:rPr>
                <w:rFonts w:ascii="Times New Roman" w:hAnsi="Times New Roman" w:cs="Times New Roman" w:eastAsia="Times New Roman" w:hint="default"/>
                <w:sz w:val="18"/>
                <w:szCs w:val="18"/>
              </w:rPr>
            </w:pPr>
            <w:r>
              <w:rPr>
                <w:rFonts w:ascii="Times New Roman"/>
                <w:sz w:val="18"/>
              </w:rPr>
              <w:t>32</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4" w:right="0"/>
              <w:jc w:val="left"/>
              <w:rPr>
                <w:rFonts w:ascii="Times New Roman" w:hAnsi="Times New Roman" w:cs="Times New Roman" w:eastAsia="Times New Roman" w:hint="default"/>
                <w:sz w:val="18"/>
                <w:szCs w:val="18"/>
              </w:rPr>
            </w:pPr>
            <w:r>
              <w:rPr>
                <w:rFonts w:ascii="Times New Roman"/>
                <w:sz w:val="18"/>
              </w:rPr>
              <w:t>45,419,</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099</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77"/>
              <w:jc w:val="right"/>
              <w:rPr>
                <w:rFonts w:ascii="Times New Roman" w:hAnsi="Times New Roman" w:cs="Times New Roman" w:eastAsia="Times New Roman" w:hint="default"/>
                <w:sz w:val="18"/>
                <w:szCs w:val="18"/>
              </w:rPr>
            </w:pPr>
            <w:r>
              <w:rPr>
                <w:rFonts w:ascii="Times New Roman"/>
                <w:sz w:val="18"/>
              </w:rPr>
              <w:t>68.13%</w:t>
            </w:r>
          </w:p>
        </w:tc>
      </w:tr>
      <w:tr>
        <w:trPr>
          <w:trHeight w:val="714"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0"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7"/>
              <w:jc w:val="right"/>
              <w:rPr>
                <w:rFonts w:ascii="Times New Roman" w:hAnsi="Times New Roman" w:cs="Times New Roman" w:eastAsia="Times New Roman" w:hint="default"/>
                <w:sz w:val="18"/>
                <w:szCs w:val="18"/>
              </w:rPr>
            </w:pPr>
            <w:r>
              <w:rPr>
                <w:rFonts w:ascii="Times New Roman"/>
                <w:sz w:val="18"/>
              </w:rPr>
              <w:t>66,666,6</w:t>
            </w:r>
          </w:p>
          <w:p>
            <w:pPr>
              <w:pStyle w:val="TableParagraph"/>
              <w:spacing w:line="240" w:lineRule="auto" w:before="105"/>
              <w:ind w:right="78"/>
              <w:jc w:val="right"/>
              <w:rPr>
                <w:rFonts w:ascii="Times New Roman" w:hAnsi="Times New Roman" w:cs="Times New Roman" w:eastAsia="Times New Roman" w:hint="default"/>
                <w:sz w:val="18"/>
                <w:szCs w:val="18"/>
              </w:rPr>
            </w:pPr>
            <w:r>
              <w:rPr>
                <w:rFonts w:ascii="Times New Roman"/>
                <w:sz w:val="18"/>
              </w:rPr>
              <w:t>67</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100.00%</w:t>
            </w:r>
          </w:p>
        </w:tc>
        <w:tc>
          <w:tcPr>
            <w:tcW w:w="823"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78"/>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78"/>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4" w:right="0"/>
              <w:jc w:val="left"/>
              <w:rPr>
                <w:rFonts w:ascii="Times New Roman" w:hAnsi="Times New Roman" w:cs="Times New Roman" w:eastAsia="Times New Roman" w:hint="default"/>
                <w:sz w:val="18"/>
                <w:szCs w:val="18"/>
              </w:rPr>
            </w:pPr>
            <w:r>
              <w:rPr>
                <w:rFonts w:ascii="Times New Roman"/>
                <w:sz w:val="18"/>
              </w:rPr>
              <w:t>66,666,</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667</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7"/>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right="7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before="51"/>
        <w:ind w:left="174" w:right="1392" w:firstLine="0"/>
        <w:jc w:val="left"/>
        <w:rPr>
          <w:rFonts w:ascii="宋体" w:hAnsi="宋体" w:cs="宋体" w:eastAsia="宋体" w:hint="default"/>
          <w:sz w:val="18"/>
          <w:szCs w:val="18"/>
        </w:rPr>
      </w:pPr>
      <w:r>
        <w:rPr>
          <w:rFonts w:ascii="宋体" w:hAnsi="宋体" w:cs="宋体" w:eastAsia="宋体" w:hint="default"/>
          <w:sz w:val="18"/>
          <w:szCs w:val="18"/>
        </w:rPr>
        <w:t>股份变动的原因</w:t>
      </w:r>
    </w:p>
    <w:p>
      <w:pPr>
        <w:spacing w:before="117"/>
        <w:ind w:left="174" w:right="13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40" w:lineRule="auto" w:before="130"/>
        <w:ind w:left="654" w:right="0"/>
        <w:jc w:val="left"/>
      </w:pPr>
      <w:r>
        <w:rPr>
          <w:rFonts w:ascii="宋体" w:hAnsi="宋体" w:cs="宋体" w:eastAsia="宋体" w:hint="default"/>
          <w:spacing w:val="15"/>
        </w:rPr>
        <w:t>2018</w:t>
      </w:r>
      <w:r>
        <w:rPr>
          <w:spacing w:val="15"/>
        </w:rPr>
        <w:t>年</w:t>
      </w:r>
      <w:r>
        <w:rPr>
          <w:rFonts w:ascii="宋体" w:hAnsi="宋体" w:cs="宋体" w:eastAsia="宋体" w:hint="default"/>
          <w:spacing w:val="15"/>
        </w:rPr>
        <w:t>4</w:t>
      </w:r>
      <w:r>
        <w:rPr>
          <w:spacing w:val="15"/>
        </w:rPr>
        <w:t>月</w:t>
      </w:r>
      <w:r>
        <w:rPr>
          <w:rFonts w:ascii="宋体" w:hAnsi="宋体" w:cs="宋体" w:eastAsia="宋体" w:hint="default"/>
          <w:spacing w:val="15"/>
        </w:rPr>
        <w:t>24</w:t>
      </w:r>
      <w:r>
        <w:rPr>
          <w:spacing w:val="15"/>
        </w:rPr>
        <w:t>日，公司首次公开发行前已发行股份上市流通，解除限售股份数</w:t>
      </w:r>
      <w:r>
        <w:rPr>
          <w:spacing w:val="-78"/>
        </w:rPr>
        <w:t> </w:t>
      </w:r>
      <w:r>
        <w:rPr>
          <w:spacing w:val="18"/>
        </w:rPr>
        <w:t>量为</w:t>
      </w:r>
      <w:r>
        <w:rPr/>
      </w:r>
    </w:p>
    <w:p>
      <w:pPr>
        <w:pStyle w:val="BodyText"/>
        <w:spacing w:line="240" w:lineRule="auto" w:before="154"/>
        <w:ind w:left="174" w:right="1392"/>
        <w:jc w:val="left"/>
      </w:pPr>
      <w:r>
        <w:rPr>
          <w:rFonts w:ascii="宋体" w:hAnsi="宋体" w:cs="宋体" w:eastAsia="宋体" w:hint="default"/>
        </w:rPr>
        <w:t>28,752,432</w:t>
      </w:r>
      <w:r>
        <w:rPr/>
        <w:t>股。</w:t>
      </w:r>
    </w:p>
    <w:p>
      <w:pPr>
        <w:spacing w:before="165"/>
        <w:ind w:left="174" w:right="1392" w:firstLine="0"/>
        <w:jc w:val="left"/>
        <w:rPr>
          <w:rFonts w:ascii="宋体" w:hAnsi="宋体" w:cs="宋体" w:eastAsia="宋体" w:hint="default"/>
          <w:sz w:val="18"/>
          <w:szCs w:val="18"/>
        </w:rPr>
      </w:pPr>
      <w:r>
        <w:rPr>
          <w:rFonts w:ascii="宋体" w:hAnsi="宋体" w:cs="宋体" w:eastAsia="宋体" w:hint="default"/>
          <w:sz w:val="18"/>
          <w:szCs w:val="18"/>
        </w:rPr>
        <w:t>股份变动的批准情况</w:t>
      </w:r>
    </w:p>
    <w:p>
      <w:pPr>
        <w:spacing w:line="338" w:lineRule="auto" w:before="117"/>
        <w:ind w:left="174" w:right="913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股份变动的过户情况</w:t>
      </w:r>
    </w:p>
    <w:p>
      <w:pPr>
        <w:spacing w:line="340" w:lineRule="auto" w:before="42"/>
        <w:ind w:left="174" w:right="87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股份回购的实施进展情况</w:t>
      </w:r>
    </w:p>
    <w:p>
      <w:pPr>
        <w:spacing w:line="338" w:lineRule="auto" w:before="41"/>
        <w:ind w:left="174" w:right="69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采用集中竞价方式减持回购股份的实施进展情况</w:t>
      </w:r>
    </w:p>
    <w:p>
      <w:pPr>
        <w:spacing w:line="338" w:lineRule="auto" w:before="43"/>
        <w:ind w:left="174" w:right="13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股份变动对最近一年和最近一期基本每股收益和稀释每股收益、归属于公司普通股股东的每股净资产等财务指标的影响</w:t>
      </w:r>
    </w:p>
    <w:p>
      <w:pPr>
        <w:spacing w:after="0" w:line="338" w:lineRule="auto"/>
        <w:jc w:val="left"/>
        <w:rPr>
          <w:rFonts w:ascii="宋体" w:hAnsi="宋体" w:cs="宋体" w:eastAsia="宋体" w:hint="default"/>
          <w:sz w:val="18"/>
          <w:szCs w:val="18"/>
        </w:rPr>
        <w:sectPr>
          <w:pgSz w:w="11910" w:h="16840"/>
          <w:pgMar w:header="747" w:footer="979" w:top="1060" w:bottom="1160" w:left="960" w:right="0"/>
        </w:sectPr>
      </w:pPr>
    </w:p>
    <w:p>
      <w:pPr>
        <w:spacing w:line="240" w:lineRule="auto" w:before="13"/>
        <w:rPr>
          <w:rFonts w:ascii="宋体" w:hAnsi="宋体" w:cs="宋体" w:eastAsia="宋体" w:hint="default"/>
          <w:sz w:val="25"/>
          <w:szCs w:val="25"/>
        </w:rPr>
      </w:pPr>
    </w:p>
    <w:p>
      <w:pPr>
        <w:spacing w:line="338" w:lineRule="auto" w:before="44"/>
        <w:ind w:left="174" w:right="67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公司认为必要或证券监管机构要求披露的其他内容</w:t>
      </w:r>
    </w:p>
    <w:p>
      <w:pPr>
        <w:spacing w:before="43"/>
        <w:ind w:left="174" w:right="13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spacing w:before="0"/>
        <w:ind w:left="174" w:right="1392" w:firstLine="0"/>
        <w:jc w:val="left"/>
        <w:rPr>
          <w:rFonts w:ascii="宋体" w:hAnsi="宋体" w:cs="宋体" w:eastAsia="宋体" w:hint="default"/>
          <w:sz w:val="21"/>
          <w:szCs w:val="21"/>
        </w:rPr>
      </w:pPr>
      <w:bookmarkStart w:name="2、限售股份变动情况" w:id="107"/>
      <w:bookmarkEnd w:id="107"/>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、限售股份变动情况</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174" w:right="13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0"/>
        <w:rPr>
          <w:rFonts w:ascii="宋体" w:hAnsi="宋体" w:cs="宋体" w:eastAsia="宋体" w:hint="default"/>
          <w:sz w:val="8"/>
          <w:szCs w:val="8"/>
        </w:rPr>
      </w:pPr>
    </w:p>
    <w:tbl>
      <w:tblPr>
        <w:tblW w:w="0" w:type="auto"/>
        <w:jc w:val="left"/>
        <w:tblInd w:w="111" w:type="dxa"/>
        <w:tblLayout w:type="fixed"/>
        <w:tblCellMar>
          <w:top w:w="0" w:type="dxa"/>
          <w:left w:w="0" w:type="dxa"/>
          <w:bottom w:w="0" w:type="dxa"/>
          <w:right w:w="0" w:type="dxa"/>
        </w:tblCellMar>
        <w:tblLook w:val="01E0"/>
      </w:tblPr>
      <w:tblGrid>
        <w:gridCol w:w="1364"/>
        <w:gridCol w:w="1368"/>
        <w:gridCol w:w="1155"/>
        <w:gridCol w:w="1369"/>
        <w:gridCol w:w="1369"/>
        <w:gridCol w:w="1157"/>
        <w:gridCol w:w="1631"/>
      </w:tblGrid>
      <w:tr>
        <w:trPr>
          <w:trHeight w:val="713" w:hRule="exact"/>
        </w:trPr>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1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02" w:right="120" w:hanging="180"/>
              <w:jc w:val="left"/>
              <w:rPr>
                <w:rFonts w:ascii="宋体" w:hAnsi="宋体" w:cs="宋体" w:eastAsia="宋体" w:hint="default"/>
                <w:sz w:val="18"/>
                <w:szCs w:val="18"/>
              </w:rPr>
            </w:pPr>
            <w:r>
              <w:rPr>
                <w:rFonts w:ascii="宋体" w:hAnsi="宋体" w:cs="宋体" w:eastAsia="宋体" w:hint="default"/>
                <w:sz w:val="18"/>
                <w:szCs w:val="18"/>
              </w:rPr>
              <w:t>本期解除限 售股数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99" w:right="138" w:hanging="360"/>
              <w:jc w:val="left"/>
              <w:rPr>
                <w:rFonts w:ascii="宋体" w:hAnsi="宋体" w:cs="宋体" w:eastAsia="宋体" w:hint="default"/>
                <w:sz w:val="18"/>
                <w:szCs w:val="18"/>
              </w:rPr>
            </w:pPr>
            <w:r>
              <w:rPr>
                <w:rFonts w:ascii="宋体" w:hAnsi="宋体" w:cs="宋体" w:eastAsia="宋体" w:hint="default"/>
                <w:sz w:val="18"/>
                <w:szCs w:val="18"/>
              </w:rPr>
              <w:t>本期增加限售 股数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1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限售原因</w:t>
            </w:r>
          </w:p>
        </w:tc>
        <w:tc>
          <w:tcPr>
            <w:tcW w:w="16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79"/>
              <w:jc w:val="right"/>
              <w:rPr>
                <w:rFonts w:ascii="宋体" w:hAnsi="宋体" w:cs="宋体" w:eastAsia="宋体" w:hint="default"/>
                <w:sz w:val="18"/>
                <w:szCs w:val="18"/>
              </w:rPr>
            </w:pPr>
            <w:r>
              <w:rPr>
                <w:rFonts w:ascii="宋体" w:hAnsi="宋体" w:cs="宋体" w:eastAsia="宋体" w:hint="default"/>
                <w:sz w:val="18"/>
                <w:szCs w:val="18"/>
              </w:rPr>
              <w:t>拟解除限售日期</w:t>
            </w:r>
          </w:p>
        </w:tc>
      </w:tr>
      <w:tr>
        <w:trPr>
          <w:trHeight w:val="1026"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80" w:right="191"/>
              <w:jc w:val="both"/>
              <w:rPr>
                <w:rFonts w:ascii="宋体" w:hAnsi="宋体" w:cs="宋体" w:eastAsia="宋体" w:hint="default"/>
                <w:sz w:val="18"/>
                <w:szCs w:val="18"/>
              </w:rPr>
            </w:pPr>
            <w:r>
              <w:rPr>
                <w:rFonts w:ascii="宋体" w:hAnsi="宋体" w:cs="宋体" w:eastAsia="宋体" w:hint="default"/>
                <w:sz w:val="18"/>
                <w:szCs w:val="18"/>
              </w:rPr>
              <w:t>杭州正元企业 管理咨询有限 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77"/>
              <w:jc w:val="right"/>
              <w:rPr>
                <w:rFonts w:ascii="Times New Roman" w:hAnsi="Times New Roman" w:cs="Times New Roman" w:eastAsia="Times New Roman" w:hint="default"/>
                <w:sz w:val="18"/>
                <w:szCs w:val="18"/>
              </w:rPr>
            </w:pPr>
            <w:r>
              <w:rPr>
                <w:rFonts w:ascii="Times New Roman"/>
                <w:sz w:val="18"/>
              </w:rPr>
              <w:t>19,305,588</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78"/>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78"/>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77"/>
              <w:jc w:val="right"/>
              <w:rPr>
                <w:rFonts w:ascii="Times New Roman" w:hAnsi="Times New Roman" w:cs="Times New Roman" w:eastAsia="Times New Roman" w:hint="default"/>
                <w:sz w:val="18"/>
                <w:szCs w:val="18"/>
              </w:rPr>
            </w:pPr>
            <w:r>
              <w:rPr>
                <w:rFonts w:ascii="Times New Roman"/>
                <w:sz w:val="18"/>
              </w:rPr>
              <w:t>19,305,588</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80" w:right="165"/>
              <w:jc w:val="left"/>
              <w:rPr>
                <w:rFonts w:ascii="宋体" w:hAnsi="宋体" w:cs="宋体" w:eastAsia="宋体" w:hint="default"/>
                <w:sz w:val="18"/>
                <w:szCs w:val="18"/>
              </w:rPr>
            </w:pPr>
            <w:r>
              <w:rPr>
                <w:rFonts w:ascii="宋体" w:hAnsi="宋体" w:cs="宋体" w:eastAsia="宋体" w:hint="default"/>
                <w:sz w:val="18"/>
                <w:szCs w:val="18"/>
              </w:rPr>
              <w:t>首次公开发 行限售股</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44"/>
              <w:jc w:val="righ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r>
      <w:tr>
        <w:trPr>
          <w:trHeight w:val="714"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80" w:right="191"/>
              <w:jc w:val="left"/>
              <w:rPr>
                <w:rFonts w:ascii="宋体" w:hAnsi="宋体" w:cs="宋体" w:eastAsia="宋体" w:hint="default"/>
                <w:sz w:val="18"/>
                <w:szCs w:val="18"/>
              </w:rPr>
            </w:pPr>
            <w:r>
              <w:rPr>
                <w:rFonts w:ascii="宋体" w:hAnsi="宋体" w:cs="宋体" w:eastAsia="宋体" w:hint="default"/>
                <w:sz w:val="18"/>
                <w:szCs w:val="18"/>
              </w:rPr>
              <w:t>杭州易康投资 管理有限公司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77"/>
              <w:jc w:val="right"/>
              <w:rPr>
                <w:rFonts w:ascii="Times New Roman" w:hAnsi="Times New Roman" w:cs="Times New Roman" w:eastAsia="Times New Roman" w:hint="default"/>
                <w:sz w:val="18"/>
                <w:szCs w:val="18"/>
              </w:rPr>
            </w:pPr>
            <w:r>
              <w:rPr>
                <w:rFonts w:ascii="Times New Roman"/>
                <w:sz w:val="18"/>
              </w:rPr>
              <w:t>4,592,996</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78"/>
              <w:jc w:val="right"/>
              <w:rPr>
                <w:rFonts w:ascii="Times New Roman" w:hAnsi="Times New Roman" w:cs="Times New Roman" w:eastAsia="Times New Roman" w:hint="default"/>
                <w:sz w:val="18"/>
                <w:szCs w:val="18"/>
              </w:rPr>
            </w:pPr>
            <w:r>
              <w:rPr>
                <w:rFonts w:ascii="Times New Roman"/>
                <w:sz w:val="18"/>
              </w:rPr>
              <w:t>4,592,996</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78"/>
              <w:jc w:val="right"/>
              <w:rPr>
                <w:rFonts w:ascii="Times New Roman" w:hAnsi="Times New Roman" w:cs="Times New Roman" w:eastAsia="Times New Roman" w:hint="default"/>
                <w:sz w:val="18"/>
                <w:szCs w:val="18"/>
              </w:rPr>
            </w:pPr>
            <w:r>
              <w:rPr>
                <w:rFonts w:ascii="Times New Roman"/>
                <w:sz w:val="18"/>
              </w:rPr>
              <w:t>0</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80" w:right="165"/>
              <w:jc w:val="left"/>
              <w:rPr>
                <w:rFonts w:ascii="宋体" w:hAnsi="宋体" w:cs="宋体" w:eastAsia="宋体" w:hint="default"/>
                <w:sz w:val="18"/>
                <w:szCs w:val="18"/>
              </w:rPr>
            </w:pPr>
            <w:r>
              <w:rPr>
                <w:rFonts w:ascii="宋体" w:hAnsi="宋体" w:cs="宋体" w:eastAsia="宋体" w:hint="default"/>
                <w:sz w:val="18"/>
                <w:szCs w:val="18"/>
              </w:rPr>
              <w:t>首次公开发 行限售股</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44"/>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r>
      <w:tr>
        <w:trPr>
          <w:trHeight w:val="714"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80" w:right="191"/>
              <w:jc w:val="left"/>
              <w:rPr>
                <w:rFonts w:ascii="宋体" w:hAnsi="宋体" w:cs="宋体" w:eastAsia="宋体" w:hint="default"/>
                <w:sz w:val="18"/>
                <w:szCs w:val="18"/>
              </w:rPr>
            </w:pPr>
            <w:r>
              <w:rPr>
                <w:rFonts w:ascii="宋体" w:hAnsi="宋体" w:cs="宋体" w:eastAsia="宋体" w:hint="default"/>
                <w:sz w:val="18"/>
                <w:szCs w:val="18"/>
              </w:rPr>
              <w:t>杭州正浩投资 管理有限公司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77"/>
              <w:jc w:val="right"/>
              <w:rPr>
                <w:rFonts w:ascii="Times New Roman" w:hAnsi="Times New Roman" w:cs="Times New Roman" w:eastAsia="Times New Roman" w:hint="default"/>
                <w:sz w:val="18"/>
                <w:szCs w:val="18"/>
              </w:rPr>
            </w:pPr>
            <w:r>
              <w:rPr>
                <w:rFonts w:ascii="Times New Roman"/>
                <w:sz w:val="18"/>
              </w:rPr>
              <w:t>3,186,106</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78"/>
              <w:jc w:val="right"/>
              <w:rPr>
                <w:rFonts w:ascii="Times New Roman" w:hAnsi="Times New Roman" w:cs="Times New Roman" w:eastAsia="Times New Roman" w:hint="default"/>
                <w:sz w:val="18"/>
                <w:szCs w:val="18"/>
              </w:rPr>
            </w:pPr>
            <w:r>
              <w:rPr>
                <w:rFonts w:ascii="Times New Roman"/>
                <w:sz w:val="18"/>
              </w:rPr>
              <w:t>3,186,106</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78"/>
              <w:jc w:val="right"/>
              <w:rPr>
                <w:rFonts w:ascii="Times New Roman" w:hAnsi="Times New Roman" w:cs="Times New Roman" w:eastAsia="Times New Roman" w:hint="default"/>
                <w:sz w:val="18"/>
                <w:szCs w:val="18"/>
              </w:rPr>
            </w:pPr>
            <w:r>
              <w:rPr>
                <w:rFonts w:ascii="Times New Roman"/>
                <w:sz w:val="18"/>
              </w:rPr>
              <w:t>0</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80" w:right="165"/>
              <w:jc w:val="left"/>
              <w:rPr>
                <w:rFonts w:ascii="宋体" w:hAnsi="宋体" w:cs="宋体" w:eastAsia="宋体" w:hint="default"/>
                <w:sz w:val="18"/>
                <w:szCs w:val="18"/>
              </w:rPr>
            </w:pPr>
            <w:r>
              <w:rPr>
                <w:rFonts w:ascii="宋体" w:hAnsi="宋体" w:cs="宋体" w:eastAsia="宋体" w:hint="default"/>
                <w:sz w:val="18"/>
                <w:szCs w:val="18"/>
              </w:rPr>
              <w:t>首次公开发 行限售股</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44"/>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r>
      <w:tr>
        <w:trPr>
          <w:trHeight w:val="1338"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80" w:right="81"/>
              <w:jc w:val="left"/>
              <w:rPr>
                <w:rFonts w:ascii="宋体" w:hAnsi="宋体" w:cs="宋体" w:eastAsia="宋体" w:hint="default"/>
                <w:sz w:val="18"/>
                <w:szCs w:val="18"/>
              </w:rPr>
            </w:pPr>
            <w:r>
              <w:rPr>
                <w:rFonts w:ascii="宋体" w:hAnsi="宋体" w:cs="宋体" w:eastAsia="宋体" w:hint="default"/>
                <w:sz w:val="18"/>
                <w:szCs w:val="18"/>
              </w:rPr>
              <w:t>博信优选（天 </w:t>
            </w:r>
            <w:r>
              <w:rPr>
                <w:rFonts w:ascii="宋体" w:hAnsi="宋体" w:cs="宋体" w:eastAsia="宋体" w:hint="default"/>
                <w:spacing w:val="-10"/>
                <w:sz w:val="18"/>
                <w:szCs w:val="18"/>
              </w:rPr>
              <w:t>津）股权投资基</w:t>
            </w:r>
            <w:r>
              <w:rPr>
                <w:rFonts w:ascii="宋体" w:hAnsi="宋体" w:cs="宋体" w:eastAsia="宋体" w:hint="default"/>
                <w:sz w:val="18"/>
                <w:szCs w:val="18"/>
              </w:rPr>
              <w:t> </w:t>
            </w:r>
            <w:r>
              <w:rPr>
                <w:rFonts w:ascii="宋体" w:hAnsi="宋体" w:cs="宋体" w:eastAsia="宋体" w:hint="default"/>
                <w:spacing w:val="-10"/>
                <w:sz w:val="18"/>
                <w:szCs w:val="18"/>
              </w:rPr>
              <w:t>金合伙企业（有</w:t>
            </w:r>
            <w:r>
              <w:rPr>
                <w:rFonts w:ascii="宋体" w:hAnsi="宋体" w:cs="宋体" w:eastAsia="宋体" w:hint="default"/>
                <w:sz w:val="18"/>
                <w:szCs w:val="18"/>
              </w:rPr>
              <w:t> 限合伙）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77"/>
              <w:jc w:val="right"/>
              <w:rPr>
                <w:rFonts w:ascii="Times New Roman" w:hAnsi="Times New Roman" w:cs="Times New Roman" w:eastAsia="Times New Roman" w:hint="default"/>
                <w:sz w:val="18"/>
                <w:szCs w:val="18"/>
              </w:rPr>
            </w:pPr>
            <w:r>
              <w:rPr>
                <w:rFonts w:ascii="Times New Roman"/>
                <w:sz w:val="18"/>
              </w:rPr>
              <w:t>3,000,000</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77"/>
              <w:jc w:val="right"/>
              <w:rPr>
                <w:rFonts w:ascii="Times New Roman" w:hAnsi="Times New Roman" w:cs="Times New Roman" w:eastAsia="Times New Roman" w:hint="default"/>
                <w:sz w:val="18"/>
                <w:szCs w:val="18"/>
              </w:rPr>
            </w:pPr>
            <w:r>
              <w:rPr>
                <w:rFonts w:ascii="Times New Roman"/>
                <w:sz w:val="18"/>
              </w:rPr>
              <w:t>3,000,000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78"/>
              <w:jc w:val="right"/>
              <w:rPr>
                <w:rFonts w:ascii="Times New Roman" w:hAnsi="Times New Roman" w:cs="Times New Roman" w:eastAsia="Times New Roman" w:hint="default"/>
                <w:sz w:val="18"/>
                <w:szCs w:val="18"/>
              </w:rPr>
            </w:pPr>
            <w:r>
              <w:rPr>
                <w:rFonts w:ascii="Times New Roman"/>
                <w:sz w:val="18"/>
              </w:rPr>
              <w:t>0</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80" w:right="165"/>
              <w:jc w:val="left"/>
              <w:rPr>
                <w:rFonts w:ascii="宋体" w:hAnsi="宋体" w:cs="宋体" w:eastAsia="宋体" w:hint="default"/>
                <w:sz w:val="18"/>
                <w:szCs w:val="18"/>
              </w:rPr>
            </w:pPr>
            <w:r>
              <w:rPr>
                <w:rFonts w:ascii="宋体" w:hAnsi="宋体" w:cs="宋体" w:eastAsia="宋体" w:hint="default"/>
                <w:sz w:val="18"/>
                <w:szCs w:val="18"/>
              </w:rPr>
              <w:t>首次公开发 行限售股</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44"/>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r>
      <w:tr>
        <w:trPr>
          <w:trHeight w:val="714"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80" w:right="191"/>
              <w:jc w:val="left"/>
              <w:rPr>
                <w:rFonts w:ascii="宋体" w:hAnsi="宋体" w:cs="宋体" w:eastAsia="宋体" w:hint="default"/>
                <w:sz w:val="18"/>
                <w:szCs w:val="18"/>
              </w:rPr>
            </w:pPr>
            <w:r>
              <w:rPr>
                <w:rFonts w:ascii="宋体" w:hAnsi="宋体" w:cs="宋体" w:eastAsia="宋体" w:hint="default"/>
                <w:sz w:val="18"/>
                <w:szCs w:val="18"/>
              </w:rPr>
              <w:t>浙江合力创业 投资有限公司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77"/>
              <w:jc w:val="right"/>
              <w:rPr>
                <w:rFonts w:ascii="Times New Roman" w:hAnsi="Times New Roman" w:cs="Times New Roman" w:eastAsia="Times New Roman" w:hint="default"/>
                <w:sz w:val="18"/>
                <w:szCs w:val="18"/>
              </w:rPr>
            </w:pPr>
            <w:r>
              <w:rPr>
                <w:rFonts w:ascii="Times New Roman"/>
                <w:sz w:val="18"/>
              </w:rPr>
              <w:t>2,832,565</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78"/>
              <w:jc w:val="right"/>
              <w:rPr>
                <w:rFonts w:ascii="Times New Roman" w:hAnsi="Times New Roman" w:cs="Times New Roman" w:eastAsia="Times New Roman" w:hint="default"/>
                <w:sz w:val="18"/>
                <w:szCs w:val="18"/>
              </w:rPr>
            </w:pPr>
            <w:r>
              <w:rPr>
                <w:rFonts w:ascii="Times New Roman"/>
                <w:sz w:val="18"/>
              </w:rPr>
              <w:t>2,832,565</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78"/>
              <w:jc w:val="right"/>
              <w:rPr>
                <w:rFonts w:ascii="Times New Roman" w:hAnsi="Times New Roman" w:cs="Times New Roman" w:eastAsia="Times New Roman" w:hint="default"/>
                <w:sz w:val="18"/>
                <w:szCs w:val="18"/>
              </w:rPr>
            </w:pPr>
            <w:r>
              <w:rPr>
                <w:rFonts w:ascii="Times New Roman"/>
                <w:sz w:val="18"/>
              </w:rPr>
              <w:t>0</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80" w:right="165"/>
              <w:jc w:val="left"/>
              <w:rPr>
                <w:rFonts w:ascii="宋体" w:hAnsi="宋体" w:cs="宋体" w:eastAsia="宋体" w:hint="default"/>
                <w:sz w:val="18"/>
                <w:szCs w:val="18"/>
              </w:rPr>
            </w:pPr>
            <w:r>
              <w:rPr>
                <w:rFonts w:ascii="宋体" w:hAnsi="宋体" w:cs="宋体" w:eastAsia="宋体" w:hint="default"/>
                <w:sz w:val="18"/>
                <w:szCs w:val="18"/>
              </w:rPr>
              <w:t>首次公开发 行限售股</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44"/>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r>
      <w:tr>
        <w:trPr>
          <w:trHeight w:val="714"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80" w:right="191"/>
              <w:jc w:val="left"/>
              <w:rPr>
                <w:rFonts w:ascii="宋体" w:hAnsi="宋体" w:cs="宋体" w:eastAsia="宋体" w:hint="default"/>
                <w:sz w:val="18"/>
                <w:szCs w:val="18"/>
              </w:rPr>
            </w:pPr>
            <w:r>
              <w:rPr>
                <w:rFonts w:ascii="宋体" w:hAnsi="宋体" w:cs="宋体" w:eastAsia="宋体" w:hint="default"/>
                <w:sz w:val="18"/>
                <w:szCs w:val="18"/>
              </w:rPr>
              <w:t>浙江盈瓯创业 投资有限公司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77"/>
              <w:jc w:val="right"/>
              <w:rPr>
                <w:rFonts w:ascii="Times New Roman" w:hAnsi="Times New Roman" w:cs="Times New Roman" w:eastAsia="Times New Roman" w:hint="default"/>
                <w:sz w:val="18"/>
                <w:szCs w:val="18"/>
              </w:rPr>
            </w:pPr>
            <w:r>
              <w:rPr>
                <w:rFonts w:ascii="Times New Roman"/>
                <w:sz w:val="18"/>
              </w:rPr>
              <w:t>2,230,589</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78"/>
              <w:jc w:val="right"/>
              <w:rPr>
                <w:rFonts w:ascii="Times New Roman" w:hAnsi="Times New Roman" w:cs="Times New Roman" w:eastAsia="Times New Roman" w:hint="default"/>
                <w:sz w:val="18"/>
                <w:szCs w:val="18"/>
              </w:rPr>
            </w:pPr>
            <w:r>
              <w:rPr>
                <w:rFonts w:ascii="Times New Roman"/>
                <w:sz w:val="18"/>
              </w:rPr>
              <w:t>2,230,589</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78"/>
              <w:jc w:val="right"/>
              <w:rPr>
                <w:rFonts w:ascii="Times New Roman" w:hAnsi="Times New Roman" w:cs="Times New Roman" w:eastAsia="Times New Roman" w:hint="default"/>
                <w:sz w:val="18"/>
                <w:szCs w:val="18"/>
              </w:rPr>
            </w:pPr>
            <w:r>
              <w:rPr>
                <w:rFonts w:ascii="Times New Roman"/>
                <w:sz w:val="18"/>
              </w:rPr>
              <w:t>0</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80" w:right="165"/>
              <w:jc w:val="left"/>
              <w:rPr>
                <w:rFonts w:ascii="宋体" w:hAnsi="宋体" w:cs="宋体" w:eastAsia="宋体" w:hint="default"/>
                <w:sz w:val="18"/>
                <w:szCs w:val="18"/>
              </w:rPr>
            </w:pPr>
            <w:r>
              <w:rPr>
                <w:rFonts w:ascii="宋体" w:hAnsi="宋体" w:cs="宋体" w:eastAsia="宋体" w:hint="default"/>
                <w:sz w:val="18"/>
                <w:szCs w:val="18"/>
              </w:rPr>
              <w:t>首次公开发 行限售股</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44"/>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r>
      <w:tr>
        <w:trPr>
          <w:trHeight w:val="714"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80" w:right="0"/>
              <w:jc w:val="left"/>
              <w:rPr>
                <w:rFonts w:ascii="宋体" w:hAnsi="宋体" w:cs="宋体" w:eastAsia="宋体" w:hint="default"/>
                <w:sz w:val="18"/>
                <w:szCs w:val="18"/>
              </w:rPr>
            </w:pPr>
            <w:r>
              <w:rPr>
                <w:rFonts w:ascii="宋体" w:hAnsi="宋体" w:cs="宋体" w:eastAsia="宋体" w:hint="default"/>
                <w:sz w:val="18"/>
                <w:szCs w:val="18"/>
              </w:rPr>
              <w:t>李琳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77"/>
              <w:jc w:val="right"/>
              <w:rPr>
                <w:rFonts w:ascii="Times New Roman" w:hAnsi="Times New Roman" w:cs="Times New Roman" w:eastAsia="Times New Roman" w:hint="default"/>
                <w:sz w:val="18"/>
                <w:szCs w:val="18"/>
              </w:rPr>
            </w:pPr>
            <w:r>
              <w:rPr>
                <w:rFonts w:ascii="Times New Roman"/>
                <w:sz w:val="18"/>
              </w:rPr>
              <w:t>1,941,980</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78"/>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78"/>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77"/>
              <w:jc w:val="right"/>
              <w:rPr>
                <w:rFonts w:ascii="Times New Roman" w:hAnsi="Times New Roman" w:cs="Times New Roman" w:eastAsia="Times New Roman" w:hint="default"/>
                <w:sz w:val="18"/>
                <w:szCs w:val="18"/>
              </w:rPr>
            </w:pPr>
            <w:r>
              <w:rPr>
                <w:rFonts w:ascii="Times New Roman"/>
                <w:sz w:val="18"/>
              </w:rPr>
              <w:t>1,941,980</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80" w:right="165"/>
              <w:jc w:val="left"/>
              <w:rPr>
                <w:rFonts w:ascii="宋体" w:hAnsi="宋体" w:cs="宋体" w:eastAsia="宋体" w:hint="default"/>
                <w:sz w:val="18"/>
                <w:szCs w:val="18"/>
              </w:rPr>
            </w:pPr>
            <w:r>
              <w:rPr>
                <w:rFonts w:ascii="宋体" w:hAnsi="宋体" w:cs="宋体" w:eastAsia="宋体" w:hint="default"/>
                <w:sz w:val="18"/>
                <w:szCs w:val="18"/>
              </w:rPr>
              <w:t>首次公开发 行限售股</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44"/>
              <w:jc w:val="righ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r>
      <w:tr>
        <w:trPr>
          <w:trHeight w:val="714"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80" w:right="191"/>
              <w:jc w:val="left"/>
              <w:rPr>
                <w:rFonts w:ascii="宋体" w:hAnsi="宋体" w:cs="宋体" w:eastAsia="宋体" w:hint="default"/>
                <w:sz w:val="18"/>
                <w:szCs w:val="18"/>
              </w:rPr>
            </w:pPr>
            <w:r>
              <w:rPr>
                <w:rFonts w:ascii="宋体" w:hAnsi="宋体" w:cs="宋体" w:eastAsia="宋体" w:hint="default"/>
                <w:sz w:val="18"/>
                <w:szCs w:val="18"/>
              </w:rPr>
              <w:t>浙江连连投资 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77"/>
              <w:jc w:val="right"/>
              <w:rPr>
                <w:rFonts w:ascii="Times New Roman" w:hAnsi="Times New Roman" w:cs="Times New Roman" w:eastAsia="Times New Roman" w:hint="default"/>
                <w:sz w:val="18"/>
                <w:szCs w:val="18"/>
              </w:rPr>
            </w:pPr>
            <w:r>
              <w:rPr>
                <w:rFonts w:ascii="Times New Roman"/>
                <w:sz w:val="18"/>
              </w:rPr>
              <w:t>1,800,000</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78"/>
              <w:jc w:val="right"/>
              <w:rPr>
                <w:rFonts w:ascii="Times New Roman" w:hAnsi="Times New Roman" w:cs="Times New Roman" w:eastAsia="Times New Roman" w:hint="default"/>
                <w:sz w:val="18"/>
                <w:szCs w:val="18"/>
              </w:rPr>
            </w:pPr>
            <w:r>
              <w:rPr>
                <w:rFonts w:ascii="Times New Roman"/>
                <w:sz w:val="18"/>
              </w:rPr>
              <w:t>1,800,000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78"/>
              <w:jc w:val="right"/>
              <w:rPr>
                <w:rFonts w:ascii="Times New Roman" w:hAnsi="Times New Roman" w:cs="Times New Roman" w:eastAsia="Times New Roman" w:hint="default"/>
                <w:sz w:val="18"/>
                <w:szCs w:val="18"/>
              </w:rPr>
            </w:pPr>
            <w:r>
              <w:rPr>
                <w:rFonts w:ascii="Times New Roman"/>
                <w:sz w:val="18"/>
              </w:rPr>
              <w:t>0</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80" w:right="165"/>
              <w:jc w:val="left"/>
              <w:rPr>
                <w:rFonts w:ascii="宋体" w:hAnsi="宋体" w:cs="宋体" w:eastAsia="宋体" w:hint="default"/>
                <w:sz w:val="18"/>
                <w:szCs w:val="18"/>
              </w:rPr>
            </w:pPr>
            <w:r>
              <w:rPr>
                <w:rFonts w:ascii="宋体" w:hAnsi="宋体" w:cs="宋体" w:eastAsia="宋体" w:hint="default"/>
                <w:sz w:val="18"/>
                <w:szCs w:val="18"/>
              </w:rPr>
              <w:t>首次公开发 行限售股</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44"/>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r>
      <w:tr>
        <w:trPr>
          <w:trHeight w:val="714"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80" w:right="191"/>
              <w:jc w:val="left"/>
              <w:rPr>
                <w:rFonts w:ascii="宋体" w:hAnsi="宋体" w:cs="宋体" w:eastAsia="宋体" w:hint="default"/>
                <w:sz w:val="18"/>
                <w:szCs w:val="18"/>
              </w:rPr>
            </w:pPr>
            <w:r>
              <w:rPr>
                <w:rFonts w:ascii="宋体" w:hAnsi="宋体" w:cs="宋体" w:eastAsia="宋体" w:hint="default"/>
                <w:sz w:val="18"/>
                <w:szCs w:val="18"/>
              </w:rPr>
              <w:t>青岛金石灏纳 投资有限公司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77"/>
              <w:jc w:val="right"/>
              <w:rPr>
                <w:rFonts w:ascii="Times New Roman" w:hAnsi="Times New Roman" w:cs="Times New Roman" w:eastAsia="Times New Roman" w:hint="default"/>
                <w:sz w:val="18"/>
                <w:szCs w:val="18"/>
              </w:rPr>
            </w:pPr>
            <w:r>
              <w:rPr>
                <w:rFonts w:ascii="Times New Roman"/>
                <w:sz w:val="18"/>
              </w:rPr>
              <w:t>1,750,000</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78"/>
              <w:jc w:val="right"/>
              <w:rPr>
                <w:rFonts w:ascii="Times New Roman" w:hAnsi="Times New Roman" w:cs="Times New Roman" w:eastAsia="Times New Roman" w:hint="default"/>
                <w:sz w:val="18"/>
                <w:szCs w:val="18"/>
              </w:rPr>
            </w:pPr>
            <w:r>
              <w:rPr>
                <w:rFonts w:ascii="Times New Roman"/>
                <w:sz w:val="18"/>
              </w:rPr>
              <w:t>1,750,000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78"/>
              <w:jc w:val="right"/>
              <w:rPr>
                <w:rFonts w:ascii="Times New Roman" w:hAnsi="Times New Roman" w:cs="Times New Roman" w:eastAsia="Times New Roman" w:hint="default"/>
                <w:sz w:val="18"/>
                <w:szCs w:val="18"/>
              </w:rPr>
            </w:pPr>
            <w:r>
              <w:rPr>
                <w:rFonts w:ascii="Times New Roman"/>
                <w:sz w:val="18"/>
              </w:rPr>
              <w:t>0</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80" w:right="165"/>
              <w:jc w:val="left"/>
              <w:rPr>
                <w:rFonts w:ascii="宋体" w:hAnsi="宋体" w:cs="宋体" w:eastAsia="宋体" w:hint="default"/>
                <w:sz w:val="18"/>
                <w:szCs w:val="18"/>
              </w:rPr>
            </w:pPr>
            <w:r>
              <w:rPr>
                <w:rFonts w:ascii="宋体" w:hAnsi="宋体" w:cs="宋体" w:eastAsia="宋体" w:hint="default"/>
                <w:sz w:val="18"/>
                <w:szCs w:val="18"/>
              </w:rPr>
              <w:t>首次公开发 行限售股</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44"/>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r>
      <w:tr>
        <w:trPr>
          <w:trHeight w:val="1026"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80" w:right="191"/>
              <w:jc w:val="left"/>
              <w:rPr>
                <w:rFonts w:ascii="宋体" w:hAnsi="宋体" w:cs="宋体" w:eastAsia="宋体" w:hint="default"/>
                <w:sz w:val="18"/>
                <w:szCs w:val="18"/>
              </w:rPr>
            </w:pPr>
            <w:r>
              <w:rPr>
                <w:rFonts w:ascii="宋体" w:hAnsi="宋体" w:cs="宋体" w:eastAsia="宋体" w:hint="default"/>
                <w:sz w:val="18"/>
                <w:szCs w:val="18"/>
              </w:rPr>
              <w:t>浙江海宁嘉慧 投资合伙企业</w:t>
            </w:r>
          </w:p>
          <w:p>
            <w:pPr>
              <w:pStyle w:val="TableParagraph"/>
              <w:spacing w:line="240" w:lineRule="auto" w:before="20"/>
              <w:ind w:left="80"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77"/>
              <w:jc w:val="right"/>
              <w:rPr>
                <w:rFonts w:ascii="Times New Roman" w:hAnsi="Times New Roman" w:cs="Times New Roman" w:eastAsia="Times New Roman" w:hint="default"/>
                <w:sz w:val="18"/>
                <w:szCs w:val="18"/>
              </w:rPr>
            </w:pPr>
            <w:r>
              <w:rPr>
                <w:rFonts w:ascii="Times New Roman"/>
                <w:sz w:val="18"/>
              </w:rPr>
              <w:t>1,745,000</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78"/>
              <w:jc w:val="right"/>
              <w:rPr>
                <w:rFonts w:ascii="Times New Roman" w:hAnsi="Times New Roman" w:cs="Times New Roman" w:eastAsia="Times New Roman" w:hint="default"/>
                <w:sz w:val="18"/>
                <w:szCs w:val="18"/>
              </w:rPr>
            </w:pPr>
            <w:r>
              <w:rPr>
                <w:rFonts w:ascii="Times New Roman"/>
                <w:sz w:val="18"/>
              </w:rPr>
              <w:t>1,745,000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78"/>
              <w:jc w:val="right"/>
              <w:rPr>
                <w:rFonts w:ascii="Times New Roman" w:hAnsi="Times New Roman" w:cs="Times New Roman" w:eastAsia="Times New Roman" w:hint="default"/>
                <w:sz w:val="18"/>
                <w:szCs w:val="18"/>
              </w:rPr>
            </w:pPr>
            <w:r>
              <w:rPr>
                <w:rFonts w:ascii="Times New Roman"/>
                <w:sz w:val="18"/>
              </w:rPr>
              <w:t>0</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80" w:right="165"/>
              <w:jc w:val="left"/>
              <w:rPr>
                <w:rFonts w:ascii="宋体" w:hAnsi="宋体" w:cs="宋体" w:eastAsia="宋体" w:hint="default"/>
                <w:sz w:val="18"/>
                <w:szCs w:val="18"/>
              </w:rPr>
            </w:pPr>
            <w:r>
              <w:rPr>
                <w:rFonts w:ascii="宋体" w:hAnsi="宋体" w:cs="宋体" w:eastAsia="宋体" w:hint="default"/>
                <w:sz w:val="18"/>
                <w:szCs w:val="18"/>
              </w:rPr>
              <w:t>首次公开发 行限售股</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44"/>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r>
      <w:tr>
        <w:trPr>
          <w:trHeight w:val="714"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80" w:right="191"/>
              <w:jc w:val="left"/>
              <w:rPr>
                <w:rFonts w:ascii="宋体" w:hAnsi="宋体" w:cs="宋体" w:eastAsia="宋体" w:hint="default"/>
                <w:sz w:val="18"/>
                <w:szCs w:val="18"/>
              </w:rPr>
            </w:pPr>
            <w:r>
              <w:rPr>
                <w:rFonts w:ascii="宋体" w:hAnsi="宋体" w:cs="宋体" w:eastAsia="宋体" w:hint="default"/>
                <w:sz w:val="18"/>
                <w:szCs w:val="18"/>
              </w:rPr>
              <w:t>杭州乾盈投资 管理有限公司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77"/>
              <w:jc w:val="right"/>
              <w:rPr>
                <w:rFonts w:ascii="Times New Roman" w:hAnsi="Times New Roman" w:cs="Times New Roman" w:eastAsia="Times New Roman" w:hint="default"/>
                <w:sz w:val="18"/>
                <w:szCs w:val="18"/>
              </w:rPr>
            </w:pPr>
            <w:r>
              <w:rPr>
                <w:rFonts w:ascii="Times New Roman"/>
                <w:sz w:val="18"/>
              </w:rPr>
              <w:t>1,741,363</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78"/>
              <w:jc w:val="right"/>
              <w:rPr>
                <w:rFonts w:ascii="Times New Roman" w:hAnsi="Times New Roman" w:cs="Times New Roman" w:eastAsia="Times New Roman" w:hint="default"/>
                <w:sz w:val="18"/>
                <w:szCs w:val="18"/>
              </w:rPr>
            </w:pPr>
            <w:r>
              <w:rPr>
                <w:rFonts w:ascii="Times New Roman"/>
                <w:sz w:val="18"/>
              </w:rPr>
              <w:t>1,741,363</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78"/>
              <w:jc w:val="right"/>
              <w:rPr>
                <w:rFonts w:ascii="Times New Roman" w:hAnsi="Times New Roman" w:cs="Times New Roman" w:eastAsia="Times New Roman" w:hint="default"/>
                <w:sz w:val="18"/>
                <w:szCs w:val="18"/>
              </w:rPr>
            </w:pPr>
            <w:r>
              <w:rPr>
                <w:rFonts w:ascii="Times New Roman"/>
                <w:sz w:val="18"/>
              </w:rPr>
              <w:t>0</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80" w:right="165"/>
              <w:jc w:val="left"/>
              <w:rPr>
                <w:rFonts w:ascii="宋体" w:hAnsi="宋体" w:cs="宋体" w:eastAsia="宋体" w:hint="default"/>
                <w:sz w:val="18"/>
                <w:szCs w:val="18"/>
              </w:rPr>
            </w:pPr>
            <w:r>
              <w:rPr>
                <w:rFonts w:ascii="宋体" w:hAnsi="宋体" w:cs="宋体" w:eastAsia="宋体" w:hint="default"/>
                <w:sz w:val="18"/>
                <w:szCs w:val="18"/>
              </w:rPr>
              <w:t>首次公开发 行限售股</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44"/>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r>
      <w:tr>
        <w:trPr>
          <w:trHeight w:val="1026"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80" w:right="191"/>
              <w:jc w:val="left"/>
              <w:rPr>
                <w:rFonts w:ascii="宋体" w:hAnsi="宋体" w:cs="宋体" w:eastAsia="宋体" w:hint="default"/>
                <w:sz w:val="18"/>
                <w:szCs w:val="18"/>
              </w:rPr>
            </w:pPr>
            <w:r>
              <w:rPr>
                <w:rFonts w:ascii="宋体" w:hAnsi="宋体" w:cs="宋体" w:eastAsia="宋体" w:hint="default"/>
                <w:sz w:val="18"/>
                <w:szCs w:val="18"/>
              </w:rPr>
              <w:t>新余鼎峰鲲鹏 投资管理中心</w:t>
            </w:r>
          </w:p>
          <w:p>
            <w:pPr>
              <w:pStyle w:val="TableParagraph"/>
              <w:spacing w:line="240" w:lineRule="auto" w:before="20"/>
              <w:ind w:left="80"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77"/>
              <w:jc w:val="right"/>
              <w:rPr>
                <w:rFonts w:ascii="Times New Roman" w:hAnsi="Times New Roman" w:cs="Times New Roman" w:eastAsia="Times New Roman" w:hint="default"/>
                <w:sz w:val="18"/>
                <w:szCs w:val="18"/>
              </w:rPr>
            </w:pPr>
            <w:r>
              <w:rPr>
                <w:rFonts w:ascii="Times New Roman"/>
                <w:sz w:val="18"/>
              </w:rPr>
              <w:t>1,505,000</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78"/>
              <w:jc w:val="right"/>
              <w:rPr>
                <w:rFonts w:ascii="Times New Roman" w:hAnsi="Times New Roman" w:cs="Times New Roman" w:eastAsia="Times New Roman" w:hint="default"/>
                <w:sz w:val="18"/>
                <w:szCs w:val="18"/>
              </w:rPr>
            </w:pPr>
            <w:r>
              <w:rPr>
                <w:rFonts w:ascii="Times New Roman"/>
                <w:sz w:val="18"/>
              </w:rPr>
              <w:t>1,505,000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78"/>
              <w:jc w:val="right"/>
              <w:rPr>
                <w:rFonts w:ascii="Times New Roman" w:hAnsi="Times New Roman" w:cs="Times New Roman" w:eastAsia="Times New Roman" w:hint="default"/>
                <w:sz w:val="18"/>
                <w:szCs w:val="18"/>
              </w:rPr>
            </w:pPr>
            <w:r>
              <w:rPr>
                <w:rFonts w:ascii="Times New Roman"/>
                <w:sz w:val="18"/>
              </w:rPr>
              <w:t>0</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316" w:lineRule="auto"/>
              <w:ind w:left="80" w:right="165"/>
              <w:jc w:val="left"/>
              <w:rPr>
                <w:rFonts w:ascii="宋体" w:hAnsi="宋体" w:cs="宋体" w:eastAsia="宋体" w:hint="default"/>
                <w:sz w:val="18"/>
                <w:szCs w:val="18"/>
              </w:rPr>
            </w:pPr>
            <w:r>
              <w:rPr>
                <w:rFonts w:ascii="宋体" w:hAnsi="宋体" w:cs="宋体" w:eastAsia="宋体" w:hint="default"/>
                <w:sz w:val="18"/>
                <w:szCs w:val="18"/>
              </w:rPr>
              <w:t>首次公开发 行限售股</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44"/>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r>
      <w:tr>
        <w:trPr>
          <w:trHeight w:val="403"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80" w:right="0"/>
              <w:jc w:val="left"/>
              <w:rPr>
                <w:rFonts w:ascii="宋体" w:hAnsi="宋体" w:cs="宋体" w:eastAsia="宋体" w:hint="default"/>
                <w:sz w:val="18"/>
                <w:szCs w:val="18"/>
              </w:rPr>
            </w:pPr>
            <w:r>
              <w:rPr>
                <w:rFonts w:ascii="宋体" w:hAnsi="宋体" w:cs="宋体" w:eastAsia="宋体" w:hint="default"/>
                <w:sz w:val="18"/>
                <w:szCs w:val="18"/>
              </w:rPr>
              <w:t>杭州金础创业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77"/>
              <w:jc w:val="right"/>
              <w:rPr>
                <w:rFonts w:ascii="Times New Roman" w:hAnsi="Times New Roman" w:cs="Times New Roman" w:eastAsia="Times New Roman" w:hint="default"/>
                <w:sz w:val="18"/>
                <w:szCs w:val="18"/>
              </w:rPr>
            </w:pPr>
            <w:r>
              <w:rPr>
                <w:rFonts w:ascii="Times New Roman"/>
                <w:sz w:val="18"/>
              </w:rPr>
              <w:t>1,357,268</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78"/>
              <w:jc w:val="right"/>
              <w:rPr>
                <w:rFonts w:ascii="Times New Roman" w:hAnsi="Times New Roman" w:cs="Times New Roman" w:eastAsia="Times New Roman" w:hint="default"/>
                <w:sz w:val="18"/>
                <w:szCs w:val="18"/>
              </w:rPr>
            </w:pPr>
            <w:r>
              <w:rPr>
                <w:rFonts w:ascii="Times New Roman"/>
                <w:sz w:val="18"/>
              </w:rPr>
              <w:t>1,357,268</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78"/>
              <w:jc w:val="right"/>
              <w:rPr>
                <w:rFonts w:ascii="Times New Roman" w:hAnsi="Times New Roman" w:cs="Times New Roman" w:eastAsia="Times New Roman" w:hint="default"/>
                <w:sz w:val="18"/>
                <w:szCs w:val="18"/>
              </w:rPr>
            </w:pPr>
            <w:r>
              <w:rPr>
                <w:rFonts w:ascii="Times New Roman"/>
                <w:sz w:val="18"/>
              </w:rPr>
              <w:t>0</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84"/>
              <w:jc w:val="center"/>
              <w:rPr>
                <w:rFonts w:ascii="宋体" w:hAnsi="宋体" w:cs="宋体" w:eastAsia="宋体" w:hint="default"/>
                <w:sz w:val="18"/>
                <w:szCs w:val="18"/>
              </w:rPr>
            </w:pPr>
            <w:r>
              <w:rPr>
                <w:rFonts w:ascii="宋体" w:hAnsi="宋体" w:cs="宋体" w:eastAsia="宋体" w:hint="default"/>
                <w:sz w:val="18"/>
                <w:szCs w:val="18"/>
              </w:rPr>
              <w:t>首次公开发</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44"/>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r>
    </w:tbl>
    <w:p>
      <w:pPr>
        <w:spacing w:after="0" w:line="240" w:lineRule="auto"/>
        <w:jc w:val="right"/>
        <w:rPr>
          <w:rFonts w:ascii="宋体" w:hAnsi="宋体" w:cs="宋体" w:eastAsia="宋体" w:hint="default"/>
          <w:sz w:val="18"/>
          <w:szCs w:val="18"/>
        </w:rPr>
        <w:sectPr>
          <w:pgSz w:w="11910" w:h="16840"/>
          <w:pgMar w:header="747" w:footer="979" w:top="1060" w:bottom="1160" w:left="960" w:right="0"/>
        </w:sectPr>
      </w:pPr>
    </w:p>
    <w:p>
      <w:pPr>
        <w:spacing w:line="240" w:lineRule="auto" w:before="6"/>
        <w:rPr>
          <w:rFonts w:ascii="宋体" w:hAnsi="宋体" w:cs="宋体" w:eastAsia="宋体" w:hint="default"/>
          <w:sz w:val="28"/>
          <w:szCs w:val="28"/>
        </w:rPr>
      </w:pPr>
    </w:p>
    <w:tbl>
      <w:tblPr>
        <w:tblW w:w="0" w:type="auto"/>
        <w:jc w:val="left"/>
        <w:tblInd w:w="251" w:type="dxa"/>
        <w:tblLayout w:type="fixed"/>
        <w:tblCellMar>
          <w:top w:w="0" w:type="dxa"/>
          <w:left w:w="0" w:type="dxa"/>
          <w:bottom w:w="0" w:type="dxa"/>
          <w:right w:w="0" w:type="dxa"/>
        </w:tblCellMar>
        <w:tblLook w:val="01E0"/>
      </w:tblPr>
      <w:tblGrid>
        <w:gridCol w:w="1364"/>
        <w:gridCol w:w="1368"/>
        <w:gridCol w:w="1155"/>
        <w:gridCol w:w="1369"/>
        <w:gridCol w:w="1369"/>
        <w:gridCol w:w="1157"/>
        <w:gridCol w:w="1631"/>
      </w:tblGrid>
      <w:tr>
        <w:trPr>
          <w:trHeight w:val="674"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0" w:right="0"/>
              <w:jc w:val="left"/>
              <w:rPr>
                <w:rFonts w:ascii="宋体" w:hAnsi="宋体" w:cs="宋体" w:eastAsia="宋体" w:hint="default"/>
                <w:sz w:val="18"/>
                <w:szCs w:val="18"/>
              </w:rPr>
            </w:pPr>
            <w:r>
              <w:rPr>
                <w:rFonts w:ascii="宋体" w:hAnsi="宋体" w:cs="宋体" w:eastAsia="宋体" w:hint="default"/>
                <w:sz w:val="18"/>
                <w:szCs w:val="18"/>
              </w:rPr>
              <w:t>投资合伙企业</w:t>
            </w:r>
          </w:p>
          <w:p>
            <w:pPr>
              <w:pStyle w:val="TableParagraph"/>
              <w:spacing w:line="240" w:lineRule="auto" w:before="77"/>
              <w:ind w:left="8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有限合伙</w:t>
            </w:r>
            <w:r>
              <w:rPr>
                <w:rFonts w:ascii="Times New Roman" w:hAnsi="Times New Roman" w:cs="Times New Roman" w:eastAsia="Times New Roman"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tcPr>
          <w:p>
            <w:pPr/>
          </w:p>
        </w:tc>
        <w:tc>
          <w:tcPr>
            <w:tcW w:w="1155"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80" w:right="0"/>
              <w:jc w:val="left"/>
              <w:rPr>
                <w:rFonts w:ascii="宋体" w:hAnsi="宋体" w:cs="宋体" w:eastAsia="宋体" w:hint="default"/>
                <w:sz w:val="18"/>
                <w:szCs w:val="18"/>
              </w:rPr>
            </w:pPr>
            <w:r>
              <w:rPr>
                <w:rFonts w:ascii="宋体" w:hAnsi="宋体" w:cs="宋体" w:eastAsia="宋体" w:hint="default"/>
                <w:sz w:val="18"/>
                <w:szCs w:val="18"/>
              </w:rPr>
              <w:t>行限售股</w:t>
            </w:r>
          </w:p>
        </w:tc>
        <w:tc>
          <w:tcPr>
            <w:tcW w:w="163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0" w:right="0"/>
              <w:jc w:val="left"/>
              <w:rPr>
                <w:rFonts w:ascii="宋体" w:hAnsi="宋体" w:cs="宋体" w:eastAsia="宋体" w:hint="default"/>
                <w:sz w:val="18"/>
                <w:szCs w:val="18"/>
              </w:rPr>
            </w:pPr>
            <w:r>
              <w:rPr>
                <w:rFonts w:ascii="宋体" w:hAnsi="宋体" w:cs="宋体" w:eastAsia="宋体" w:hint="default"/>
                <w:sz w:val="18"/>
                <w:szCs w:val="18"/>
              </w:rPr>
              <w:t>李成</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77"/>
              <w:jc w:val="right"/>
              <w:rPr>
                <w:rFonts w:ascii="Times New Roman" w:hAnsi="Times New Roman" w:cs="Times New Roman" w:eastAsia="Times New Roman" w:hint="default"/>
                <w:sz w:val="18"/>
                <w:szCs w:val="18"/>
              </w:rPr>
            </w:pPr>
            <w:r>
              <w:rPr>
                <w:rFonts w:ascii="Times New Roman"/>
                <w:spacing w:val="-1"/>
                <w:sz w:val="18"/>
              </w:rPr>
              <w:t>1,011,545</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78"/>
              <w:jc w:val="right"/>
              <w:rPr>
                <w:rFonts w:ascii="Times New Roman" w:hAnsi="Times New Roman" w:cs="Times New Roman" w:eastAsia="Times New Roman" w:hint="default"/>
                <w:sz w:val="18"/>
                <w:szCs w:val="18"/>
              </w:rPr>
            </w:pPr>
            <w:r>
              <w:rPr>
                <w:rFonts w:ascii="Times New Roman"/>
                <w:spacing w:val="-1"/>
                <w:sz w:val="18"/>
              </w:rPr>
              <w:t>1,011,545</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78"/>
              <w:jc w:val="right"/>
              <w:rPr>
                <w:rFonts w:ascii="Times New Roman" w:hAnsi="Times New Roman" w:cs="Times New Roman" w:eastAsia="Times New Roman" w:hint="default"/>
                <w:sz w:val="18"/>
                <w:szCs w:val="18"/>
              </w:rPr>
            </w:pPr>
            <w:r>
              <w:rPr>
                <w:rFonts w:ascii="Times New Roman"/>
                <w:sz w:val="18"/>
              </w:rPr>
              <w:t>0</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80" w:right="165"/>
              <w:jc w:val="left"/>
              <w:rPr>
                <w:rFonts w:ascii="宋体" w:hAnsi="宋体" w:cs="宋体" w:eastAsia="宋体" w:hint="default"/>
                <w:sz w:val="18"/>
                <w:szCs w:val="18"/>
              </w:rPr>
            </w:pPr>
            <w:r>
              <w:rPr>
                <w:rFonts w:ascii="宋体" w:hAnsi="宋体" w:cs="宋体" w:eastAsia="宋体" w:hint="default"/>
                <w:sz w:val="18"/>
                <w:szCs w:val="18"/>
              </w:rPr>
              <w:t>首次公开发 行限售股</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6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r>
      <w:tr>
        <w:trPr>
          <w:trHeight w:val="1026"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80" w:right="131"/>
              <w:jc w:val="both"/>
              <w:rPr>
                <w:rFonts w:ascii="Times New Roman" w:hAnsi="Times New Roman" w:cs="Times New Roman" w:eastAsia="Times New Roman" w:hint="default"/>
                <w:sz w:val="18"/>
                <w:szCs w:val="18"/>
              </w:rPr>
            </w:pPr>
            <w:r>
              <w:rPr>
                <w:rFonts w:ascii="宋体" w:hAnsi="宋体" w:cs="宋体" w:eastAsia="宋体" w:hint="default"/>
                <w:sz w:val="18"/>
                <w:szCs w:val="18"/>
              </w:rPr>
              <w:t>杭州盈沛投资 合伙企业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有限 合伙</w:t>
            </w:r>
            <w:r>
              <w:rPr>
                <w:rFonts w:ascii="Times New Roman" w:hAnsi="Times New Roman" w:cs="Times New Roman" w:eastAsia="Times New Roman"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77"/>
              <w:jc w:val="right"/>
              <w:rPr>
                <w:rFonts w:ascii="Times New Roman" w:hAnsi="Times New Roman" w:cs="Times New Roman" w:eastAsia="Times New Roman" w:hint="default"/>
                <w:sz w:val="18"/>
                <w:szCs w:val="18"/>
              </w:rPr>
            </w:pPr>
            <w:r>
              <w:rPr>
                <w:rFonts w:ascii="Times New Roman"/>
                <w:sz w:val="18"/>
              </w:rPr>
              <w:t>1,000,000</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78"/>
              <w:jc w:val="right"/>
              <w:rPr>
                <w:rFonts w:ascii="Times New Roman" w:hAnsi="Times New Roman" w:cs="Times New Roman" w:eastAsia="Times New Roman" w:hint="default"/>
                <w:sz w:val="18"/>
                <w:szCs w:val="18"/>
              </w:rPr>
            </w:pPr>
            <w:r>
              <w:rPr>
                <w:rFonts w:ascii="Times New Roman"/>
                <w:sz w:val="18"/>
              </w:rPr>
              <w:t>1,000,000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78"/>
              <w:jc w:val="right"/>
              <w:rPr>
                <w:rFonts w:ascii="Times New Roman" w:hAnsi="Times New Roman" w:cs="Times New Roman" w:eastAsia="Times New Roman" w:hint="default"/>
                <w:sz w:val="18"/>
                <w:szCs w:val="18"/>
              </w:rPr>
            </w:pPr>
            <w:r>
              <w:rPr>
                <w:rFonts w:ascii="Times New Roman"/>
                <w:sz w:val="18"/>
              </w:rPr>
              <w:t>0</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80" w:right="165"/>
              <w:jc w:val="left"/>
              <w:rPr>
                <w:rFonts w:ascii="宋体" w:hAnsi="宋体" w:cs="宋体" w:eastAsia="宋体" w:hint="default"/>
                <w:sz w:val="18"/>
                <w:szCs w:val="18"/>
              </w:rPr>
            </w:pPr>
            <w:r>
              <w:rPr>
                <w:rFonts w:ascii="宋体" w:hAnsi="宋体" w:cs="宋体" w:eastAsia="宋体" w:hint="default"/>
                <w:sz w:val="18"/>
                <w:szCs w:val="18"/>
              </w:rPr>
              <w:t>首次公开发 行限售股</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6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r>
      <w:tr>
        <w:trPr>
          <w:trHeight w:val="714"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80" w:right="191"/>
              <w:jc w:val="left"/>
              <w:rPr>
                <w:rFonts w:ascii="宋体" w:hAnsi="宋体" w:cs="宋体" w:eastAsia="宋体" w:hint="default"/>
                <w:sz w:val="18"/>
                <w:szCs w:val="18"/>
              </w:rPr>
            </w:pPr>
            <w:r>
              <w:rPr>
                <w:rFonts w:ascii="宋体" w:hAnsi="宋体" w:cs="宋体" w:eastAsia="宋体" w:hint="default"/>
                <w:sz w:val="18"/>
                <w:szCs w:val="18"/>
              </w:rPr>
              <w:t>杭州文诚创业 投资有限公司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77"/>
              <w:jc w:val="right"/>
              <w:rPr>
                <w:rFonts w:ascii="Times New Roman" w:hAnsi="Times New Roman" w:cs="Times New Roman" w:eastAsia="Times New Roman" w:hint="default"/>
                <w:sz w:val="18"/>
                <w:szCs w:val="18"/>
              </w:rPr>
            </w:pPr>
            <w:r>
              <w:rPr>
                <w:rFonts w:ascii="Times New Roman"/>
                <w:sz w:val="18"/>
              </w:rPr>
              <w:t>1,000,000</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78"/>
              <w:jc w:val="right"/>
              <w:rPr>
                <w:rFonts w:ascii="Times New Roman" w:hAnsi="Times New Roman" w:cs="Times New Roman" w:eastAsia="Times New Roman" w:hint="default"/>
                <w:sz w:val="18"/>
                <w:szCs w:val="18"/>
              </w:rPr>
            </w:pPr>
            <w:r>
              <w:rPr>
                <w:rFonts w:ascii="Times New Roman"/>
                <w:sz w:val="18"/>
              </w:rPr>
              <w:t>1,000,000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78"/>
              <w:jc w:val="right"/>
              <w:rPr>
                <w:rFonts w:ascii="Times New Roman" w:hAnsi="Times New Roman" w:cs="Times New Roman" w:eastAsia="Times New Roman" w:hint="default"/>
                <w:sz w:val="18"/>
                <w:szCs w:val="18"/>
              </w:rPr>
            </w:pPr>
            <w:r>
              <w:rPr>
                <w:rFonts w:ascii="Times New Roman"/>
                <w:sz w:val="18"/>
              </w:rPr>
              <w:t>0</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80" w:right="165"/>
              <w:jc w:val="left"/>
              <w:rPr>
                <w:rFonts w:ascii="宋体" w:hAnsi="宋体" w:cs="宋体" w:eastAsia="宋体" w:hint="default"/>
                <w:sz w:val="18"/>
                <w:szCs w:val="18"/>
              </w:rPr>
            </w:pPr>
            <w:r>
              <w:rPr>
                <w:rFonts w:ascii="宋体" w:hAnsi="宋体" w:cs="宋体" w:eastAsia="宋体" w:hint="default"/>
                <w:sz w:val="18"/>
                <w:szCs w:val="18"/>
              </w:rPr>
              <w:t>首次公开发 行限售股</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6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r>
      <w:tr>
        <w:trPr>
          <w:trHeight w:val="402" w:hRule="exact"/>
        </w:trPr>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7"/>
              <w:jc w:val="right"/>
              <w:rPr>
                <w:rFonts w:ascii="Times New Roman" w:hAnsi="Times New Roman" w:cs="Times New Roman" w:eastAsia="Times New Roman" w:hint="default"/>
                <w:sz w:val="18"/>
                <w:szCs w:val="18"/>
              </w:rPr>
            </w:pPr>
            <w:r>
              <w:rPr>
                <w:rFonts w:ascii="Times New Roman"/>
                <w:sz w:val="18"/>
              </w:rPr>
              <w:t>50,000,000</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8"/>
              <w:jc w:val="right"/>
              <w:rPr>
                <w:rFonts w:ascii="Times New Roman" w:hAnsi="Times New Roman" w:cs="Times New Roman" w:eastAsia="Times New Roman" w:hint="default"/>
                <w:sz w:val="18"/>
                <w:szCs w:val="18"/>
              </w:rPr>
            </w:pPr>
            <w:r>
              <w:rPr>
                <w:rFonts w:ascii="Times New Roman"/>
                <w:sz w:val="18"/>
              </w:rPr>
              <w:t>28,752,432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8"/>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7"/>
              <w:jc w:val="right"/>
              <w:rPr>
                <w:rFonts w:ascii="Times New Roman" w:hAnsi="Times New Roman" w:cs="Times New Roman" w:eastAsia="Times New Roman" w:hint="default"/>
                <w:sz w:val="18"/>
                <w:szCs w:val="18"/>
              </w:rPr>
            </w:pPr>
            <w:r>
              <w:rPr>
                <w:rFonts w:ascii="Times New Roman"/>
                <w:sz w:val="18"/>
              </w:rPr>
              <w:t>21,247,568</w:t>
            </w:r>
          </w:p>
        </w:tc>
        <w:tc>
          <w:tcPr>
            <w:tcW w:w="11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8"/>
          <w:szCs w:val="18"/>
        </w:rPr>
      </w:pPr>
    </w:p>
    <w:p>
      <w:pPr>
        <w:pStyle w:val="Heading2"/>
        <w:spacing w:line="240" w:lineRule="auto" w:before="26"/>
        <w:ind w:left="314" w:right="0"/>
        <w:jc w:val="left"/>
        <w:rPr>
          <w:b w:val="0"/>
          <w:bCs w:val="0"/>
        </w:rPr>
      </w:pPr>
      <w:bookmarkStart w:name="二、证券发行与上市情况" w:id="108"/>
      <w:bookmarkEnd w:id="108"/>
      <w:r>
        <w:rPr>
          <w:b w:val="0"/>
          <w:bCs w:val="0"/>
        </w:rPr>
      </w:r>
      <w:r>
        <w:rPr/>
        <w:t>二、证券发行与上市情况</w:t>
      </w:r>
      <w:r>
        <w:rPr>
          <w:b w:val="0"/>
          <w:bCs w:val="0"/>
        </w:rPr>
      </w:r>
    </w:p>
    <w:p>
      <w:pPr>
        <w:spacing w:line="240" w:lineRule="auto" w:before="8"/>
        <w:rPr>
          <w:rFonts w:ascii="宋体" w:hAnsi="宋体" w:cs="宋体" w:eastAsia="宋体" w:hint="default"/>
          <w:b/>
          <w:bCs/>
          <w:sz w:val="24"/>
          <w:szCs w:val="24"/>
        </w:rPr>
      </w:pPr>
    </w:p>
    <w:p>
      <w:pPr>
        <w:spacing w:before="0"/>
        <w:ind w:left="314" w:right="0" w:firstLine="0"/>
        <w:jc w:val="left"/>
        <w:rPr>
          <w:rFonts w:ascii="宋体" w:hAnsi="宋体" w:cs="宋体" w:eastAsia="宋体" w:hint="default"/>
          <w:sz w:val="21"/>
          <w:szCs w:val="21"/>
        </w:rPr>
      </w:pPr>
      <w:bookmarkStart w:name="1、报告期内证券发行（不含优先股）情况" w:id="109"/>
      <w:bookmarkEnd w:id="109"/>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、报告期内证券发行（不含优先股）情况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31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spacing w:before="0"/>
        <w:ind w:left="314" w:right="0" w:firstLine="0"/>
        <w:jc w:val="left"/>
        <w:rPr>
          <w:rFonts w:ascii="宋体" w:hAnsi="宋体" w:cs="宋体" w:eastAsia="宋体" w:hint="default"/>
          <w:sz w:val="21"/>
          <w:szCs w:val="21"/>
        </w:rPr>
      </w:pPr>
      <w:bookmarkStart w:name="2、公司股份总数及股东结构的变动、公司资产和负债结构的变动情况说明" w:id="110"/>
      <w:bookmarkEnd w:id="110"/>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、公司股份总数及股东结构的变动、公司资产和负债结构的变动情况说明</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31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25"/>
          <w:szCs w:val="25"/>
        </w:rPr>
      </w:pPr>
    </w:p>
    <w:p>
      <w:pPr>
        <w:spacing w:before="0"/>
        <w:ind w:left="314" w:right="0" w:firstLine="0"/>
        <w:jc w:val="left"/>
        <w:rPr>
          <w:rFonts w:ascii="宋体" w:hAnsi="宋体" w:cs="宋体" w:eastAsia="宋体" w:hint="default"/>
          <w:sz w:val="21"/>
          <w:szCs w:val="21"/>
        </w:rPr>
      </w:pPr>
      <w:bookmarkStart w:name="3、现存的内部职工股情况" w:id="111"/>
      <w:bookmarkEnd w:id="111"/>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、现存的内部职工股情况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31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left="314" w:right="0"/>
        <w:jc w:val="left"/>
        <w:rPr>
          <w:b w:val="0"/>
          <w:bCs w:val="0"/>
        </w:rPr>
      </w:pPr>
      <w:bookmarkStart w:name="三、股东和实际控制人情况" w:id="112"/>
      <w:bookmarkEnd w:id="112"/>
      <w:r>
        <w:rPr>
          <w:b w:val="0"/>
          <w:bCs w:val="0"/>
        </w:rPr>
      </w:r>
      <w:r>
        <w:rPr/>
        <w:t>三、股东和实际控制人情况</w:t>
      </w:r>
      <w:r>
        <w:rPr>
          <w:b w:val="0"/>
          <w:bCs w:val="0"/>
        </w:rPr>
      </w:r>
    </w:p>
    <w:p>
      <w:pPr>
        <w:spacing w:line="240" w:lineRule="auto" w:before="8"/>
        <w:rPr>
          <w:rFonts w:ascii="宋体" w:hAnsi="宋体" w:cs="宋体" w:eastAsia="宋体" w:hint="default"/>
          <w:b/>
          <w:bCs/>
          <w:sz w:val="24"/>
          <w:szCs w:val="24"/>
        </w:rPr>
      </w:pPr>
    </w:p>
    <w:p>
      <w:pPr>
        <w:spacing w:before="0"/>
        <w:ind w:left="314" w:right="0" w:firstLine="0"/>
        <w:jc w:val="left"/>
        <w:rPr>
          <w:rFonts w:ascii="宋体" w:hAnsi="宋体" w:cs="宋体" w:eastAsia="宋体" w:hint="default"/>
          <w:sz w:val="21"/>
          <w:szCs w:val="21"/>
        </w:rPr>
      </w:pPr>
      <w:bookmarkStart w:name="1、公司股东数量及持股情况" w:id="113"/>
      <w:bookmarkEnd w:id="113"/>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、公司股东数量及持股情况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1476"/>
        <w:gridCol w:w="136"/>
        <w:gridCol w:w="661"/>
        <w:gridCol w:w="750"/>
        <w:gridCol w:w="749"/>
        <w:gridCol w:w="963"/>
        <w:gridCol w:w="334"/>
        <w:gridCol w:w="660"/>
        <w:gridCol w:w="1038"/>
        <w:gridCol w:w="875"/>
        <w:gridCol w:w="310"/>
        <w:gridCol w:w="966"/>
        <w:gridCol w:w="290"/>
        <w:gridCol w:w="844"/>
      </w:tblGrid>
      <w:tr>
        <w:trPr>
          <w:trHeight w:val="1967" w:hRule="exact"/>
        </w:trPr>
        <w:tc>
          <w:tcPr>
            <w:tcW w:w="1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80" w:right="124"/>
              <w:jc w:val="left"/>
              <w:rPr>
                <w:rFonts w:ascii="宋体" w:hAnsi="宋体" w:cs="宋体" w:eastAsia="宋体" w:hint="default"/>
                <w:sz w:val="18"/>
                <w:szCs w:val="18"/>
              </w:rPr>
            </w:pPr>
            <w:r>
              <w:rPr>
                <w:rFonts w:ascii="宋体" w:hAnsi="宋体" w:cs="宋体" w:eastAsia="宋体" w:hint="default"/>
                <w:sz w:val="18"/>
                <w:szCs w:val="18"/>
              </w:rPr>
              <w:t>报告期末普通股 股东总数</w:t>
            </w:r>
          </w:p>
        </w:tc>
        <w:tc>
          <w:tcPr>
            <w:tcW w:w="7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12" w:right="0"/>
              <w:jc w:val="left"/>
              <w:rPr>
                <w:rFonts w:ascii="Times New Roman" w:hAnsi="Times New Roman" w:cs="Times New Roman" w:eastAsia="Times New Roman" w:hint="default"/>
                <w:sz w:val="18"/>
                <w:szCs w:val="18"/>
              </w:rPr>
            </w:pPr>
            <w:r>
              <w:rPr>
                <w:rFonts w:ascii="Times New Roman"/>
                <w:sz w:val="18"/>
              </w:rPr>
              <w:t>15,001</w:t>
            </w:r>
          </w:p>
        </w:tc>
        <w:tc>
          <w:tcPr>
            <w:tcW w:w="149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79" w:right="148"/>
              <w:jc w:val="both"/>
              <w:rPr>
                <w:rFonts w:ascii="宋体" w:hAnsi="宋体" w:cs="宋体" w:eastAsia="宋体" w:hint="default"/>
                <w:sz w:val="18"/>
                <w:szCs w:val="18"/>
              </w:rPr>
            </w:pPr>
            <w:r>
              <w:rPr>
                <w:rFonts w:ascii="宋体" w:hAnsi="宋体" w:cs="宋体" w:eastAsia="宋体" w:hint="default"/>
                <w:sz w:val="18"/>
                <w:szCs w:val="18"/>
              </w:rPr>
              <w:t>年度报告披露日 前上一月末普通 股股东总数</w:t>
            </w:r>
          </w:p>
        </w:tc>
        <w:tc>
          <w:tcPr>
            <w:tcW w:w="12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712" w:right="0"/>
              <w:jc w:val="left"/>
              <w:rPr>
                <w:rFonts w:ascii="Times New Roman" w:hAnsi="Times New Roman" w:cs="Times New Roman" w:eastAsia="Times New Roman" w:hint="default"/>
                <w:sz w:val="18"/>
                <w:szCs w:val="18"/>
              </w:rPr>
            </w:pPr>
            <w:r>
              <w:rPr>
                <w:rFonts w:ascii="Times New Roman"/>
                <w:sz w:val="18"/>
              </w:rPr>
              <w:t>15,501</w:t>
            </w:r>
          </w:p>
        </w:tc>
        <w:tc>
          <w:tcPr>
            <w:tcW w:w="16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79" w:right="77"/>
              <w:jc w:val="left"/>
              <w:rPr>
                <w:rFonts w:ascii="宋体" w:hAnsi="宋体" w:cs="宋体" w:eastAsia="宋体" w:hint="default"/>
                <w:sz w:val="18"/>
                <w:szCs w:val="18"/>
              </w:rPr>
            </w:pPr>
            <w:r>
              <w:rPr>
                <w:rFonts w:ascii="宋体" w:hAnsi="宋体" w:cs="宋体" w:eastAsia="宋体" w:hint="default"/>
                <w:sz w:val="18"/>
                <w:szCs w:val="18"/>
              </w:rPr>
              <w:t>报告期末表决权恢 复的优先股股东总 </w:t>
            </w:r>
            <w:r>
              <w:rPr>
                <w:rFonts w:ascii="宋体" w:hAnsi="宋体" w:cs="宋体" w:eastAsia="宋体" w:hint="default"/>
                <w:spacing w:val="-10"/>
                <w:sz w:val="18"/>
                <w:szCs w:val="18"/>
              </w:rPr>
              <w:t>数（如有）（参见注</w:t>
            </w:r>
            <w:r>
              <w:rPr>
                <w:rFonts w:ascii="宋体" w:hAnsi="宋体" w:cs="宋体" w:eastAsia="宋体" w:hint="default"/>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1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78"/>
              <w:jc w:val="right"/>
              <w:rPr>
                <w:rFonts w:ascii="Times New Roman" w:hAnsi="Times New Roman" w:cs="Times New Roman" w:eastAsia="Times New Roman" w:hint="default"/>
                <w:sz w:val="18"/>
                <w:szCs w:val="18"/>
              </w:rPr>
            </w:pPr>
            <w:r>
              <w:rPr>
                <w:rFonts w:ascii="Times New Roman"/>
                <w:sz w:val="18"/>
              </w:rPr>
              <w:t>0</w:t>
            </w:r>
          </w:p>
        </w:tc>
        <w:tc>
          <w:tcPr>
            <w:tcW w:w="125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0" w:right="78"/>
              <w:jc w:val="both"/>
              <w:rPr>
                <w:rFonts w:ascii="宋体" w:hAnsi="宋体" w:cs="宋体" w:eastAsia="宋体" w:hint="default"/>
                <w:sz w:val="18"/>
                <w:szCs w:val="18"/>
              </w:rPr>
            </w:pPr>
            <w:r>
              <w:rPr>
                <w:rFonts w:ascii="宋体" w:hAnsi="宋体" w:cs="宋体" w:eastAsia="宋体" w:hint="default"/>
                <w:sz w:val="18"/>
                <w:szCs w:val="18"/>
              </w:rPr>
              <w:t>年度报告披露 日前上一月末 表决权恢复的 优先股股东总 </w:t>
            </w:r>
            <w:r>
              <w:rPr>
                <w:rFonts w:ascii="宋体" w:hAnsi="宋体" w:cs="宋体" w:eastAsia="宋体" w:hint="default"/>
                <w:spacing w:val="-25"/>
                <w:sz w:val="18"/>
                <w:szCs w:val="18"/>
              </w:rPr>
              <w:t>数（如有）（参</w:t>
            </w:r>
            <w:r>
              <w:rPr>
                <w:rFonts w:ascii="宋体" w:hAnsi="宋体" w:cs="宋体" w:eastAsia="宋体" w:hint="default"/>
                <w:sz w:val="18"/>
                <w:szCs w:val="18"/>
              </w:rPr>
              <w:t> 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78"/>
              <w:jc w:val="right"/>
              <w:rPr>
                <w:rFonts w:ascii="Times New Roman" w:hAnsi="Times New Roman" w:cs="Times New Roman" w:eastAsia="Times New Roman" w:hint="default"/>
                <w:sz w:val="18"/>
                <w:szCs w:val="18"/>
              </w:rPr>
            </w:pPr>
            <w:r>
              <w:rPr>
                <w:rFonts w:ascii="Times New Roman"/>
                <w:sz w:val="18"/>
              </w:rPr>
              <w:t>0</w:t>
            </w:r>
          </w:p>
        </w:tc>
      </w:tr>
      <w:tr>
        <w:trPr>
          <w:trHeight w:val="397" w:hRule="exact"/>
        </w:trPr>
        <w:tc>
          <w:tcPr>
            <w:tcW w:w="10052" w:type="dxa"/>
            <w:gridSpan w:val="1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304"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402" w:hRule="exact"/>
        </w:trPr>
        <w:tc>
          <w:tcPr>
            <w:tcW w:w="161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40"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40"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97" w:right="80"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9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34" w:right="96"/>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99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31" w:right="131"/>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103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31" w:right="174"/>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87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49" w:right="94"/>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41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9"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624" w:hRule="exact"/>
        </w:trPr>
        <w:tc>
          <w:tcPr>
            <w:tcW w:w="1612" w:type="dxa"/>
            <w:gridSpan w:val="2"/>
            <w:vMerge/>
            <w:tcBorders>
              <w:left w:val="single" w:sz="4" w:space="0" w:color="000000"/>
              <w:bottom w:val="single" w:sz="4" w:space="0" w:color="000000"/>
              <w:right w:val="single" w:sz="4" w:space="0" w:color="000000"/>
            </w:tcBorders>
            <w:shd w:val="clear" w:color="auto" w:fill="D2D2D2"/>
          </w:tcPr>
          <w:p>
            <w:pPr/>
          </w:p>
        </w:tc>
        <w:tc>
          <w:tcPr>
            <w:tcW w:w="1411" w:type="dxa"/>
            <w:gridSpan w:val="2"/>
            <w:vMerge/>
            <w:tcBorders>
              <w:left w:val="single" w:sz="4" w:space="0" w:color="000000"/>
              <w:bottom w:val="single" w:sz="4" w:space="0" w:color="000000"/>
              <w:right w:val="single" w:sz="4" w:space="0" w:color="000000"/>
            </w:tcBorders>
            <w:shd w:val="clear" w:color="auto" w:fill="D2D2D2"/>
          </w:tcPr>
          <w:p>
            <w:pPr/>
          </w:p>
        </w:tc>
        <w:tc>
          <w:tcPr>
            <w:tcW w:w="749" w:type="dxa"/>
            <w:vMerge/>
            <w:tcBorders>
              <w:left w:val="single" w:sz="4" w:space="0" w:color="000000"/>
              <w:bottom w:val="single" w:sz="4" w:space="0" w:color="000000"/>
              <w:right w:val="single" w:sz="4" w:space="0" w:color="000000"/>
            </w:tcBorders>
            <w:shd w:val="clear" w:color="auto" w:fill="D2D2D2"/>
          </w:tcPr>
          <w:p>
            <w:pPr/>
          </w:p>
        </w:tc>
        <w:tc>
          <w:tcPr>
            <w:tcW w:w="963" w:type="dxa"/>
            <w:vMerge/>
            <w:tcBorders>
              <w:left w:val="single" w:sz="4" w:space="0" w:color="000000"/>
              <w:bottom w:val="single" w:sz="4" w:space="0" w:color="000000"/>
              <w:right w:val="single" w:sz="4" w:space="0" w:color="000000"/>
            </w:tcBorders>
            <w:shd w:val="clear" w:color="auto" w:fill="D2D2D2"/>
          </w:tcPr>
          <w:p>
            <w:pPr/>
          </w:p>
        </w:tc>
        <w:tc>
          <w:tcPr>
            <w:tcW w:w="994" w:type="dxa"/>
            <w:gridSpan w:val="2"/>
            <w:vMerge/>
            <w:tcBorders>
              <w:left w:val="single" w:sz="4" w:space="0" w:color="000000"/>
              <w:bottom w:val="single" w:sz="4" w:space="0" w:color="000000"/>
              <w:right w:val="single" w:sz="4" w:space="0" w:color="000000"/>
            </w:tcBorders>
            <w:shd w:val="clear" w:color="auto" w:fill="D2D2D2"/>
          </w:tcPr>
          <w:p>
            <w:pPr/>
          </w:p>
        </w:tc>
        <w:tc>
          <w:tcPr>
            <w:tcW w:w="1038" w:type="dxa"/>
            <w:vMerge/>
            <w:tcBorders>
              <w:left w:val="single" w:sz="4" w:space="0" w:color="000000"/>
              <w:bottom w:val="single" w:sz="4" w:space="0" w:color="000000"/>
              <w:right w:val="single" w:sz="4" w:space="0" w:color="000000"/>
            </w:tcBorders>
            <w:shd w:val="clear" w:color="auto" w:fill="D2D2D2"/>
          </w:tcPr>
          <w:p>
            <w:pPr/>
          </w:p>
        </w:tc>
        <w:tc>
          <w:tcPr>
            <w:tcW w:w="875" w:type="dxa"/>
            <w:vMerge/>
            <w:tcBorders>
              <w:left w:val="single" w:sz="4" w:space="0" w:color="000000"/>
              <w:bottom w:val="single" w:sz="4" w:space="0" w:color="000000"/>
              <w:right w:val="single" w:sz="4" w:space="0" w:color="000000"/>
            </w:tcBorders>
            <w:shd w:val="clear" w:color="auto" w:fill="D2D2D2"/>
          </w:tcPr>
          <w:p>
            <w:pPr/>
          </w:p>
        </w:tc>
        <w:tc>
          <w:tcPr>
            <w:tcW w:w="127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1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714" w:hRule="exact"/>
        </w:trPr>
        <w:tc>
          <w:tcPr>
            <w:tcW w:w="161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80" w:right="81"/>
              <w:jc w:val="left"/>
              <w:rPr>
                <w:rFonts w:ascii="宋体" w:hAnsi="宋体" w:cs="宋体" w:eastAsia="宋体" w:hint="default"/>
                <w:sz w:val="18"/>
                <w:szCs w:val="18"/>
              </w:rPr>
            </w:pPr>
            <w:r>
              <w:rPr>
                <w:rFonts w:ascii="宋体" w:hAnsi="宋体" w:cs="宋体" w:eastAsia="宋体" w:hint="default"/>
                <w:sz w:val="18"/>
                <w:szCs w:val="18"/>
              </w:rPr>
              <w:t>杭州正元企业管理 咨询有限公司</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80" w:right="239"/>
              <w:jc w:val="left"/>
              <w:rPr>
                <w:rFonts w:ascii="宋体" w:hAnsi="宋体" w:cs="宋体" w:eastAsia="宋体" w:hint="default"/>
                <w:sz w:val="18"/>
                <w:szCs w:val="18"/>
              </w:rPr>
            </w:pPr>
            <w:r>
              <w:rPr>
                <w:rFonts w:ascii="宋体" w:hAnsi="宋体" w:cs="宋体" w:eastAsia="宋体" w:hint="default"/>
                <w:sz w:val="18"/>
                <w:szCs w:val="18"/>
              </w:rPr>
              <w:t>境内非国有法 人</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2" w:right="0"/>
              <w:jc w:val="left"/>
              <w:rPr>
                <w:rFonts w:ascii="Times New Roman" w:hAnsi="Times New Roman" w:cs="Times New Roman" w:eastAsia="Times New Roman" w:hint="default"/>
                <w:sz w:val="18"/>
                <w:szCs w:val="18"/>
              </w:rPr>
            </w:pPr>
            <w:r>
              <w:rPr>
                <w:rFonts w:ascii="Times New Roman"/>
                <w:sz w:val="18"/>
              </w:rPr>
              <w:t>28.96%</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8"/>
              <w:jc w:val="right"/>
              <w:rPr>
                <w:rFonts w:ascii="Times New Roman" w:hAnsi="Times New Roman" w:cs="Times New Roman" w:eastAsia="Times New Roman" w:hint="default"/>
                <w:sz w:val="18"/>
                <w:szCs w:val="18"/>
              </w:rPr>
            </w:pPr>
            <w:r>
              <w:rPr>
                <w:rFonts w:ascii="Times New Roman"/>
                <w:sz w:val="18"/>
              </w:rPr>
              <w:t>19,305,58</w:t>
            </w:r>
          </w:p>
          <w:p>
            <w:pPr>
              <w:pStyle w:val="TableParagraph"/>
              <w:spacing w:line="240" w:lineRule="auto" w:before="105"/>
              <w:ind w:right="78"/>
              <w:jc w:val="right"/>
              <w:rPr>
                <w:rFonts w:ascii="Times New Roman" w:hAnsi="Times New Roman" w:cs="Times New Roman" w:eastAsia="Times New Roman" w:hint="default"/>
                <w:sz w:val="18"/>
                <w:szCs w:val="18"/>
              </w:rPr>
            </w:pPr>
            <w:r>
              <w:rPr>
                <w:rFonts w:ascii="Times New Roman"/>
                <w:sz w:val="18"/>
              </w:rPr>
              <w:t>8</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0</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4" w:right="0"/>
              <w:jc w:val="left"/>
              <w:rPr>
                <w:rFonts w:ascii="Times New Roman" w:hAnsi="Times New Roman" w:cs="Times New Roman" w:eastAsia="Times New Roman" w:hint="default"/>
                <w:sz w:val="18"/>
                <w:szCs w:val="18"/>
              </w:rPr>
            </w:pPr>
            <w:r>
              <w:rPr>
                <w:rFonts w:ascii="Times New Roman"/>
                <w:sz w:val="18"/>
              </w:rPr>
              <w:t>19,305,588</w:t>
            </w: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79"/>
              <w:jc w:val="right"/>
              <w:rPr>
                <w:rFonts w:ascii="Times New Roman" w:hAnsi="Times New Roman" w:cs="Times New Roman" w:eastAsia="Times New Roman" w:hint="default"/>
                <w:sz w:val="18"/>
                <w:szCs w:val="18"/>
              </w:rPr>
            </w:pPr>
            <w:r>
              <w:rPr>
                <w:rFonts w:ascii="Times New Roman"/>
                <w:sz w:val="18"/>
              </w:rPr>
              <w:t>0</w:t>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0"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3" w:right="0"/>
              <w:jc w:val="left"/>
              <w:rPr>
                <w:rFonts w:ascii="Times New Roman" w:hAnsi="Times New Roman" w:cs="Times New Roman" w:eastAsia="Times New Roman" w:hint="default"/>
                <w:sz w:val="18"/>
                <w:szCs w:val="18"/>
              </w:rPr>
            </w:pPr>
            <w:r>
              <w:rPr>
                <w:rFonts w:ascii="Times New Roman"/>
                <w:sz w:val="18"/>
              </w:rPr>
              <w:t>12,027,600</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82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0" w:type="dxa"/>
        <w:tblLayout w:type="fixed"/>
        <w:tblCellMar>
          <w:top w:w="0" w:type="dxa"/>
          <w:left w:w="0" w:type="dxa"/>
          <w:bottom w:w="0" w:type="dxa"/>
          <w:right w:w="0" w:type="dxa"/>
        </w:tblCellMar>
        <w:tblLook w:val="01E0"/>
      </w:tblPr>
      <w:tblGrid>
        <w:gridCol w:w="1612"/>
        <w:gridCol w:w="1411"/>
        <w:gridCol w:w="787"/>
        <w:gridCol w:w="926"/>
        <w:gridCol w:w="994"/>
        <w:gridCol w:w="995"/>
        <w:gridCol w:w="918"/>
        <w:gridCol w:w="1276"/>
        <w:gridCol w:w="1134"/>
      </w:tblGrid>
      <w:tr>
        <w:trPr>
          <w:trHeight w:val="714" w:hRule="exact"/>
        </w:trPr>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80" w:right="81"/>
              <w:jc w:val="left"/>
              <w:rPr>
                <w:rFonts w:ascii="宋体" w:hAnsi="宋体" w:cs="宋体" w:eastAsia="宋体" w:hint="default"/>
                <w:sz w:val="18"/>
                <w:szCs w:val="18"/>
              </w:rPr>
            </w:pPr>
            <w:r>
              <w:rPr>
                <w:rFonts w:ascii="宋体" w:hAnsi="宋体" w:cs="宋体" w:eastAsia="宋体" w:hint="default"/>
                <w:sz w:val="18"/>
                <w:szCs w:val="18"/>
              </w:rPr>
              <w:t>杭州易康投资管理 有限公司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80" w:right="239"/>
              <w:jc w:val="left"/>
              <w:rPr>
                <w:rFonts w:ascii="宋体" w:hAnsi="宋体" w:cs="宋体" w:eastAsia="宋体" w:hint="default"/>
                <w:sz w:val="18"/>
                <w:szCs w:val="18"/>
              </w:rPr>
            </w:pPr>
            <w:r>
              <w:rPr>
                <w:rFonts w:ascii="宋体" w:hAnsi="宋体" w:cs="宋体" w:eastAsia="宋体" w:hint="default"/>
                <w:sz w:val="18"/>
                <w:szCs w:val="18"/>
              </w:rPr>
              <w:t>境内非国有法 人</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77"/>
              <w:jc w:val="right"/>
              <w:rPr>
                <w:rFonts w:ascii="Times New Roman" w:hAnsi="Times New Roman" w:cs="Times New Roman" w:eastAsia="Times New Roman" w:hint="default"/>
                <w:sz w:val="18"/>
                <w:szCs w:val="18"/>
              </w:rPr>
            </w:pPr>
            <w:r>
              <w:rPr>
                <w:rFonts w:ascii="Times New Roman"/>
                <w:sz w:val="18"/>
              </w:rPr>
              <w:t>6.89%</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78"/>
              <w:jc w:val="right"/>
              <w:rPr>
                <w:rFonts w:ascii="Times New Roman" w:hAnsi="Times New Roman" w:cs="Times New Roman" w:eastAsia="Times New Roman" w:hint="default"/>
                <w:sz w:val="18"/>
                <w:szCs w:val="18"/>
              </w:rPr>
            </w:pPr>
            <w:r>
              <w:rPr>
                <w:rFonts w:ascii="Times New Roman"/>
                <w:sz w:val="18"/>
              </w:rPr>
              <w:t>4,592,996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0</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78"/>
              <w:jc w:val="right"/>
              <w:rPr>
                <w:rFonts w:ascii="Times New Roman" w:hAnsi="Times New Roman" w:cs="Times New Roman" w:eastAsia="Times New Roman" w:hint="default"/>
                <w:sz w:val="18"/>
                <w:szCs w:val="18"/>
              </w:rPr>
            </w:pPr>
            <w:r>
              <w:rPr>
                <w:rFonts w:ascii="Times New Roman"/>
                <w:sz w:val="18"/>
              </w:rPr>
              <w:t>0</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79"/>
              <w:jc w:val="right"/>
              <w:rPr>
                <w:rFonts w:ascii="Times New Roman" w:hAnsi="Times New Roman" w:cs="Times New Roman" w:eastAsia="Times New Roman" w:hint="default"/>
                <w:sz w:val="18"/>
                <w:szCs w:val="18"/>
              </w:rPr>
            </w:pPr>
            <w:r>
              <w:rPr>
                <w:rFonts w:ascii="Times New Roman"/>
                <w:sz w:val="18"/>
              </w:rPr>
              <w:t>4,592,996</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80" w:right="81"/>
              <w:jc w:val="left"/>
              <w:rPr>
                <w:rFonts w:ascii="宋体" w:hAnsi="宋体" w:cs="宋体" w:eastAsia="宋体" w:hint="default"/>
                <w:sz w:val="18"/>
                <w:szCs w:val="18"/>
              </w:rPr>
            </w:pPr>
            <w:r>
              <w:rPr>
                <w:rFonts w:ascii="宋体" w:hAnsi="宋体" w:cs="宋体" w:eastAsia="宋体" w:hint="default"/>
                <w:sz w:val="18"/>
                <w:szCs w:val="18"/>
              </w:rPr>
              <w:t>杭州正浩投资管理 有限公司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80" w:right="239"/>
              <w:jc w:val="left"/>
              <w:rPr>
                <w:rFonts w:ascii="宋体" w:hAnsi="宋体" w:cs="宋体" w:eastAsia="宋体" w:hint="default"/>
                <w:sz w:val="18"/>
                <w:szCs w:val="18"/>
              </w:rPr>
            </w:pPr>
            <w:r>
              <w:rPr>
                <w:rFonts w:ascii="宋体" w:hAnsi="宋体" w:cs="宋体" w:eastAsia="宋体" w:hint="default"/>
                <w:sz w:val="18"/>
                <w:szCs w:val="18"/>
              </w:rPr>
              <w:t>境内非国有法 人</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77"/>
              <w:jc w:val="right"/>
              <w:rPr>
                <w:rFonts w:ascii="Times New Roman" w:hAnsi="Times New Roman" w:cs="Times New Roman" w:eastAsia="Times New Roman" w:hint="default"/>
                <w:sz w:val="18"/>
                <w:szCs w:val="18"/>
              </w:rPr>
            </w:pPr>
            <w:r>
              <w:rPr>
                <w:rFonts w:ascii="Times New Roman"/>
                <w:sz w:val="18"/>
              </w:rPr>
              <w:t>4.78%</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78"/>
              <w:jc w:val="right"/>
              <w:rPr>
                <w:rFonts w:ascii="Times New Roman" w:hAnsi="Times New Roman" w:cs="Times New Roman" w:eastAsia="Times New Roman" w:hint="default"/>
                <w:sz w:val="18"/>
                <w:szCs w:val="18"/>
              </w:rPr>
            </w:pPr>
            <w:r>
              <w:rPr>
                <w:rFonts w:ascii="Times New Roman"/>
                <w:sz w:val="18"/>
              </w:rPr>
              <w:t>3,186,106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0</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78"/>
              <w:jc w:val="right"/>
              <w:rPr>
                <w:rFonts w:ascii="Times New Roman" w:hAnsi="Times New Roman" w:cs="Times New Roman" w:eastAsia="Times New Roman" w:hint="default"/>
                <w:sz w:val="18"/>
                <w:szCs w:val="18"/>
              </w:rPr>
            </w:pPr>
            <w:r>
              <w:rPr>
                <w:rFonts w:ascii="Times New Roman"/>
                <w:sz w:val="18"/>
              </w:rPr>
              <w:t>0</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79"/>
              <w:jc w:val="right"/>
              <w:rPr>
                <w:rFonts w:ascii="Times New Roman" w:hAnsi="Times New Roman" w:cs="Times New Roman" w:eastAsia="Times New Roman" w:hint="default"/>
                <w:sz w:val="18"/>
                <w:szCs w:val="18"/>
              </w:rPr>
            </w:pPr>
            <w:r>
              <w:rPr>
                <w:rFonts w:ascii="Times New Roman"/>
                <w:sz w:val="18"/>
              </w:rPr>
              <w:t>3,186,106</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80" w:right="81"/>
              <w:jc w:val="left"/>
              <w:rPr>
                <w:rFonts w:ascii="宋体" w:hAnsi="宋体" w:cs="宋体" w:eastAsia="宋体" w:hint="default"/>
                <w:sz w:val="18"/>
                <w:szCs w:val="18"/>
              </w:rPr>
            </w:pPr>
            <w:r>
              <w:rPr>
                <w:rFonts w:ascii="宋体" w:hAnsi="宋体" w:cs="宋体" w:eastAsia="宋体" w:hint="default"/>
                <w:sz w:val="18"/>
                <w:szCs w:val="18"/>
              </w:rPr>
              <w:t>浙江合力创业投资 有限公司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80" w:right="239"/>
              <w:jc w:val="left"/>
              <w:rPr>
                <w:rFonts w:ascii="宋体" w:hAnsi="宋体" w:cs="宋体" w:eastAsia="宋体" w:hint="default"/>
                <w:sz w:val="18"/>
                <w:szCs w:val="18"/>
              </w:rPr>
            </w:pPr>
            <w:r>
              <w:rPr>
                <w:rFonts w:ascii="宋体" w:hAnsi="宋体" w:cs="宋体" w:eastAsia="宋体" w:hint="default"/>
                <w:sz w:val="18"/>
                <w:szCs w:val="18"/>
              </w:rPr>
              <w:t>境内非国有法 人</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77"/>
              <w:jc w:val="right"/>
              <w:rPr>
                <w:rFonts w:ascii="Times New Roman" w:hAnsi="Times New Roman" w:cs="Times New Roman" w:eastAsia="Times New Roman" w:hint="default"/>
                <w:sz w:val="18"/>
                <w:szCs w:val="18"/>
              </w:rPr>
            </w:pPr>
            <w:r>
              <w:rPr>
                <w:rFonts w:ascii="Times New Roman"/>
                <w:sz w:val="18"/>
              </w:rPr>
              <w:t>4.25%</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78"/>
              <w:jc w:val="right"/>
              <w:rPr>
                <w:rFonts w:ascii="Times New Roman" w:hAnsi="Times New Roman" w:cs="Times New Roman" w:eastAsia="Times New Roman" w:hint="default"/>
                <w:sz w:val="18"/>
                <w:szCs w:val="18"/>
              </w:rPr>
            </w:pPr>
            <w:r>
              <w:rPr>
                <w:rFonts w:ascii="Times New Roman"/>
                <w:sz w:val="18"/>
              </w:rPr>
              <w:t>2,832,565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0</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78"/>
              <w:jc w:val="right"/>
              <w:rPr>
                <w:rFonts w:ascii="Times New Roman" w:hAnsi="Times New Roman" w:cs="Times New Roman" w:eastAsia="Times New Roman" w:hint="default"/>
                <w:sz w:val="18"/>
                <w:szCs w:val="18"/>
              </w:rPr>
            </w:pPr>
            <w:r>
              <w:rPr>
                <w:rFonts w:ascii="Times New Roman"/>
                <w:sz w:val="18"/>
              </w:rPr>
              <w:t>0</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79"/>
              <w:jc w:val="right"/>
              <w:rPr>
                <w:rFonts w:ascii="Times New Roman" w:hAnsi="Times New Roman" w:cs="Times New Roman" w:eastAsia="Times New Roman" w:hint="default"/>
                <w:sz w:val="18"/>
                <w:szCs w:val="18"/>
              </w:rPr>
            </w:pPr>
            <w:r>
              <w:rPr>
                <w:rFonts w:ascii="Times New Roman"/>
                <w:sz w:val="18"/>
              </w:rPr>
              <w:t>2,832,565</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李琳</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7"/>
              <w:jc w:val="right"/>
              <w:rPr>
                <w:rFonts w:ascii="Times New Roman" w:hAnsi="Times New Roman" w:cs="Times New Roman" w:eastAsia="Times New Roman" w:hint="default"/>
                <w:sz w:val="18"/>
                <w:szCs w:val="18"/>
              </w:rPr>
            </w:pPr>
            <w:r>
              <w:rPr>
                <w:rFonts w:ascii="Times New Roman"/>
                <w:sz w:val="18"/>
              </w:rPr>
              <w:t>2.91%</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8"/>
              <w:jc w:val="right"/>
              <w:rPr>
                <w:rFonts w:ascii="Times New Roman" w:hAnsi="Times New Roman" w:cs="Times New Roman" w:eastAsia="Times New Roman" w:hint="default"/>
                <w:sz w:val="18"/>
                <w:szCs w:val="18"/>
              </w:rPr>
            </w:pPr>
            <w:r>
              <w:rPr>
                <w:rFonts w:ascii="Times New Roman"/>
                <w:sz w:val="18"/>
              </w:rPr>
              <w:t>1,941,980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0</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7"/>
              <w:jc w:val="right"/>
              <w:rPr>
                <w:rFonts w:ascii="Times New Roman" w:hAnsi="Times New Roman" w:cs="Times New Roman" w:eastAsia="Times New Roman" w:hint="default"/>
                <w:sz w:val="18"/>
                <w:szCs w:val="18"/>
              </w:rPr>
            </w:pPr>
            <w:r>
              <w:rPr>
                <w:rFonts w:ascii="Times New Roman"/>
                <w:sz w:val="18"/>
              </w:rPr>
              <w:t>1,941,980</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9"/>
              <w:jc w:val="right"/>
              <w:rPr>
                <w:rFonts w:ascii="Times New Roman" w:hAnsi="Times New Roman" w:cs="Times New Roman" w:eastAsia="Times New Roman" w:hint="default"/>
                <w:sz w:val="18"/>
                <w:szCs w:val="18"/>
              </w:rPr>
            </w:pPr>
            <w:r>
              <w:rPr>
                <w:rFonts w:ascii="Times New Roman"/>
                <w:sz w:val="18"/>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7"/>
              <w:jc w:val="right"/>
              <w:rPr>
                <w:rFonts w:ascii="Times New Roman" w:hAnsi="Times New Roman" w:cs="Times New Roman" w:eastAsia="Times New Roman" w:hint="default"/>
                <w:sz w:val="18"/>
                <w:szCs w:val="18"/>
              </w:rPr>
            </w:pPr>
            <w:r>
              <w:rPr>
                <w:rFonts w:ascii="Times New Roman"/>
                <w:sz w:val="18"/>
              </w:rPr>
              <w:t>1,941,980</w:t>
            </w:r>
          </w:p>
        </w:tc>
      </w:tr>
      <w:tr>
        <w:trPr>
          <w:trHeight w:val="714" w:hRule="exact"/>
        </w:trPr>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80" w:right="81"/>
              <w:jc w:val="left"/>
              <w:rPr>
                <w:rFonts w:ascii="宋体" w:hAnsi="宋体" w:cs="宋体" w:eastAsia="宋体" w:hint="default"/>
                <w:sz w:val="18"/>
                <w:szCs w:val="18"/>
              </w:rPr>
            </w:pPr>
            <w:r>
              <w:rPr>
                <w:rFonts w:ascii="宋体" w:hAnsi="宋体" w:cs="宋体" w:eastAsia="宋体" w:hint="default"/>
                <w:sz w:val="18"/>
                <w:szCs w:val="18"/>
              </w:rPr>
              <w:t>浙江盈瓯创业投资 有限公司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80" w:right="239"/>
              <w:jc w:val="left"/>
              <w:rPr>
                <w:rFonts w:ascii="宋体" w:hAnsi="宋体" w:cs="宋体" w:eastAsia="宋体" w:hint="default"/>
                <w:sz w:val="18"/>
                <w:szCs w:val="18"/>
              </w:rPr>
            </w:pPr>
            <w:r>
              <w:rPr>
                <w:rFonts w:ascii="宋体" w:hAnsi="宋体" w:cs="宋体" w:eastAsia="宋体" w:hint="default"/>
                <w:sz w:val="18"/>
                <w:szCs w:val="18"/>
              </w:rPr>
              <w:t>境内非国有法 人</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77"/>
              <w:jc w:val="right"/>
              <w:rPr>
                <w:rFonts w:ascii="Times New Roman" w:hAnsi="Times New Roman" w:cs="Times New Roman" w:eastAsia="Times New Roman" w:hint="default"/>
                <w:sz w:val="18"/>
                <w:szCs w:val="18"/>
              </w:rPr>
            </w:pPr>
            <w:r>
              <w:rPr>
                <w:rFonts w:ascii="Times New Roman"/>
                <w:sz w:val="18"/>
              </w:rPr>
              <w:t>2.52%</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78"/>
              <w:jc w:val="right"/>
              <w:rPr>
                <w:rFonts w:ascii="Times New Roman" w:hAnsi="Times New Roman" w:cs="Times New Roman" w:eastAsia="Times New Roman" w:hint="default"/>
                <w:sz w:val="18"/>
                <w:szCs w:val="18"/>
              </w:rPr>
            </w:pPr>
            <w:r>
              <w:rPr>
                <w:rFonts w:ascii="Times New Roman"/>
                <w:sz w:val="18"/>
              </w:rPr>
              <w:t>1,680,589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-550,000</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78"/>
              <w:jc w:val="right"/>
              <w:rPr>
                <w:rFonts w:ascii="Times New Roman" w:hAnsi="Times New Roman" w:cs="Times New Roman" w:eastAsia="Times New Roman" w:hint="default"/>
                <w:sz w:val="18"/>
                <w:szCs w:val="18"/>
              </w:rPr>
            </w:pPr>
            <w:r>
              <w:rPr>
                <w:rFonts w:ascii="Times New Roman"/>
                <w:sz w:val="18"/>
              </w:rPr>
              <w:t>0</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79"/>
              <w:jc w:val="right"/>
              <w:rPr>
                <w:rFonts w:ascii="Times New Roman" w:hAnsi="Times New Roman" w:cs="Times New Roman" w:eastAsia="Times New Roman" w:hint="default"/>
                <w:sz w:val="18"/>
                <w:szCs w:val="18"/>
              </w:rPr>
            </w:pPr>
            <w:r>
              <w:rPr>
                <w:rFonts w:ascii="Times New Roman"/>
                <w:sz w:val="18"/>
              </w:rPr>
              <w:t>1,680,589</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80" w:right="81"/>
              <w:jc w:val="left"/>
              <w:rPr>
                <w:rFonts w:ascii="宋体" w:hAnsi="宋体" w:cs="宋体" w:eastAsia="宋体" w:hint="default"/>
                <w:sz w:val="18"/>
                <w:szCs w:val="18"/>
              </w:rPr>
            </w:pPr>
            <w:r>
              <w:rPr>
                <w:rFonts w:ascii="宋体" w:hAnsi="宋体" w:cs="宋体" w:eastAsia="宋体" w:hint="default"/>
                <w:sz w:val="18"/>
                <w:szCs w:val="18"/>
              </w:rPr>
              <w:t>杭州乾盈投资管理 有限公司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80" w:right="239"/>
              <w:jc w:val="left"/>
              <w:rPr>
                <w:rFonts w:ascii="宋体" w:hAnsi="宋体" w:cs="宋体" w:eastAsia="宋体" w:hint="default"/>
                <w:sz w:val="18"/>
                <w:szCs w:val="18"/>
              </w:rPr>
            </w:pPr>
            <w:r>
              <w:rPr>
                <w:rFonts w:ascii="宋体" w:hAnsi="宋体" w:cs="宋体" w:eastAsia="宋体" w:hint="default"/>
                <w:sz w:val="18"/>
                <w:szCs w:val="18"/>
              </w:rPr>
              <w:t>境内非国有法 人</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77"/>
              <w:jc w:val="right"/>
              <w:rPr>
                <w:rFonts w:ascii="Times New Roman" w:hAnsi="Times New Roman" w:cs="Times New Roman" w:eastAsia="Times New Roman" w:hint="default"/>
                <w:sz w:val="18"/>
                <w:szCs w:val="18"/>
              </w:rPr>
            </w:pPr>
            <w:r>
              <w:rPr>
                <w:rFonts w:ascii="Times New Roman"/>
                <w:sz w:val="18"/>
              </w:rPr>
              <w:t>2.45%</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78"/>
              <w:jc w:val="right"/>
              <w:rPr>
                <w:rFonts w:ascii="Times New Roman" w:hAnsi="Times New Roman" w:cs="Times New Roman" w:eastAsia="Times New Roman" w:hint="default"/>
                <w:sz w:val="18"/>
                <w:szCs w:val="18"/>
              </w:rPr>
            </w:pPr>
            <w:r>
              <w:rPr>
                <w:rFonts w:ascii="Times New Roman"/>
                <w:sz w:val="18"/>
              </w:rPr>
              <w:t>1,631,363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-110,000</w:t>
            </w:r>
          </w:p>
        </w:tc>
        <w:tc>
          <w:tcPr>
            <w:tcW w:w="995" w:type="dxa"/>
            <w:tcBorders>
              <w:top w:val="single" w:sz="4" w:space="0" w:color="000000"/>
              <w:left w:val="single" w:sz="4" w:space="0" w:color="000000"/>
              <w:bottom w:val="single" w:sz="4" w:space="0" w:color="000000"/>
              <w:right w:val="single" w:sz="4" w:space="0" w:color="000000"/>
            </w:tcBorders>
          </w:tcPr>
          <w:p>
            <w:pP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79"/>
              <w:jc w:val="right"/>
              <w:rPr>
                <w:rFonts w:ascii="Times New Roman" w:hAnsi="Times New Roman" w:cs="Times New Roman" w:eastAsia="Times New Roman" w:hint="default"/>
                <w:sz w:val="18"/>
                <w:szCs w:val="18"/>
              </w:rPr>
            </w:pPr>
            <w:r>
              <w:rPr>
                <w:rFonts w:ascii="Times New Roman"/>
                <w:sz w:val="18"/>
              </w:rPr>
              <w:t>1,631,363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80"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77"/>
              <w:jc w:val="right"/>
              <w:rPr>
                <w:rFonts w:ascii="Times New Roman" w:hAnsi="Times New Roman" w:cs="Times New Roman" w:eastAsia="Times New Roman" w:hint="default"/>
                <w:sz w:val="18"/>
                <w:szCs w:val="18"/>
              </w:rPr>
            </w:pPr>
            <w:r>
              <w:rPr>
                <w:rFonts w:ascii="Times New Roman"/>
                <w:sz w:val="18"/>
              </w:rPr>
              <w:t>1,315,300</w:t>
            </w:r>
          </w:p>
        </w:tc>
      </w:tr>
      <w:tr>
        <w:trPr>
          <w:trHeight w:val="714" w:hRule="exact"/>
        </w:trPr>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80" w:right="81"/>
              <w:jc w:val="left"/>
              <w:rPr>
                <w:rFonts w:ascii="宋体" w:hAnsi="宋体" w:cs="宋体" w:eastAsia="宋体" w:hint="default"/>
                <w:sz w:val="18"/>
                <w:szCs w:val="18"/>
              </w:rPr>
            </w:pPr>
            <w:r>
              <w:rPr>
                <w:rFonts w:ascii="宋体" w:hAnsi="宋体" w:cs="宋体" w:eastAsia="宋体" w:hint="default"/>
                <w:sz w:val="18"/>
                <w:szCs w:val="18"/>
              </w:rPr>
              <w:t>浙江连连投资有限 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80" w:right="239"/>
              <w:jc w:val="left"/>
              <w:rPr>
                <w:rFonts w:ascii="宋体" w:hAnsi="宋体" w:cs="宋体" w:eastAsia="宋体" w:hint="default"/>
                <w:sz w:val="18"/>
                <w:szCs w:val="18"/>
              </w:rPr>
            </w:pPr>
            <w:r>
              <w:rPr>
                <w:rFonts w:ascii="宋体" w:hAnsi="宋体" w:cs="宋体" w:eastAsia="宋体" w:hint="default"/>
                <w:sz w:val="18"/>
                <w:szCs w:val="18"/>
              </w:rPr>
              <w:t>境内非国有法 人</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77"/>
              <w:jc w:val="right"/>
              <w:rPr>
                <w:rFonts w:ascii="Times New Roman" w:hAnsi="Times New Roman" w:cs="Times New Roman" w:eastAsia="Times New Roman" w:hint="default"/>
                <w:sz w:val="18"/>
                <w:szCs w:val="18"/>
              </w:rPr>
            </w:pPr>
            <w:r>
              <w:rPr>
                <w:rFonts w:ascii="Times New Roman"/>
                <w:sz w:val="18"/>
              </w:rPr>
              <w:t>2.31%</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78"/>
              <w:jc w:val="right"/>
              <w:rPr>
                <w:rFonts w:ascii="Times New Roman" w:hAnsi="Times New Roman" w:cs="Times New Roman" w:eastAsia="Times New Roman" w:hint="default"/>
                <w:sz w:val="18"/>
                <w:szCs w:val="18"/>
              </w:rPr>
            </w:pPr>
            <w:r>
              <w:rPr>
                <w:rFonts w:ascii="Times New Roman"/>
                <w:sz w:val="18"/>
              </w:rPr>
              <w:t>1,540,500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-259,500</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78"/>
              <w:jc w:val="right"/>
              <w:rPr>
                <w:rFonts w:ascii="Times New Roman" w:hAnsi="Times New Roman" w:cs="Times New Roman" w:eastAsia="Times New Roman" w:hint="default"/>
                <w:sz w:val="18"/>
                <w:szCs w:val="18"/>
              </w:rPr>
            </w:pPr>
            <w:r>
              <w:rPr>
                <w:rFonts w:ascii="Times New Roman"/>
                <w:sz w:val="18"/>
              </w:rPr>
              <w:t>0</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79"/>
              <w:jc w:val="right"/>
              <w:rPr>
                <w:rFonts w:ascii="Times New Roman" w:hAnsi="Times New Roman" w:cs="Times New Roman" w:eastAsia="Times New Roman" w:hint="default"/>
                <w:sz w:val="18"/>
                <w:szCs w:val="18"/>
              </w:rPr>
            </w:pPr>
            <w:r>
              <w:rPr>
                <w:rFonts w:ascii="Times New Roman"/>
                <w:sz w:val="18"/>
              </w:rPr>
              <w:t>1,540,500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李成</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7"/>
              <w:jc w:val="right"/>
              <w:rPr>
                <w:rFonts w:ascii="Times New Roman" w:hAnsi="Times New Roman" w:cs="Times New Roman" w:eastAsia="Times New Roman" w:hint="default"/>
                <w:sz w:val="18"/>
                <w:szCs w:val="18"/>
              </w:rPr>
            </w:pPr>
            <w:r>
              <w:rPr>
                <w:rFonts w:ascii="Times New Roman"/>
                <w:sz w:val="18"/>
              </w:rPr>
              <w:t>1.52%</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7"/>
              <w:jc w:val="right"/>
              <w:rPr>
                <w:rFonts w:ascii="Times New Roman" w:hAnsi="Times New Roman" w:cs="Times New Roman" w:eastAsia="Times New Roman" w:hint="default"/>
                <w:sz w:val="18"/>
                <w:szCs w:val="18"/>
              </w:rPr>
            </w:pPr>
            <w:r>
              <w:rPr>
                <w:rFonts w:ascii="Times New Roman"/>
                <w:spacing w:val="-1"/>
                <w:sz w:val="18"/>
              </w:rPr>
              <w:t>1,011,545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0</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8"/>
              <w:jc w:val="right"/>
              <w:rPr>
                <w:rFonts w:ascii="Times New Roman" w:hAnsi="Times New Roman" w:cs="Times New Roman" w:eastAsia="Times New Roman" w:hint="default"/>
                <w:sz w:val="18"/>
                <w:szCs w:val="18"/>
              </w:rPr>
            </w:pPr>
            <w:r>
              <w:rPr>
                <w:rFonts w:ascii="Times New Roman"/>
                <w:sz w:val="18"/>
              </w:rPr>
              <w:t>0</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9"/>
              <w:jc w:val="right"/>
              <w:rPr>
                <w:rFonts w:ascii="Times New Roman" w:hAnsi="Times New Roman" w:cs="Times New Roman" w:eastAsia="Times New Roman" w:hint="default"/>
                <w:sz w:val="18"/>
                <w:szCs w:val="18"/>
              </w:rPr>
            </w:pPr>
            <w:r>
              <w:rPr>
                <w:rFonts w:ascii="Times New Roman"/>
                <w:spacing w:val="-1"/>
                <w:sz w:val="18"/>
              </w:rPr>
              <w:t>1,011,545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7"/>
              <w:jc w:val="right"/>
              <w:rPr>
                <w:rFonts w:ascii="Times New Roman" w:hAnsi="Times New Roman" w:cs="Times New Roman" w:eastAsia="Times New Roman" w:hint="default"/>
                <w:sz w:val="18"/>
                <w:szCs w:val="18"/>
              </w:rPr>
            </w:pPr>
            <w:r>
              <w:rPr>
                <w:rFonts w:ascii="Times New Roman"/>
                <w:sz w:val="18"/>
              </w:rPr>
              <w:t>591,000</w:t>
            </w:r>
          </w:p>
        </w:tc>
      </w:tr>
      <w:tr>
        <w:trPr>
          <w:trHeight w:val="402" w:hRule="exact"/>
        </w:trPr>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倪晟杰</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7"/>
              <w:jc w:val="right"/>
              <w:rPr>
                <w:rFonts w:ascii="Times New Roman" w:hAnsi="Times New Roman" w:cs="Times New Roman" w:eastAsia="Times New Roman" w:hint="default"/>
                <w:sz w:val="18"/>
                <w:szCs w:val="18"/>
              </w:rPr>
            </w:pPr>
            <w:r>
              <w:rPr>
                <w:rFonts w:ascii="Times New Roman"/>
                <w:sz w:val="18"/>
              </w:rPr>
              <w:t>0.66%</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7"/>
              <w:jc w:val="right"/>
              <w:rPr>
                <w:rFonts w:ascii="Times New Roman" w:hAnsi="Times New Roman" w:cs="Times New Roman" w:eastAsia="Times New Roman" w:hint="default"/>
                <w:sz w:val="18"/>
                <w:szCs w:val="18"/>
              </w:rPr>
            </w:pPr>
            <w:r>
              <w:rPr>
                <w:rFonts w:ascii="Times New Roman"/>
                <w:sz w:val="18"/>
              </w:rPr>
              <w:t>438,800</w:t>
            </w:r>
          </w:p>
        </w:tc>
        <w:tc>
          <w:tcPr>
            <w:tcW w:w="994"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8"/>
              <w:jc w:val="right"/>
              <w:rPr>
                <w:rFonts w:ascii="Times New Roman" w:hAnsi="Times New Roman" w:cs="Times New Roman" w:eastAsia="Times New Roman" w:hint="default"/>
                <w:sz w:val="18"/>
                <w:szCs w:val="18"/>
              </w:rPr>
            </w:pPr>
            <w:r>
              <w:rPr>
                <w:rFonts w:ascii="Times New Roman"/>
                <w:sz w:val="18"/>
              </w:rPr>
              <w:t>0</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9"/>
              <w:jc w:val="right"/>
              <w:rPr>
                <w:rFonts w:ascii="Times New Roman" w:hAnsi="Times New Roman" w:cs="Times New Roman" w:eastAsia="Times New Roman" w:hint="default"/>
                <w:sz w:val="18"/>
                <w:szCs w:val="18"/>
              </w:rPr>
            </w:pPr>
            <w:r>
              <w:rPr>
                <w:rFonts w:ascii="Times New Roman"/>
                <w:sz w:val="18"/>
              </w:rPr>
              <w:t>438,800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80" w:right="79"/>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 成为前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pacing w:val="-10"/>
                <w:sz w:val="18"/>
                <w:szCs w:val="18"/>
              </w:rPr>
              <w:t>名股东的情况（如有）（参</w:t>
            </w:r>
            <w:r>
              <w:rPr>
                <w:rFonts w:ascii="宋体" w:hAnsi="宋体" w:cs="宋体" w:eastAsia="宋体" w:hint="default"/>
                <w:sz w:val="18"/>
                <w:szCs w:val="18"/>
              </w:rPr>
              <w:t> 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7029"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79"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731" w:hRule="exact"/>
        </w:trPr>
        <w:tc>
          <w:tcPr>
            <w:tcW w:w="30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46"/>
              <w:ind w:left="80" w:right="231"/>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7029" w:type="dxa"/>
            <w:gridSpan w:val="7"/>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79" w:right="81"/>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）杭州正元控股股东陈坚和李琳为夫妻关系，根据其声明李琳女士为陈坚先生的一致</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行动人；</w:t>
            </w:r>
          </w:p>
          <w:p>
            <w:pPr>
              <w:pStyle w:val="TableParagraph"/>
              <w:spacing w:line="240" w:lineRule="auto" w:before="68"/>
              <w:ind w:left="79"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）易康投资和正浩投资均系为实施员工股权激励而设立的持股公司，部分股东重合；</w:t>
            </w:r>
          </w:p>
          <w:p>
            <w:pPr>
              <w:pStyle w:val="TableParagraph"/>
              <w:spacing w:line="240" w:lineRule="auto" w:before="64"/>
              <w:ind w:left="79"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）陈坚持有易康投资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35.42%</w:t>
            </w:r>
            <w:r>
              <w:rPr>
                <w:rFonts w:ascii="宋体" w:hAnsi="宋体" w:cs="宋体" w:eastAsia="宋体" w:hint="default"/>
                <w:sz w:val="18"/>
                <w:szCs w:val="18"/>
              </w:rPr>
              <w:t>的股权；</w:t>
            </w:r>
          </w:p>
          <w:p>
            <w:pPr>
              <w:pStyle w:val="TableParagraph"/>
              <w:spacing w:line="240" w:lineRule="auto" w:before="102"/>
              <w:ind w:left="79"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）陈坚之妹陈英持有正浩投资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10.22%</w:t>
            </w:r>
            <w:r>
              <w:rPr>
                <w:rFonts w:ascii="宋体" w:hAnsi="宋体" w:cs="宋体" w:eastAsia="宋体" w:hint="default"/>
                <w:sz w:val="18"/>
                <w:szCs w:val="18"/>
              </w:rPr>
              <w:t>股权，且担任正浩投资的执行董事兼总经理。</w:t>
            </w:r>
          </w:p>
        </w:tc>
      </w:tr>
      <w:tr>
        <w:trPr>
          <w:trHeight w:val="402" w:hRule="exact"/>
        </w:trPr>
        <w:tc>
          <w:tcPr>
            <w:tcW w:w="10052"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402" w:hRule="exact"/>
        </w:trPr>
        <w:tc>
          <w:tcPr>
            <w:tcW w:w="302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4620"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953"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41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402" w:hRule="exact"/>
        </w:trPr>
        <w:tc>
          <w:tcPr>
            <w:tcW w:w="3023" w:type="dxa"/>
            <w:gridSpan w:val="2"/>
            <w:vMerge/>
            <w:tcBorders>
              <w:left w:val="single" w:sz="4" w:space="0" w:color="000000"/>
              <w:bottom w:val="single" w:sz="4" w:space="0" w:color="000000"/>
              <w:right w:val="single" w:sz="4" w:space="0" w:color="000000"/>
            </w:tcBorders>
            <w:shd w:val="clear" w:color="auto" w:fill="D2D2D2"/>
          </w:tcPr>
          <w:p>
            <w:pPr/>
          </w:p>
        </w:tc>
        <w:tc>
          <w:tcPr>
            <w:tcW w:w="4620" w:type="dxa"/>
            <w:gridSpan w:val="5"/>
            <w:vMerge/>
            <w:tcBorders>
              <w:left w:val="single" w:sz="4" w:space="0" w:color="000000"/>
              <w:bottom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3"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402" w:hRule="exact"/>
        </w:trPr>
        <w:tc>
          <w:tcPr>
            <w:tcW w:w="30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杭州易康投资管理有限公司</w:t>
            </w:r>
          </w:p>
        </w:tc>
        <w:tc>
          <w:tcPr>
            <w:tcW w:w="462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9"/>
              <w:jc w:val="right"/>
              <w:rPr>
                <w:rFonts w:ascii="Times New Roman" w:hAnsi="Times New Roman" w:cs="Times New Roman" w:eastAsia="Times New Roman" w:hint="default"/>
                <w:sz w:val="18"/>
                <w:szCs w:val="18"/>
              </w:rPr>
            </w:pPr>
            <w:r>
              <w:rPr>
                <w:rFonts w:ascii="Times New Roman"/>
                <w:sz w:val="18"/>
              </w:rPr>
              <w:t>4,592,996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7"/>
              <w:jc w:val="right"/>
              <w:rPr>
                <w:rFonts w:ascii="Times New Roman" w:hAnsi="Times New Roman" w:cs="Times New Roman" w:eastAsia="Times New Roman" w:hint="default"/>
                <w:sz w:val="18"/>
                <w:szCs w:val="18"/>
              </w:rPr>
            </w:pPr>
            <w:r>
              <w:rPr>
                <w:rFonts w:ascii="Times New Roman"/>
                <w:sz w:val="18"/>
              </w:rPr>
              <w:t>4,592,996</w:t>
            </w:r>
          </w:p>
        </w:tc>
      </w:tr>
      <w:tr>
        <w:trPr>
          <w:trHeight w:val="402" w:hRule="exact"/>
        </w:trPr>
        <w:tc>
          <w:tcPr>
            <w:tcW w:w="30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杭州正浩投资管理有限公司</w:t>
            </w:r>
          </w:p>
        </w:tc>
        <w:tc>
          <w:tcPr>
            <w:tcW w:w="462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9"/>
              <w:jc w:val="right"/>
              <w:rPr>
                <w:rFonts w:ascii="Times New Roman" w:hAnsi="Times New Roman" w:cs="Times New Roman" w:eastAsia="Times New Roman" w:hint="default"/>
                <w:sz w:val="18"/>
                <w:szCs w:val="18"/>
              </w:rPr>
            </w:pPr>
            <w:r>
              <w:rPr>
                <w:rFonts w:ascii="Times New Roman"/>
                <w:sz w:val="18"/>
              </w:rPr>
              <w:t>3,186,106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7"/>
              <w:jc w:val="right"/>
              <w:rPr>
                <w:rFonts w:ascii="Times New Roman" w:hAnsi="Times New Roman" w:cs="Times New Roman" w:eastAsia="Times New Roman" w:hint="default"/>
                <w:sz w:val="18"/>
                <w:szCs w:val="18"/>
              </w:rPr>
            </w:pPr>
            <w:r>
              <w:rPr>
                <w:rFonts w:ascii="Times New Roman"/>
                <w:sz w:val="18"/>
              </w:rPr>
              <w:t>3,186,106</w:t>
            </w:r>
          </w:p>
        </w:tc>
      </w:tr>
      <w:tr>
        <w:trPr>
          <w:trHeight w:val="402" w:hRule="exact"/>
        </w:trPr>
        <w:tc>
          <w:tcPr>
            <w:tcW w:w="30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浙江合力创业投资有限公司</w:t>
            </w:r>
          </w:p>
        </w:tc>
        <w:tc>
          <w:tcPr>
            <w:tcW w:w="462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9"/>
              <w:jc w:val="right"/>
              <w:rPr>
                <w:rFonts w:ascii="Times New Roman" w:hAnsi="Times New Roman" w:cs="Times New Roman" w:eastAsia="Times New Roman" w:hint="default"/>
                <w:sz w:val="18"/>
                <w:szCs w:val="18"/>
              </w:rPr>
            </w:pPr>
            <w:r>
              <w:rPr>
                <w:rFonts w:ascii="Times New Roman"/>
                <w:sz w:val="18"/>
              </w:rPr>
              <w:t>2,832,565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7"/>
              <w:jc w:val="right"/>
              <w:rPr>
                <w:rFonts w:ascii="Times New Roman" w:hAnsi="Times New Roman" w:cs="Times New Roman" w:eastAsia="Times New Roman" w:hint="default"/>
                <w:sz w:val="18"/>
                <w:szCs w:val="18"/>
              </w:rPr>
            </w:pPr>
            <w:r>
              <w:rPr>
                <w:rFonts w:ascii="Times New Roman"/>
                <w:sz w:val="18"/>
              </w:rPr>
              <w:t>2,832,565</w:t>
            </w:r>
          </w:p>
        </w:tc>
      </w:tr>
      <w:tr>
        <w:trPr>
          <w:trHeight w:val="402" w:hRule="exact"/>
        </w:trPr>
        <w:tc>
          <w:tcPr>
            <w:tcW w:w="30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浙江盈瓯创业投资有限公司</w:t>
            </w:r>
          </w:p>
        </w:tc>
        <w:tc>
          <w:tcPr>
            <w:tcW w:w="462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9"/>
              <w:jc w:val="right"/>
              <w:rPr>
                <w:rFonts w:ascii="Times New Roman" w:hAnsi="Times New Roman" w:cs="Times New Roman" w:eastAsia="Times New Roman" w:hint="default"/>
                <w:sz w:val="18"/>
                <w:szCs w:val="18"/>
              </w:rPr>
            </w:pPr>
            <w:r>
              <w:rPr>
                <w:rFonts w:ascii="Times New Roman"/>
                <w:sz w:val="18"/>
              </w:rPr>
              <w:t>1,680,589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7"/>
              <w:jc w:val="right"/>
              <w:rPr>
                <w:rFonts w:ascii="Times New Roman" w:hAnsi="Times New Roman" w:cs="Times New Roman" w:eastAsia="Times New Roman" w:hint="default"/>
                <w:sz w:val="18"/>
                <w:szCs w:val="18"/>
              </w:rPr>
            </w:pPr>
            <w:r>
              <w:rPr>
                <w:rFonts w:ascii="Times New Roman"/>
                <w:sz w:val="18"/>
              </w:rPr>
              <w:t>1,680,589</w:t>
            </w:r>
          </w:p>
        </w:tc>
      </w:tr>
      <w:tr>
        <w:trPr>
          <w:trHeight w:val="402" w:hRule="exact"/>
        </w:trPr>
        <w:tc>
          <w:tcPr>
            <w:tcW w:w="30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杭州乾盈投资管理有限公司</w:t>
            </w:r>
          </w:p>
        </w:tc>
        <w:tc>
          <w:tcPr>
            <w:tcW w:w="462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9"/>
              <w:jc w:val="right"/>
              <w:rPr>
                <w:rFonts w:ascii="Times New Roman" w:hAnsi="Times New Roman" w:cs="Times New Roman" w:eastAsia="Times New Roman" w:hint="default"/>
                <w:sz w:val="18"/>
                <w:szCs w:val="18"/>
              </w:rPr>
            </w:pPr>
            <w:r>
              <w:rPr>
                <w:rFonts w:ascii="Times New Roman"/>
                <w:sz w:val="18"/>
              </w:rPr>
              <w:t>1,631,363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7"/>
              <w:jc w:val="right"/>
              <w:rPr>
                <w:rFonts w:ascii="Times New Roman" w:hAnsi="Times New Roman" w:cs="Times New Roman" w:eastAsia="Times New Roman" w:hint="default"/>
                <w:sz w:val="18"/>
                <w:szCs w:val="18"/>
              </w:rPr>
            </w:pPr>
            <w:r>
              <w:rPr>
                <w:rFonts w:ascii="Times New Roman"/>
                <w:sz w:val="18"/>
              </w:rPr>
              <w:t>1,631,363</w:t>
            </w:r>
          </w:p>
        </w:tc>
      </w:tr>
      <w:tr>
        <w:trPr>
          <w:trHeight w:val="402" w:hRule="exact"/>
        </w:trPr>
        <w:tc>
          <w:tcPr>
            <w:tcW w:w="30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浙江连连投资有限公司</w:t>
            </w:r>
          </w:p>
        </w:tc>
        <w:tc>
          <w:tcPr>
            <w:tcW w:w="462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9"/>
              <w:jc w:val="right"/>
              <w:rPr>
                <w:rFonts w:ascii="Times New Roman" w:hAnsi="Times New Roman" w:cs="Times New Roman" w:eastAsia="Times New Roman" w:hint="default"/>
                <w:sz w:val="18"/>
                <w:szCs w:val="18"/>
              </w:rPr>
            </w:pPr>
            <w:r>
              <w:rPr>
                <w:rFonts w:ascii="Times New Roman"/>
                <w:sz w:val="18"/>
              </w:rPr>
              <w:t>1,540,500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7"/>
              <w:jc w:val="right"/>
              <w:rPr>
                <w:rFonts w:ascii="Times New Roman" w:hAnsi="Times New Roman" w:cs="Times New Roman" w:eastAsia="Times New Roman" w:hint="default"/>
                <w:sz w:val="18"/>
                <w:szCs w:val="18"/>
              </w:rPr>
            </w:pPr>
            <w:r>
              <w:rPr>
                <w:rFonts w:ascii="Times New Roman"/>
                <w:sz w:val="18"/>
              </w:rPr>
              <w:t>1,540,500</w:t>
            </w:r>
          </w:p>
        </w:tc>
      </w:tr>
      <w:tr>
        <w:trPr>
          <w:trHeight w:val="402" w:hRule="exact"/>
        </w:trPr>
        <w:tc>
          <w:tcPr>
            <w:tcW w:w="30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李成</w:t>
            </w:r>
          </w:p>
        </w:tc>
        <w:tc>
          <w:tcPr>
            <w:tcW w:w="462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9"/>
              <w:jc w:val="right"/>
              <w:rPr>
                <w:rFonts w:ascii="Times New Roman" w:hAnsi="Times New Roman" w:cs="Times New Roman" w:eastAsia="Times New Roman" w:hint="default"/>
                <w:sz w:val="18"/>
                <w:szCs w:val="18"/>
              </w:rPr>
            </w:pPr>
            <w:r>
              <w:rPr>
                <w:rFonts w:ascii="Times New Roman"/>
                <w:spacing w:val="-1"/>
                <w:sz w:val="18"/>
              </w:rPr>
              <w:t>1,011,545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7"/>
              <w:jc w:val="right"/>
              <w:rPr>
                <w:rFonts w:ascii="Times New Roman" w:hAnsi="Times New Roman" w:cs="Times New Roman" w:eastAsia="Times New Roman" w:hint="default"/>
                <w:sz w:val="18"/>
                <w:szCs w:val="18"/>
              </w:rPr>
            </w:pPr>
            <w:r>
              <w:rPr>
                <w:rFonts w:ascii="Times New Roman"/>
                <w:spacing w:val="-1"/>
                <w:sz w:val="18"/>
              </w:rPr>
              <w:t>1,011,545</w:t>
            </w:r>
          </w:p>
        </w:tc>
      </w:tr>
      <w:tr>
        <w:trPr>
          <w:trHeight w:val="402" w:hRule="exact"/>
        </w:trPr>
        <w:tc>
          <w:tcPr>
            <w:tcW w:w="30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倪晟杰</w:t>
            </w:r>
          </w:p>
        </w:tc>
        <w:tc>
          <w:tcPr>
            <w:tcW w:w="462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9"/>
              <w:jc w:val="right"/>
              <w:rPr>
                <w:rFonts w:ascii="Times New Roman" w:hAnsi="Times New Roman" w:cs="Times New Roman" w:eastAsia="Times New Roman" w:hint="default"/>
                <w:sz w:val="18"/>
                <w:szCs w:val="18"/>
              </w:rPr>
            </w:pPr>
            <w:r>
              <w:rPr>
                <w:rFonts w:ascii="Times New Roman"/>
                <w:sz w:val="18"/>
              </w:rPr>
              <w:t>438,800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7"/>
              <w:jc w:val="right"/>
              <w:rPr>
                <w:rFonts w:ascii="Times New Roman" w:hAnsi="Times New Roman" w:cs="Times New Roman" w:eastAsia="Times New Roman" w:hint="default"/>
                <w:sz w:val="18"/>
                <w:szCs w:val="18"/>
              </w:rPr>
            </w:pPr>
            <w:r>
              <w:rPr>
                <w:rFonts w:ascii="Times New Roman"/>
                <w:sz w:val="18"/>
              </w:rPr>
              <w:t>438,800</w:t>
            </w:r>
          </w:p>
        </w:tc>
      </w:tr>
      <w:tr>
        <w:trPr>
          <w:trHeight w:val="714" w:hRule="exact"/>
        </w:trPr>
        <w:tc>
          <w:tcPr>
            <w:tcW w:w="3023"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80" w:right="78"/>
              <w:jc w:val="left"/>
              <w:rPr>
                <w:rFonts w:ascii="宋体" w:hAnsi="宋体" w:cs="宋体" w:eastAsia="宋体" w:hint="default"/>
                <w:sz w:val="18"/>
                <w:szCs w:val="18"/>
              </w:rPr>
            </w:pPr>
            <w:r>
              <w:rPr>
                <w:rFonts w:ascii="宋体" w:hAnsi="宋体" w:cs="宋体" w:eastAsia="宋体" w:hint="default"/>
                <w:spacing w:val="-2"/>
                <w:sz w:val="18"/>
                <w:szCs w:val="18"/>
              </w:rPr>
              <w:t>舟山金础创业投资合伙企业（有限合</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伙）</w:t>
            </w:r>
          </w:p>
        </w:tc>
        <w:tc>
          <w:tcPr>
            <w:tcW w:w="462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79"/>
              <w:jc w:val="right"/>
              <w:rPr>
                <w:rFonts w:ascii="Times New Roman" w:hAnsi="Times New Roman" w:cs="Times New Roman" w:eastAsia="Times New Roman" w:hint="default"/>
                <w:sz w:val="18"/>
                <w:szCs w:val="18"/>
              </w:rPr>
            </w:pPr>
            <w:r>
              <w:rPr>
                <w:rFonts w:ascii="Times New Roman"/>
                <w:sz w:val="18"/>
              </w:rPr>
              <w:t>356,145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8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77"/>
              <w:jc w:val="right"/>
              <w:rPr>
                <w:rFonts w:ascii="Times New Roman" w:hAnsi="Times New Roman" w:cs="Times New Roman" w:eastAsia="Times New Roman" w:hint="default"/>
                <w:sz w:val="18"/>
                <w:szCs w:val="18"/>
              </w:rPr>
            </w:pPr>
            <w:r>
              <w:rPr>
                <w:rFonts w:ascii="Times New Roman"/>
                <w:sz w:val="18"/>
              </w:rPr>
              <w:t>356,145</w:t>
            </w:r>
          </w:p>
        </w:tc>
      </w:tr>
      <w:tr>
        <w:trPr>
          <w:trHeight w:val="402" w:hRule="exact"/>
        </w:trPr>
        <w:tc>
          <w:tcPr>
            <w:tcW w:w="30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80" w:right="0"/>
              <w:jc w:val="left"/>
              <w:rPr>
                <w:rFonts w:ascii="宋体" w:hAnsi="宋体" w:cs="宋体" w:eastAsia="宋体" w:hint="default"/>
                <w:sz w:val="18"/>
                <w:szCs w:val="18"/>
              </w:rPr>
            </w:pPr>
            <w:r>
              <w:rPr>
                <w:rFonts w:ascii="宋体" w:hAnsi="宋体" w:cs="宋体" w:eastAsia="宋体" w:hint="default"/>
                <w:sz w:val="18"/>
                <w:szCs w:val="18"/>
              </w:rPr>
              <w:t>博信优选（天津）股权投资基金合伙</w:t>
            </w:r>
          </w:p>
        </w:tc>
        <w:tc>
          <w:tcPr>
            <w:tcW w:w="462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9"/>
              <w:jc w:val="right"/>
              <w:rPr>
                <w:rFonts w:ascii="Times New Roman" w:hAnsi="Times New Roman" w:cs="Times New Roman" w:eastAsia="Times New Roman" w:hint="default"/>
                <w:sz w:val="18"/>
                <w:szCs w:val="18"/>
              </w:rPr>
            </w:pPr>
            <w:r>
              <w:rPr>
                <w:rFonts w:ascii="Times New Roman"/>
                <w:sz w:val="18"/>
              </w:rPr>
              <w:t>334,800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7"/>
              <w:jc w:val="right"/>
              <w:rPr>
                <w:rFonts w:ascii="Times New Roman" w:hAnsi="Times New Roman" w:cs="Times New Roman" w:eastAsia="Times New Roman" w:hint="default"/>
                <w:sz w:val="18"/>
                <w:szCs w:val="18"/>
              </w:rPr>
            </w:pPr>
            <w:r>
              <w:rPr>
                <w:rFonts w:ascii="Times New Roman"/>
                <w:sz w:val="18"/>
              </w:rPr>
              <w:t>334,800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82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0" w:type="dxa"/>
        <w:tblLayout w:type="fixed"/>
        <w:tblCellMar>
          <w:top w:w="0" w:type="dxa"/>
          <w:left w:w="0" w:type="dxa"/>
          <w:bottom w:w="0" w:type="dxa"/>
          <w:right w:w="0" w:type="dxa"/>
        </w:tblCellMar>
        <w:tblLook w:val="01E0"/>
      </w:tblPr>
      <w:tblGrid>
        <w:gridCol w:w="3023"/>
        <w:gridCol w:w="4620"/>
        <w:gridCol w:w="1276"/>
        <w:gridCol w:w="1134"/>
      </w:tblGrid>
      <w:tr>
        <w:trPr>
          <w:trHeight w:val="362" w:hRule="exact"/>
        </w:trPr>
        <w:tc>
          <w:tcPr>
            <w:tcW w:w="3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80" w:right="0"/>
              <w:jc w:val="left"/>
              <w:rPr>
                <w:rFonts w:ascii="宋体" w:hAnsi="宋体" w:cs="宋体" w:eastAsia="宋体" w:hint="default"/>
                <w:sz w:val="18"/>
                <w:szCs w:val="18"/>
              </w:rPr>
            </w:pPr>
            <w:r>
              <w:rPr>
                <w:rFonts w:ascii="宋体" w:hAnsi="宋体" w:cs="宋体" w:eastAsia="宋体" w:hint="default"/>
                <w:sz w:val="18"/>
                <w:szCs w:val="18"/>
              </w:rPr>
              <w:t>企业（有限合伙）</w:t>
            </w:r>
          </w:p>
        </w:tc>
        <w:tc>
          <w:tcPr>
            <w:tcW w:w="462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2434" w:hRule="exact"/>
        </w:trPr>
        <w:tc>
          <w:tcPr>
            <w:tcW w:w="30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80"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名无限售流通股股东之间，以</w:t>
            </w:r>
          </w:p>
          <w:p>
            <w:pPr>
              <w:pStyle w:val="TableParagraph"/>
              <w:spacing w:line="309" w:lineRule="auto" w:before="62"/>
              <w:ind w:left="80" w:right="95"/>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名股东之间关联关系或一致行动的 说明</w:t>
            </w:r>
          </w:p>
        </w:tc>
        <w:tc>
          <w:tcPr>
            <w:tcW w:w="703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9"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）易康投资和正浩投资均系为实施员工股权激励而设立的持股公司，部分股东重合；</w:t>
            </w:r>
          </w:p>
          <w:p>
            <w:pPr>
              <w:pStyle w:val="TableParagraph"/>
              <w:spacing w:line="240" w:lineRule="auto" w:before="103"/>
              <w:ind w:left="79"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）公司实际控制人陈坚持有易康投资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35.42%</w:t>
            </w:r>
            <w:r>
              <w:rPr>
                <w:rFonts w:ascii="宋体" w:hAnsi="宋体" w:cs="宋体" w:eastAsia="宋体" w:hint="default"/>
                <w:sz w:val="18"/>
                <w:szCs w:val="18"/>
              </w:rPr>
              <w:t>的股权；</w:t>
            </w:r>
          </w:p>
          <w:p>
            <w:pPr>
              <w:pStyle w:val="TableParagraph"/>
              <w:spacing w:line="240" w:lineRule="auto" w:before="102"/>
              <w:ind w:left="79"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）陈坚之妹陈英持有正浩投资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10.22%</w:t>
            </w:r>
            <w:r>
              <w:rPr>
                <w:rFonts w:ascii="宋体" w:hAnsi="宋体" w:cs="宋体" w:eastAsia="宋体" w:hint="default"/>
                <w:sz w:val="18"/>
                <w:szCs w:val="18"/>
              </w:rPr>
              <w:t>股权，且担任正浩投资的执行董事兼总经理；</w:t>
            </w:r>
          </w:p>
          <w:p>
            <w:pPr>
              <w:pStyle w:val="TableParagraph"/>
              <w:spacing w:line="240" w:lineRule="auto" w:before="101"/>
              <w:ind w:left="79"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名股东中，易康投资、正浩投资、合力创投、盈瓯创投、乾盈投资、连</w:t>
            </w:r>
          </w:p>
          <w:p>
            <w:pPr>
              <w:pStyle w:val="TableParagraph"/>
              <w:spacing w:line="240" w:lineRule="auto" w:before="64"/>
              <w:ind w:left="79" w:right="0"/>
              <w:jc w:val="left"/>
              <w:rPr>
                <w:rFonts w:ascii="宋体" w:hAnsi="宋体" w:cs="宋体" w:eastAsia="宋体" w:hint="default"/>
                <w:sz w:val="18"/>
                <w:szCs w:val="18"/>
              </w:rPr>
            </w:pPr>
            <w:r>
              <w:rPr>
                <w:rFonts w:ascii="宋体" w:hAnsi="宋体" w:cs="宋体" w:eastAsia="宋体" w:hint="default"/>
                <w:sz w:val="18"/>
                <w:szCs w:val="18"/>
              </w:rPr>
              <w:t>连投资、李成、倪晟杰亦为公司前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w:t>
            </w:r>
          </w:p>
          <w:p>
            <w:pPr>
              <w:pStyle w:val="TableParagraph"/>
              <w:spacing w:line="302" w:lineRule="auto" w:before="102"/>
              <w:ind w:left="79" w:right="79"/>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）公司未知其他前</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名无限售流通股股东之间，以及前</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名无限售流通股股东和公 司限售股股东之间是否存在关联关系，也未知是否属于一致行动人。</w:t>
            </w:r>
          </w:p>
        </w:tc>
      </w:tr>
      <w:tr>
        <w:trPr>
          <w:trHeight w:val="714" w:hRule="exact"/>
        </w:trPr>
        <w:tc>
          <w:tcPr>
            <w:tcW w:w="30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0" w:right="78"/>
              <w:jc w:val="left"/>
              <w:rPr>
                <w:rFonts w:ascii="宋体" w:hAnsi="宋体" w:cs="宋体" w:eastAsia="宋体" w:hint="default"/>
                <w:sz w:val="18"/>
                <w:szCs w:val="18"/>
              </w:rPr>
            </w:pPr>
            <w:r>
              <w:rPr>
                <w:rFonts w:ascii="宋体" w:hAnsi="宋体" w:cs="宋体" w:eastAsia="宋体" w:hint="default"/>
                <w:spacing w:val="-2"/>
                <w:sz w:val="18"/>
                <w:szCs w:val="18"/>
              </w:rPr>
              <w:t>参与融资融券业务股东情况说明（如</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5"/>
                <w:sz w:val="18"/>
                <w:szCs w:val="18"/>
              </w:rPr>
              <w:t>有）（参见注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703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79"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5"/>
          <w:szCs w:val="15"/>
        </w:rPr>
      </w:pPr>
    </w:p>
    <w:p>
      <w:pPr>
        <w:spacing w:before="0"/>
        <w:ind w:left="314"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名无限售条件普通股股东在报告期内是否进行约定购回交易</w:t>
      </w:r>
    </w:p>
    <w:p>
      <w:pPr>
        <w:spacing w:before="102"/>
        <w:ind w:left="31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before="103"/>
        <w:ind w:left="314"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名无限售条件普通股股东在报告期内未进行约定购回交易。</w:t>
      </w:r>
    </w:p>
    <w:p>
      <w:pPr>
        <w:spacing w:line="240" w:lineRule="auto" w:before="9"/>
        <w:rPr>
          <w:rFonts w:ascii="宋体" w:hAnsi="宋体" w:cs="宋体" w:eastAsia="宋体" w:hint="default"/>
          <w:sz w:val="25"/>
          <w:szCs w:val="25"/>
        </w:rPr>
      </w:pPr>
    </w:p>
    <w:p>
      <w:pPr>
        <w:spacing w:before="0"/>
        <w:ind w:left="314" w:right="0" w:firstLine="0"/>
        <w:jc w:val="left"/>
        <w:rPr>
          <w:rFonts w:ascii="宋体" w:hAnsi="宋体" w:cs="宋体" w:eastAsia="宋体" w:hint="default"/>
          <w:sz w:val="21"/>
          <w:szCs w:val="21"/>
        </w:rPr>
      </w:pPr>
      <w:bookmarkStart w:name="2、公司控股股东情况" w:id="114"/>
      <w:bookmarkEnd w:id="114"/>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、公司控股股东情况</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line="357" w:lineRule="auto" w:before="0"/>
        <w:ind w:left="314" w:right="8592" w:firstLine="0"/>
        <w:jc w:val="left"/>
        <w:rPr>
          <w:rFonts w:ascii="宋体" w:hAnsi="宋体" w:cs="宋体" w:eastAsia="宋体" w:hint="default"/>
          <w:sz w:val="18"/>
          <w:szCs w:val="18"/>
        </w:rPr>
      </w:pPr>
      <w:r>
        <w:rPr>
          <w:rFonts w:ascii="宋体" w:hAnsi="宋体" w:cs="宋体" w:eastAsia="宋体" w:hint="default"/>
          <w:sz w:val="18"/>
          <w:szCs w:val="18"/>
        </w:rPr>
        <w:t>控股股东性质：自然人控股 控股股东类型：法人</w:t>
      </w:r>
    </w:p>
    <w:tbl>
      <w:tblPr>
        <w:tblW w:w="0" w:type="auto"/>
        <w:jc w:val="left"/>
        <w:tblInd w:w="309" w:type="dxa"/>
        <w:tblLayout w:type="fixed"/>
        <w:tblCellMar>
          <w:top w:w="0" w:type="dxa"/>
          <w:left w:w="0" w:type="dxa"/>
          <w:bottom w:w="0" w:type="dxa"/>
          <w:right w:w="0" w:type="dxa"/>
        </w:tblCellMar>
        <w:tblLook w:val="01E0"/>
      </w:tblPr>
      <w:tblGrid>
        <w:gridCol w:w="2200"/>
        <w:gridCol w:w="1792"/>
        <w:gridCol w:w="1592"/>
        <w:gridCol w:w="1754"/>
        <w:gridCol w:w="2231"/>
      </w:tblGrid>
      <w:tr>
        <w:trPr>
          <w:trHeight w:val="714" w:hRule="exact"/>
        </w:trPr>
        <w:tc>
          <w:tcPr>
            <w:tcW w:w="2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54"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800" w:right="54" w:hanging="74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单位负责 人</w:t>
            </w: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17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组织机构代码</w:t>
            </w:r>
          </w:p>
        </w:tc>
        <w:tc>
          <w:tcPr>
            <w:tcW w:w="2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69"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714" w:hRule="exact"/>
        </w:trPr>
        <w:tc>
          <w:tcPr>
            <w:tcW w:w="22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85"/>
              <w:jc w:val="left"/>
              <w:rPr>
                <w:rFonts w:ascii="宋体" w:hAnsi="宋体" w:cs="宋体" w:eastAsia="宋体" w:hint="default"/>
                <w:sz w:val="18"/>
                <w:szCs w:val="18"/>
              </w:rPr>
            </w:pPr>
            <w:r>
              <w:rPr>
                <w:rFonts w:ascii="宋体" w:hAnsi="宋体" w:cs="宋体" w:eastAsia="宋体" w:hint="default"/>
                <w:sz w:val="18"/>
                <w:szCs w:val="18"/>
              </w:rPr>
              <w:t>杭州正元企业管理咨询有 限公司</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陈坚</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58"/>
              <w:jc w:val="center"/>
              <w:rPr>
                <w:rFonts w:ascii="宋体" w:hAnsi="宋体" w:cs="宋体" w:eastAsia="宋体" w:hint="default"/>
                <w:sz w:val="18"/>
                <w:szCs w:val="18"/>
              </w:rPr>
            </w:pPr>
            <w:r>
              <w:rPr>
                <w:rFonts w:ascii="Times New Roman" w:hAnsi="Times New Roman" w:cs="Times New Roman" w:eastAsia="Times New Roman" w:hint="default"/>
                <w:sz w:val="18"/>
                <w:szCs w:val="18"/>
              </w:rPr>
              <w:t>2001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74"/>
              <w:jc w:val="center"/>
              <w:rPr>
                <w:rFonts w:ascii="Times New Roman" w:hAnsi="Times New Roman" w:cs="Times New Roman" w:eastAsia="Times New Roman" w:hint="default"/>
                <w:sz w:val="18"/>
                <w:szCs w:val="18"/>
              </w:rPr>
            </w:pPr>
            <w:r>
              <w:rPr>
                <w:rFonts w:ascii="Times New Roman"/>
                <w:sz w:val="18"/>
              </w:rPr>
              <w:t>913301087337992009</w:t>
            </w:r>
          </w:p>
        </w:tc>
        <w:tc>
          <w:tcPr>
            <w:tcW w:w="2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企业管理咨询</w:t>
            </w:r>
          </w:p>
        </w:tc>
      </w:tr>
      <w:tr>
        <w:trPr>
          <w:trHeight w:val="1027" w:hRule="exact"/>
        </w:trPr>
        <w:tc>
          <w:tcPr>
            <w:tcW w:w="2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85"/>
              <w:jc w:val="both"/>
              <w:rPr>
                <w:rFonts w:ascii="宋体" w:hAnsi="宋体" w:cs="宋体" w:eastAsia="宋体" w:hint="default"/>
                <w:sz w:val="18"/>
                <w:szCs w:val="18"/>
              </w:rPr>
            </w:pPr>
            <w:r>
              <w:rPr>
                <w:rFonts w:ascii="宋体" w:hAnsi="宋体" w:cs="宋体" w:eastAsia="宋体" w:hint="default"/>
                <w:sz w:val="18"/>
                <w:szCs w:val="18"/>
              </w:rPr>
              <w:t>控股股东报告期内控股和 参股的其他境内外上市公 司的股权情况</w:t>
            </w:r>
          </w:p>
        </w:tc>
        <w:tc>
          <w:tcPr>
            <w:tcW w:w="736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68"/>
        <w:ind w:left="314" w:right="0" w:firstLine="0"/>
        <w:jc w:val="left"/>
        <w:rPr>
          <w:rFonts w:ascii="宋体" w:hAnsi="宋体" w:cs="宋体" w:eastAsia="宋体" w:hint="default"/>
          <w:sz w:val="18"/>
          <w:szCs w:val="18"/>
        </w:rPr>
      </w:pPr>
      <w:r>
        <w:rPr>
          <w:rFonts w:ascii="宋体" w:hAnsi="宋体" w:cs="宋体" w:eastAsia="宋体" w:hint="default"/>
          <w:sz w:val="18"/>
          <w:szCs w:val="18"/>
        </w:rPr>
        <w:t>控股股东报告期内变更</w:t>
      </w:r>
    </w:p>
    <w:p>
      <w:pPr>
        <w:spacing w:line="340" w:lineRule="auto" w:before="116"/>
        <w:ind w:left="314" w:right="67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公司报告期控股股东未发生变更。</w:t>
      </w:r>
    </w:p>
    <w:p>
      <w:pPr>
        <w:spacing w:line="240" w:lineRule="auto" w:before="12"/>
        <w:rPr>
          <w:rFonts w:ascii="宋体" w:hAnsi="宋体" w:cs="宋体" w:eastAsia="宋体" w:hint="default"/>
          <w:sz w:val="20"/>
          <w:szCs w:val="20"/>
        </w:rPr>
      </w:pPr>
    </w:p>
    <w:p>
      <w:pPr>
        <w:spacing w:before="0"/>
        <w:ind w:left="314" w:right="0" w:firstLine="0"/>
        <w:jc w:val="left"/>
        <w:rPr>
          <w:rFonts w:ascii="宋体" w:hAnsi="宋体" w:cs="宋体" w:eastAsia="宋体" w:hint="default"/>
          <w:sz w:val="21"/>
          <w:szCs w:val="21"/>
        </w:rPr>
      </w:pPr>
      <w:bookmarkStart w:name="3、公司实际控制人及其一致行动人" w:id="115"/>
      <w:bookmarkEnd w:id="115"/>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、公司实际控制人及其一致行动人</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line="357" w:lineRule="auto" w:before="0"/>
        <w:ind w:left="314" w:right="8412" w:firstLine="0"/>
        <w:jc w:val="left"/>
        <w:rPr>
          <w:rFonts w:ascii="宋体" w:hAnsi="宋体" w:cs="宋体" w:eastAsia="宋体" w:hint="default"/>
          <w:sz w:val="18"/>
          <w:szCs w:val="18"/>
        </w:rPr>
      </w:pPr>
      <w:r>
        <w:rPr>
          <w:rFonts w:ascii="宋体" w:hAnsi="宋体" w:cs="宋体" w:eastAsia="宋体" w:hint="default"/>
          <w:sz w:val="18"/>
          <w:szCs w:val="18"/>
        </w:rPr>
        <w:t>实际控制人性质：境内自然人 实际控制人类型：自然人</w:t>
      </w:r>
    </w:p>
    <w:tbl>
      <w:tblPr>
        <w:tblW w:w="0" w:type="auto"/>
        <w:jc w:val="left"/>
        <w:tblInd w:w="309" w:type="dxa"/>
        <w:tblLayout w:type="fixed"/>
        <w:tblCellMar>
          <w:top w:w="0" w:type="dxa"/>
          <w:left w:w="0" w:type="dxa"/>
          <w:bottom w:w="0" w:type="dxa"/>
          <w:right w:w="0" w:type="dxa"/>
        </w:tblCellMar>
        <w:tblLook w:val="01E0"/>
      </w:tblPr>
      <w:tblGrid>
        <w:gridCol w:w="2392"/>
        <w:gridCol w:w="2393"/>
        <w:gridCol w:w="2392"/>
        <w:gridCol w:w="2392"/>
      </w:tblGrid>
      <w:tr>
        <w:trPr>
          <w:trHeight w:val="71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60"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71" w:right="0"/>
              <w:jc w:val="left"/>
              <w:rPr>
                <w:rFonts w:ascii="宋体" w:hAnsi="宋体" w:cs="宋体" w:eastAsia="宋体" w:hint="default"/>
                <w:sz w:val="18"/>
                <w:szCs w:val="18"/>
              </w:rPr>
            </w:pPr>
            <w:r>
              <w:rPr>
                <w:rFonts w:ascii="宋体" w:hAnsi="宋体" w:cs="宋体" w:eastAsia="宋体" w:hint="default"/>
                <w:sz w:val="18"/>
                <w:szCs w:val="18"/>
              </w:rPr>
              <w:t>与实际控制人关系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国籍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10" w:right="109" w:hanging="900"/>
              <w:jc w:val="left"/>
              <w:rPr>
                <w:rFonts w:ascii="宋体" w:hAnsi="宋体" w:cs="宋体" w:eastAsia="宋体" w:hint="default"/>
                <w:sz w:val="18"/>
                <w:szCs w:val="18"/>
              </w:rPr>
            </w:pPr>
            <w:r>
              <w:rPr>
                <w:rFonts w:ascii="宋体" w:hAnsi="宋体" w:cs="宋体" w:eastAsia="宋体" w:hint="default"/>
                <w:sz w:val="18"/>
                <w:szCs w:val="18"/>
              </w:rPr>
              <w:t>是否取得其他国家或地区居 留权</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陈坚</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李琳</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21"/>
              <w:jc w:val="left"/>
              <w:rPr>
                <w:rFonts w:ascii="宋体" w:hAnsi="宋体" w:cs="宋体" w:eastAsia="宋体" w:hint="default"/>
                <w:sz w:val="18"/>
                <w:szCs w:val="18"/>
              </w:rPr>
            </w:pPr>
            <w:r>
              <w:rPr>
                <w:rFonts w:ascii="宋体" w:hAnsi="宋体" w:cs="宋体" w:eastAsia="宋体" w:hint="default"/>
                <w:sz w:val="18"/>
                <w:szCs w:val="18"/>
              </w:rPr>
              <w:t>一致行动（含协议、亲属、同 一控制）</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717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陈坚先生为公司董事长兼总经理。</w:t>
            </w:r>
          </w:p>
        </w:tc>
      </w:tr>
    </w:tbl>
    <w:p>
      <w:pPr>
        <w:spacing w:after="0" w:line="240" w:lineRule="auto"/>
        <w:jc w:val="left"/>
        <w:rPr>
          <w:rFonts w:ascii="宋体" w:hAnsi="宋体" w:cs="宋体" w:eastAsia="宋体" w:hint="default"/>
          <w:sz w:val="18"/>
          <w:szCs w:val="18"/>
        </w:rPr>
        <w:sectPr>
          <w:pgSz w:w="11910" w:h="16840"/>
          <w:pgMar w:header="747" w:footer="979" w:top="1060" w:bottom="1160" w:left="820" w:right="0"/>
        </w:sectPr>
      </w:pPr>
    </w:p>
    <w:p>
      <w:pPr>
        <w:spacing w:line="240" w:lineRule="auto" w:before="6"/>
        <w:rPr>
          <w:rFonts w:ascii="宋体" w:hAnsi="宋体" w:cs="宋体" w:eastAsia="宋体" w:hint="default"/>
          <w:sz w:val="3"/>
          <w:szCs w:val="3"/>
        </w:rPr>
      </w:pPr>
    </w:p>
    <w:tbl>
      <w:tblPr>
        <w:tblW w:w="0" w:type="auto"/>
        <w:jc w:val="left"/>
        <w:tblInd w:w="149" w:type="dxa"/>
        <w:tblLayout w:type="fixed"/>
        <w:tblCellMar>
          <w:top w:w="0" w:type="dxa"/>
          <w:left w:w="0" w:type="dxa"/>
          <w:bottom w:w="0" w:type="dxa"/>
          <w:right w:w="0" w:type="dxa"/>
        </w:tblCellMar>
        <w:tblLook w:val="01E0"/>
      </w:tblPr>
      <w:tblGrid>
        <w:gridCol w:w="2392"/>
        <w:gridCol w:w="7177"/>
      </w:tblGrid>
      <w:tr>
        <w:trPr>
          <w:trHeight w:val="332" w:hRule="exact"/>
        </w:trPr>
        <w:tc>
          <w:tcPr>
            <w:tcW w:w="2392" w:type="dxa"/>
            <w:tcBorders>
              <w:top w:val="nil" w:sz="6" w:space="0" w:color="auto"/>
              <w:left w:val="nil" w:sz="6" w:space="0" w:color="auto"/>
              <w:bottom w:val="single" w:sz="4" w:space="0" w:color="000000"/>
              <w:right w:val="nil" w:sz="6" w:space="0" w:color="auto"/>
            </w:tcBorders>
          </w:tcPr>
          <w:p>
            <w:pPr/>
          </w:p>
        </w:tc>
        <w:tc>
          <w:tcPr>
            <w:tcW w:w="7177" w:type="dxa"/>
            <w:tcBorders>
              <w:top w:val="nil" w:sz="6" w:space="0" w:color="auto"/>
              <w:left w:val="nil" w:sz="6" w:space="0" w:color="auto"/>
              <w:bottom w:val="single" w:sz="4" w:space="0" w:color="000000"/>
              <w:right w:val="nil" w:sz="6" w:space="0" w:color="auto"/>
            </w:tcBorders>
          </w:tcPr>
          <w:p>
            <w:pP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 市公司情况</w:t>
            </w:r>
          </w:p>
        </w:tc>
        <w:tc>
          <w:tcPr>
            <w:tcW w:w="7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51"/>
        <w:ind w:left="154" w:right="0" w:firstLine="0"/>
        <w:jc w:val="left"/>
        <w:rPr>
          <w:rFonts w:ascii="宋体" w:hAnsi="宋体" w:cs="宋体" w:eastAsia="宋体" w:hint="default"/>
          <w:sz w:val="18"/>
          <w:szCs w:val="18"/>
        </w:rPr>
      </w:pPr>
      <w:r>
        <w:rPr/>
        <w:pict>
          <v:group style="position:absolute;margin-left:55.200001pt;margin-top:-52.578308pt;width:485pt;height:.1pt;mso-position-horizontal-relative:page;mso-position-vertical-relative:paragraph;z-index:-1009624" coordorigin="1104,-1052" coordsize="9700,2">
            <v:shape style="position:absolute;left:1104;top:-1052;width:9700;height:2" coordorigin="1104,-1052" coordsize="9700,0" path="m1104,-1052l10804,-1052e" filled="false" stroked="true" strokeweight=".72pt" strokecolor="#000000">
              <v:path arrowok="t"/>
            </v:shape>
            <w10:wrap type="none"/>
          </v:group>
        </w:pict>
      </w:r>
      <w:r>
        <w:rPr>
          <w:rFonts w:ascii="宋体" w:hAnsi="宋体" w:cs="宋体" w:eastAsia="宋体" w:hint="default"/>
          <w:sz w:val="18"/>
          <w:szCs w:val="18"/>
        </w:rPr>
        <w:t>实际控制人报告期内变更</w:t>
      </w:r>
    </w:p>
    <w:p>
      <w:pPr>
        <w:spacing w:line="350" w:lineRule="auto" w:before="117"/>
        <w:ind w:left="154" w:right="67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公司报告期实际控制人未发生变更。 公司与实际控制人之间的产权及控制关系的方框图</w:t>
      </w:r>
    </w:p>
    <w:p>
      <w:pPr>
        <w:spacing w:line="240" w:lineRule="auto" w:before="1"/>
        <w:rPr>
          <w:rFonts w:ascii="宋体" w:hAnsi="宋体" w:cs="宋体" w:eastAsia="宋体" w:hint="default"/>
          <w:sz w:val="17"/>
          <w:szCs w:val="17"/>
        </w:rPr>
      </w:pPr>
    </w:p>
    <w:p>
      <w:pPr>
        <w:spacing w:line="3348" w:lineRule="exact"/>
        <w:ind w:left="2080" w:right="0" w:firstLine="0"/>
        <w:rPr>
          <w:rFonts w:ascii="宋体" w:hAnsi="宋体" w:cs="宋体" w:eastAsia="宋体" w:hint="default"/>
          <w:sz w:val="20"/>
          <w:szCs w:val="20"/>
        </w:rPr>
      </w:pPr>
      <w:r>
        <w:rPr>
          <w:rFonts w:ascii="宋体" w:hAnsi="宋体" w:cs="宋体" w:eastAsia="宋体" w:hint="default"/>
          <w:position w:val="-66"/>
          <w:sz w:val="20"/>
          <w:szCs w:val="20"/>
        </w:rPr>
        <w:drawing>
          <wp:inline distT="0" distB="0" distL="0" distR="0">
            <wp:extent cx="3673474" cy="2125979"/>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2" cstate="print"/>
                    <a:stretch>
                      <a:fillRect/>
                    </a:stretch>
                  </pic:blipFill>
                  <pic:spPr>
                    <a:xfrm>
                      <a:off x="0" y="0"/>
                      <a:ext cx="3673474" cy="2125979"/>
                    </a:xfrm>
                    <a:prstGeom prst="rect">
                      <a:avLst/>
                    </a:prstGeom>
                  </pic:spPr>
                </pic:pic>
              </a:graphicData>
            </a:graphic>
          </wp:inline>
        </w:drawing>
      </w:r>
      <w:r>
        <w:rPr>
          <w:rFonts w:ascii="宋体" w:hAnsi="宋体" w:cs="宋体" w:eastAsia="宋体" w:hint="default"/>
          <w:position w:val="-66"/>
          <w:sz w:val="20"/>
          <w:szCs w:val="20"/>
        </w:rPr>
      </w:r>
    </w:p>
    <w:p>
      <w:pPr>
        <w:spacing w:line="240" w:lineRule="auto" w:before="7"/>
        <w:rPr>
          <w:rFonts w:ascii="宋体" w:hAnsi="宋体" w:cs="宋体" w:eastAsia="宋体" w:hint="default"/>
          <w:sz w:val="15"/>
          <w:szCs w:val="15"/>
        </w:rPr>
      </w:pPr>
    </w:p>
    <w:p>
      <w:pPr>
        <w:pStyle w:val="BodyText"/>
        <w:spacing w:line="240" w:lineRule="auto" w:before="0"/>
        <w:ind w:right="0"/>
        <w:jc w:val="left"/>
      </w:pPr>
      <w:r>
        <w:rPr/>
        <w:t>实际控制人通过信托或其他资产管理方式控制公司</w:t>
      </w:r>
    </w:p>
    <w:p>
      <w:pPr>
        <w:spacing w:line="240" w:lineRule="auto" w:before="1"/>
        <w:rPr>
          <w:rFonts w:ascii="宋体" w:hAnsi="宋体" w:cs="宋体" w:eastAsia="宋体" w:hint="default"/>
          <w:sz w:val="19"/>
          <w:szCs w:val="19"/>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spacing w:before="0"/>
        <w:ind w:left="154" w:right="0" w:firstLine="0"/>
        <w:jc w:val="left"/>
        <w:rPr>
          <w:rFonts w:ascii="宋体" w:hAnsi="宋体" w:cs="宋体" w:eastAsia="宋体" w:hint="default"/>
          <w:sz w:val="21"/>
          <w:szCs w:val="21"/>
        </w:rPr>
      </w:pPr>
      <w:bookmarkStart w:name="4、其他持股在10%以上的法人股东" w:id="116"/>
      <w:bookmarkEnd w:id="116"/>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、其他持股在</w:t>
      </w:r>
      <w:r>
        <w:rPr>
          <w:rFonts w:ascii="宋体" w:hAnsi="宋体" w:cs="宋体" w:eastAsia="宋体" w:hint="default"/>
          <w:b/>
          <w:bCs/>
          <w:spacing w:val="-57"/>
          <w:sz w:val="21"/>
          <w:szCs w:val="21"/>
        </w:rPr>
        <w:t> </w:t>
      </w: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以上的法人股东</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spacing w:before="0"/>
        <w:ind w:left="154" w:right="0" w:firstLine="0"/>
        <w:jc w:val="left"/>
        <w:rPr>
          <w:rFonts w:ascii="宋体" w:hAnsi="宋体" w:cs="宋体" w:eastAsia="宋体" w:hint="default"/>
          <w:sz w:val="21"/>
          <w:szCs w:val="21"/>
        </w:rPr>
      </w:pPr>
      <w:bookmarkStart w:name="5、控股股东、实际控制人、重组方及其他承诺主体股份限制减持情况" w:id="117"/>
      <w:bookmarkEnd w:id="117"/>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、控股股东、实际控制人、重组方及其他承诺主体股份限制减持情况</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Heading1"/>
        <w:spacing w:line="240" w:lineRule="auto"/>
        <w:ind w:left="3286" w:right="0"/>
        <w:jc w:val="left"/>
        <w:rPr>
          <w:b w:val="0"/>
          <w:bCs w:val="0"/>
        </w:rPr>
      </w:pPr>
      <w:bookmarkStart w:name="第七节 优先股相关情况" w:id="118"/>
      <w:bookmarkEnd w:id="118"/>
      <w:r>
        <w:rPr>
          <w:b w:val="0"/>
          <w:bCs w:val="0"/>
        </w:rPr>
      </w:r>
      <w:bookmarkStart w:name="_bookmark5" w:id="119"/>
      <w:bookmarkEnd w:id="119"/>
      <w:r>
        <w:rPr>
          <w:b w:val="0"/>
          <w:bCs w:val="0"/>
        </w:rPr>
      </w:r>
      <w:r>
        <w:rPr/>
        <w:t>第七节</w:t>
      </w:r>
      <w:r>
        <w:rPr>
          <w:spacing w:val="-8"/>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spacing w:line="338" w:lineRule="auto" w:before="44"/>
        <w:ind w:left="154" w:right="85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报告期公司不存在优先股。</w:t>
      </w:r>
    </w:p>
    <w:p>
      <w:pPr>
        <w:spacing w:after="0" w:line="338"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020" w:right="0"/>
        <w:jc w:val="left"/>
        <w:rPr>
          <w:b w:val="0"/>
          <w:bCs w:val="0"/>
        </w:rPr>
      </w:pPr>
      <w:bookmarkStart w:name="第八节 董事、监事、高级管理人员和员工情况" w:id="120"/>
      <w:bookmarkEnd w:id="120"/>
      <w:r>
        <w:rPr>
          <w:b w:val="0"/>
          <w:bCs w:val="0"/>
        </w:rPr>
      </w:r>
      <w:bookmarkStart w:name="_bookmark6" w:id="121"/>
      <w:bookmarkEnd w:id="121"/>
      <w:r>
        <w:rPr>
          <w:b w:val="0"/>
          <w:bCs w:val="0"/>
        </w:rPr>
      </w:r>
      <w:r>
        <w:rPr/>
        <w:t>第八节</w:t>
      </w:r>
      <w:r>
        <w:rPr>
          <w:spacing w:val="-16"/>
        </w:rPr>
        <w:t> </w:t>
      </w:r>
      <w:r>
        <w:rPr/>
        <w:t>董事、监事、高级管理人员和员工情况</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left="494" w:right="0"/>
        <w:jc w:val="left"/>
        <w:rPr>
          <w:b w:val="0"/>
          <w:bCs w:val="0"/>
        </w:rPr>
      </w:pPr>
      <w:bookmarkStart w:name="一、董事、监事和高级管理人员持股变动" w:id="122"/>
      <w:bookmarkEnd w:id="122"/>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10" w:type="dxa"/>
        <w:tblLayout w:type="fixed"/>
        <w:tblCellMar>
          <w:top w:w="0" w:type="dxa"/>
          <w:left w:w="0" w:type="dxa"/>
          <w:bottom w:w="0" w:type="dxa"/>
          <w:right w:w="0" w:type="dxa"/>
        </w:tblCellMar>
        <w:tblLook w:val="01E0"/>
      </w:tblPr>
      <w:tblGrid>
        <w:gridCol w:w="909"/>
        <w:gridCol w:w="1276"/>
        <w:gridCol w:w="797"/>
        <w:gridCol w:w="727"/>
        <w:gridCol w:w="640"/>
        <w:gridCol w:w="1066"/>
        <w:gridCol w:w="992"/>
        <w:gridCol w:w="798"/>
        <w:gridCol w:w="798"/>
        <w:gridCol w:w="798"/>
        <w:gridCol w:w="798"/>
        <w:gridCol w:w="798"/>
      </w:tblGrid>
      <w:tr>
        <w:trPr>
          <w:trHeight w:val="1337" w:hRule="exact"/>
        </w:trPr>
        <w:tc>
          <w:tcPr>
            <w:tcW w:w="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姓名</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303" w:right="121" w:hanging="180"/>
              <w:jc w:val="left"/>
              <w:rPr>
                <w:rFonts w:ascii="宋体" w:hAnsi="宋体" w:cs="宋体" w:eastAsia="宋体" w:hint="default"/>
                <w:sz w:val="18"/>
                <w:szCs w:val="18"/>
              </w:rPr>
            </w:pPr>
            <w:r>
              <w:rPr>
                <w:rFonts w:ascii="宋体" w:hAnsi="宋体" w:cs="宋体" w:eastAsia="宋体" w:hint="default"/>
                <w:sz w:val="18"/>
                <w:szCs w:val="18"/>
              </w:rPr>
              <w:t>任职状 态</w:t>
            </w: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346" w:right="167"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310" w:right="131"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122" w:hanging="90"/>
              <w:jc w:val="left"/>
              <w:rPr>
                <w:rFonts w:ascii="宋体" w:hAnsi="宋体" w:cs="宋体" w:eastAsia="宋体" w:hint="default"/>
                <w:sz w:val="18"/>
                <w:szCs w:val="18"/>
              </w:rPr>
            </w:pPr>
            <w:r>
              <w:rPr>
                <w:rFonts w:ascii="宋体" w:hAnsi="宋体" w:cs="宋体" w:eastAsia="宋体" w:hint="default"/>
                <w:sz w:val="18"/>
                <w:szCs w:val="18"/>
              </w:rPr>
              <w:t>期初持 股数</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22" w:right="124"/>
              <w:jc w:val="both"/>
              <w:rPr>
                <w:rFonts w:ascii="宋体" w:hAnsi="宋体" w:cs="宋体" w:eastAsia="宋体" w:hint="default"/>
                <w:sz w:val="18"/>
                <w:szCs w:val="18"/>
              </w:rPr>
            </w:pPr>
            <w:r>
              <w:rPr>
                <w:rFonts w:ascii="宋体" w:hAnsi="宋体" w:cs="宋体" w:eastAsia="宋体" w:hint="default"/>
                <w:sz w:val="18"/>
                <w:szCs w:val="18"/>
              </w:rPr>
              <w:t>本期增 持股份 数量</w:t>
            </w:r>
          </w:p>
          <w:p>
            <w:pPr>
              <w:pStyle w:val="TableParagraph"/>
              <w:spacing w:line="240" w:lineRule="auto" w:before="20"/>
              <w:ind w:left="122" w:right="0"/>
              <w:jc w:val="both"/>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23" w:right="122"/>
              <w:jc w:val="both"/>
              <w:rPr>
                <w:rFonts w:ascii="宋体" w:hAnsi="宋体" w:cs="宋体" w:eastAsia="宋体" w:hint="default"/>
                <w:sz w:val="18"/>
                <w:szCs w:val="18"/>
              </w:rPr>
            </w:pPr>
            <w:r>
              <w:rPr>
                <w:rFonts w:ascii="宋体" w:hAnsi="宋体" w:cs="宋体" w:eastAsia="宋体" w:hint="default"/>
                <w:sz w:val="18"/>
                <w:szCs w:val="18"/>
              </w:rPr>
              <w:t>本期减 持股份 数量</w:t>
            </w:r>
          </w:p>
          <w:p>
            <w:pPr>
              <w:pStyle w:val="TableParagraph"/>
              <w:spacing w:line="240" w:lineRule="auto" w:before="20"/>
              <w:ind w:left="123" w:right="0"/>
              <w:jc w:val="both"/>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122" w:right="125"/>
              <w:jc w:val="left"/>
              <w:rPr>
                <w:rFonts w:ascii="宋体" w:hAnsi="宋体" w:cs="宋体" w:eastAsia="宋体" w:hint="default"/>
                <w:sz w:val="18"/>
                <w:szCs w:val="18"/>
              </w:rPr>
            </w:pPr>
            <w:r>
              <w:rPr>
                <w:rFonts w:ascii="宋体" w:hAnsi="宋体" w:cs="宋体" w:eastAsia="宋体" w:hint="default"/>
                <w:sz w:val="18"/>
                <w:szCs w:val="18"/>
              </w:rPr>
              <w:t>其他增 减变动</w:t>
            </w:r>
          </w:p>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2" w:right="125" w:hanging="90"/>
              <w:jc w:val="left"/>
              <w:rPr>
                <w:rFonts w:ascii="宋体" w:hAnsi="宋体" w:cs="宋体" w:eastAsia="宋体" w:hint="default"/>
                <w:sz w:val="18"/>
                <w:szCs w:val="18"/>
              </w:rPr>
            </w:pPr>
            <w:r>
              <w:rPr>
                <w:rFonts w:ascii="宋体" w:hAnsi="宋体" w:cs="宋体" w:eastAsia="宋体" w:hint="default"/>
                <w:sz w:val="18"/>
                <w:szCs w:val="18"/>
              </w:rPr>
              <w:t>期末持 股数</w:t>
            </w:r>
          </w:p>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（股）</w:t>
            </w:r>
          </w:p>
        </w:tc>
      </w:tr>
      <w:tr>
        <w:trPr>
          <w:trHeight w:val="714" w:hRule="exact"/>
        </w:trPr>
        <w:tc>
          <w:tcPr>
            <w:tcW w:w="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陈坚</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80" w:right="103"/>
              <w:jc w:val="left"/>
              <w:rPr>
                <w:rFonts w:ascii="宋体" w:hAnsi="宋体" w:cs="宋体" w:eastAsia="宋体" w:hint="default"/>
                <w:sz w:val="18"/>
                <w:szCs w:val="18"/>
              </w:rPr>
            </w:pPr>
            <w:r>
              <w:rPr>
                <w:rFonts w:ascii="宋体" w:hAnsi="宋体" w:cs="宋体" w:eastAsia="宋体" w:hint="default"/>
                <w:sz w:val="18"/>
                <w:szCs w:val="18"/>
              </w:rPr>
              <w:t>董事长、总经 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79"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8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8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78"/>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79"/>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78"/>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79"/>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79"/>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陈英</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8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79"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8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8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78"/>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79"/>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78"/>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79"/>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79"/>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陈根清</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80" w:right="103"/>
              <w:jc w:val="left"/>
              <w:rPr>
                <w:rFonts w:ascii="宋体" w:hAnsi="宋体" w:cs="宋体" w:eastAsia="宋体" w:hint="default"/>
                <w:sz w:val="18"/>
                <w:szCs w:val="18"/>
              </w:rPr>
            </w:pPr>
            <w:r>
              <w:rPr>
                <w:rFonts w:ascii="宋体" w:hAnsi="宋体" w:cs="宋体" w:eastAsia="宋体" w:hint="default"/>
                <w:sz w:val="18"/>
                <w:szCs w:val="18"/>
              </w:rPr>
              <w:t>董事、副总经 理、财务总监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79"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8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8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78"/>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79"/>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78"/>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79"/>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79"/>
              <w:jc w:val="right"/>
              <w:rPr>
                <w:rFonts w:ascii="Times New Roman" w:hAnsi="Times New Roman" w:cs="Times New Roman" w:eastAsia="Times New Roman" w:hint="default"/>
                <w:sz w:val="18"/>
                <w:szCs w:val="18"/>
              </w:rPr>
            </w:pPr>
            <w:r>
              <w:rPr>
                <w:rFonts w:ascii="Times New Roman"/>
                <w:sz w:val="18"/>
              </w:rPr>
              <w:t>0</w:t>
            </w:r>
          </w:p>
        </w:tc>
      </w:tr>
      <w:tr>
        <w:trPr>
          <w:trHeight w:val="1338" w:hRule="exact"/>
        </w:trPr>
        <w:tc>
          <w:tcPr>
            <w:tcW w:w="909"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2"/>
              <w:ind w:left="174" w:right="173" w:firstLine="8"/>
              <w:jc w:val="center"/>
              <w:rPr>
                <w:rFonts w:ascii="Times New Roman" w:hAnsi="Times New Roman" w:cs="Times New Roman" w:eastAsia="Times New Roman" w:hint="default"/>
                <w:sz w:val="18"/>
                <w:szCs w:val="18"/>
              </w:rPr>
            </w:pPr>
            <w:r>
              <w:rPr>
                <w:rFonts w:ascii="Times New Roman"/>
                <w:spacing w:val="-6"/>
                <w:sz w:val="18"/>
              </w:rPr>
              <w:t>JAY</w:t>
            </w:r>
            <w:r>
              <w:rPr>
                <w:rFonts w:ascii="Times New Roman"/>
                <w:w w:val="99"/>
                <w:sz w:val="18"/>
              </w:rPr>
              <w:t> </w:t>
            </w:r>
            <w:r>
              <w:rPr>
                <w:rFonts w:ascii="Times New Roman"/>
                <w:sz w:val="18"/>
              </w:rPr>
              <w:t>TSAI</w:t>
            </w:r>
            <w:r>
              <w:rPr>
                <w:rFonts w:ascii="Times New Roman"/>
                <w:w w:val="99"/>
                <w:sz w:val="18"/>
              </w:rPr>
              <w:t> </w:t>
            </w:r>
            <w:r>
              <w:rPr>
                <w:rFonts w:ascii="Times New Roman"/>
                <w:sz w:val="18"/>
              </w:rPr>
              <w:t>CHIEN</w:t>
            </w:r>
            <w:r>
              <w:rPr>
                <w:rFonts w:ascii="Times New Roman"/>
                <w:w w:val="99"/>
                <w:sz w:val="18"/>
              </w:rPr>
              <w:t> </w:t>
            </w:r>
            <w:r>
              <w:rPr>
                <w:rFonts w:ascii="Times New Roman"/>
                <w:sz w:val="18"/>
              </w:rPr>
              <w:t>CHOU</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9"/>
              <w:ind w:left="80" w:right="103"/>
              <w:jc w:val="left"/>
              <w:rPr>
                <w:rFonts w:ascii="宋体" w:hAnsi="宋体" w:cs="宋体" w:eastAsia="宋体" w:hint="default"/>
                <w:sz w:val="18"/>
                <w:szCs w:val="18"/>
              </w:rPr>
            </w:pPr>
            <w:r>
              <w:rPr>
                <w:rFonts w:ascii="宋体" w:hAnsi="宋体" w:cs="宋体" w:eastAsia="宋体" w:hint="default"/>
                <w:sz w:val="18"/>
                <w:szCs w:val="18"/>
              </w:rPr>
              <w:t>董事、副总经 理、总工程师</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7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79"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8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8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78"/>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79"/>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78"/>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79"/>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79"/>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龚明勇</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8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7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79"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8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8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78"/>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79"/>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78"/>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79"/>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79"/>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朱军</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8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79"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8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8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78"/>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79"/>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78"/>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79"/>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79"/>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童本立</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80"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69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79"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8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8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78"/>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79"/>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78"/>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79"/>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79"/>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朱加宁</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80"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62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79"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8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8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78"/>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79"/>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78"/>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79"/>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79"/>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张耀辉</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80"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79"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8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8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78"/>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79"/>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78"/>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79"/>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79"/>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翁玉涛</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80"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79"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8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8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78"/>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79"/>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78"/>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79"/>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79"/>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李战鹏</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80" w:right="0"/>
              <w:jc w:val="left"/>
              <w:rPr>
                <w:rFonts w:ascii="宋体" w:hAnsi="宋体" w:cs="宋体" w:eastAsia="宋体" w:hint="default"/>
                <w:sz w:val="18"/>
                <w:szCs w:val="18"/>
              </w:rPr>
            </w:pPr>
            <w:r>
              <w:rPr>
                <w:rFonts w:ascii="宋体" w:hAnsi="宋体" w:cs="宋体" w:eastAsia="宋体" w:hint="default"/>
                <w:sz w:val="18"/>
                <w:szCs w:val="18"/>
              </w:rPr>
              <w:t>职工代表监事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79"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8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8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78"/>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79"/>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78"/>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79"/>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79"/>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刘智海</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80" w:right="0"/>
              <w:jc w:val="left"/>
              <w:rPr>
                <w:rFonts w:ascii="宋体" w:hAnsi="宋体" w:cs="宋体" w:eastAsia="宋体" w:hint="default"/>
                <w:sz w:val="18"/>
                <w:szCs w:val="18"/>
              </w:rPr>
            </w:pPr>
            <w:r>
              <w:rPr>
                <w:rFonts w:ascii="宋体" w:hAnsi="宋体" w:cs="宋体" w:eastAsia="宋体" w:hint="default"/>
                <w:sz w:val="18"/>
                <w:szCs w:val="18"/>
              </w:rPr>
              <w:t>职工代表监事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79"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8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8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78"/>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79"/>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78"/>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79"/>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79"/>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施东圣</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80"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79"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8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78"/>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79"/>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78"/>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79"/>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79"/>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吕晓平</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7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8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8"/>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9"/>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8"/>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9"/>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9"/>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640" w:right="0"/>
        </w:sectPr>
      </w:pPr>
    </w:p>
    <w:p>
      <w:pPr>
        <w:spacing w:line="240" w:lineRule="auto" w:before="6"/>
        <w:rPr>
          <w:rFonts w:ascii="宋体" w:hAnsi="宋体" w:cs="宋体" w:eastAsia="宋体" w:hint="default"/>
          <w:b/>
          <w:bCs/>
          <w:sz w:val="28"/>
          <w:szCs w:val="28"/>
        </w:rPr>
      </w:pPr>
    </w:p>
    <w:tbl>
      <w:tblPr>
        <w:tblW w:w="0" w:type="auto"/>
        <w:jc w:val="left"/>
        <w:tblInd w:w="110" w:type="dxa"/>
        <w:tblLayout w:type="fixed"/>
        <w:tblCellMar>
          <w:top w:w="0" w:type="dxa"/>
          <w:left w:w="0" w:type="dxa"/>
          <w:bottom w:w="0" w:type="dxa"/>
          <w:right w:w="0" w:type="dxa"/>
        </w:tblCellMar>
        <w:tblLook w:val="01E0"/>
      </w:tblPr>
      <w:tblGrid>
        <w:gridCol w:w="909"/>
        <w:gridCol w:w="1276"/>
        <w:gridCol w:w="797"/>
        <w:gridCol w:w="727"/>
        <w:gridCol w:w="640"/>
        <w:gridCol w:w="1066"/>
        <w:gridCol w:w="992"/>
        <w:gridCol w:w="798"/>
        <w:gridCol w:w="798"/>
        <w:gridCol w:w="798"/>
        <w:gridCol w:w="798"/>
        <w:gridCol w:w="798"/>
      </w:tblGrid>
      <w:tr>
        <w:trPr>
          <w:trHeight w:val="362" w:hRule="exact"/>
        </w:trPr>
        <w:tc>
          <w:tcPr>
            <w:tcW w:w="9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79"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8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周军辉</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80" w:right="103"/>
              <w:jc w:val="left"/>
              <w:rPr>
                <w:rFonts w:ascii="宋体" w:hAnsi="宋体" w:cs="宋体" w:eastAsia="宋体" w:hint="default"/>
                <w:sz w:val="18"/>
                <w:szCs w:val="18"/>
              </w:rPr>
            </w:pPr>
            <w:r>
              <w:rPr>
                <w:rFonts w:ascii="宋体" w:hAnsi="宋体" w:cs="宋体" w:eastAsia="宋体" w:hint="default"/>
                <w:sz w:val="18"/>
                <w:szCs w:val="18"/>
              </w:rPr>
              <w:t>副总经理、董 事会秘书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68"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79"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8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78"/>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79"/>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78"/>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79"/>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79"/>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范熊熊</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80"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68"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79"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8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78"/>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79"/>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78"/>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79"/>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79"/>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余锴</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8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68" w:right="0"/>
              <w:jc w:val="left"/>
              <w:rPr>
                <w:rFonts w:ascii="宋体" w:hAnsi="宋体" w:cs="宋体" w:eastAsia="宋体" w:hint="default"/>
                <w:sz w:val="18"/>
                <w:szCs w:val="18"/>
              </w:rPr>
            </w:pPr>
            <w:r>
              <w:rPr>
                <w:rFonts w:ascii="宋体" w:hAnsi="宋体" w:cs="宋体" w:eastAsia="宋体" w:hint="default"/>
                <w:sz w:val="18"/>
                <w:szCs w:val="18"/>
              </w:rPr>
              <w:t>女</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79"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8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78"/>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79"/>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78"/>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79"/>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79"/>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黄金明</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8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68"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79"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8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78"/>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79"/>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78"/>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79"/>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79"/>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陆卫明</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8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68"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79"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8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78"/>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79"/>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78"/>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79"/>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79"/>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潘利华</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80"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68"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75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79"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8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78"/>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79"/>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78"/>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79"/>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79"/>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杨增荣</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80"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68"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79"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8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78"/>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79"/>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78"/>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79"/>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79"/>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98" w:right="0"/>
              <w:jc w:val="left"/>
              <w:rPr>
                <w:rFonts w:ascii="Times New Roman" w:hAnsi="Times New Roman" w:cs="Times New Roman" w:eastAsia="Times New Roman" w:hint="default"/>
                <w:sz w:val="18"/>
                <w:szCs w:val="18"/>
              </w:rPr>
            </w:pPr>
            <w:r>
              <w:rPr>
                <w:rFonts w:ascii="Times New Roman"/>
                <w:sz w:val="18"/>
              </w:rPr>
              <w:t>--</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8"/>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9"/>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8"/>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9"/>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9"/>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2"/>
        <w:rPr>
          <w:rFonts w:ascii="宋体" w:hAnsi="宋体" w:cs="宋体" w:eastAsia="宋体" w:hint="default"/>
          <w:b/>
          <w:bCs/>
          <w:sz w:val="18"/>
          <w:szCs w:val="18"/>
        </w:rPr>
      </w:pPr>
    </w:p>
    <w:p>
      <w:pPr>
        <w:pStyle w:val="Heading2"/>
        <w:spacing w:line="240" w:lineRule="auto" w:before="26"/>
        <w:ind w:left="494" w:right="0"/>
        <w:jc w:val="left"/>
        <w:rPr>
          <w:b w:val="0"/>
          <w:bCs w:val="0"/>
        </w:rPr>
      </w:pPr>
      <w:bookmarkStart w:name="二、公司董事、监事、高级管理人员变动情况" w:id="123"/>
      <w:bookmarkEnd w:id="123"/>
      <w:r>
        <w:rPr>
          <w:b w:val="0"/>
          <w:bCs w:val="0"/>
        </w:rPr>
      </w:r>
      <w:r>
        <w:rPr/>
        <w:t>二、公司董事、监事、高级管理人员变动情况</w:t>
      </w:r>
      <w:r>
        <w:rPr>
          <w:b w:val="0"/>
          <w:bCs w:val="0"/>
        </w:rPr>
      </w:r>
    </w:p>
    <w:p>
      <w:pPr>
        <w:spacing w:line="240" w:lineRule="auto" w:before="7"/>
        <w:rPr>
          <w:rFonts w:ascii="宋体" w:hAnsi="宋体" w:cs="宋体" w:eastAsia="宋体" w:hint="default"/>
          <w:b/>
          <w:bCs/>
          <w:sz w:val="26"/>
          <w:szCs w:val="26"/>
        </w:rPr>
      </w:pPr>
    </w:p>
    <w:p>
      <w:pPr>
        <w:spacing w:before="0"/>
        <w:ind w:left="49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19" w:type="dxa"/>
        <w:tblLayout w:type="fixed"/>
        <w:tblCellMar>
          <w:top w:w="0" w:type="dxa"/>
          <w:left w:w="0" w:type="dxa"/>
          <w:bottom w:w="0" w:type="dxa"/>
          <w:right w:w="0" w:type="dxa"/>
        </w:tblCellMar>
        <w:tblLook w:val="01E0"/>
      </w:tblPr>
      <w:tblGrid>
        <w:gridCol w:w="1329"/>
        <w:gridCol w:w="1331"/>
        <w:gridCol w:w="1330"/>
        <w:gridCol w:w="1881"/>
        <w:gridCol w:w="4509"/>
      </w:tblGrid>
      <w:tr>
        <w:trPr>
          <w:trHeight w:val="401" w:hRule="exact"/>
        </w:trPr>
        <w:tc>
          <w:tcPr>
            <w:tcW w:w="1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姓名</w:t>
            </w:r>
          </w:p>
        </w:tc>
        <w:tc>
          <w:tcPr>
            <w:tcW w:w="13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8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5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1962" w:hRule="exact"/>
        </w:trPr>
        <w:tc>
          <w:tcPr>
            <w:tcW w:w="1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
              <w:jc w:val="center"/>
              <w:rPr>
                <w:rFonts w:ascii="宋体" w:hAnsi="宋体" w:cs="宋体" w:eastAsia="宋体" w:hint="default"/>
                <w:sz w:val="18"/>
                <w:szCs w:val="18"/>
              </w:rPr>
            </w:pPr>
            <w:r>
              <w:rPr>
                <w:rFonts w:ascii="宋体" w:hAnsi="宋体" w:cs="宋体" w:eastAsia="宋体" w:hint="default"/>
                <w:sz w:val="18"/>
                <w:szCs w:val="18"/>
              </w:rPr>
              <w:t>陈根清</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任免</w:t>
            </w:r>
          </w:p>
        </w:tc>
        <w:tc>
          <w:tcPr>
            <w:tcW w:w="1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509"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2"/>
              <w:ind w:left="79" w:right="-10"/>
              <w:jc w:val="left"/>
              <w:rPr>
                <w:rFonts w:ascii="宋体" w:hAnsi="宋体" w:cs="宋体" w:eastAsia="宋体" w:hint="default"/>
                <w:sz w:val="18"/>
                <w:szCs w:val="18"/>
              </w:rPr>
            </w:pPr>
            <w:r>
              <w:rPr>
                <w:rFonts w:ascii="宋体" w:hAnsi="宋体" w:cs="宋体" w:eastAsia="宋体" w:hint="default"/>
                <w:sz w:val="18"/>
                <w:szCs w:val="18"/>
              </w:rPr>
              <w:t>经</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日召开的公司</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年度股东大会审议 </w:t>
            </w:r>
            <w:r>
              <w:rPr>
                <w:rFonts w:ascii="宋体" w:hAnsi="宋体" w:cs="宋体" w:eastAsia="宋体" w:hint="default"/>
                <w:spacing w:val="-3"/>
                <w:sz w:val="18"/>
                <w:szCs w:val="18"/>
              </w:rPr>
              <w:t>通过，同意补选陈根清先生为第二届董事会非独立董事，</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同时增补陈根清先生为第二届董事会薪酬与考核委员会 委员。经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日召开的公司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 临时股东大会审议通过陈根清先生连任第三届董事会非 独立董事。</w:t>
            </w:r>
          </w:p>
        </w:tc>
      </w:tr>
      <w:tr>
        <w:trPr>
          <w:trHeight w:val="1026" w:hRule="exact"/>
        </w:trPr>
        <w:tc>
          <w:tcPr>
            <w:tcW w:w="1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龚明勇</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任免</w:t>
            </w:r>
          </w:p>
        </w:tc>
        <w:tc>
          <w:tcPr>
            <w:tcW w:w="1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50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79" w:right="97"/>
              <w:jc w:val="both"/>
              <w:rPr>
                <w:rFonts w:ascii="宋体" w:hAnsi="宋体" w:cs="宋体" w:eastAsia="宋体" w:hint="default"/>
                <w:sz w:val="18"/>
                <w:szCs w:val="18"/>
              </w:rPr>
            </w:pPr>
            <w:r>
              <w:rPr>
                <w:rFonts w:ascii="宋体" w:hAnsi="宋体" w:cs="宋体" w:eastAsia="宋体" w:hint="default"/>
                <w:sz w:val="18"/>
                <w:szCs w:val="18"/>
              </w:rPr>
              <w:t>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日召开的公司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年第三次临时股 东大会审议通过，选举龚明勇先生为第三届董事会非独 立董事。</w:t>
            </w:r>
          </w:p>
        </w:tc>
      </w:tr>
      <w:tr>
        <w:trPr>
          <w:trHeight w:val="1026" w:hRule="exact"/>
        </w:trPr>
        <w:tc>
          <w:tcPr>
            <w:tcW w:w="1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朱军</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任免</w:t>
            </w:r>
          </w:p>
        </w:tc>
        <w:tc>
          <w:tcPr>
            <w:tcW w:w="1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50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79" w:right="97"/>
              <w:jc w:val="both"/>
              <w:rPr>
                <w:rFonts w:ascii="宋体" w:hAnsi="宋体" w:cs="宋体" w:eastAsia="宋体" w:hint="default"/>
                <w:sz w:val="18"/>
                <w:szCs w:val="18"/>
              </w:rPr>
            </w:pPr>
            <w:r>
              <w:rPr>
                <w:rFonts w:ascii="宋体" w:hAnsi="宋体" w:cs="宋体" w:eastAsia="宋体" w:hint="default"/>
                <w:sz w:val="18"/>
                <w:szCs w:val="18"/>
              </w:rPr>
              <w:t>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日召开的公司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年第三次临时股 东大会审议通过，选举朱军先生为第三届董事会非独立 董事。</w:t>
            </w:r>
          </w:p>
        </w:tc>
      </w:tr>
      <w:tr>
        <w:trPr>
          <w:trHeight w:val="1026" w:hRule="exact"/>
        </w:trPr>
        <w:tc>
          <w:tcPr>
            <w:tcW w:w="1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张耀辉</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任免</w:t>
            </w:r>
          </w:p>
        </w:tc>
        <w:tc>
          <w:tcPr>
            <w:tcW w:w="1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50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79" w:right="97"/>
              <w:jc w:val="both"/>
              <w:rPr>
                <w:rFonts w:ascii="宋体" w:hAnsi="宋体" w:cs="宋体" w:eastAsia="宋体" w:hint="default"/>
                <w:sz w:val="18"/>
                <w:szCs w:val="18"/>
              </w:rPr>
            </w:pPr>
            <w:r>
              <w:rPr>
                <w:rFonts w:ascii="宋体" w:hAnsi="宋体" w:cs="宋体" w:eastAsia="宋体" w:hint="default"/>
                <w:sz w:val="18"/>
                <w:szCs w:val="18"/>
              </w:rPr>
              <w:t>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日召开的公司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年第三次临时股 东大会审议通过，选举张耀辉先生为第三届董事会独立 董事。</w:t>
            </w:r>
          </w:p>
        </w:tc>
      </w:tr>
      <w:tr>
        <w:trPr>
          <w:trHeight w:val="1026" w:hRule="exact"/>
        </w:trPr>
        <w:tc>
          <w:tcPr>
            <w:tcW w:w="1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翁玉涛</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任免</w:t>
            </w:r>
          </w:p>
        </w:tc>
        <w:tc>
          <w:tcPr>
            <w:tcW w:w="1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50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3"/>
              <w:ind w:left="79" w:right="97"/>
              <w:jc w:val="both"/>
              <w:rPr>
                <w:rFonts w:ascii="宋体" w:hAnsi="宋体" w:cs="宋体" w:eastAsia="宋体" w:hint="default"/>
                <w:sz w:val="18"/>
                <w:szCs w:val="18"/>
              </w:rPr>
            </w:pPr>
            <w:r>
              <w:rPr>
                <w:rFonts w:ascii="宋体" w:hAnsi="宋体" w:cs="宋体" w:eastAsia="宋体" w:hint="default"/>
                <w:sz w:val="18"/>
                <w:szCs w:val="18"/>
              </w:rPr>
              <w:t>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日召开的公司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年第三次临时股 东大会审议通过，选举翁玉涛先生为第三届监事会非职 工监事。</w:t>
            </w:r>
          </w:p>
        </w:tc>
      </w:tr>
      <w:tr>
        <w:trPr>
          <w:trHeight w:val="403" w:hRule="exact"/>
        </w:trPr>
        <w:tc>
          <w:tcPr>
            <w:tcW w:w="1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刘智海</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职工代表监事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任免</w:t>
            </w:r>
          </w:p>
        </w:tc>
        <w:tc>
          <w:tcPr>
            <w:tcW w:w="1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9"/>
              <w:jc w:val="center"/>
              <w:rPr>
                <w:rFonts w:ascii="宋体" w:hAnsi="宋体" w:cs="宋体" w:eastAsia="宋体" w:hint="default"/>
                <w:sz w:val="18"/>
                <w:szCs w:val="18"/>
              </w:rPr>
            </w:pPr>
            <w:r>
              <w:rPr>
                <w:rFonts w:ascii="宋体" w:hAnsi="宋体" w:cs="宋体" w:eastAsia="宋体" w:hint="default"/>
                <w:sz w:val="18"/>
                <w:szCs w:val="18"/>
              </w:rPr>
              <w:t>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日召开的公司职工代表大会选举，刘</w:t>
            </w:r>
          </w:p>
        </w:tc>
      </w:tr>
    </w:tbl>
    <w:p>
      <w:pPr>
        <w:spacing w:after="0" w:line="240" w:lineRule="auto"/>
        <w:jc w:val="center"/>
        <w:rPr>
          <w:rFonts w:ascii="宋体" w:hAnsi="宋体" w:cs="宋体" w:eastAsia="宋体" w:hint="default"/>
          <w:sz w:val="18"/>
          <w:szCs w:val="18"/>
        </w:rPr>
        <w:sectPr>
          <w:pgSz w:w="11910" w:h="16840"/>
          <w:pgMar w:header="747" w:footer="979" w:top="1060" w:bottom="1160" w:left="640" w:right="0"/>
        </w:sectPr>
      </w:pPr>
    </w:p>
    <w:p>
      <w:pPr>
        <w:spacing w:line="240" w:lineRule="auto" w:before="6"/>
        <w:rPr>
          <w:rFonts w:ascii="宋体" w:hAnsi="宋体" w:cs="宋体" w:eastAsia="宋体" w:hint="default"/>
          <w:sz w:val="28"/>
          <w:szCs w:val="28"/>
        </w:rPr>
      </w:pPr>
    </w:p>
    <w:tbl>
      <w:tblPr>
        <w:tblW w:w="0" w:type="auto"/>
        <w:jc w:val="left"/>
        <w:tblInd w:w="119" w:type="dxa"/>
        <w:tblLayout w:type="fixed"/>
        <w:tblCellMar>
          <w:top w:w="0" w:type="dxa"/>
          <w:left w:w="0" w:type="dxa"/>
          <w:bottom w:w="0" w:type="dxa"/>
          <w:right w:w="0" w:type="dxa"/>
        </w:tblCellMar>
        <w:tblLook w:val="01E0"/>
      </w:tblPr>
      <w:tblGrid>
        <w:gridCol w:w="1329"/>
        <w:gridCol w:w="1331"/>
        <w:gridCol w:w="1330"/>
        <w:gridCol w:w="1881"/>
        <w:gridCol w:w="4509"/>
      </w:tblGrid>
      <w:tr>
        <w:trPr>
          <w:trHeight w:val="986" w:hRule="exact"/>
        </w:trPr>
        <w:tc>
          <w:tcPr>
            <w:tcW w:w="1329" w:type="dxa"/>
            <w:tcBorders>
              <w:top w:val="single" w:sz="4" w:space="0" w:color="000000"/>
              <w:left w:val="single" w:sz="4" w:space="0" w:color="000000"/>
              <w:bottom w:val="single" w:sz="4" w:space="0" w:color="000000"/>
              <w:right w:val="single" w:sz="4" w:space="0" w:color="000000"/>
            </w:tcBorders>
          </w:tcPr>
          <w:p>
            <w:pPr/>
          </w:p>
        </w:tc>
        <w:tc>
          <w:tcPr>
            <w:tcW w:w="1331"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881" w:type="dxa"/>
            <w:tcBorders>
              <w:top w:val="single" w:sz="4" w:space="0" w:color="000000"/>
              <w:left w:val="single" w:sz="4" w:space="0" w:color="000000"/>
              <w:bottom w:val="single" w:sz="4" w:space="0" w:color="000000"/>
              <w:right w:val="single" w:sz="4" w:space="0" w:color="000000"/>
            </w:tcBorders>
          </w:tcPr>
          <w:p>
            <w:pPr/>
          </w:p>
        </w:tc>
        <w:tc>
          <w:tcPr>
            <w:tcW w:w="4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智海先生任公司第二届监事会职工代表监事。经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p>
          <w:p>
            <w:pPr>
              <w:pStyle w:val="TableParagraph"/>
              <w:spacing w:line="302" w:lineRule="auto" w:before="63"/>
              <w:ind w:left="79" w:right="98"/>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日召开的公司职工代表大会选举，刘智海先 生连任第三届监事会职工代表监事。</w:t>
            </w:r>
          </w:p>
        </w:tc>
      </w:tr>
      <w:tr>
        <w:trPr>
          <w:trHeight w:val="714" w:hRule="exact"/>
        </w:trPr>
        <w:tc>
          <w:tcPr>
            <w:tcW w:w="1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范熊熊</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5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79" w:right="-10"/>
              <w:jc w:val="left"/>
              <w:rPr>
                <w:rFonts w:ascii="宋体" w:hAnsi="宋体" w:cs="宋体" w:eastAsia="宋体" w:hint="default"/>
                <w:sz w:val="18"/>
                <w:szCs w:val="18"/>
              </w:rPr>
            </w:pPr>
            <w:r>
              <w:rPr>
                <w:rFonts w:ascii="宋体" w:hAnsi="宋体" w:cs="宋体" w:eastAsia="宋体" w:hint="default"/>
                <w:sz w:val="18"/>
                <w:szCs w:val="18"/>
              </w:rPr>
              <w:t>范熊熊先生因个人原因，申请辞去监事会非职工代表监 </w:t>
            </w:r>
            <w:r>
              <w:rPr>
                <w:rFonts w:ascii="宋体" w:hAnsi="宋体" w:cs="宋体" w:eastAsia="宋体" w:hint="default"/>
                <w:spacing w:val="-3"/>
                <w:sz w:val="18"/>
                <w:szCs w:val="18"/>
              </w:rPr>
              <w:t>事的职务，辞职后范熊熊先生将不再担任公司任何职务。</w:t>
            </w:r>
          </w:p>
        </w:tc>
      </w:tr>
      <w:tr>
        <w:trPr>
          <w:trHeight w:val="1026" w:hRule="exact"/>
        </w:trPr>
        <w:tc>
          <w:tcPr>
            <w:tcW w:w="1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余锴</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5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79" w:right="99"/>
              <w:jc w:val="both"/>
              <w:rPr>
                <w:rFonts w:ascii="宋体" w:hAnsi="宋体" w:cs="宋体" w:eastAsia="宋体" w:hint="default"/>
                <w:sz w:val="18"/>
                <w:szCs w:val="18"/>
              </w:rPr>
            </w:pPr>
            <w:r>
              <w:rPr>
                <w:rFonts w:ascii="宋体" w:hAnsi="宋体" w:cs="宋体" w:eastAsia="宋体" w:hint="default"/>
                <w:sz w:val="18"/>
                <w:szCs w:val="18"/>
              </w:rPr>
              <w:t>余锴女士因个人原因，申请辞去公司董事及董事会薪酬 与考核委员会委员职务，辞职后余锴女士将不再担任公 司任何职务。</w:t>
            </w:r>
          </w:p>
        </w:tc>
      </w:tr>
      <w:tr>
        <w:trPr>
          <w:trHeight w:val="1650" w:hRule="exact"/>
        </w:trPr>
        <w:tc>
          <w:tcPr>
            <w:tcW w:w="1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黄金明</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任期满离任</w:t>
            </w:r>
          </w:p>
        </w:tc>
        <w:tc>
          <w:tcPr>
            <w:tcW w:w="1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50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79" w:right="78"/>
              <w:jc w:val="both"/>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年第三次临时股东 大会，审议通过了《关于公司董事会换届选举暨提名第 </w:t>
            </w:r>
            <w:r>
              <w:rPr>
                <w:rFonts w:ascii="宋体" w:hAnsi="宋体" w:cs="宋体" w:eastAsia="宋体" w:hint="default"/>
                <w:spacing w:val="-7"/>
                <w:sz w:val="18"/>
                <w:szCs w:val="18"/>
              </w:rPr>
              <w:t>三届董事会非独立董事候选人的议案》，黄金明先生在本</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次董事会完成换届后，不再担任公司非独立董事，也不 在公司担任其他职务。</w:t>
            </w:r>
          </w:p>
        </w:tc>
      </w:tr>
      <w:tr>
        <w:trPr>
          <w:trHeight w:val="1650" w:hRule="exact"/>
        </w:trPr>
        <w:tc>
          <w:tcPr>
            <w:tcW w:w="1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陆卫明</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任期满离任</w:t>
            </w:r>
          </w:p>
        </w:tc>
        <w:tc>
          <w:tcPr>
            <w:tcW w:w="1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50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79" w:right="78"/>
              <w:jc w:val="both"/>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年第三次临时股东 大会，审议通过了《关于公司董事会换届选举暨提名第 </w:t>
            </w:r>
            <w:r>
              <w:rPr>
                <w:rFonts w:ascii="宋体" w:hAnsi="宋体" w:cs="宋体" w:eastAsia="宋体" w:hint="default"/>
                <w:spacing w:val="-7"/>
                <w:sz w:val="18"/>
                <w:szCs w:val="18"/>
              </w:rPr>
              <w:t>三届董事会非独立董事候选人的议案》，陆卫明先生在本</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次董事会完成换届后，不再担任公司非独立董事，也不 在公司担任其他职务。</w:t>
            </w:r>
          </w:p>
        </w:tc>
      </w:tr>
      <w:tr>
        <w:trPr>
          <w:trHeight w:val="1650" w:hRule="exact"/>
        </w:trPr>
        <w:tc>
          <w:tcPr>
            <w:tcW w:w="1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潘利华</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任期满离任</w:t>
            </w:r>
          </w:p>
        </w:tc>
        <w:tc>
          <w:tcPr>
            <w:tcW w:w="1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50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79" w:right="78"/>
              <w:jc w:val="both"/>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年第三次临时股东 大会，审议通过了《关于公司董事会换届选举暨提名第 </w:t>
            </w:r>
            <w:r>
              <w:rPr>
                <w:rFonts w:ascii="宋体" w:hAnsi="宋体" w:cs="宋体" w:eastAsia="宋体" w:hint="default"/>
                <w:spacing w:val="-7"/>
                <w:sz w:val="18"/>
                <w:szCs w:val="18"/>
              </w:rPr>
              <w:t>三届董事会独立董事候选人的议案》，潘利华先生在本次</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董事会完成换届后，不再担任公司独立董事，也不在公 司担任其他职务。</w:t>
            </w:r>
          </w:p>
        </w:tc>
      </w:tr>
      <w:tr>
        <w:trPr>
          <w:trHeight w:val="1650" w:hRule="exact"/>
        </w:trPr>
        <w:tc>
          <w:tcPr>
            <w:tcW w:w="1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杨增荣</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任期满离任</w:t>
            </w:r>
          </w:p>
        </w:tc>
        <w:tc>
          <w:tcPr>
            <w:tcW w:w="1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50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79" w:right="78"/>
              <w:jc w:val="both"/>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年第三次临时股东 大会，审议通过了《关于公司监事会换届选举暨提名第 </w:t>
            </w:r>
            <w:r>
              <w:rPr>
                <w:rFonts w:ascii="宋体" w:hAnsi="宋体" w:cs="宋体" w:eastAsia="宋体" w:hint="default"/>
                <w:spacing w:val="-7"/>
                <w:sz w:val="18"/>
                <w:szCs w:val="18"/>
              </w:rPr>
              <w:t>三届监事会非职工代表监事候选人的议案》，杨增荣先生</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在本次监事会完成换届后，不再担任公司非职工代表监 事，也不在公司担任其他职务。</w:t>
            </w:r>
          </w:p>
        </w:tc>
      </w:tr>
    </w:tbl>
    <w:p>
      <w:pPr>
        <w:spacing w:line="240" w:lineRule="auto" w:before="2"/>
        <w:rPr>
          <w:rFonts w:ascii="宋体" w:hAnsi="宋体" w:cs="宋体" w:eastAsia="宋体" w:hint="default"/>
          <w:sz w:val="18"/>
          <w:szCs w:val="18"/>
        </w:rPr>
      </w:pPr>
    </w:p>
    <w:p>
      <w:pPr>
        <w:pStyle w:val="Heading2"/>
        <w:spacing w:line="240" w:lineRule="auto" w:before="26"/>
        <w:ind w:left="494" w:right="0"/>
        <w:jc w:val="left"/>
        <w:rPr>
          <w:b w:val="0"/>
          <w:bCs w:val="0"/>
        </w:rPr>
      </w:pPr>
      <w:bookmarkStart w:name="三、任职情况" w:id="124"/>
      <w:bookmarkEnd w:id="124"/>
      <w:r>
        <w:rPr>
          <w:b w:val="0"/>
          <w:bCs w:val="0"/>
        </w:rPr>
      </w:r>
      <w:r>
        <w:rPr/>
        <w:t>三、任职情况</w:t>
      </w:r>
      <w:r>
        <w:rPr>
          <w:b w:val="0"/>
          <w:bCs w:val="0"/>
        </w:rPr>
      </w:r>
    </w:p>
    <w:p>
      <w:pPr>
        <w:spacing w:line="240" w:lineRule="auto" w:before="7"/>
        <w:rPr>
          <w:rFonts w:ascii="宋体" w:hAnsi="宋体" w:cs="宋体" w:eastAsia="宋体" w:hint="default"/>
          <w:b/>
          <w:bCs/>
          <w:sz w:val="26"/>
          <w:szCs w:val="26"/>
        </w:rPr>
      </w:pPr>
    </w:p>
    <w:p>
      <w:pPr>
        <w:spacing w:before="0"/>
        <w:ind w:left="494" w:right="0" w:firstLine="0"/>
        <w:jc w:val="left"/>
        <w:rPr>
          <w:rFonts w:ascii="宋体" w:hAnsi="宋体" w:cs="宋体" w:eastAsia="宋体" w:hint="default"/>
          <w:sz w:val="18"/>
          <w:szCs w:val="18"/>
        </w:rPr>
      </w:pPr>
      <w:r>
        <w:rPr>
          <w:rFonts w:ascii="宋体" w:hAnsi="宋体" w:cs="宋体" w:eastAsia="宋体" w:hint="default"/>
          <w:sz w:val="18"/>
          <w:szCs w:val="18"/>
        </w:rPr>
        <w:t>公司现任董事、监事、高级管理人员专业背景、主要工作经历以及目前在公司的主要职责</w:t>
      </w:r>
    </w:p>
    <w:p>
      <w:pPr>
        <w:spacing w:line="338" w:lineRule="auto" w:before="144"/>
        <w:ind w:left="974" w:right="6469" w:hanging="480"/>
        <w:jc w:val="left"/>
        <w:rPr>
          <w:rFonts w:ascii="宋体" w:hAnsi="宋体" w:cs="宋体" w:eastAsia="宋体" w:hint="default"/>
          <w:sz w:val="24"/>
          <w:szCs w:val="24"/>
        </w:rPr>
      </w:pPr>
      <w:r>
        <w:rPr>
          <w:rFonts w:ascii="Times New Roman" w:hAnsi="Times New Roman" w:cs="Times New Roman" w:eastAsia="Times New Roman" w:hint="default"/>
          <w:b/>
          <w:bCs/>
          <w:w w:val="95"/>
          <w:sz w:val="24"/>
          <w:szCs w:val="24"/>
        </w:rPr>
        <w:t>1</w:t>
      </w:r>
      <w:r>
        <w:rPr>
          <w:rFonts w:ascii="宋体" w:hAnsi="宋体" w:cs="宋体" w:eastAsia="宋体" w:hint="default"/>
          <w:b/>
          <w:bCs/>
          <w:w w:val="95"/>
          <w:sz w:val="24"/>
          <w:szCs w:val="24"/>
        </w:rPr>
        <w:t>、现任董事会成员简历</w:t>
      </w:r>
      <w:r>
        <w:rPr>
          <w:rFonts w:ascii="宋体" w:hAnsi="宋体" w:cs="宋体" w:eastAsia="宋体" w:hint="default"/>
          <w:b/>
          <w:bCs/>
          <w:spacing w:val="2"/>
          <w:w w:val="95"/>
          <w:sz w:val="24"/>
          <w:szCs w:val="24"/>
        </w:rPr>
        <w:t> </w:t>
      </w:r>
      <w:r>
        <w:rPr>
          <w:rFonts w:ascii="宋体" w:hAnsi="宋体" w:cs="宋体" w:eastAsia="宋体" w:hint="default"/>
          <w:sz w:val="24"/>
          <w:szCs w:val="24"/>
        </w:rPr>
        <w:t>非独立董事成员：</w:t>
      </w:r>
    </w:p>
    <w:p>
      <w:pPr>
        <w:pStyle w:val="BodyText"/>
        <w:spacing w:line="338" w:lineRule="auto" w:before="55"/>
        <w:ind w:left="494" w:right="1195" w:firstLine="480"/>
        <w:jc w:val="both"/>
      </w:pPr>
      <w:r>
        <w:rPr>
          <w:spacing w:val="-2"/>
        </w:rPr>
        <w:t>陈坚，男，</w:t>
      </w:r>
      <w:r>
        <w:rPr>
          <w:rFonts w:ascii="Times New Roman" w:hAnsi="Times New Roman" w:cs="Times New Roman" w:eastAsia="Times New Roman" w:hint="default"/>
          <w:spacing w:val="-2"/>
        </w:rPr>
        <w:t>1962</w:t>
      </w:r>
      <w:r>
        <w:rPr>
          <w:spacing w:val="-2"/>
        </w:rPr>
        <w:t>年出生，中国国籍，无境外永久居留权。毕业于南京陆军学校军事指挥</w:t>
      </w:r>
      <w:r>
        <w:rPr/>
        <w:t> 专业，中欧国际工商学院</w:t>
      </w:r>
      <w:r>
        <w:rPr>
          <w:rFonts w:ascii="Times New Roman" w:hAnsi="Times New Roman" w:cs="Times New Roman" w:eastAsia="Times New Roman" w:hint="default"/>
        </w:rPr>
        <w:t>EMBA</w:t>
      </w:r>
      <w:r>
        <w:rPr/>
        <w:t>，高级经济师。曾在团、集团军、南京军区三级机关任职， </w:t>
      </w:r>
      <w:r>
        <w:rPr>
          <w:spacing w:val="2"/>
        </w:rPr>
        <w:t>先后荣立二、三等功，被誉为</w:t>
      </w:r>
      <w:r>
        <w:rPr>
          <w:rFonts w:ascii="Times New Roman" w:hAnsi="Times New Roman" w:cs="Times New Roman" w:eastAsia="Times New Roman" w:hint="default"/>
          <w:spacing w:val="2"/>
        </w:rPr>
        <w:t>“</w:t>
      </w:r>
      <w:r>
        <w:rPr>
          <w:spacing w:val="2"/>
        </w:rPr>
        <w:t>佩剑连长</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1994</w:t>
      </w:r>
      <w:r>
        <w:rPr>
          <w:spacing w:val="2"/>
        </w:rPr>
        <w:t>年转业并自主创业，</w:t>
      </w:r>
      <w:r>
        <w:rPr>
          <w:rFonts w:ascii="Times New Roman" w:hAnsi="Times New Roman" w:cs="Times New Roman" w:eastAsia="Times New Roman" w:hint="default"/>
          <w:spacing w:val="2"/>
        </w:rPr>
        <w:t>2009</w:t>
      </w:r>
      <w:r>
        <w:rPr>
          <w:spacing w:val="2"/>
        </w:rPr>
        <w:t>年被评为</w:t>
      </w:r>
      <w:r>
        <w:rPr>
          <w:rFonts w:ascii="Times New Roman" w:hAnsi="Times New Roman" w:cs="Times New Roman" w:eastAsia="Times New Roman" w:hint="default"/>
          <w:spacing w:val="2"/>
        </w:rPr>
        <w:t>“</w:t>
      </w:r>
      <w:r>
        <w:rPr>
          <w:spacing w:val="2"/>
        </w:rPr>
        <w:t>全国模</w:t>
      </w:r>
      <w:r>
        <w:rPr>
          <w:spacing w:val="-112"/>
        </w:rPr>
        <w:t> </w:t>
      </w:r>
      <w:r>
        <w:rPr>
          <w:spacing w:val="-112"/>
        </w:rPr>
      </w:r>
      <w:r>
        <w:rPr/>
        <w:t>范军队转业干部</w:t>
      </w:r>
      <w:r>
        <w:rPr>
          <w:rFonts w:ascii="Times New Roman" w:hAnsi="Times New Roman" w:cs="Times New Roman" w:eastAsia="Times New Roman" w:hint="default"/>
        </w:rPr>
        <w:t>”</w:t>
      </w:r>
      <w:r>
        <w:rPr/>
        <w:t>。现任公司董事长兼总经理，兼任杭州正元执行董事等职务。</w:t>
      </w:r>
    </w:p>
    <w:p>
      <w:pPr>
        <w:pStyle w:val="BodyText"/>
        <w:spacing w:line="240" w:lineRule="auto" w:before="27"/>
        <w:ind w:left="974" w:right="0"/>
        <w:jc w:val="left"/>
      </w:pPr>
      <w:r>
        <w:rPr/>
        <w:t>陈英，女，</w:t>
      </w:r>
      <w:r>
        <w:rPr>
          <w:rFonts w:ascii="Times New Roman" w:hAnsi="Times New Roman" w:cs="Times New Roman" w:eastAsia="Times New Roman" w:hint="default"/>
        </w:rPr>
        <w:t>1967</w:t>
      </w:r>
      <w:r>
        <w:rPr/>
        <w:t>年出生，中国国籍，无境外永久居留权。毕业于杭州大学财经系金融学</w:t>
      </w:r>
    </w:p>
    <w:p>
      <w:pPr>
        <w:spacing w:after="0" w:line="240" w:lineRule="auto"/>
        <w:jc w:val="left"/>
        <w:sectPr>
          <w:pgSz w:w="11910" w:h="16840"/>
          <w:pgMar w:header="747" w:footer="979" w:top="1060" w:bottom="1160" w:left="640" w:right="0"/>
        </w:sectPr>
      </w:pPr>
    </w:p>
    <w:p>
      <w:pPr>
        <w:spacing w:line="240" w:lineRule="auto" w:before="7"/>
        <w:rPr>
          <w:rFonts w:ascii="宋体" w:hAnsi="宋体" w:cs="宋体" w:eastAsia="宋体" w:hint="default"/>
          <w:sz w:val="29"/>
          <w:szCs w:val="29"/>
        </w:rPr>
      </w:pPr>
    </w:p>
    <w:p>
      <w:pPr>
        <w:pStyle w:val="BodyText"/>
        <w:spacing w:line="357" w:lineRule="auto" w:before="26"/>
        <w:ind w:right="1218"/>
        <w:jc w:val="both"/>
      </w:pPr>
      <w:r>
        <w:rPr>
          <w:spacing w:val="-2"/>
        </w:rPr>
        <w:t>专业，本科学历，会计师、讲师。历任东南国际投资有限公司会计、杭州正元财务经理、正</w:t>
      </w:r>
      <w:r>
        <w:rPr>
          <w:spacing w:val="-92"/>
        </w:rPr>
        <w:t> </w:t>
      </w:r>
      <w:r>
        <w:rPr>
          <w:spacing w:val="-92"/>
        </w:rPr>
      </w:r>
      <w:r>
        <w:rPr>
          <w:spacing w:val="-2"/>
        </w:rPr>
        <w:t>元有限总裁助理；现任公司董事、浙江树人大学社会合作与服务处副处长兼现代服务业学院</w:t>
      </w:r>
      <w:r>
        <w:rPr>
          <w:spacing w:val="-88"/>
        </w:rPr>
        <w:t> </w:t>
      </w:r>
      <w:r>
        <w:rPr>
          <w:spacing w:val="-88"/>
        </w:rPr>
      </w:r>
      <w:r>
        <w:rPr/>
        <w:t>金融系主任、杭州正元经理、杭州正浩执行董事兼总经理等职务。</w:t>
      </w:r>
    </w:p>
    <w:p>
      <w:pPr>
        <w:pStyle w:val="BodyText"/>
        <w:spacing w:line="352" w:lineRule="auto"/>
        <w:ind w:right="1169" w:firstLine="480"/>
        <w:jc w:val="both"/>
      </w:pPr>
      <w:r>
        <w:rPr/>
        <w:t>陈根清，男，</w:t>
      </w:r>
      <w:r>
        <w:rPr>
          <w:rFonts w:ascii="Times New Roman" w:hAnsi="Times New Roman" w:cs="Times New Roman" w:eastAsia="Times New Roman" w:hint="default"/>
        </w:rPr>
        <w:t>1969</w:t>
      </w:r>
      <w:r>
        <w:rPr/>
        <w:t>年出生，中国国籍，无境外永久居留权。毕业于浙江大学数学专业， </w:t>
      </w:r>
      <w:r>
        <w:rPr>
          <w:spacing w:val="-2"/>
        </w:rPr>
        <w:t>硕士，注册会计师、注册税务师、一级建造师、高级项目经理。曾任金华市环球计算机工程</w:t>
      </w:r>
      <w:r>
        <w:rPr>
          <w:spacing w:val="-89"/>
        </w:rPr>
        <w:t> </w:t>
      </w:r>
      <w:r>
        <w:rPr>
          <w:spacing w:val="-89"/>
        </w:rPr>
      </w:r>
      <w:r>
        <w:rPr/>
        <w:t>有限公司开发经理、金华金信电脑工程有限公司总经理、浙江金信软件有限公司副总经理、 </w:t>
      </w:r>
      <w:r>
        <w:rPr>
          <w:spacing w:val="-2"/>
        </w:rPr>
        <w:t>金信信托投资股份公司信息中心总经理；历任正元有限工程部部长、客服中心总经理、总经</w:t>
      </w:r>
      <w:r>
        <w:rPr>
          <w:spacing w:val="-88"/>
        </w:rPr>
        <w:t> </w:t>
      </w:r>
      <w:r>
        <w:rPr>
          <w:spacing w:val="-88"/>
        </w:rPr>
      </w:r>
      <w:r>
        <w:rPr>
          <w:spacing w:val="-2"/>
        </w:rPr>
        <w:t>理助理、副总经理；现任公司董事、副总经理兼财务总监，兼任浙江坚果董事长，浙江云马</w:t>
      </w:r>
      <w:r>
        <w:rPr>
          <w:spacing w:val="-90"/>
        </w:rPr>
        <w:t> </w:t>
      </w:r>
      <w:r>
        <w:rPr>
          <w:spacing w:val="-90"/>
        </w:rPr>
      </w:r>
      <w:r>
        <w:rPr/>
        <w:t>董事兼经理，浙江小兰、浙江校云、四川正元董事。</w:t>
      </w:r>
    </w:p>
    <w:p>
      <w:pPr>
        <w:pStyle w:val="BodyText"/>
        <w:spacing w:line="350" w:lineRule="auto" w:before="41"/>
        <w:ind w:right="0" w:firstLine="480"/>
        <w:jc w:val="left"/>
      </w:pPr>
      <w:r>
        <w:rPr>
          <w:rFonts w:ascii="Times New Roman" w:hAnsi="Times New Roman" w:cs="Times New Roman" w:eastAsia="Times New Roman" w:hint="default"/>
        </w:rPr>
        <w:t>JAY TSAI CHIEN</w:t>
      </w:r>
      <w:r>
        <w:rPr>
          <w:rFonts w:ascii="Times New Roman" w:hAnsi="Times New Roman" w:cs="Times New Roman" w:eastAsia="Times New Roman" w:hint="default"/>
          <w:spacing w:val="25"/>
        </w:rPr>
        <w:t> </w:t>
      </w:r>
      <w:r>
        <w:rPr>
          <w:rFonts w:ascii="Times New Roman" w:hAnsi="Times New Roman" w:cs="Times New Roman" w:eastAsia="Times New Roman" w:hint="default"/>
        </w:rPr>
        <w:t>CHOU</w:t>
      </w:r>
      <w:r>
        <w:rPr/>
        <w:t>，男，</w:t>
      </w:r>
      <w:r>
        <w:rPr>
          <w:rFonts w:ascii="Times New Roman" w:hAnsi="Times New Roman" w:cs="Times New Roman" w:eastAsia="Times New Roman" w:hint="default"/>
        </w:rPr>
        <w:t>1962</w:t>
      </w:r>
      <w:r>
        <w:rPr/>
        <w:t>年出生，美国国籍。毕业于美国马里兰大学，先后 </w:t>
      </w:r>
      <w:r>
        <w:rPr>
          <w:spacing w:val="-6"/>
        </w:rPr>
        <w:t>获电子工程学学士、应用物理学硕士、电子通信学博士，并获得约翰霍普金斯大学</w:t>
      </w:r>
      <w:r>
        <w:rPr>
          <w:rFonts w:ascii="Times New Roman" w:hAnsi="Times New Roman" w:cs="Times New Roman" w:eastAsia="Times New Roman" w:hint="default"/>
          <w:spacing w:val="-6"/>
        </w:rPr>
        <w:t>MBA</w:t>
      </w:r>
      <w:r>
        <w:rPr>
          <w:spacing w:val="-6"/>
        </w:rPr>
        <w:t>学位，</w:t>
      </w:r>
      <w:r>
        <w:rPr>
          <w:spacing w:val="-103"/>
        </w:rPr>
        <w:t> </w:t>
      </w:r>
      <w:r>
        <w:rPr>
          <w:spacing w:val="-5"/>
        </w:rPr>
        <w:t>国家特聘专家，曾获浙江省海外留学人士英才奖、浙江省海外华侨华人专业人士杰出创业奖。</w:t>
      </w:r>
      <w:r>
        <w:rPr>
          <w:spacing w:val="-83"/>
        </w:rPr>
        <w:t> </w:t>
      </w:r>
      <w:r>
        <w:rPr>
          <w:spacing w:val="-83"/>
        </w:rPr>
      </w:r>
      <w:r>
        <w:rPr/>
        <w:t>曾就职于威瑞森等跨国企业，担任过项目经理、部门经理、网络部总监、供应链总监等职， 回国后曾任杭州吉柏信息科技有限公司总经理；现任公司董事、副总经理兼总工程师，杭州</w:t>
      </w:r>
      <w:r>
        <w:rPr/>
        <w:t> 汇萃智能科技有限公司董事长，广东广源智能科技有限公司董事长等职务。</w:t>
      </w:r>
    </w:p>
    <w:p>
      <w:pPr>
        <w:pStyle w:val="BodyText"/>
        <w:spacing w:line="350" w:lineRule="auto" w:before="44"/>
        <w:ind w:right="1216" w:firstLine="480"/>
        <w:jc w:val="both"/>
      </w:pPr>
      <w:r>
        <w:rPr>
          <w:spacing w:val="-2"/>
        </w:rPr>
        <w:t>龚明勇，男，</w:t>
      </w:r>
      <w:r>
        <w:rPr>
          <w:rFonts w:ascii="Times New Roman" w:hAnsi="Times New Roman" w:cs="Times New Roman" w:eastAsia="Times New Roman" w:hint="default"/>
          <w:spacing w:val="-2"/>
        </w:rPr>
        <w:t>1974</w:t>
      </w:r>
      <w:r>
        <w:rPr>
          <w:spacing w:val="-2"/>
        </w:rPr>
        <w:t>年出生，中国国籍，无境外永久居留权。毕业于中共中央党校经济管</w:t>
      </w:r>
      <w:r>
        <w:rPr/>
        <w:t> </w:t>
      </w:r>
      <w:r>
        <w:rPr>
          <w:spacing w:val="-2"/>
        </w:rPr>
        <w:t>理专业，本科学历。历任中国农业银行鄞县支行客户经理，兴业银行宁波江东支行公司部经</w:t>
      </w:r>
      <w:r>
        <w:rPr>
          <w:spacing w:val="-88"/>
        </w:rPr>
        <w:t> </w:t>
      </w:r>
      <w:r>
        <w:rPr>
          <w:spacing w:val="-88"/>
        </w:rPr>
      </w:r>
      <w:r>
        <w:rPr>
          <w:spacing w:val="-2"/>
        </w:rPr>
        <w:t>理、行长助理，兴业银行宁波分行企业金融业务部总经理等职务；现任公司董事、浙江华瓯</w:t>
      </w:r>
      <w:r>
        <w:rPr>
          <w:spacing w:val="-88"/>
        </w:rPr>
        <w:t> </w:t>
      </w:r>
      <w:r>
        <w:rPr>
          <w:spacing w:val="-88"/>
        </w:rPr>
      </w:r>
      <w:r>
        <w:rPr/>
        <w:t>股权投资管理有限公司投资管理部总经理等职务。</w:t>
      </w:r>
    </w:p>
    <w:p>
      <w:pPr>
        <w:pStyle w:val="BodyText"/>
        <w:spacing w:line="350" w:lineRule="auto" w:before="43"/>
        <w:ind w:right="1219" w:firstLine="480"/>
        <w:jc w:val="both"/>
      </w:pPr>
      <w:r>
        <w:rPr>
          <w:spacing w:val="-2"/>
        </w:rPr>
        <w:t>朱军，男，</w:t>
      </w:r>
      <w:r>
        <w:rPr>
          <w:rFonts w:ascii="Times New Roman" w:hAnsi="Times New Roman" w:cs="Times New Roman" w:eastAsia="Times New Roman" w:hint="default"/>
          <w:spacing w:val="-2"/>
        </w:rPr>
        <w:t>1962</w:t>
      </w:r>
      <w:r>
        <w:rPr>
          <w:spacing w:val="-2"/>
        </w:rPr>
        <w:t>年出生，中国国籍，无境外永久居留权。毕业于南开大学汉语言文学专</w:t>
      </w:r>
      <w:r>
        <w:rPr/>
        <w:t> </w:t>
      </w:r>
      <w:r>
        <w:rPr>
          <w:spacing w:val="-2"/>
        </w:rPr>
        <w:t>业，浙江省委党校经济学研究生，高级经济师。曾任浙江财经学院院长助理，奉化市政府副</w:t>
      </w:r>
      <w:r>
        <w:rPr>
          <w:spacing w:val="-88"/>
        </w:rPr>
        <w:t> </w:t>
      </w:r>
      <w:r>
        <w:rPr>
          <w:spacing w:val="-88"/>
        </w:rPr>
      </w:r>
      <w:r>
        <w:rPr>
          <w:spacing w:val="-2"/>
        </w:rPr>
        <w:t>市长（挂职），杭州师范大学党委副书记，春和集团有限公司常务副总裁等职务；现任公司</w:t>
      </w:r>
      <w:r>
        <w:rPr>
          <w:spacing w:val="-90"/>
        </w:rPr>
        <w:t> </w:t>
      </w:r>
      <w:r>
        <w:rPr>
          <w:spacing w:val="-90"/>
        </w:rPr>
      </w:r>
      <w:r>
        <w:rPr/>
        <w:t>董事、副总经理。</w:t>
      </w:r>
    </w:p>
    <w:p>
      <w:pPr>
        <w:pStyle w:val="BodyText"/>
        <w:spacing w:line="357" w:lineRule="auto" w:before="43"/>
        <w:ind w:left="634" w:right="0"/>
        <w:jc w:val="left"/>
      </w:pPr>
      <w:r>
        <w:rPr/>
        <w:t>独立董事成员： </w:t>
      </w:r>
      <w:r>
        <w:rPr>
          <w:spacing w:val="-2"/>
        </w:rPr>
        <w:t>童本立，男，</w:t>
      </w:r>
      <w:r>
        <w:rPr>
          <w:rFonts w:ascii="Times New Roman" w:hAnsi="Times New Roman" w:cs="Times New Roman" w:eastAsia="Times New Roman" w:hint="default"/>
          <w:spacing w:val="-2"/>
        </w:rPr>
        <w:t>1950</w:t>
      </w:r>
      <w:r>
        <w:rPr>
          <w:spacing w:val="-2"/>
        </w:rPr>
        <w:t>年出生，中国国籍，无境外永久居留权。毕业于财政部财政科学研究</w:t>
      </w:r>
    </w:p>
    <w:p>
      <w:pPr>
        <w:pStyle w:val="BodyText"/>
        <w:spacing w:line="350" w:lineRule="auto" w:before="5"/>
        <w:ind w:right="1217"/>
        <w:jc w:val="both"/>
      </w:pPr>
      <w:r>
        <w:rPr>
          <w:spacing w:val="-2"/>
        </w:rPr>
        <w:t>所财政专业，硕士，高级会计师、教授。历任浙江省财政厅科长、副处长、处长，浙江财经</w:t>
      </w:r>
      <w:r>
        <w:rPr>
          <w:spacing w:val="-96"/>
        </w:rPr>
        <w:t> </w:t>
      </w:r>
      <w:r>
        <w:rPr>
          <w:spacing w:val="-96"/>
        </w:rPr>
      </w:r>
      <w:r>
        <w:rPr/>
        <w:t>学院副院长、院长、党委书记，浙江省审计学会副会长，</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3</w:t>
      </w:r>
      <w:r>
        <w:rPr/>
        <w:t>月退休；曾任杭州长乔旅</w:t>
      </w:r>
      <w:r>
        <w:rPr>
          <w:spacing w:val="-67"/>
        </w:rPr>
        <w:t> </w:t>
      </w:r>
      <w:r>
        <w:rPr>
          <w:spacing w:val="-67"/>
        </w:rPr>
      </w:r>
      <w:r>
        <w:rPr>
          <w:spacing w:val="-2"/>
        </w:rPr>
        <w:t>游投资集团股份有限公司独立董事；现任公司独立董事，杭州解百股份有限公司、浙江昂利</w:t>
      </w:r>
      <w:r>
        <w:rPr>
          <w:spacing w:val="-88"/>
        </w:rPr>
        <w:t> </w:t>
      </w:r>
      <w:r>
        <w:rPr>
          <w:spacing w:val="-88"/>
        </w:rPr>
      </w:r>
      <w:r>
        <w:rPr>
          <w:spacing w:val="-2"/>
        </w:rPr>
        <w:t>康制药股份有限公司、浙商银行股份有限公司、浙江浦江农村商业银行股份有限公司独立董</w:t>
      </w:r>
    </w:p>
    <w:p>
      <w:pPr>
        <w:spacing w:after="0" w:line="350" w:lineRule="auto"/>
        <w:jc w:val="both"/>
        <w:sectPr>
          <w:pgSz w:w="11910" w:h="16840"/>
          <w:pgMar w:header="747" w:footer="979" w:top="1060" w:bottom="1160" w:left="980" w:right="0"/>
        </w:sectPr>
      </w:pPr>
    </w:p>
    <w:p>
      <w:pPr>
        <w:spacing w:line="240" w:lineRule="auto" w:before="7"/>
        <w:rPr>
          <w:rFonts w:ascii="宋体" w:hAnsi="宋体" w:cs="宋体" w:eastAsia="宋体" w:hint="default"/>
          <w:sz w:val="29"/>
          <w:szCs w:val="29"/>
        </w:rPr>
      </w:pPr>
    </w:p>
    <w:p>
      <w:pPr>
        <w:pStyle w:val="BodyText"/>
        <w:spacing w:line="240" w:lineRule="auto" w:before="26"/>
        <w:ind w:right="0"/>
        <w:jc w:val="both"/>
      </w:pPr>
      <w:r>
        <w:rPr/>
        <w:t>事。</w:t>
      </w:r>
    </w:p>
    <w:p>
      <w:pPr>
        <w:pStyle w:val="BodyText"/>
        <w:spacing w:line="355" w:lineRule="auto" w:before="154"/>
        <w:ind w:right="994" w:firstLine="480"/>
        <w:jc w:val="left"/>
      </w:pPr>
      <w:r>
        <w:rPr/>
        <w:t>朱加宁，男，</w:t>
      </w:r>
      <w:r>
        <w:rPr>
          <w:rFonts w:ascii="Times New Roman" w:hAnsi="Times New Roman" w:cs="Times New Roman" w:eastAsia="Times New Roman" w:hint="default"/>
        </w:rPr>
        <w:t>1957</w:t>
      </w:r>
      <w:r>
        <w:rPr/>
        <w:t>年出生，中国国籍，无境外永久居留权。华东政法学院法律专业本科 </w:t>
      </w:r>
      <w:r>
        <w:rPr>
          <w:spacing w:val="-5"/>
        </w:rPr>
        <w:t>毕业，杭州大学法学研究生课程班、中国政法大学国际法学院法学博士生课程班结业，律师，</w:t>
      </w:r>
      <w:r>
        <w:rPr>
          <w:spacing w:val="-83"/>
        </w:rPr>
        <w:t> </w:t>
      </w:r>
      <w:r>
        <w:rPr>
          <w:spacing w:val="-83"/>
        </w:rPr>
      </w:r>
      <w:r>
        <w:rPr/>
        <w:t>中国人民大学律师学院等多所高等院校兼职教授和硕士生导师，北京师范大学刑事法律科学</w:t>
      </w:r>
      <w:r>
        <w:rPr/>
        <w:t> 研究院特邀研究员，中华全国律师协会行政法专业委员会委员、浙江省律师协会法律顾问专 业委员会副主任。历任北京市国纲华辰（杭州）律师事务所律师、主任，农夫山泉股份有限 公司及山东赛托生物科技股份有限公司独立董事；现任北京浩天信和（杭州）律师事务所律 师、主任，公司独立董事，浙江天台祥和实业股份有限公司、浙江晨丰科技股份有限公司独 立董事。</w:t>
      </w:r>
    </w:p>
    <w:p>
      <w:pPr>
        <w:pStyle w:val="BodyText"/>
        <w:spacing w:line="350" w:lineRule="auto" w:before="38"/>
        <w:ind w:right="1171" w:firstLine="480"/>
        <w:jc w:val="both"/>
      </w:pPr>
      <w:r>
        <w:rPr/>
        <w:t>张耀辉，男，</w:t>
      </w:r>
      <w:r>
        <w:rPr>
          <w:rFonts w:ascii="Times New Roman" w:hAnsi="Times New Roman" w:cs="Times New Roman" w:eastAsia="Times New Roman" w:hint="default"/>
        </w:rPr>
        <w:t>1965</w:t>
      </w:r>
      <w:r>
        <w:rPr/>
        <w:t>年出生，中国国籍，无境外永久居留权。江西财经大学经济学硕士， 中欧国际工商学院</w:t>
      </w:r>
      <w:r>
        <w:rPr>
          <w:rFonts w:ascii="Times New Roman" w:hAnsi="Times New Roman" w:cs="Times New Roman" w:eastAsia="Times New Roman" w:hint="default"/>
        </w:rPr>
        <w:t>EMBA</w:t>
      </w:r>
      <w:r>
        <w:rPr/>
        <w:t>，副教授。历任江西财经大学副教授、中经开南昌营业部经理、横 </w:t>
      </w:r>
      <w:r>
        <w:rPr>
          <w:spacing w:val="-2"/>
        </w:rPr>
        <w:t>店集团有限公司总裁、海南晓奥集团总裁、哈尔滨高科技股份有限公司董事长；现任公司独</w:t>
      </w:r>
      <w:r>
        <w:rPr>
          <w:spacing w:val="-88"/>
        </w:rPr>
        <w:t> </w:t>
      </w:r>
      <w:r>
        <w:rPr>
          <w:spacing w:val="-88"/>
        </w:rPr>
      </w:r>
      <w:r>
        <w:rPr>
          <w:spacing w:val="-8"/>
        </w:rPr>
        <w:t>立董事、上海明辉股权投资管理有限公司执行董事兼总经理、上海明辉股权投资合伙企业（有</w:t>
      </w:r>
      <w:r>
        <w:rPr>
          <w:spacing w:val="-80"/>
        </w:rPr>
        <w:t> </w:t>
      </w:r>
      <w:r>
        <w:rPr>
          <w:spacing w:val="-80"/>
        </w:rPr>
      </w:r>
      <w:r>
        <w:rPr>
          <w:spacing w:val="-2"/>
        </w:rPr>
        <w:t>限合伙）执行事务合伙人委派代表、上海明辉创业投资有限公司执行董事、上海康曜投资管</w:t>
      </w:r>
      <w:r>
        <w:rPr>
          <w:spacing w:val="-88"/>
        </w:rPr>
        <w:t> </w:t>
      </w:r>
      <w:r>
        <w:rPr>
          <w:spacing w:val="-88"/>
        </w:rPr>
      </w:r>
      <w:r>
        <w:rPr/>
        <w:t>理有限公司执行董事等职务。</w:t>
      </w:r>
    </w:p>
    <w:p>
      <w:pPr>
        <w:spacing w:line="338" w:lineRule="auto" w:before="44"/>
        <w:ind w:left="634" w:right="0" w:hanging="48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、现任监事会成员简历</w:t>
      </w:r>
      <w:r>
        <w:rPr>
          <w:rFonts w:ascii="宋体" w:hAnsi="宋体" w:cs="宋体" w:eastAsia="宋体" w:hint="default"/>
          <w:b/>
          <w:bCs/>
          <w:w w:val="99"/>
          <w:sz w:val="24"/>
          <w:szCs w:val="24"/>
        </w:rPr>
        <w:t> </w:t>
      </w:r>
      <w:r>
        <w:rPr>
          <w:rFonts w:ascii="宋体" w:hAnsi="宋体" w:cs="宋体" w:eastAsia="宋体" w:hint="default"/>
          <w:spacing w:val="-2"/>
          <w:sz w:val="24"/>
          <w:szCs w:val="24"/>
        </w:rPr>
        <w:t>翁玉涛，男，</w:t>
      </w:r>
      <w:r>
        <w:rPr>
          <w:rFonts w:ascii="Times New Roman" w:hAnsi="Times New Roman" w:cs="Times New Roman" w:eastAsia="Times New Roman" w:hint="default"/>
          <w:spacing w:val="-2"/>
          <w:sz w:val="24"/>
          <w:szCs w:val="24"/>
        </w:rPr>
        <w:t>1963</w:t>
      </w:r>
      <w:r>
        <w:rPr>
          <w:rFonts w:ascii="宋体" w:hAnsi="宋体" w:cs="宋体" w:eastAsia="宋体" w:hint="default"/>
          <w:spacing w:val="-2"/>
          <w:sz w:val="24"/>
          <w:szCs w:val="24"/>
        </w:rPr>
        <w:t>年出生，中国国籍，无境外永久居留权。毕业于江西财经管理干部学</w:t>
      </w:r>
    </w:p>
    <w:p>
      <w:pPr>
        <w:pStyle w:val="BodyText"/>
        <w:spacing w:line="357" w:lineRule="auto" w:before="27"/>
        <w:ind w:right="1217"/>
        <w:jc w:val="both"/>
      </w:pPr>
      <w:r>
        <w:rPr>
          <w:spacing w:val="-2"/>
        </w:rPr>
        <w:t>院投资经济专业。历任中国建设银行淳安县支行副行长、中国银行淳安县支行行长、浙江恒</w:t>
      </w:r>
      <w:r>
        <w:rPr>
          <w:spacing w:val="-88"/>
        </w:rPr>
        <w:t> </w:t>
      </w:r>
      <w:r>
        <w:rPr>
          <w:spacing w:val="-88"/>
        </w:rPr>
      </w:r>
      <w:r>
        <w:rPr>
          <w:spacing w:val="-2"/>
        </w:rPr>
        <w:t>基房地产开发经营有限公司执行董事；现任公司非职工监事、浙江浙企财富投资管理有限公</w:t>
      </w:r>
      <w:r>
        <w:rPr>
          <w:spacing w:val="-88"/>
        </w:rPr>
        <w:t> </w:t>
      </w:r>
      <w:r>
        <w:rPr>
          <w:spacing w:val="-88"/>
        </w:rPr>
      </w:r>
      <w:r>
        <w:rPr/>
        <w:t>司董事长、兼任上海融都房地产开发有限公司、嘉兴融都置业有限公司董事长等职务。</w:t>
      </w:r>
    </w:p>
    <w:p>
      <w:pPr>
        <w:pStyle w:val="BodyText"/>
        <w:spacing w:line="350" w:lineRule="auto"/>
        <w:ind w:right="0" w:firstLine="480"/>
        <w:jc w:val="left"/>
      </w:pPr>
      <w:r>
        <w:rPr>
          <w:spacing w:val="-3"/>
        </w:rPr>
        <w:t>李战鹏，男，</w:t>
      </w:r>
      <w:r>
        <w:rPr>
          <w:rFonts w:ascii="Times New Roman" w:hAnsi="Times New Roman" w:cs="Times New Roman" w:eastAsia="Times New Roman" w:hint="default"/>
          <w:spacing w:val="-3"/>
        </w:rPr>
        <w:t>1975</w:t>
      </w:r>
      <w:r>
        <w:rPr>
          <w:spacing w:val="-3"/>
        </w:rPr>
        <w:t>年出生，中国国籍，无境外永久居留权，浙江工商大学</w:t>
      </w:r>
      <w:r>
        <w:rPr>
          <w:rFonts w:ascii="Times New Roman" w:hAnsi="Times New Roman" w:cs="Times New Roman" w:eastAsia="Times New Roman" w:hint="default"/>
          <w:spacing w:val="-3"/>
        </w:rPr>
        <w:t>MBA</w:t>
      </w:r>
      <w:r>
        <w:rPr>
          <w:spacing w:val="-3"/>
        </w:rPr>
        <w:t>。历任公</w:t>
      </w:r>
      <w:r>
        <w:rPr/>
        <w:t> 司绍兴分公司经理、江西分公司总经理、客户服务中心总经理、运营事业部总经理，杭州捷 </w:t>
      </w:r>
      <w:r>
        <w:rPr>
          <w:spacing w:val="-5"/>
        </w:rPr>
        <w:t>卡智慧科技有限公司总经理等职务；现任公司总经理助理、营销中心总经理、职工代表监事，</w:t>
      </w:r>
      <w:r>
        <w:rPr>
          <w:spacing w:val="-83"/>
        </w:rPr>
        <w:t> </w:t>
      </w:r>
      <w:r>
        <w:rPr>
          <w:spacing w:val="-83"/>
        </w:rPr>
      </w:r>
      <w:r>
        <w:rPr/>
        <w:t>兼任浙江校云董事长，四川正元董事。</w:t>
      </w:r>
    </w:p>
    <w:p>
      <w:pPr>
        <w:pStyle w:val="BodyText"/>
        <w:spacing w:line="350" w:lineRule="auto" w:before="43"/>
        <w:ind w:right="1118" w:firstLine="480"/>
        <w:jc w:val="left"/>
        <w:rPr>
          <w:rFonts w:ascii="宋体" w:hAnsi="宋体" w:cs="宋体" w:eastAsia="宋体" w:hint="default"/>
        </w:rPr>
      </w:pPr>
      <w:r>
        <w:rPr>
          <w:spacing w:val="-2"/>
        </w:rPr>
        <w:t>刘智海，男，</w:t>
      </w:r>
      <w:r>
        <w:rPr>
          <w:rFonts w:ascii="Times New Roman" w:hAnsi="Times New Roman" w:cs="Times New Roman" w:eastAsia="Times New Roman" w:hint="default"/>
          <w:spacing w:val="-2"/>
        </w:rPr>
        <w:t>1978</w:t>
      </w:r>
      <w:r>
        <w:rPr>
          <w:spacing w:val="-2"/>
        </w:rPr>
        <w:t>年出生，中国国籍，无境外永久居留权，毕业于杭州电子科技大学软</w:t>
      </w:r>
      <w:r>
        <w:rPr/>
        <w:t> </w:t>
      </w:r>
      <w:r>
        <w:rPr>
          <w:spacing w:val="-2"/>
        </w:rPr>
        <w:t>件工程专业，硕士。历任公司平台软件部经理、市场部副总监、品质管理部经理、总工程师</w:t>
      </w:r>
      <w:r>
        <w:rPr>
          <w:spacing w:val="-90"/>
        </w:rPr>
        <w:t> </w:t>
      </w:r>
      <w:r>
        <w:rPr>
          <w:spacing w:val="-90"/>
        </w:rPr>
      </w:r>
      <w:r>
        <w:rPr/>
        <w:t>助理等职务；现任公司副总工程师、软件研发中心总监、职工代表监事。 </w:t>
      </w:r>
      <w:r>
        <w:rPr>
          <w:rFonts w:ascii="Times New Roman" w:hAnsi="Times New Roman" w:cs="Times New Roman" w:eastAsia="Times New Roman" w:hint="default"/>
          <w:b/>
          <w:bCs/>
        </w:rPr>
        <w:t>3</w:t>
      </w:r>
      <w:r>
        <w:rPr>
          <w:rFonts w:ascii="宋体" w:hAnsi="宋体" w:cs="宋体" w:eastAsia="宋体" w:hint="default"/>
          <w:b/>
          <w:bCs/>
        </w:rPr>
        <w:t>、现任高级管理人员简历</w:t>
      </w:r>
      <w:r>
        <w:rPr>
          <w:rFonts w:ascii="宋体" w:hAnsi="宋体" w:cs="宋体" w:eastAsia="宋体" w:hint="default"/>
        </w:rPr>
      </w:r>
    </w:p>
    <w:p>
      <w:pPr>
        <w:pStyle w:val="BodyText"/>
        <w:spacing w:line="240" w:lineRule="auto" w:before="13"/>
        <w:ind w:left="634" w:right="0"/>
        <w:jc w:val="left"/>
      </w:pPr>
      <w:r>
        <w:rPr/>
        <w:t>陈坚，公司总经理，简历参见本节</w:t>
      </w:r>
      <w:r>
        <w:rPr>
          <w:rFonts w:ascii="Times New Roman" w:hAnsi="Times New Roman" w:cs="Times New Roman" w:eastAsia="Times New Roman" w:hint="default"/>
        </w:rPr>
        <w:t>“</w:t>
      </w:r>
      <w:r>
        <w:rPr/>
        <w:t>现任董事会成员简历</w:t>
      </w:r>
      <w:r>
        <w:rPr>
          <w:rFonts w:ascii="Times New Roman" w:hAnsi="Times New Roman" w:cs="Times New Roman" w:eastAsia="Times New Roman" w:hint="default"/>
        </w:rPr>
        <w:t>”</w:t>
      </w:r>
      <w:r>
        <w:rPr/>
        <w:t>。</w:t>
      </w:r>
    </w:p>
    <w:p>
      <w:pPr>
        <w:spacing w:after="0" w:line="240" w:lineRule="auto"/>
        <w:jc w:val="left"/>
        <w:sectPr>
          <w:pgSz w:w="11910" w:h="16840"/>
          <w:pgMar w:header="747" w:footer="979" w:top="1060" w:bottom="1160" w:left="980" w:right="0"/>
        </w:sectPr>
      </w:pPr>
    </w:p>
    <w:p>
      <w:pPr>
        <w:spacing w:line="240" w:lineRule="auto" w:before="7"/>
        <w:rPr>
          <w:rFonts w:ascii="宋体" w:hAnsi="宋体" w:cs="宋体" w:eastAsia="宋体" w:hint="default"/>
          <w:sz w:val="29"/>
          <w:szCs w:val="29"/>
        </w:rPr>
      </w:pPr>
    </w:p>
    <w:p>
      <w:pPr>
        <w:pStyle w:val="BodyText"/>
        <w:spacing w:line="240" w:lineRule="auto" w:before="26"/>
        <w:ind w:left="734" w:right="0"/>
        <w:jc w:val="left"/>
      </w:pPr>
      <w:r>
        <w:rPr/>
        <w:t>陈根清，公司副总经理兼财务总监，简历参见本节</w:t>
      </w:r>
      <w:r>
        <w:rPr>
          <w:rFonts w:ascii="Times New Roman" w:hAnsi="Times New Roman" w:cs="Times New Roman" w:eastAsia="Times New Roman" w:hint="default"/>
        </w:rPr>
        <w:t>“</w:t>
      </w:r>
      <w:r>
        <w:rPr/>
        <w:t>现任董事会成员简历</w:t>
      </w:r>
      <w:r>
        <w:rPr>
          <w:rFonts w:ascii="Times New Roman" w:hAnsi="Times New Roman" w:cs="Times New Roman" w:eastAsia="Times New Roman" w:hint="default"/>
        </w:rPr>
        <w:t>”</w:t>
      </w:r>
      <w:r>
        <w:rPr/>
        <w:t>。</w:t>
      </w:r>
    </w:p>
    <w:p>
      <w:pPr>
        <w:pStyle w:val="BodyText"/>
        <w:spacing w:line="338" w:lineRule="auto" w:before="135"/>
        <w:ind w:left="254" w:right="1214" w:firstLine="480"/>
        <w:jc w:val="both"/>
      </w:pPr>
      <w:r>
        <w:rPr>
          <w:rFonts w:ascii="Times New Roman" w:hAnsi="Times New Roman" w:cs="Times New Roman" w:eastAsia="Times New Roman" w:hint="default"/>
        </w:rPr>
        <w:t>JAY TSAI CHIEN</w:t>
      </w:r>
      <w:r>
        <w:rPr>
          <w:rFonts w:ascii="Times New Roman" w:hAnsi="Times New Roman" w:cs="Times New Roman" w:eastAsia="Times New Roman" w:hint="default"/>
          <w:spacing w:val="11"/>
        </w:rPr>
        <w:t> </w:t>
      </w:r>
      <w:r>
        <w:rPr>
          <w:rFonts w:ascii="Times New Roman" w:hAnsi="Times New Roman" w:cs="Times New Roman" w:eastAsia="Times New Roman" w:hint="default"/>
          <w:spacing w:val="-3"/>
        </w:rPr>
        <w:t>CHOU</w:t>
      </w:r>
      <w:r>
        <w:rPr>
          <w:spacing w:val="-3"/>
        </w:rPr>
        <w:t>，公司副总经理、总工程师，简历参见本节</w:t>
      </w:r>
      <w:r>
        <w:rPr>
          <w:rFonts w:ascii="Times New Roman" w:hAnsi="Times New Roman" w:cs="Times New Roman" w:eastAsia="Times New Roman" w:hint="default"/>
          <w:spacing w:val="-3"/>
        </w:rPr>
        <w:t>“</w:t>
      </w:r>
      <w:r>
        <w:rPr>
          <w:spacing w:val="-3"/>
        </w:rPr>
        <w:t>现任董事会成员简</w:t>
      </w:r>
      <w:r>
        <w:rPr/>
        <w:t> 历</w:t>
      </w:r>
      <w:r>
        <w:rPr>
          <w:rFonts w:ascii="Times New Roman" w:hAnsi="Times New Roman" w:cs="Times New Roman" w:eastAsia="Times New Roman" w:hint="default"/>
        </w:rPr>
        <w:t>”</w:t>
      </w:r>
      <w:r>
        <w:rPr/>
        <w:t>。</w:t>
      </w:r>
    </w:p>
    <w:p>
      <w:pPr>
        <w:pStyle w:val="BodyText"/>
        <w:spacing w:line="338" w:lineRule="auto" w:before="27"/>
        <w:ind w:left="734" w:right="0"/>
        <w:jc w:val="left"/>
      </w:pPr>
      <w:r>
        <w:rPr/>
        <w:t>朱军，公司副总经理，简历参见本节</w:t>
      </w:r>
      <w:r>
        <w:rPr>
          <w:rFonts w:ascii="Times New Roman" w:hAnsi="Times New Roman" w:cs="Times New Roman" w:eastAsia="Times New Roman" w:hint="default"/>
        </w:rPr>
        <w:t>“</w:t>
      </w:r>
      <w:r>
        <w:rPr/>
        <w:t>现任董事会成员简历</w:t>
      </w:r>
      <w:r>
        <w:rPr>
          <w:rFonts w:ascii="Times New Roman" w:hAnsi="Times New Roman" w:cs="Times New Roman" w:eastAsia="Times New Roman" w:hint="default"/>
        </w:rPr>
        <w:t>”</w:t>
      </w:r>
      <w:r>
        <w:rPr/>
        <w:t>。 </w:t>
      </w:r>
      <w:r>
        <w:rPr>
          <w:spacing w:val="-5"/>
        </w:rPr>
        <w:t>施东圣，男，</w:t>
      </w:r>
      <w:r>
        <w:rPr>
          <w:rFonts w:ascii="Times New Roman" w:hAnsi="Times New Roman" w:cs="Times New Roman" w:eastAsia="Times New Roman" w:hint="default"/>
          <w:spacing w:val="-5"/>
        </w:rPr>
        <w:t>1962</w:t>
      </w:r>
      <w:r>
        <w:rPr>
          <w:spacing w:val="-5"/>
        </w:rPr>
        <w:t>年出生，中国国籍，无境外永久居留权。毕业于杭州大学，本科学历。</w:t>
      </w:r>
    </w:p>
    <w:p>
      <w:pPr>
        <w:pStyle w:val="BodyText"/>
        <w:spacing w:line="357" w:lineRule="auto" w:before="27"/>
        <w:ind w:left="734" w:right="0" w:hanging="480"/>
        <w:jc w:val="left"/>
      </w:pPr>
      <w:r>
        <w:rPr/>
        <w:t>历任浙江医科大学教师；现任公司副总经理。 </w:t>
      </w:r>
      <w:r>
        <w:rPr>
          <w:spacing w:val="-5"/>
        </w:rPr>
        <w:t>吕晓平，男，</w:t>
      </w:r>
      <w:r>
        <w:rPr>
          <w:rFonts w:ascii="Times New Roman" w:hAnsi="Times New Roman" w:cs="Times New Roman" w:eastAsia="Times New Roman" w:hint="default"/>
          <w:spacing w:val="-5"/>
        </w:rPr>
        <w:t>1973</w:t>
      </w:r>
      <w:r>
        <w:rPr>
          <w:spacing w:val="-5"/>
        </w:rPr>
        <w:t>年出生，中国国籍，无境外永久居留权。毕业于杭州大学，本科学历。</w:t>
      </w:r>
    </w:p>
    <w:p>
      <w:pPr>
        <w:pStyle w:val="BodyText"/>
        <w:spacing w:line="357" w:lineRule="auto" w:before="5"/>
        <w:ind w:left="254" w:right="0"/>
        <w:jc w:val="left"/>
      </w:pPr>
      <w:r>
        <w:rPr>
          <w:spacing w:val="-2"/>
        </w:rPr>
        <w:t>历任公司杭州分公司经理、营销部部长、省内营销公司总经理、金卡事业部总经理、总经理</w:t>
      </w:r>
      <w:r>
        <w:rPr>
          <w:spacing w:val="-88"/>
        </w:rPr>
        <w:t> </w:t>
      </w:r>
      <w:r>
        <w:rPr>
          <w:spacing w:val="-88"/>
        </w:rPr>
      </w:r>
      <w:r>
        <w:rPr/>
        <w:t>助理等职务；现任公司副总经理，兼任杭州正浩监事。</w:t>
      </w:r>
    </w:p>
    <w:p>
      <w:pPr>
        <w:pStyle w:val="BodyText"/>
        <w:spacing w:line="352" w:lineRule="auto"/>
        <w:ind w:left="254" w:right="1217" w:firstLine="480"/>
        <w:jc w:val="both"/>
      </w:pPr>
      <w:r>
        <w:rPr>
          <w:spacing w:val="-2"/>
        </w:rPr>
        <w:t>周军辉，男，</w:t>
      </w:r>
      <w:r>
        <w:rPr>
          <w:rFonts w:ascii="Times New Roman" w:hAnsi="Times New Roman" w:cs="Times New Roman" w:eastAsia="Times New Roman" w:hint="default"/>
          <w:spacing w:val="-2"/>
        </w:rPr>
        <w:t>1973</w:t>
      </w:r>
      <w:r>
        <w:rPr>
          <w:spacing w:val="-2"/>
        </w:rPr>
        <w:t>年出生，中国国籍，无境外永久居留权。毕业于浙江农业大学经济管</w:t>
      </w:r>
      <w:r>
        <w:rPr/>
        <w:t> </w:t>
      </w:r>
      <w:r>
        <w:rPr>
          <w:spacing w:val="-2"/>
        </w:rPr>
        <w:t>理专业，本科学历，经济师、人力资源管理师，浙江省优秀职业经理人，具有深圳证券交易</w:t>
      </w:r>
      <w:r>
        <w:rPr>
          <w:spacing w:val="-90"/>
        </w:rPr>
        <w:t> </w:t>
      </w:r>
      <w:r>
        <w:rPr>
          <w:spacing w:val="-90"/>
        </w:rPr>
      </w:r>
      <w:r>
        <w:rPr>
          <w:spacing w:val="-2"/>
        </w:rPr>
        <w:t>所颁发的《董事会秘书资格证书》。历任公司总经理办公室副主任、工会委员，职工代表监</w:t>
      </w:r>
      <w:r>
        <w:rPr>
          <w:spacing w:val="-89"/>
        </w:rPr>
        <w:t> </w:t>
      </w:r>
      <w:r>
        <w:rPr>
          <w:spacing w:val="-89"/>
        </w:rPr>
      </w:r>
      <w:r>
        <w:rPr>
          <w:spacing w:val="-2"/>
        </w:rPr>
        <w:t>事；现任公司副总经理、董事会秘书，兼任杭州易康执行董事兼总经理、浙江校云董事、浙</w:t>
      </w:r>
      <w:r>
        <w:rPr>
          <w:spacing w:val="-90"/>
        </w:rPr>
        <w:t> </w:t>
      </w:r>
      <w:r>
        <w:rPr>
          <w:spacing w:val="-90"/>
        </w:rPr>
      </w:r>
      <w:r>
        <w:rPr/>
        <w:t>江坚果董事。</w:t>
      </w:r>
    </w:p>
    <w:p>
      <w:pPr>
        <w:spacing w:before="52"/>
        <w:ind w:left="254" w:right="0" w:firstLine="0"/>
        <w:jc w:val="left"/>
        <w:rPr>
          <w:rFonts w:ascii="宋体" w:hAnsi="宋体" w:cs="宋体" w:eastAsia="宋体" w:hint="default"/>
          <w:sz w:val="18"/>
          <w:szCs w:val="18"/>
        </w:rPr>
      </w:pPr>
      <w:r>
        <w:rPr>
          <w:rFonts w:ascii="宋体" w:hAnsi="宋体" w:cs="宋体" w:eastAsia="宋体" w:hint="default"/>
          <w:sz w:val="18"/>
          <w:szCs w:val="18"/>
        </w:rPr>
        <w:t>在股东单位任职情况</w:t>
      </w:r>
    </w:p>
    <w:p>
      <w:pPr>
        <w:spacing w:before="117"/>
        <w:ind w:left="2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40" w:type="dxa"/>
        <w:tblLayout w:type="fixed"/>
        <w:tblCellMar>
          <w:top w:w="0" w:type="dxa"/>
          <w:left w:w="0" w:type="dxa"/>
          <w:bottom w:w="0" w:type="dxa"/>
          <w:right w:w="0" w:type="dxa"/>
        </w:tblCellMar>
        <w:tblLook w:val="01E0"/>
      </w:tblPr>
      <w:tblGrid>
        <w:gridCol w:w="1202"/>
        <w:gridCol w:w="1960"/>
        <w:gridCol w:w="2076"/>
        <w:gridCol w:w="1702"/>
        <w:gridCol w:w="1330"/>
        <w:gridCol w:w="1589"/>
      </w:tblGrid>
      <w:tr>
        <w:trPr>
          <w:trHeight w:val="714"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任职人员姓名</w:t>
            </w:r>
          </w:p>
        </w:tc>
        <w:tc>
          <w:tcPr>
            <w:tcW w:w="1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4"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20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3" w:right="0"/>
              <w:jc w:val="left"/>
              <w:rPr>
                <w:rFonts w:ascii="宋体" w:hAnsi="宋体" w:cs="宋体" w:eastAsia="宋体" w:hint="default"/>
                <w:sz w:val="18"/>
                <w:szCs w:val="18"/>
              </w:rPr>
            </w:pPr>
            <w:r>
              <w:rPr>
                <w:rFonts w:ascii="宋体" w:hAnsi="宋体" w:cs="宋体" w:eastAsia="宋体" w:hint="default"/>
                <w:sz w:val="18"/>
                <w:szCs w:val="18"/>
              </w:rPr>
              <w:t>在股东单位担任的职务</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6"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9"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38" w:right="68" w:hanging="270"/>
              <w:jc w:val="left"/>
              <w:rPr>
                <w:rFonts w:ascii="宋体" w:hAnsi="宋体" w:cs="宋体" w:eastAsia="宋体" w:hint="default"/>
                <w:sz w:val="18"/>
                <w:szCs w:val="18"/>
              </w:rPr>
            </w:pPr>
            <w:r>
              <w:rPr>
                <w:rFonts w:ascii="宋体" w:hAnsi="宋体" w:cs="宋体" w:eastAsia="宋体" w:hint="default"/>
                <w:sz w:val="18"/>
                <w:szCs w:val="18"/>
              </w:rPr>
              <w:t>在股东单位是否领 取报酬津贴</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陈坚</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杭州正元</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陈英</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杭州正元</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经理</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陈英</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正浩投资</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执行董事兼总经理</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吕晓平</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正浩投资</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周军辉</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易康投资</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执行董事兼总经理</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5" w:right="54"/>
              <w:jc w:val="left"/>
              <w:rPr>
                <w:rFonts w:ascii="宋体" w:hAnsi="宋体" w:cs="宋体" w:eastAsia="宋体" w:hint="default"/>
                <w:sz w:val="18"/>
                <w:szCs w:val="18"/>
              </w:rPr>
            </w:pPr>
            <w:r>
              <w:rPr>
                <w:rFonts w:ascii="宋体" w:hAnsi="宋体" w:cs="宋体" w:eastAsia="宋体" w:hint="default"/>
                <w:sz w:val="18"/>
                <w:szCs w:val="18"/>
              </w:rPr>
              <w:t>在股东单位任 职情况的说明</w:t>
            </w:r>
          </w:p>
        </w:tc>
        <w:tc>
          <w:tcPr>
            <w:tcW w:w="865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无</w:t>
            </w:r>
          </w:p>
        </w:tc>
      </w:tr>
    </w:tbl>
    <w:p>
      <w:pPr>
        <w:spacing w:before="51"/>
        <w:ind w:left="254" w:right="0" w:firstLine="0"/>
        <w:jc w:val="left"/>
        <w:rPr>
          <w:rFonts w:ascii="宋体" w:hAnsi="宋体" w:cs="宋体" w:eastAsia="宋体" w:hint="default"/>
          <w:sz w:val="18"/>
          <w:szCs w:val="18"/>
        </w:rPr>
      </w:pPr>
      <w:r>
        <w:rPr>
          <w:rFonts w:ascii="宋体" w:hAnsi="宋体" w:cs="宋体" w:eastAsia="宋体" w:hint="default"/>
          <w:sz w:val="18"/>
          <w:szCs w:val="18"/>
        </w:rPr>
        <w:t>在其他单位任职情况</w:t>
      </w:r>
    </w:p>
    <w:p>
      <w:pPr>
        <w:spacing w:before="117"/>
        <w:ind w:left="2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00" w:type="dxa"/>
        <w:tblLayout w:type="fixed"/>
        <w:tblCellMar>
          <w:top w:w="0" w:type="dxa"/>
          <w:left w:w="0" w:type="dxa"/>
          <w:bottom w:w="0" w:type="dxa"/>
          <w:right w:w="0" w:type="dxa"/>
        </w:tblCellMar>
        <w:tblLook w:val="01E0"/>
      </w:tblPr>
      <w:tblGrid>
        <w:gridCol w:w="1257"/>
        <w:gridCol w:w="3190"/>
        <w:gridCol w:w="990"/>
        <w:gridCol w:w="1725"/>
        <w:gridCol w:w="1702"/>
        <w:gridCol w:w="1074"/>
      </w:tblGrid>
      <w:tr>
        <w:trPr>
          <w:trHeight w:val="1025" w:hRule="exact"/>
        </w:trPr>
        <w:tc>
          <w:tcPr>
            <w:tcW w:w="1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任职人员姓名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48"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9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29" w:right="128"/>
              <w:jc w:val="center"/>
              <w:rPr>
                <w:rFonts w:ascii="宋体" w:hAnsi="宋体" w:cs="宋体" w:eastAsia="宋体" w:hint="default"/>
                <w:sz w:val="18"/>
                <w:szCs w:val="18"/>
              </w:rPr>
            </w:pPr>
            <w:r>
              <w:rPr>
                <w:rFonts w:ascii="宋体" w:hAnsi="宋体" w:cs="宋体" w:eastAsia="宋体" w:hint="default"/>
                <w:sz w:val="18"/>
                <w:szCs w:val="18"/>
              </w:rPr>
              <w:t>在其他单 位担任的 职务</w:t>
            </w:r>
          </w:p>
        </w:tc>
        <w:tc>
          <w:tcPr>
            <w:tcW w:w="1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10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81" w:right="80"/>
              <w:jc w:val="center"/>
              <w:rPr>
                <w:rFonts w:ascii="宋体" w:hAnsi="宋体" w:cs="宋体" w:eastAsia="宋体" w:hint="default"/>
                <w:sz w:val="18"/>
                <w:szCs w:val="18"/>
              </w:rPr>
            </w:pPr>
            <w:r>
              <w:rPr>
                <w:rFonts w:ascii="宋体" w:hAnsi="宋体" w:cs="宋体" w:eastAsia="宋体" w:hint="default"/>
                <w:sz w:val="18"/>
                <w:szCs w:val="18"/>
              </w:rPr>
              <w:t>在其他单位 是否领取报 酬津贴</w:t>
            </w:r>
          </w:p>
        </w:tc>
      </w:tr>
      <w:tr>
        <w:trPr>
          <w:trHeight w:val="402" w:hRule="exact"/>
        </w:trPr>
        <w:tc>
          <w:tcPr>
            <w:tcW w:w="1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陈坚</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79" w:right="0"/>
              <w:jc w:val="left"/>
              <w:rPr>
                <w:rFonts w:ascii="宋体" w:hAnsi="宋体" w:cs="宋体" w:eastAsia="宋体" w:hint="default"/>
                <w:sz w:val="18"/>
                <w:szCs w:val="18"/>
              </w:rPr>
            </w:pPr>
            <w:r>
              <w:rPr>
                <w:rFonts w:ascii="宋体" w:hAnsi="宋体" w:cs="宋体" w:eastAsia="宋体" w:hint="default"/>
                <w:sz w:val="18"/>
                <w:szCs w:val="18"/>
              </w:rPr>
              <w:t>正元投资</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80"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75"/>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陈坚</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9" w:right="0"/>
              <w:jc w:val="left"/>
              <w:rPr>
                <w:rFonts w:ascii="宋体" w:hAnsi="宋体" w:cs="宋体" w:eastAsia="宋体" w:hint="default"/>
                <w:sz w:val="18"/>
                <w:szCs w:val="18"/>
              </w:rPr>
            </w:pPr>
            <w:r>
              <w:rPr>
                <w:rFonts w:ascii="宋体" w:hAnsi="宋体" w:cs="宋体" w:eastAsia="宋体" w:hint="default"/>
                <w:sz w:val="18"/>
                <w:szCs w:val="18"/>
              </w:rPr>
              <w:t>浙江方圆智能技术检测技术有限公司</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80"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68"/>
              <w:jc w:val="center"/>
              <w:rPr>
                <w:rFonts w:ascii="宋体" w:hAnsi="宋体" w:cs="宋体" w:eastAsia="宋体" w:hint="default"/>
                <w:sz w:val="18"/>
                <w:szCs w:val="18"/>
              </w:rPr>
            </w:pPr>
            <w:r>
              <w:rPr>
                <w:rFonts w:ascii="Times New Roman" w:hAnsi="Times New Roman" w:cs="Times New Roman" w:eastAsia="Times New Roman" w:hint="default"/>
                <w:sz w:val="18"/>
                <w:szCs w:val="18"/>
              </w:rPr>
              <w:t>2004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陈坚</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9" w:right="0"/>
              <w:jc w:val="left"/>
              <w:rPr>
                <w:rFonts w:ascii="宋体" w:hAnsi="宋体" w:cs="宋体" w:eastAsia="宋体" w:hint="default"/>
                <w:sz w:val="18"/>
                <w:szCs w:val="18"/>
              </w:rPr>
            </w:pPr>
            <w:r>
              <w:rPr>
                <w:rFonts w:ascii="宋体" w:hAnsi="宋体" w:cs="宋体" w:eastAsia="宋体" w:hint="default"/>
                <w:sz w:val="18"/>
                <w:szCs w:val="18"/>
              </w:rPr>
              <w:t>重庆汇贤</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8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7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pgSz w:w="11910" w:h="16840"/>
          <w:pgMar w:header="747" w:footer="979" w:top="1060" w:bottom="1160" w:left="8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00" w:type="dxa"/>
        <w:tblLayout w:type="fixed"/>
        <w:tblCellMar>
          <w:top w:w="0" w:type="dxa"/>
          <w:left w:w="0" w:type="dxa"/>
          <w:bottom w:w="0" w:type="dxa"/>
          <w:right w:w="0" w:type="dxa"/>
        </w:tblCellMar>
        <w:tblLook w:val="01E0"/>
      </w:tblPr>
      <w:tblGrid>
        <w:gridCol w:w="1257"/>
        <w:gridCol w:w="3190"/>
        <w:gridCol w:w="990"/>
        <w:gridCol w:w="1725"/>
        <w:gridCol w:w="1702"/>
        <w:gridCol w:w="1074"/>
      </w:tblGrid>
      <w:tr>
        <w:trPr>
          <w:trHeight w:val="402" w:hRule="exact"/>
        </w:trPr>
        <w:tc>
          <w:tcPr>
            <w:tcW w:w="1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陈坚</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9" w:right="0"/>
              <w:jc w:val="left"/>
              <w:rPr>
                <w:rFonts w:ascii="宋体" w:hAnsi="宋体" w:cs="宋体" w:eastAsia="宋体" w:hint="default"/>
                <w:sz w:val="18"/>
                <w:szCs w:val="18"/>
              </w:rPr>
            </w:pPr>
            <w:r>
              <w:rPr>
                <w:rFonts w:ascii="宋体" w:hAnsi="宋体" w:cs="宋体" w:eastAsia="宋体" w:hint="default"/>
                <w:sz w:val="18"/>
                <w:szCs w:val="18"/>
              </w:rPr>
              <w:t>无锡汇众</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陈坚</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9" w:right="0"/>
              <w:jc w:val="left"/>
              <w:rPr>
                <w:rFonts w:ascii="宋体" w:hAnsi="宋体" w:cs="宋体" w:eastAsia="宋体" w:hint="default"/>
                <w:sz w:val="18"/>
                <w:szCs w:val="18"/>
              </w:rPr>
            </w:pPr>
            <w:r>
              <w:rPr>
                <w:rFonts w:ascii="宋体" w:hAnsi="宋体" w:cs="宋体" w:eastAsia="宋体" w:hint="default"/>
                <w:sz w:val="18"/>
                <w:szCs w:val="18"/>
              </w:rPr>
              <w:t>卓然实业</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陈坚</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9" w:right="0"/>
              <w:jc w:val="left"/>
              <w:rPr>
                <w:rFonts w:ascii="宋体" w:hAnsi="宋体" w:cs="宋体" w:eastAsia="宋体" w:hint="default"/>
                <w:sz w:val="18"/>
                <w:szCs w:val="18"/>
              </w:rPr>
            </w:pPr>
            <w:r>
              <w:rPr>
                <w:rFonts w:ascii="宋体" w:hAnsi="宋体" w:cs="宋体" w:eastAsia="宋体" w:hint="default"/>
                <w:sz w:val="18"/>
                <w:szCs w:val="18"/>
              </w:rPr>
              <w:t>正元医疗</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陈坚</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9" w:right="0"/>
              <w:jc w:val="left"/>
              <w:rPr>
                <w:rFonts w:ascii="宋体" w:hAnsi="宋体" w:cs="宋体" w:eastAsia="宋体" w:hint="default"/>
                <w:sz w:val="18"/>
                <w:szCs w:val="18"/>
              </w:rPr>
            </w:pPr>
            <w:r>
              <w:rPr>
                <w:rFonts w:ascii="宋体" w:hAnsi="宋体" w:cs="宋体" w:eastAsia="宋体" w:hint="default"/>
                <w:sz w:val="18"/>
                <w:szCs w:val="18"/>
              </w:rPr>
              <w:t>正元曦客</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陈坚</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9" w:right="0"/>
              <w:jc w:val="left"/>
              <w:rPr>
                <w:rFonts w:ascii="宋体" w:hAnsi="宋体" w:cs="宋体" w:eastAsia="宋体" w:hint="default"/>
                <w:sz w:val="18"/>
                <w:szCs w:val="18"/>
              </w:rPr>
            </w:pPr>
            <w:r>
              <w:rPr>
                <w:rFonts w:ascii="宋体" w:hAnsi="宋体" w:cs="宋体" w:eastAsia="宋体" w:hint="default"/>
                <w:sz w:val="18"/>
                <w:szCs w:val="18"/>
              </w:rPr>
              <w:t>四川正元</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陈坚</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9" w:right="0"/>
              <w:jc w:val="left"/>
              <w:rPr>
                <w:rFonts w:ascii="宋体" w:hAnsi="宋体" w:cs="宋体" w:eastAsia="宋体" w:hint="default"/>
                <w:sz w:val="18"/>
                <w:szCs w:val="18"/>
              </w:rPr>
            </w:pPr>
            <w:r>
              <w:rPr>
                <w:rFonts w:ascii="宋体" w:hAnsi="宋体" w:cs="宋体" w:eastAsia="宋体" w:hint="default"/>
                <w:sz w:val="18"/>
                <w:szCs w:val="18"/>
              </w:rPr>
              <w:t>云马智慧</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陈坚</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9" w:right="0"/>
              <w:jc w:val="left"/>
              <w:rPr>
                <w:rFonts w:ascii="宋体" w:hAnsi="宋体" w:cs="宋体" w:eastAsia="宋体" w:hint="default"/>
                <w:sz w:val="18"/>
                <w:szCs w:val="18"/>
              </w:rPr>
            </w:pPr>
            <w:r>
              <w:rPr>
                <w:rFonts w:ascii="宋体" w:hAnsi="宋体" w:cs="宋体" w:eastAsia="宋体" w:hint="default"/>
                <w:sz w:val="18"/>
                <w:szCs w:val="18"/>
              </w:rPr>
              <w:t>小兰智慧</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陈英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79" w:right="0"/>
              <w:jc w:val="left"/>
              <w:rPr>
                <w:rFonts w:ascii="宋体" w:hAnsi="宋体" w:cs="宋体" w:eastAsia="宋体" w:hint="default"/>
                <w:sz w:val="18"/>
                <w:szCs w:val="18"/>
              </w:rPr>
            </w:pPr>
            <w:r>
              <w:rPr>
                <w:rFonts w:ascii="宋体" w:hAnsi="宋体" w:cs="宋体" w:eastAsia="宋体" w:hint="default"/>
                <w:sz w:val="18"/>
                <w:szCs w:val="18"/>
              </w:rPr>
              <w:t>浙江树人大学</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80" w:right="179"/>
              <w:jc w:val="both"/>
              <w:rPr>
                <w:rFonts w:ascii="宋体" w:hAnsi="宋体" w:cs="宋体" w:eastAsia="宋体" w:hint="default"/>
                <w:sz w:val="18"/>
                <w:szCs w:val="18"/>
              </w:rPr>
            </w:pPr>
            <w:r>
              <w:rPr>
                <w:rFonts w:ascii="宋体" w:hAnsi="宋体" w:cs="宋体" w:eastAsia="宋体" w:hint="default"/>
                <w:sz w:val="18"/>
                <w:szCs w:val="18"/>
              </w:rPr>
              <w:t>副处长兼 金融系主 任</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陈英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9" w:right="0"/>
              <w:jc w:val="left"/>
              <w:rPr>
                <w:rFonts w:ascii="宋体" w:hAnsi="宋体" w:cs="宋体" w:eastAsia="宋体" w:hint="default"/>
                <w:sz w:val="18"/>
                <w:szCs w:val="18"/>
              </w:rPr>
            </w:pPr>
            <w:r>
              <w:rPr>
                <w:rFonts w:ascii="宋体" w:hAnsi="宋体" w:cs="宋体" w:eastAsia="宋体" w:hint="default"/>
                <w:sz w:val="18"/>
                <w:szCs w:val="18"/>
              </w:rPr>
              <w:t>正元投资</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陈英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79" w:right="0"/>
              <w:jc w:val="left"/>
              <w:rPr>
                <w:rFonts w:ascii="宋体" w:hAnsi="宋体" w:cs="宋体" w:eastAsia="宋体" w:hint="default"/>
                <w:sz w:val="18"/>
                <w:szCs w:val="18"/>
              </w:rPr>
            </w:pPr>
            <w:r>
              <w:rPr>
                <w:rFonts w:ascii="宋体" w:hAnsi="宋体" w:cs="宋体" w:eastAsia="宋体" w:hint="default"/>
                <w:sz w:val="18"/>
                <w:szCs w:val="18"/>
              </w:rPr>
              <w:t>正元医疗</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80" w:right="179"/>
              <w:jc w:val="left"/>
              <w:rPr>
                <w:rFonts w:ascii="宋体" w:hAnsi="宋体" w:cs="宋体" w:eastAsia="宋体" w:hint="default"/>
                <w:sz w:val="18"/>
                <w:szCs w:val="18"/>
              </w:rPr>
            </w:pPr>
            <w:r>
              <w:rPr>
                <w:rFonts w:ascii="宋体" w:hAnsi="宋体" w:cs="宋体" w:eastAsia="宋体" w:hint="default"/>
                <w:sz w:val="18"/>
                <w:szCs w:val="18"/>
              </w:rPr>
              <w:t>执行董事 兼总经理</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陈英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9" w:right="0"/>
              <w:jc w:val="left"/>
              <w:rPr>
                <w:rFonts w:ascii="宋体" w:hAnsi="宋体" w:cs="宋体" w:eastAsia="宋体" w:hint="default"/>
                <w:sz w:val="18"/>
                <w:szCs w:val="18"/>
              </w:rPr>
            </w:pPr>
            <w:r>
              <w:rPr>
                <w:rFonts w:ascii="宋体" w:hAnsi="宋体" w:cs="宋体" w:eastAsia="宋体" w:hint="default"/>
                <w:sz w:val="18"/>
                <w:szCs w:val="18"/>
              </w:rPr>
              <w:t>浙江方圆智能技术检测有限公司</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陈根清</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9" w:right="0"/>
              <w:jc w:val="left"/>
              <w:rPr>
                <w:rFonts w:ascii="宋体" w:hAnsi="宋体" w:cs="宋体" w:eastAsia="宋体" w:hint="default"/>
                <w:sz w:val="18"/>
                <w:szCs w:val="18"/>
              </w:rPr>
            </w:pPr>
            <w:r>
              <w:rPr>
                <w:rFonts w:ascii="宋体" w:hAnsi="宋体" w:cs="宋体" w:eastAsia="宋体" w:hint="default"/>
                <w:sz w:val="18"/>
                <w:szCs w:val="18"/>
              </w:rPr>
              <w:t>正元曦客</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陈根清</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9" w:right="0"/>
              <w:jc w:val="left"/>
              <w:rPr>
                <w:rFonts w:ascii="宋体" w:hAnsi="宋体" w:cs="宋体" w:eastAsia="宋体" w:hint="default"/>
                <w:sz w:val="18"/>
                <w:szCs w:val="18"/>
              </w:rPr>
            </w:pPr>
            <w:r>
              <w:rPr>
                <w:rFonts w:ascii="宋体" w:hAnsi="宋体" w:cs="宋体" w:eastAsia="宋体" w:hint="default"/>
                <w:sz w:val="18"/>
                <w:szCs w:val="18"/>
              </w:rPr>
              <w:t>四川正元</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陈根清</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9" w:right="0"/>
              <w:jc w:val="left"/>
              <w:rPr>
                <w:rFonts w:ascii="宋体" w:hAnsi="宋体" w:cs="宋体" w:eastAsia="宋体" w:hint="default"/>
                <w:sz w:val="18"/>
                <w:szCs w:val="18"/>
              </w:rPr>
            </w:pPr>
            <w:r>
              <w:rPr>
                <w:rFonts w:ascii="宋体" w:hAnsi="宋体" w:cs="宋体" w:eastAsia="宋体" w:hint="default"/>
                <w:sz w:val="18"/>
                <w:szCs w:val="18"/>
              </w:rPr>
              <w:t>校云智慧</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陈根清</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79" w:right="0"/>
              <w:jc w:val="left"/>
              <w:rPr>
                <w:rFonts w:ascii="宋体" w:hAnsi="宋体" w:cs="宋体" w:eastAsia="宋体" w:hint="default"/>
                <w:sz w:val="18"/>
                <w:szCs w:val="18"/>
              </w:rPr>
            </w:pPr>
            <w:r>
              <w:rPr>
                <w:rFonts w:ascii="宋体" w:hAnsi="宋体" w:cs="宋体" w:eastAsia="宋体" w:hint="default"/>
                <w:sz w:val="18"/>
                <w:szCs w:val="18"/>
              </w:rPr>
              <w:t>云马智慧</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80" w:right="179"/>
              <w:jc w:val="left"/>
              <w:rPr>
                <w:rFonts w:ascii="宋体" w:hAnsi="宋体" w:cs="宋体" w:eastAsia="宋体" w:hint="default"/>
                <w:sz w:val="18"/>
                <w:szCs w:val="18"/>
              </w:rPr>
            </w:pPr>
            <w:r>
              <w:rPr>
                <w:rFonts w:ascii="宋体" w:hAnsi="宋体" w:cs="宋体" w:eastAsia="宋体" w:hint="default"/>
                <w:sz w:val="18"/>
                <w:szCs w:val="18"/>
              </w:rPr>
              <w:t>董事兼经 理</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陈根清</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9" w:right="0"/>
              <w:jc w:val="left"/>
              <w:rPr>
                <w:rFonts w:ascii="宋体" w:hAnsi="宋体" w:cs="宋体" w:eastAsia="宋体" w:hint="default"/>
                <w:sz w:val="18"/>
                <w:szCs w:val="18"/>
              </w:rPr>
            </w:pPr>
            <w:r>
              <w:rPr>
                <w:rFonts w:ascii="宋体" w:hAnsi="宋体" w:cs="宋体" w:eastAsia="宋体" w:hint="default"/>
                <w:sz w:val="18"/>
                <w:szCs w:val="18"/>
              </w:rPr>
              <w:t>小兰智慧</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陈根清</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9" w:right="0"/>
              <w:jc w:val="left"/>
              <w:rPr>
                <w:rFonts w:ascii="宋体" w:hAnsi="宋体" w:cs="宋体" w:eastAsia="宋体" w:hint="default"/>
                <w:sz w:val="18"/>
                <w:szCs w:val="18"/>
              </w:rPr>
            </w:pPr>
            <w:r>
              <w:rPr>
                <w:rFonts w:ascii="宋体" w:hAnsi="宋体" w:cs="宋体" w:eastAsia="宋体" w:hint="default"/>
                <w:sz w:val="18"/>
                <w:szCs w:val="18"/>
              </w:rPr>
              <w:t>坚果智慧</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57"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8" w:right="111" w:hanging="137"/>
              <w:jc w:val="left"/>
              <w:rPr>
                <w:rFonts w:ascii="Times New Roman" w:hAnsi="Times New Roman" w:cs="Times New Roman" w:eastAsia="Times New Roman" w:hint="default"/>
                <w:sz w:val="18"/>
                <w:szCs w:val="18"/>
              </w:rPr>
            </w:pPr>
            <w:r>
              <w:rPr>
                <w:rFonts w:ascii="Times New Roman"/>
                <w:spacing w:val="-2"/>
                <w:sz w:val="18"/>
              </w:rPr>
              <w:t>JAYTSAICHI</w:t>
            </w:r>
            <w:r>
              <w:rPr>
                <w:rFonts w:ascii="Times New Roman"/>
                <w:w w:val="99"/>
                <w:sz w:val="18"/>
              </w:rPr>
              <w:t> </w:t>
            </w:r>
            <w:r>
              <w:rPr>
                <w:rFonts w:ascii="Times New Roman"/>
                <w:sz w:val="18"/>
              </w:rPr>
              <w:t>ENCHOU</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79" w:right="0"/>
              <w:jc w:val="left"/>
              <w:rPr>
                <w:rFonts w:ascii="宋体" w:hAnsi="宋体" w:cs="宋体" w:eastAsia="宋体" w:hint="default"/>
                <w:sz w:val="18"/>
                <w:szCs w:val="18"/>
              </w:rPr>
            </w:pPr>
            <w:r>
              <w:rPr>
                <w:rFonts w:ascii="宋体" w:hAnsi="宋体" w:cs="宋体" w:eastAsia="宋体" w:hint="default"/>
                <w:sz w:val="18"/>
                <w:szCs w:val="18"/>
              </w:rPr>
              <w:t>杭州汇萃智能科技有限公司</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80"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57"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8" w:right="111" w:hanging="137"/>
              <w:jc w:val="left"/>
              <w:rPr>
                <w:rFonts w:ascii="Times New Roman" w:hAnsi="Times New Roman" w:cs="Times New Roman" w:eastAsia="Times New Roman" w:hint="default"/>
                <w:sz w:val="18"/>
                <w:szCs w:val="18"/>
              </w:rPr>
            </w:pPr>
            <w:r>
              <w:rPr>
                <w:rFonts w:ascii="Times New Roman"/>
                <w:spacing w:val="-2"/>
                <w:sz w:val="18"/>
              </w:rPr>
              <w:t>JAYTSAICHI</w:t>
            </w:r>
            <w:r>
              <w:rPr>
                <w:rFonts w:ascii="Times New Roman"/>
                <w:w w:val="99"/>
                <w:sz w:val="18"/>
              </w:rPr>
              <w:t> </w:t>
            </w:r>
            <w:r>
              <w:rPr>
                <w:rFonts w:ascii="Times New Roman"/>
                <w:sz w:val="18"/>
              </w:rPr>
              <w:t>ENCHOU</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79" w:right="0"/>
              <w:jc w:val="left"/>
              <w:rPr>
                <w:rFonts w:ascii="宋体" w:hAnsi="宋体" w:cs="宋体" w:eastAsia="宋体" w:hint="default"/>
                <w:sz w:val="18"/>
                <w:szCs w:val="18"/>
              </w:rPr>
            </w:pPr>
            <w:r>
              <w:rPr>
                <w:rFonts w:ascii="宋体" w:hAnsi="宋体" w:cs="宋体" w:eastAsia="宋体" w:hint="default"/>
                <w:sz w:val="18"/>
                <w:szCs w:val="18"/>
              </w:rPr>
              <w:t>广东广源智能科技有限公司</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80"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57"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8" w:right="111" w:hanging="137"/>
              <w:jc w:val="left"/>
              <w:rPr>
                <w:rFonts w:ascii="Times New Roman" w:hAnsi="Times New Roman" w:cs="Times New Roman" w:eastAsia="Times New Roman" w:hint="default"/>
                <w:sz w:val="18"/>
                <w:szCs w:val="18"/>
              </w:rPr>
            </w:pPr>
            <w:r>
              <w:rPr>
                <w:rFonts w:ascii="Times New Roman"/>
                <w:spacing w:val="-2"/>
                <w:sz w:val="18"/>
              </w:rPr>
              <w:t>JAYTSAICHI</w:t>
            </w:r>
            <w:r>
              <w:rPr>
                <w:rFonts w:ascii="Times New Roman"/>
                <w:w w:val="99"/>
                <w:sz w:val="18"/>
              </w:rPr>
              <w:t> </w:t>
            </w:r>
            <w:r>
              <w:rPr>
                <w:rFonts w:ascii="Times New Roman"/>
                <w:sz w:val="18"/>
              </w:rPr>
              <w:t>ENCHOU</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79" w:right="0"/>
              <w:jc w:val="left"/>
              <w:rPr>
                <w:rFonts w:ascii="宋体" w:hAnsi="宋体" w:cs="宋体" w:eastAsia="宋体" w:hint="default"/>
                <w:sz w:val="18"/>
                <w:szCs w:val="18"/>
              </w:rPr>
            </w:pPr>
            <w:r>
              <w:rPr>
                <w:rFonts w:ascii="宋体" w:hAnsi="宋体" w:cs="宋体" w:eastAsia="宋体" w:hint="default"/>
                <w:sz w:val="18"/>
                <w:szCs w:val="18"/>
              </w:rPr>
              <w:t>苏州汇萃智能科技有限公司</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80"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57"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8" w:right="111" w:hanging="137"/>
              <w:jc w:val="left"/>
              <w:rPr>
                <w:rFonts w:ascii="Times New Roman" w:hAnsi="Times New Roman" w:cs="Times New Roman" w:eastAsia="Times New Roman" w:hint="default"/>
                <w:sz w:val="18"/>
                <w:szCs w:val="18"/>
              </w:rPr>
            </w:pPr>
            <w:r>
              <w:rPr>
                <w:rFonts w:ascii="Times New Roman"/>
                <w:spacing w:val="-2"/>
                <w:sz w:val="18"/>
              </w:rPr>
              <w:t>JAYTSAICHI</w:t>
            </w:r>
            <w:r>
              <w:rPr>
                <w:rFonts w:ascii="Times New Roman"/>
                <w:w w:val="99"/>
                <w:sz w:val="18"/>
              </w:rPr>
              <w:t> </w:t>
            </w:r>
            <w:r>
              <w:rPr>
                <w:rFonts w:ascii="Times New Roman"/>
                <w:sz w:val="18"/>
              </w:rPr>
              <w:t>ENCHOU</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79" w:right="0"/>
              <w:jc w:val="left"/>
              <w:rPr>
                <w:rFonts w:ascii="宋体" w:hAnsi="宋体" w:cs="宋体" w:eastAsia="宋体" w:hint="default"/>
                <w:sz w:val="18"/>
                <w:szCs w:val="18"/>
              </w:rPr>
            </w:pPr>
            <w:r>
              <w:rPr>
                <w:rFonts w:ascii="宋体" w:hAnsi="宋体" w:cs="宋体" w:eastAsia="宋体" w:hint="default"/>
                <w:sz w:val="18"/>
                <w:szCs w:val="18"/>
              </w:rPr>
              <w:t>深圳汇萃智能科技有限公司</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8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龚明勇</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79" w:right="0"/>
              <w:jc w:val="left"/>
              <w:rPr>
                <w:rFonts w:ascii="宋体" w:hAnsi="宋体" w:cs="宋体" w:eastAsia="宋体" w:hint="default"/>
                <w:sz w:val="18"/>
                <w:szCs w:val="18"/>
              </w:rPr>
            </w:pPr>
            <w:r>
              <w:rPr>
                <w:rFonts w:ascii="宋体" w:hAnsi="宋体" w:cs="宋体" w:eastAsia="宋体" w:hint="default"/>
                <w:sz w:val="18"/>
                <w:szCs w:val="18"/>
              </w:rPr>
              <w:t>浙江华瓯股权投资管理有限公司</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80" w:right="179"/>
              <w:jc w:val="left"/>
              <w:rPr>
                <w:rFonts w:ascii="宋体" w:hAnsi="宋体" w:cs="宋体" w:eastAsia="宋体" w:hint="default"/>
                <w:sz w:val="18"/>
                <w:szCs w:val="18"/>
              </w:rPr>
            </w:pPr>
            <w:r>
              <w:rPr>
                <w:rFonts w:ascii="宋体" w:hAnsi="宋体" w:cs="宋体" w:eastAsia="宋体" w:hint="default"/>
                <w:sz w:val="18"/>
                <w:szCs w:val="18"/>
              </w:rPr>
              <w:t>投资管理 部总经理</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龚明勇</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9" w:right="0"/>
              <w:jc w:val="left"/>
              <w:rPr>
                <w:rFonts w:ascii="宋体" w:hAnsi="宋体" w:cs="宋体" w:eastAsia="宋体" w:hint="default"/>
                <w:sz w:val="18"/>
                <w:szCs w:val="18"/>
              </w:rPr>
            </w:pPr>
            <w:r>
              <w:rPr>
                <w:rFonts w:ascii="宋体" w:hAnsi="宋体" w:cs="宋体" w:eastAsia="宋体" w:hint="default"/>
                <w:sz w:val="18"/>
                <w:szCs w:val="18"/>
              </w:rPr>
              <w:t>浙江陆特能源科技股份有限公司</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龚明勇</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9" w:right="0"/>
              <w:jc w:val="left"/>
              <w:rPr>
                <w:rFonts w:ascii="宋体" w:hAnsi="宋体" w:cs="宋体" w:eastAsia="宋体" w:hint="default"/>
                <w:sz w:val="18"/>
                <w:szCs w:val="18"/>
              </w:rPr>
            </w:pPr>
            <w:r>
              <w:rPr>
                <w:rFonts w:ascii="宋体" w:hAnsi="宋体" w:cs="宋体" w:eastAsia="宋体" w:hint="default"/>
                <w:sz w:val="18"/>
                <w:szCs w:val="18"/>
              </w:rPr>
              <w:t>杭州信核数据科技股份有限公司</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龚明勇</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9" w:right="0"/>
              <w:jc w:val="left"/>
              <w:rPr>
                <w:rFonts w:ascii="宋体" w:hAnsi="宋体" w:cs="宋体" w:eastAsia="宋体" w:hint="default"/>
                <w:sz w:val="18"/>
                <w:szCs w:val="18"/>
              </w:rPr>
            </w:pPr>
            <w:r>
              <w:rPr>
                <w:rFonts w:ascii="宋体" w:hAnsi="宋体" w:cs="宋体" w:eastAsia="宋体" w:hint="default"/>
                <w:sz w:val="18"/>
                <w:szCs w:val="18"/>
              </w:rPr>
              <w:t>杭州姆珉网络科技有限公司</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童本立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9" w:right="0"/>
              <w:jc w:val="left"/>
              <w:rPr>
                <w:rFonts w:ascii="宋体" w:hAnsi="宋体" w:cs="宋体" w:eastAsia="宋体" w:hint="default"/>
                <w:sz w:val="18"/>
                <w:szCs w:val="18"/>
              </w:rPr>
            </w:pPr>
            <w:r>
              <w:rPr>
                <w:rFonts w:ascii="宋体" w:hAnsi="宋体" w:cs="宋体" w:eastAsia="宋体" w:hint="default"/>
                <w:sz w:val="18"/>
                <w:szCs w:val="18"/>
              </w:rPr>
              <w:t>杭州解百股份有限公司</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童本立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9" w:right="0"/>
              <w:jc w:val="left"/>
              <w:rPr>
                <w:rFonts w:ascii="宋体" w:hAnsi="宋体" w:cs="宋体" w:eastAsia="宋体" w:hint="default"/>
                <w:sz w:val="18"/>
                <w:szCs w:val="18"/>
              </w:rPr>
            </w:pPr>
            <w:r>
              <w:rPr>
                <w:rFonts w:ascii="宋体" w:hAnsi="宋体" w:cs="宋体" w:eastAsia="宋体" w:hint="default"/>
                <w:sz w:val="18"/>
                <w:szCs w:val="18"/>
              </w:rPr>
              <w:t>浙商银行股份有限公司</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center"/>
        <w:rPr>
          <w:rFonts w:ascii="宋体" w:hAnsi="宋体" w:cs="宋体" w:eastAsia="宋体" w:hint="default"/>
          <w:sz w:val="18"/>
          <w:szCs w:val="18"/>
        </w:rPr>
        <w:sectPr>
          <w:pgSz w:w="11910" w:h="16840"/>
          <w:pgMar w:header="747" w:footer="979" w:top="1060" w:bottom="1160" w:left="8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00" w:type="dxa"/>
        <w:tblLayout w:type="fixed"/>
        <w:tblCellMar>
          <w:top w:w="0" w:type="dxa"/>
          <w:left w:w="0" w:type="dxa"/>
          <w:bottom w:w="0" w:type="dxa"/>
          <w:right w:w="0" w:type="dxa"/>
        </w:tblCellMar>
        <w:tblLook w:val="01E0"/>
      </w:tblPr>
      <w:tblGrid>
        <w:gridCol w:w="1257"/>
        <w:gridCol w:w="3190"/>
        <w:gridCol w:w="990"/>
        <w:gridCol w:w="1725"/>
        <w:gridCol w:w="1702"/>
        <w:gridCol w:w="1074"/>
      </w:tblGrid>
      <w:tr>
        <w:trPr>
          <w:trHeight w:val="402" w:hRule="exact"/>
        </w:trPr>
        <w:tc>
          <w:tcPr>
            <w:tcW w:w="1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52"/>
              <w:jc w:val="right"/>
              <w:rPr>
                <w:rFonts w:ascii="宋体" w:hAnsi="宋体" w:cs="宋体" w:eastAsia="宋体" w:hint="default"/>
                <w:sz w:val="18"/>
                <w:szCs w:val="18"/>
              </w:rPr>
            </w:pPr>
            <w:r>
              <w:rPr>
                <w:rFonts w:ascii="宋体" w:hAnsi="宋体" w:cs="宋体" w:eastAsia="宋体" w:hint="default"/>
                <w:sz w:val="18"/>
                <w:szCs w:val="18"/>
              </w:rPr>
              <w:t>童本立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9" w:right="0"/>
              <w:jc w:val="left"/>
              <w:rPr>
                <w:rFonts w:ascii="宋体" w:hAnsi="宋体" w:cs="宋体" w:eastAsia="宋体" w:hint="default"/>
                <w:sz w:val="18"/>
                <w:szCs w:val="18"/>
              </w:rPr>
            </w:pPr>
            <w:r>
              <w:rPr>
                <w:rFonts w:ascii="宋体" w:hAnsi="宋体" w:cs="宋体" w:eastAsia="宋体" w:hint="default"/>
                <w:sz w:val="18"/>
                <w:szCs w:val="18"/>
              </w:rPr>
              <w:t>浙江昂利康制药股份有限公司</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52"/>
              <w:jc w:val="right"/>
              <w:rPr>
                <w:rFonts w:ascii="宋体" w:hAnsi="宋体" w:cs="宋体" w:eastAsia="宋体" w:hint="default"/>
                <w:sz w:val="18"/>
                <w:szCs w:val="18"/>
              </w:rPr>
            </w:pPr>
            <w:r>
              <w:rPr>
                <w:rFonts w:ascii="宋体" w:hAnsi="宋体" w:cs="宋体" w:eastAsia="宋体" w:hint="default"/>
                <w:sz w:val="18"/>
                <w:szCs w:val="18"/>
              </w:rPr>
              <w:t>童本立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9" w:right="0"/>
              <w:jc w:val="left"/>
              <w:rPr>
                <w:rFonts w:ascii="宋体" w:hAnsi="宋体" w:cs="宋体" w:eastAsia="宋体" w:hint="default"/>
                <w:sz w:val="18"/>
                <w:szCs w:val="18"/>
              </w:rPr>
            </w:pPr>
            <w:r>
              <w:rPr>
                <w:rFonts w:ascii="宋体" w:hAnsi="宋体" w:cs="宋体" w:eastAsia="宋体" w:hint="default"/>
                <w:sz w:val="18"/>
                <w:szCs w:val="18"/>
              </w:rPr>
              <w:t>浙江浦江农村商业银行股份有限公司</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52"/>
              <w:jc w:val="right"/>
              <w:rPr>
                <w:rFonts w:ascii="宋体" w:hAnsi="宋体" w:cs="宋体" w:eastAsia="宋体" w:hint="default"/>
                <w:sz w:val="18"/>
                <w:szCs w:val="18"/>
              </w:rPr>
            </w:pPr>
            <w:r>
              <w:rPr>
                <w:rFonts w:ascii="宋体" w:hAnsi="宋体" w:cs="宋体" w:eastAsia="宋体" w:hint="default"/>
                <w:sz w:val="18"/>
                <w:szCs w:val="18"/>
              </w:rPr>
              <w:t>朱加宁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9" w:right="0"/>
              <w:jc w:val="left"/>
              <w:rPr>
                <w:rFonts w:ascii="宋体" w:hAnsi="宋体" w:cs="宋体" w:eastAsia="宋体" w:hint="default"/>
                <w:sz w:val="18"/>
                <w:szCs w:val="18"/>
              </w:rPr>
            </w:pPr>
            <w:r>
              <w:rPr>
                <w:rFonts w:ascii="宋体" w:hAnsi="宋体" w:cs="宋体" w:eastAsia="宋体" w:hint="default"/>
                <w:sz w:val="18"/>
                <w:szCs w:val="18"/>
              </w:rPr>
              <w:t>北京浩天信和（杭州）律师事务所</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主任</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52"/>
              <w:jc w:val="right"/>
              <w:rPr>
                <w:rFonts w:ascii="宋体" w:hAnsi="宋体" w:cs="宋体" w:eastAsia="宋体" w:hint="default"/>
                <w:sz w:val="18"/>
                <w:szCs w:val="18"/>
              </w:rPr>
            </w:pPr>
            <w:r>
              <w:rPr>
                <w:rFonts w:ascii="宋体" w:hAnsi="宋体" w:cs="宋体" w:eastAsia="宋体" w:hint="default"/>
                <w:sz w:val="18"/>
                <w:szCs w:val="18"/>
              </w:rPr>
              <w:t>朱加宁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9" w:right="0"/>
              <w:jc w:val="left"/>
              <w:rPr>
                <w:rFonts w:ascii="宋体" w:hAnsi="宋体" w:cs="宋体" w:eastAsia="宋体" w:hint="default"/>
                <w:sz w:val="18"/>
                <w:szCs w:val="18"/>
              </w:rPr>
            </w:pPr>
            <w:r>
              <w:rPr>
                <w:rFonts w:ascii="宋体" w:hAnsi="宋体" w:cs="宋体" w:eastAsia="宋体" w:hint="default"/>
                <w:sz w:val="18"/>
                <w:szCs w:val="18"/>
              </w:rPr>
              <w:t>浙江天台祥和实业股份有限公司</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52"/>
              <w:jc w:val="right"/>
              <w:rPr>
                <w:rFonts w:ascii="宋体" w:hAnsi="宋体" w:cs="宋体" w:eastAsia="宋体" w:hint="default"/>
                <w:sz w:val="18"/>
                <w:szCs w:val="18"/>
              </w:rPr>
            </w:pPr>
            <w:r>
              <w:rPr>
                <w:rFonts w:ascii="宋体" w:hAnsi="宋体" w:cs="宋体" w:eastAsia="宋体" w:hint="default"/>
                <w:sz w:val="18"/>
                <w:szCs w:val="18"/>
              </w:rPr>
              <w:t>朱加宁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9" w:right="0"/>
              <w:jc w:val="left"/>
              <w:rPr>
                <w:rFonts w:ascii="宋体" w:hAnsi="宋体" w:cs="宋体" w:eastAsia="宋体" w:hint="default"/>
                <w:sz w:val="18"/>
                <w:szCs w:val="18"/>
              </w:rPr>
            </w:pPr>
            <w:r>
              <w:rPr>
                <w:rFonts w:ascii="宋体" w:hAnsi="宋体" w:cs="宋体" w:eastAsia="宋体" w:hint="default"/>
                <w:sz w:val="18"/>
                <w:szCs w:val="18"/>
              </w:rPr>
              <w:t>浙江晨丰科技股份有限公司</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352"/>
              <w:jc w:val="right"/>
              <w:rPr>
                <w:rFonts w:ascii="宋体" w:hAnsi="宋体" w:cs="宋体" w:eastAsia="宋体" w:hint="default"/>
                <w:sz w:val="18"/>
                <w:szCs w:val="18"/>
              </w:rPr>
            </w:pPr>
            <w:r>
              <w:rPr>
                <w:rFonts w:ascii="宋体" w:hAnsi="宋体" w:cs="宋体" w:eastAsia="宋体" w:hint="default"/>
                <w:sz w:val="18"/>
                <w:szCs w:val="18"/>
              </w:rPr>
              <w:t>张耀辉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79" w:right="0"/>
              <w:jc w:val="left"/>
              <w:rPr>
                <w:rFonts w:ascii="宋体" w:hAnsi="宋体" w:cs="宋体" w:eastAsia="宋体" w:hint="default"/>
                <w:sz w:val="18"/>
                <w:szCs w:val="18"/>
              </w:rPr>
            </w:pPr>
            <w:r>
              <w:rPr>
                <w:rFonts w:ascii="宋体" w:hAnsi="宋体" w:cs="宋体" w:eastAsia="宋体" w:hint="default"/>
                <w:sz w:val="18"/>
                <w:szCs w:val="18"/>
              </w:rPr>
              <w:t>上海明辉股权投资管理有限公司</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80" w:right="179"/>
              <w:jc w:val="left"/>
              <w:rPr>
                <w:rFonts w:ascii="宋体" w:hAnsi="宋体" w:cs="宋体" w:eastAsia="宋体" w:hint="default"/>
                <w:sz w:val="18"/>
                <w:szCs w:val="18"/>
              </w:rPr>
            </w:pPr>
            <w:r>
              <w:rPr>
                <w:rFonts w:ascii="宋体" w:hAnsi="宋体" w:cs="宋体" w:eastAsia="宋体" w:hint="default"/>
                <w:sz w:val="18"/>
                <w:szCs w:val="18"/>
              </w:rPr>
              <w:t>执行董事 兼总经理</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1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352"/>
              <w:jc w:val="right"/>
              <w:rPr>
                <w:rFonts w:ascii="宋体" w:hAnsi="宋体" w:cs="宋体" w:eastAsia="宋体" w:hint="default"/>
                <w:sz w:val="18"/>
                <w:szCs w:val="18"/>
              </w:rPr>
            </w:pPr>
            <w:r>
              <w:rPr>
                <w:rFonts w:ascii="宋体" w:hAnsi="宋体" w:cs="宋体" w:eastAsia="宋体" w:hint="default"/>
                <w:sz w:val="18"/>
                <w:szCs w:val="18"/>
              </w:rPr>
              <w:t>张耀辉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79" w:right="219"/>
              <w:jc w:val="left"/>
              <w:rPr>
                <w:rFonts w:ascii="宋体" w:hAnsi="宋体" w:cs="宋体" w:eastAsia="宋体" w:hint="default"/>
                <w:sz w:val="18"/>
                <w:szCs w:val="18"/>
              </w:rPr>
            </w:pPr>
            <w:r>
              <w:rPr>
                <w:rFonts w:ascii="宋体" w:hAnsi="宋体" w:cs="宋体" w:eastAsia="宋体" w:hint="default"/>
                <w:sz w:val="18"/>
                <w:szCs w:val="18"/>
              </w:rPr>
              <w:t>上海明辉股权投资合伙企业（有限合 伙）</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80" w:right="179"/>
              <w:jc w:val="both"/>
              <w:rPr>
                <w:rFonts w:ascii="宋体" w:hAnsi="宋体" w:cs="宋体" w:eastAsia="宋体" w:hint="default"/>
                <w:sz w:val="18"/>
                <w:szCs w:val="18"/>
              </w:rPr>
            </w:pPr>
            <w:r>
              <w:rPr>
                <w:rFonts w:ascii="宋体" w:hAnsi="宋体" w:cs="宋体" w:eastAsia="宋体" w:hint="default"/>
                <w:sz w:val="18"/>
                <w:szCs w:val="18"/>
              </w:rPr>
              <w:t>执行事务 合伙人委 派代表</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52"/>
              <w:jc w:val="right"/>
              <w:rPr>
                <w:rFonts w:ascii="宋体" w:hAnsi="宋体" w:cs="宋体" w:eastAsia="宋体" w:hint="default"/>
                <w:sz w:val="18"/>
                <w:szCs w:val="18"/>
              </w:rPr>
            </w:pPr>
            <w:r>
              <w:rPr>
                <w:rFonts w:ascii="宋体" w:hAnsi="宋体" w:cs="宋体" w:eastAsia="宋体" w:hint="default"/>
                <w:sz w:val="18"/>
                <w:szCs w:val="18"/>
              </w:rPr>
              <w:t>张耀辉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9" w:right="0"/>
              <w:jc w:val="left"/>
              <w:rPr>
                <w:rFonts w:ascii="宋体" w:hAnsi="宋体" w:cs="宋体" w:eastAsia="宋体" w:hint="default"/>
                <w:sz w:val="18"/>
                <w:szCs w:val="18"/>
              </w:rPr>
            </w:pPr>
            <w:r>
              <w:rPr>
                <w:rFonts w:ascii="宋体" w:hAnsi="宋体" w:cs="宋体" w:eastAsia="宋体" w:hint="default"/>
                <w:sz w:val="18"/>
                <w:szCs w:val="18"/>
              </w:rPr>
              <w:t>上海明辉创业投资有限公司</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52"/>
              <w:jc w:val="right"/>
              <w:rPr>
                <w:rFonts w:ascii="宋体" w:hAnsi="宋体" w:cs="宋体" w:eastAsia="宋体" w:hint="default"/>
                <w:sz w:val="18"/>
                <w:szCs w:val="18"/>
              </w:rPr>
            </w:pPr>
            <w:r>
              <w:rPr>
                <w:rFonts w:ascii="宋体" w:hAnsi="宋体" w:cs="宋体" w:eastAsia="宋体" w:hint="default"/>
                <w:sz w:val="18"/>
                <w:szCs w:val="18"/>
              </w:rPr>
              <w:t>张耀辉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9" w:right="0"/>
              <w:jc w:val="left"/>
              <w:rPr>
                <w:rFonts w:ascii="宋体" w:hAnsi="宋体" w:cs="宋体" w:eastAsia="宋体" w:hint="default"/>
                <w:sz w:val="18"/>
                <w:szCs w:val="18"/>
              </w:rPr>
            </w:pPr>
            <w:r>
              <w:rPr>
                <w:rFonts w:ascii="宋体" w:hAnsi="宋体" w:cs="宋体" w:eastAsia="宋体" w:hint="default"/>
                <w:sz w:val="18"/>
                <w:szCs w:val="18"/>
              </w:rPr>
              <w:t>上海康曜投资管理有限公司</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352"/>
              <w:jc w:val="right"/>
              <w:rPr>
                <w:rFonts w:ascii="宋体" w:hAnsi="宋体" w:cs="宋体" w:eastAsia="宋体" w:hint="default"/>
                <w:sz w:val="18"/>
                <w:szCs w:val="18"/>
              </w:rPr>
            </w:pPr>
            <w:r>
              <w:rPr>
                <w:rFonts w:ascii="宋体" w:hAnsi="宋体" w:cs="宋体" w:eastAsia="宋体" w:hint="default"/>
                <w:sz w:val="18"/>
                <w:szCs w:val="18"/>
              </w:rPr>
              <w:t>张耀辉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79" w:right="78"/>
              <w:jc w:val="left"/>
              <w:rPr>
                <w:rFonts w:ascii="宋体" w:hAnsi="宋体" w:cs="宋体" w:eastAsia="宋体" w:hint="default"/>
                <w:sz w:val="18"/>
                <w:szCs w:val="18"/>
              </w:rPr>
            </w:pPr>
            <w:r>
              <w:rPr>
                <w:rFonts w:ascii="宋体" w:hAnsi="宋体" w:cs="宋体" w:eastAsia="宋体" w:hint="default"/>
                <w:spacing w:val="-3"/>
                <w:sz w:val="18"/>
                <w:szCs w:val="18"/>
              </w:rPr>
              <w:t>共青城明辉新能源投资合伙企业（有限</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合伙）</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80" w:right="179"/>
              <w:jc w:val="both"/>
              <w:rPr>
                <w:rFonts w:ascii="宋体" w:hAnsi="宋体" w:cs="宋体" w:eastAsia="宋体" w:hint="default"/>
                <w:sz w:val="18"/>
                <w:szCs w:val="18"/>
              </w:rPr>
            </w:pPr>
            <w:r>
              <w:rPr>
                <w:rFonts w:ascii="宋体" w:hAnsi="宋体" w:cs="宋体" w:eastAsia="宋体" w:hint="default"/>
                <w:sz w:val="18"/>
                <w:szCs w:val="18"/>
              </w:rPr>
              <w:t>执行事务 合伙人委 派代表</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52"/>
              <w:jc w:val="right"/>
              <w:rPr>
                <w:rFonts w:ascii="宋体" w:hAnsi="宋体" w:cs="宋体" w:eastAsia="宋体" w:hint="default"/>
                <w:sz w:val="18"/>
                <w:szCs w:val="18"/>
              </w:rPr>
            </w:pPr>
            <w:r>
              <w:rPr>
                <w:rFonts w:ascii="宋体" w:hAnsi="宋体" w:cs="宋体" w:eastAsia="宋体" w:hint="default"/>
                <w:sz w:val="18"/>
                <w:szCs w:val="18"/>
              </w:rPr>
              <w:t>张耀辉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9" w:right="0"/>
              <w:jc w:val="left"/>
              <w:rPr>
                <w:rFonts w:ascii="宋体" w:hAnsi="宋体" w:cs="宋体" w:eastAsia="宋体" w:hint="default"/>
                <w:sz w:val="18"/>
                <w:szCs w:val="18"/>
              </w:rPr>
            </w:pPr>
            <w:r>
              <w:rPr>
                <w:rFonts w:ascii="宋体" w:hAnsi="宋体" w:cs="宋体" w:eastAsia="宋体" w:hint="default"/>
                <w:sz w:val="18"/>
                <w:szCs w:val="18"/>
              </w:rPr>
              <w:t>徐州大晶新材料科技集团有限公司</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52"/>
              <w:jc w:val="right"/>
              <w:rPr>
                <w:rFonts w:ascii="宋体" w:hAnsi="宋体" w:cs="宋体" w:eastAsia="宋体" w:hint="default"/>
                <w:sz w:val="18"/>
                <w:szCs w:val="18"/>
              </w:rPr>
            </w:pPr>
            <w:r>
              <w:rPr>
                <w:rFonts w:ascii="宋体" w:hAnsi="宋体" w:cs="宋体" w:eastAsia="宋体" w:hint="default"/>
                <w:sz w:val="18"/>
                <w:szCs w:val="18"/>
              </w:rPr>
              <w:t>张耀辉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9" w:right="0"/>
              <w:jc w:val="left"/>
              <w:rPr>
                <w:rFonts w:ascii="宋体" w:hAnsi="宋体" w:cs="宋体" w:eastAsia="宋体" w:hint="default"/>
                <w:sz w:val="18"/>
                <w:szCs w:val="18"/>
              </w:rPr>
            </w:pPr>
            <w:r>
              <w:rPr>
                <w:rFonts w:ascii="宋体" w:hAnsi="宋体" w:cs="宋体" w:eastAsia="宋体" w:hint="default"/>
                <w:sz w:val="18"/>
                <w:szCs w:val="18"/>
              </w:rPr>
              <w:t>晶虹生物化学（徐州）有限公司</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52"/>
              <w:jc w:val="right"/>
              <w:rPr>
                <w:rFonts w:ascii="宋体" w:hAnsi="宋体" w:cs="宋体" w:eastAsia="宋体" w:hint="default"/>
                <w:sz w:val="18"/>
                <w:szCs w:val="18"/>
              </w:rPr>
            </w:pPr>
            <w:r>
              <w:rPr>
                <w:rFonts w:ascii="宋体" w:hAnsi="宋体" w:cs="宋体" w:eastAsia="宋体" w:hint="default"/>
                <w:sz w:val="18"/>
                <w:szCs w:val="18"/>
              </w:rPr>
              <w:t>张耀辉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9" w:right="0"/>
              <w:jc w:val="left"/>
              <w:rPr>
                <w:rFonts w:ascii="宋体" w:hAnsi="宋体" w:cs="宋体" w:eastAsia="宋体" w:hint="default"/>
                <w:sz w:val="18"/>
                <w:szCs w:val="18"/>
              </w:rPr>
            </w:pPr>
            <w:r>
              <w:rPr>
                <w:rFonts w:ascii="宋体" w:hAnsi="宋体" w:cs="宋体" w:eastAsia="宋体" w:hint="default"/>
                <w:sz w:val="18"/>
                <w:szCs w:val="18"/>
              </w:rPr>
              <w:t>蚁术新材料科技（上海）有限公司</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53"/>
              <w:jc w:val="right"/>
              <w:rPr>
                <w:rFonts w:ascii="宋体" w:hAnsi="宋体" w:cs="宋体" w:eastAsia="宋体" w:hint="default"/>
                <w:sz w:val="18"/>
                <w:szCs w:val="18"/>
              </w:rPr>
            </w:pPr>
            <w:r>
              <w:rPr>
                <w:rFonts w:ascii="宋体" w:hAnsi="宋体" w:cs="宋体" w:eastAsia="宋体" w:hint="default"/>
                <w:sz w:val="18"/>
                <w:szCs w:val="18"/>
              </w:rPr>
              <w:t>张耀辉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9" w:right="0"/>
              <w:jc w:val="left"/>
              <w:rPr>
                <w:rFonts w:ascii="宋体" w:hAnsi="宋体" w:cs="宋体" w:eastAsia="宋体" w:hint="default"/>
                <w:sz w:val="18"/>
                <w:szCs w:val="18"/>
              </w:rPr>
            </w:pPr>
            <w:r>
              <w:rPr>
                <w:rFonts w:ascii="宋体" w:hAnsi="宋体" w:cs="宋体" w:eastAsia="宋体" w:hint="default"/>
                <w:sz w:val="18"/>
                <w:szCs w:val="18"/>
              </w:rPr>
              <w:t>大晶信息化学品（徐州）有限公司</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52"/>
              <w:jc w:val="right"/>
              <w:rPr>
                <w:rFonts w:ascii="宋体" w:hAnsi="宋体" w:cs="宋体" w:eastAsia="宋体" w:hint="default"/>
                <w:sz w:val="18"/>
                <w:szCs w:val="18"/>
              </w:rPr>
            </w:pPr>
            <w:r>
              <w:rPr>
                <w:rFonts w:ascii="宋体" w:hAnsi="宋体" w:cs="宋体" w:eastAsia="宋体" w:hint="default"/>
                <w:sz w:val="18"/>
                <w:szCs w:val="18"/>
              </w:rPr>
              <w:t>张耀辉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9" w:right="0"/>
              <w:jc w:val="left"/>
              <w:rPr>
                <w:rFonts w:ascii="宋体" w:hAnsi="宋体" w:cs="宋体" w:eastAsia="宋体" w:hint="default"/>
                <w:sz w:val="18"/>
                <w:szCs w:val="18"/>
              </w:rPr>
            </w:pPr>
            <w:r>
              <w:rPr>
                <w:rFonts w:ascii="宋体" w:hAnsi="宋体" w:cs="宋体" w:eastAsia="宋体" w:hint="default"/>
                <w:sz w:val="18"/>
                <w:szCs w:val="18"/>
              </w:rPr>
              <w:t>科利生物科技（徐州）有限公司</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52"/>
              <w:jc w:val="right"/>
              <w:rPr>
                <w:rFonts w:ascii="宋体" w:hAnsi="宋体" w:cs="宋体" w:eastAsia="宋体" w:hint="default"/>
                <w:sz w:val="18"/>
                <w:szCs w:val="18"/>
              </w:rPr>
            </w:pPr>
            <w:r>
              <w:rPr>
                <w:rFonts w:ascii="宋体" w:hAnsi="宋体" w:cs="宋体" w:eastAsia="宋体" w:hint="default"/>
                <w:sz w:val="18"/>
                <w:szCs w:val="18"/>
              </w:rPr>
              <w:t>张耀辉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9" w:right="0"/>
              <w:jc w:val="left"/>
              <w:rPr>
                <w:rFonts w:ascii="宋体" w:hAnsi="宋体" w:cs="宋体" w:eastAsia="宋体" w:hint="default"/>
                <w:sz w:val="18"/>
                <w:szCs w:val="18"/>
              </w:rPr>
            </w:pPr>
            <w:r>
              <w:rPr>
                <w:rFonts w:ascii="宋体" w:hAnsi="宋体" w:cs="宋体" w:eastAsia="宋体" w:hint="default"/>
                <w:sz w:val="18"/>
                <w:szCs w:val="18"/>
              </w:rPr>
              <w:t>照旷科技（上海）有限公司</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352"/>
              <w:jc w:val="right"/>
              <w:rPr>
                <w:rFonts w:ascii="宋体" w:hAnsi="宋体" w:cs="宋体" w:eastAsia="宋体" w:hint="default"/>
                <w:sz w:val="18"/>
                <w:szCs w:val="18"/>
              </w:rPr>
            </w:pPr>
            <w:r>
              <w:rPr>
                <w:rFonts w:ascii="宋体" w:hAnsi="宋体" w:cs="宋体" w:eastAsia="宋体" w:hint="default"/>
                <w:sz w:val="18"/>
                <w:szCs w:val="18"/>
              </w:rPr>
              <w:t>张耀辉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79" w:right="0"/>
              <w:jc w:val="left"/>
              <w:rPr>
                <w:rFonts w:ascii="宋体" w:hAnsi="宋体" w:cs="宋体" w:eastAsia="宋体" w:hint="default"/>
                <w:sz w:val="18"/>
                <w:szCs w:val="18"/>
              </w:rPr>
            </w:pPr>
            <w:r>
              <w:rPr>
                <w:rFonts w:ascii="宋体" w:hAnsi="宋体" w:cs="宋体" w:eastAsia="宋体" w:hint="default"/>
                <w:sz w:val="18"/>
                <w:szCs w:val="18"/>
              </w:rPr>
              <w:t>敦至医疗科技（上海）有限公司</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80" w:right="179"/>
              <w:jc w:val="left"/>
              <w:rPr>
                <w:rFonts w:ascii="宋体" w:hAnsi="宋体" w:cs="宋体" w:eastAsia="宋体" w:hint="default"/>
                <w:sz w:val="18"/>
                <w:szCs w:val="18"/>
              </w:rPr>
            </w:pPr>
            <w:r>
              <w:rPr>
                <w:rFonts w:ascii="宋体" w:hAnsi="宋体" w:cs="宋体" w:eastAsia="宋体" w:hint="default"/>
                <w:sz w:val="18"/>
                <w:szCs w:val="18"/>
              </w:rPr>
              <w:t>董事长兼 总经理</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52"/>
              <w:jc w:val="right"/>
              <w:rPr>
                <w:rFonts w:ascii="宋体" w:hAnsi="宋体" w:cs="宋体" w:eastAsia="宋体" w:hint="default"/>
                <w:sz w:val="18"/>
                <w:szCs w:val="18"/>
              </w:rPr>
            </w:pPr>
            <w:r>
              <w:rPr>
                <w:rFonts w:ascii="宋体" w:hAnsi="宋体" w:cs="宋体" w:eastAsia="宋体" w:hint="default"/>
                <w:sz w:val="18"/>
                <w:szCs w:val="18"/>
              </w:rPr>
              <w:t>张耀辉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9" w:right="0"/>
              <w:jc w:val="left"/>
              <w:rPr>
                <w:rFonts w:ascii="宋体" w:hAnsi="宋体" w:cs="宋体" w:eastAsia="宋体" w:hint="default"/>
                <w:sz w:val="18"/>
                <w:szCs w:val="18"/>
              </w:rPr>
            </w:pPr>
            <w:r>
              <w:rPr>
                <w:rFonts w:ascii="宋体" w:hAnsi="宋体" w:cs="宋体" w:eastAsia="宋体" w:hint="default"/>
                <w:spacing w:val="-3"/>
                <w:sz w:val="18"/>
                <w:szCs w:val="18"/>
              </w:rPr>
              <w:t>送子宝医院投资管理（上海）有限公司</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352"/>
              <w:jc w:val="right"/>
              <w:rPr>
                <w:rFonts w:ascii="宋体" w:hAnsi="宋体" w:cs="宋体" w:eastAsia="宋体" w:hint="default"/>
                <w:sz w:val="18"/>
                <w:szCs w:val="18"/>
              </w:rPr>
            </w:pPr>
            <w:r>
              <w:rPr>
                <w:rFonts w:ascii="宋体" w:hAnsi="宋体" w:cs="宋体" w:eastAsia="宋体" w:hint="default"/>
                <w:sz w:val="18"/>
                <w:szCs w:val="18"/>
              </w:rPr>
              <w:t>张耀辉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79" w:right="0"/>
              <w:jc w:val="left"/>
              <w:rPr>
                <w:rFonts w:ascii="宋体" w:hAnsi="宋体" w:cs="宋体" w:eastAsia="宋体" w:hint="default"/>
                <w:sz w:val="18"/>
                <w:szCs w:val="18"/>
              </w:rPr>
            </w:pPr>
            <w:r>
              <w:rPr>
                <w:rFonts w:ascii="宋体" w:hAnsi="宋体" w:cs="宋体" w:eastAsia="宋体" w:hint="default"/>
                <w:sz w:val="18"/>
                <w:szCs w:val="18"/>
              </w:rPr>
              <w:t>上海敦复医院有限公司</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80" w:right="179"/>
              <w:jc w:val="left"/>
              <w:rPr>
                <w:rFonts w:ascii="宋体" w:hAnsi="宋体" w:cs="宋体" w:eastAsia="宋体" w:hint="default"/>
                <w:sz w:val="18"/>
                <w:szCs w:val="18"/>
              </w:rPr>
            </w:pPr>
            <w:r>
              <w:rPr>
                <w:rFonts w:ascii="宋体" w:hAnsi="宋体" w:cs="宋体" w:eastAsia="宋体" w:hint="default"/>
                <w:sz w:val="18"/>
                <w:szCs w:val="18"/>
              </w:rPr>
              <w:t>董事长兼 总经理</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352"/>
              <w:jc w:val="right"/>
              <w:rPr>
                <w:rFonts w:ascii="宋体" w:hAnsi="宋体" w:cs="宋体" w:eastAsia="宋体" w:hint="default"/>
                <w:sz w:val="18"/>
                <w:szCs w:val="18"/>
              </w:rPr>
            </w:pPr>
            <w:r>
              <w:rPr>
                <w:rFonts w:ascii="宋体" w:hAnsi="宋体" w:cs="宋体" w:eastAsia="宋体" w:hint="default"/>
                <w:sz w:val="18"/>
                <w:szCs w:val="18"/>
              </w:rPr>
              <w:t>张耀辉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79" w:right="81"/>
              <w:jc w:val="left"/>
              <w:rPr>
                <w:rFonts w:ascii="宋体" w:hAnsi="宋体" w:cs="宋体" w:eastAsia="宋体" w:hint="default"/>
                <w:sz w:val="18"/>
                <w:szCs w:val="18"/>
              </w:rPr>
            </w:pPr>
            <w:r>
              <w:rPr>
                <w:rFonts w:ascii="宋体" w:hAnsi="宋体" w:cs="宋体" w:eastAsia="宋体" w:hint="default"/>
                <w:spacing w:val="-3"/>
                <w:sz w:val="18"/>
                <w:szCs w:val="18"/>
              </w:rPr>
              <w:t>盛利维尔（中国）新材料技术股份有限</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公司</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8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52"/>
              <w:jc w:val="right"/>
              <w:rPr>
                <w:rFonts w:ascii="宋体" w:hAnsi="宋体" w:cs="宋体" w:eastAsia="宋体" w:hint="default"/>
                <w:sz w:val="18"/>
                <w:szCs w:val="18"/>
              </w:rPr>
            </w:pPr>
            <w:r>
              <w:rPr>
                <w:rFonts w:ascii="宋体" w:hAnsi="宋体" w:cs="宋体" w:eastAsia="宋体" w:hint="default"/>
                <w:sz w:val="18"/>
                <w:szCs w:val="18"/>
              </w:rPr>
              <w:t>张耀辉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9" w:right="0"/>
              <w:jc w:val="left"/>
              <w:rPr>
                <w:rFonts w:ascii="宋体" w:hAnsi="宋体" w:cs="宋体" w:eastAsia="宋体" w:hint="default"/>
                <w:sz w:val="18"/>
                <w:szCs w:val="18"/>
              </w:rPr>
            </w:pPr>
            <w:r>
              <w:rPr>
                <w:rFonts w:ascii="宋体" w:hAnsi="宋体" w:cs="宋体" w:eastAsia="宋体" w:hint="default"/>
                <w:sz w:val="18"/>
                <w:szCs w:val="18"/>
              </w:rPr>
              <w:t>镇江耐丝新型材料有限公司</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52"/>
              <w:jc w:val="right"/>
              <w:rPr>
                <w:rFonts w:ascii="宋体" w:hAnsi="宋体" w:cs="宋体" w:eastAsia="宋体" w:hint="default"/>
                <w:sz w:val="18"/>
                <w:szCs w:val="18"/>
              </w:rPr>
            </w:pPr>
            <w:r>
              <w:rPr>
                <w:rFonts w:ascii="宋体" w:hAnsi="宋体" w:cs="宋体" w:eastAsia="宋体" w:hint="default"/>
                <w:sz w:val="18"/>
                <w:szCs w:val="18"/>
              </w:rPr>
              <w:t>张耀辉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9" w:right="0"/>
              <w:jc w:val="left"/>
              <w:rPr>
                <w:rFonts w:ascii="宋体" w:hAnsi="宋体" w:cs="宋体" w:eastAsia="宋体" w:hint="default"/>
                <w:sz w:val="18"/>
                <w:szCs w:val="18"/>
              </w:rPr>
            </w:pPr>
            <w:r>
              <w:rPr>
                <w:rFonts w:ascii="宋体" w:hAnsi="宋体" w:cs="宋体" w:eastAsia="宋体" w:hint="default"/>
                <w:sz w:val="18"/>
                <w:szCs w:val="18"/>
              </w:rPr>
              <w:t>东方电子支付有限公司</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52"/>
              <w:jc w:val="right"/>
              <w:rPr>
                <w:rFonts w:ascii="宋体" w:hAnsi="宋体" w:cs="宋体" w:eastAsia="宋体" w:hint="default"/>
                <w:sz w:val="18"/>
                <w:szCs w:val="18"/>
              </w:rPr>
            </w:pPr>
            <w:r>
              <w:rPr>
                <w:rFonts w:ascii="宋体" w:hAnsi="宋体" w:cs="宋体" w:eastAsia="宋体" w:hint="default"/>
                <w:sz w:val="18"/>
                <w:szCs w:val="18"/>
              </w:rPr>
              <w:t>张耀辉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9" w:right="0"/>
              <w:jc w:val="left"/>
              <w:rPr>
                <w:rFonts w:ascii="宋体" w:hAnsi="宋体" w:cs="宋体" w:eastAsia="宋体" w:hint="default"/>
                <w:sz w:val="18"/>
                <w:szCs w:val="18"/>
              </w:rPr>
            </w:pPr>
            <w:r>
              <w:rPr>
                <w:rFonts w:ascii="宋体" w:hAnsi="宋体" w:cs="宋体" w:eastAsia="宋体" w:hint="default"/>
                <w:sz w:val="18"/>
                <w:szCs w:val="18"/>
              </w:rPr>
              <w:t>苏州本控电子科技有限公司</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52"/>
              <w:jc w:val="right"/>
              <w:rPr>
                <w:rFonts w:ascii="宋体" w:hAnsi="宋体" w:cs="宋体" w:eastAsia="宋体" w:hint="default"/>
                <w:sz w:val="18"/>
                <w:szCs w:val="18"/>
              </w:rPr>
            </w:pPr>
            <w:r>
              <w:rPr>
                <w:rFonts w:ascii="宋体" w:hAnsi="宋体" w:cs="宋体" w:eastAsia="宋体" w:hint="default"/>
                <w:sz w:val="18"/>
                <w:szCs w:val="18"/>
              </w:rPr>
              <w:t>张耀辉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9" w:right="0"/>
              <w:jc w:val="left"/>
              <w:rPr>
                <w:rFonts w:ascii="宋体" w:hAnsi="宋体" w:cs="宋体" w:eastAsia="宋体" w:hint="default"/>
                <w:sz w:val="18"/>
                <w:szCs w:val="18"/>
              </w:rPr>
            </w:pPr>
            <w:r>
              <w:rPr>
                <w:rFonts w:ascii="宋体" w:hAnsi="宋体" w:cs="宋体" w:eastAsia="宋体" w:hint="default"/>
                <w:sz w:val="18"/>
                <w:szCs w:val="18"/>
              </w:rPr>
              <w:t>凤凰都市传媒科技股份有限公司</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52"/>
              <w:jc w:val="right"/>
              <w:rPr>
                <w:rFonts w:ascii="宋体" w:hAnsi="宋体" w:cs="宋体" w:eastAsia="宋体" w:hint="default"/>
                <w:sz w:val="18"/>
                <w:szCs w:val="18"/>
              </w:rPr>
            </w:pPr>
            <w:r>
              <w:rPr>
                <w:rFonts w:ascii="宋体" w:hAnsi="宋体" w:cs="宋体" w:eastAsia="宋体" w:hint="default"/>
                <w:sz w:val="18"/>
                <w:szCs w:val="18"/>
              </w:rPr>
              <w:t>翁玉涛</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9" w:right="0"/>
              <w:jc w:val="left"/>
              <w:rPr>
                <w:rFonts w:ascii="宋体" w:hAnsi="宋体" w:cs="宋体" w:eastAsia="宋体" w:hint="default"/>
                <w:sz w:val="18"/>
                <w:szCs w:val="18"/>
              </w:rPr>
            </w:pPr>
            <w:r>
              <w:rPr>
                <w:rFonts w:ascii="宋体" w:hAnsi="宋体" w:cs="宋体" w:eastAsia="宋体" w:hint="default"/>
                <w:sz w:val="18"/>
                <w:szCs w:val="18"/>
              </w:rPr>
              <w:t>上海融都房产开发有限公司</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52"/>
              <w:jc w:val="right"/>
              <w:rPr>
                <w:rFonts w:ascii="宋体" w:hAnsi="宋体" w:cs="宋体" w:eastAsia="宋体" w:hint="default"/>
                <w:sz w:val="18"/>
                <w:szCs w:val="18"/>
              </w:rPr>
            </w:pPr>
            <w:r>
              <w:rPr>
                <w:rFonts w:ascii="宋体" w:hAnsi="宋体" w:cs="宋体" w:eastAsia="宋体" w:hint="default"/>
                <w:sz w:val="18"/>
                <w:szCs w:val="18"/>
              </w:rPr>
              <w:t>翁玉涛</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9" w:right="0"/>
              <w:jc w:val="left"/>
              <w:rPr>
                <w:rFonts w:ascii="宋体" w:hAnsi="宋体" w:cs="宋体" w:eastAsia="宋体" w:hint="default"/>
                <w:sz w:val="18"/>
                <w:szCs w:val="18"/>
              </w:rPr>
            </w:pPr>
            <w:r>
              <w:rPr>
                <w:rFonts w:ascii="宋体" w:hAnsi="宋体" w:cs="宋体" w:eastAsia="宋体" w:hint="default"/>
                <w:sz w:val="18"/>
                <w:szCs w:val="18"/>
              </w:rPr>
              <w:t>嘉兴融都置业有限公司</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352"/>
              <w:jc w:val="right"/>
              <w:rPr>
                <w:rFonts w:ascii="宋体" w:hAnsi="宋体" w:cs="宋体" w:eastAsia="宋体" w:hint="default"/>
                <w:sz w:val="18"/>
                <w:szCs w:val="18"/>
              </w:rPr>
            </w:pPr>
            <w:r>
              <w:rPr>
                <w:rFonts w:ascii="宋体" w:hAnsi="宋体" w:cs="宋体" w:eastAsia="宋体" w:hint="default"/>
                <w:sz w:val="18"/>
                <w:szCs w:val="18"/>
              </w:rPr>
              <w:t>翁玉涛</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79" w:right="0"/>
              <w:jc w:val="left"/>
              <w:rPr>
                <w:rFonts w:ascii="宋体" w:hAnsi="宋体" w:cs="宋体" w:eastAsia="宋体" w:hint="default"/>
                <w:sz w:val="18"/>
                <w:szCs w:val="18"/>
              </w:rPr>
            </w:pPr>
            <w:r>
              <w:rPr>
                <w:rFonts w:ascii="宋体" w:hAnsi="宋体" w:cs="宋体" w:eastAsia="宋体" w:hint="default"/>
                <w:sz w:val="18"/>
                <w:szCs w:val="18"/>
              </w:rPr>
              <w:t>杭州世轩实业有限公司</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80" w:right="-1"/>
              <w:jc w:val="left"/>
              <w:rPr>
                <w:rFonts w:ascii="宋体" w:hAnsi="宋体" w:cs="宋体" w:eastAsia="宋体" w:hint="default"/>
                <w:sz w:val="18"/>
                <w:szCs w:val="18"/>
              </w:rPr>
            </w:pPr>
            <w:r>
              <w:rPr>
                <w:rFonts w:ascii="宋体" w:hAnsi="宋体" w:cs="宋体" w:eastAsia="宋体" w:hint="default"/>
                <w:sz w:val="18"/>
                <w:szCs w:val="18"/>
              </w:rPr>
              <w:t>执行董事、 总经理</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pgSz w:w="11910" w:h="16840"/>
          <w:pgMar w:header="747" w:footer="979" w:top="1060" w:bottom="1160" w:left="8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00" w:type="dxa"/>
        <w:tblLayout w:type="fixed"/>
        <w:tblCellMar>
          <w:top w:w="0" w:type="dxa"/>
          <w:left w:w="0" w:type="dxa"/>
          <w:bottom w:w="0" w:type="dxa"/>
          <w:right w:w="0" w:type="dxa"/>
        </w:tblCellMar>
        <w:tblLook w:val="01E0"/>
      </w:tblPr>
      <w:tblGrid>
        <w:gridCol w:w="1257"/>
        <w:gridCol w:w="3190"/>
        <w:gridCol w:w="990"/>
        <w:gridCol w:w="1725"/>
        <w:gridCol w:w="1702"/>
        <w:gridCol w:w="1074"/>
      </w:tblGrid>
      <w:tr>
        <w:trPr>
          <w:trHeight w:val="402" w:hRule="exact"/>
        </w:trPr>
        <w:tc>
          <w:tcPr>
            <w:tcW w:w="1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52"/>
              <w:jc w:val="right"/>
              <w:rPr>
                <w:rFonts w:ascii="宋体" w:hAnsi="宋体" w:cs="宋体" w:eastAsia="宋体" w:hint="default"/>
                <w:sz w:val="18"/>
                <w:szCs w:val="18"/>
              </w:rPr>
            </w:pPr>
            <w:r>
              <w:rPr>
                <w:rFonts w:ascii="宋体" w:hAnsi="宋体" w:cs="宋体" w:eastAsia="宋体" w:hint="default"/>
                <w:sz w:val="18"/>
                <w:szCs w:val="18"/>
              </w:rPr>
              <w:t>翁玉涛</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9" w:right="0"/>
              <w:jc w:val="left"/>
              <w:rPr>
                <w:rFonts w:ascii="宋体" w:hAnsi="宋体" w:cs="宋体" w:eastAsia="宋体" w:hint="default"/>
                <w:sz w:val="18"/>
                <w:szCs w:val="18"/>
              </w:rPr>
            </w:pPr>
            <w:r>
              <w:rPr>
                <w:rFonts w:ascii="宋体" w:hAnsi="宋体" w:cs="宋体" w:eastAsia="宋体" w:hint="default"/>
                <w:sz w:val="18"/>
                <w:szCs w:val="18"/>
              </w:rPr>
              <w:t>杭州世轩生态农业有限公司</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52"/>
              <w:jc w:val="right"/>
              <w:rPr>
                <w:rFonts w:ascii="宋体" w:hAnsi="宋体" w:cs="宋体" w:eastAsia="宋体" w:hint="default"/>
                <w:sz w:val="18"/>
                <w:szCs w:val="18"/>
              </w:rPr>
            </w:pPr>
            <w:r>
              <w:rPr>
                <w:rFonts w:ascii="宋体" w:hAnsi="宋体" w:cs="宋体" w:eastAsia="宋体" w:hint="default"/>
                <w:sz w:val="18"/>
                <w:szCs w:val="18"/>
              </w:rPr>
              <w:t>翁玉涛</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9" w:right="0"/>
              <w:jc w:val="left"/>
              <w:rPr>
                <w:rFonts w:ascii="宋体" w:hAnsi="宋体" w:cs="宋体" w:eastAsia="宋体" w:hint="default"/>
                <w:sz w:val="18"/>
                <w:szCs w:val="18"/>
              </w:rPr>
            </w:pPr>
            <w:r>
              <w:rPr>
                <w:rFonts w:ascii="宋体" w:hAnsi="宋体" w:cs="宋体" w:eastAsia="宋体" w:hint="default"/>
                <w:sz w:val="18"/>
                <w:szCs w:val="18"/>
              </w:rPr>
              <w:t>杭州玺林轩文化创意有限公司</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352"/>
              <w:jc w:val="right"/>
              <w:rPr>
                <w:rFonts w:ascii="宋体" w:hAnsi="宋体" w:cs="宋体" w:eastAsia="宋体" w:hint="default"/>
                <w:sz w:val="18"/>
                <w:szCs w:val="18"/>
              </w:rPr>
            </w:pPr>
            <w:r>
              <w:rPr>
                <w:rFonts w:ascii="宋体" w:hAnsi="宋体" w:cs="宋体" w:eastAsia="宋体" w:hint="default"/>
                <w:sz w:val="18"/>
                <w:szCs w:val="18"/>
              </w:rPr>
              <w:t>翁玉涛</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79" w:right="0"/>
              <w:jc w:val="left"/>
              <w:rPr>
                <w:rFonts w:ascii="宋体" w:hAnsi="宋体" w:cs="宋体" w:eastAsia="宋体" w:hint="default"/>
                <w:sz w:val="18"/>
                <w:szCs w:val="18"/>
              </w:rPr>
            </w:pPr>
            <w:r>
              <w:rPr>
                <w:rFonts w:ascii="宋体" w:hAnsi="宋体" w:cs="宋体" w:eastAsia="宋体" w:hint="default"/>
                <w:sz w:val="18"/>
                <w:szCs w:val="18"/>
              </w:rPr>
              <w:t>杭州百博实业投资有限公司</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80" w:right="-1"/>
              <w:jc w:val="left"/>
              <w:rPr>
                <w:rFonts w:ascii="宋体" w:hAnsi="宋体" w:cs="宋体" w:eastAsia="宋体" w:hint="default"/>
                <w:sz w:val="18"/>
                <w:szCs w:val="18"/>
              </w:rPr>
            </w:pPr>
            <w:r>
              <w:rPr>
                <w:rFonts w:ascii="宋体" w:hAnsi="宋体" w:cs="宋体" w:eastAsia="宋体" w:hint="default"/>
                <w:sz w:val="18"/>
                <w:szCs w:val="18"/>
              </w:rPr>
              <w:t>执行董事、 总经理</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352"/>
              <w:jc w:val="right"/>
              <w:rPr>
                <w:rFonts w:ascii="宋体" w:hAnsi="宋体" w:cs="宋体" w:eastAsia="宋体" w:hint="default"/>
                <w:sz w:val="18"/>
                <w:szCs w:val="18"/>
              </w:rPr>
            </w:pPr>
            <w:r>
              <w:rPr>
                <w:rFonts w:ascii="宋体" w:hAnsi="宋体" w:cs="宋体" w:eastAsia="宋体" w:hint="default"/>
                <w:sz w:val="18"/>
                <w:szCs w:val="18"/>
              </w:rPr>
              <w:t>翁玉涛</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79" w:right="0"/>
              <w:jc w:val="left"/>
              <w:rPr>
                <w:rFonts w:ascii="宋体" w:hAnsi="宋体" w:cs="宋体" w:eastAsia="宋体" w:hint="default"/>
                <w:sz w:val="18"/>
                <w:szCs w:val="18"/>
              </w:rPr>
            </w:pPr>
            <w:r>
              <w:rPr>
                <w:rFonts w:ascii="宋体" w:hAnsi="宋体" w:cs="宋体" w:eastAsia="宋体" w:hint="default"/>
                <w:sz w:val="18"/>
                <w:szCs w:val="18"/>
              </w:rPr>
              <w:t>浙江浙企财富投资管理有限公司</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80" w:right="-1"/>
              <w:jc w:val="left"/>
              <w:rPr>
                <w:rFonts w:ascii="宋体" w:hAnsi="宋体" w:cs="宋体" w:eastAsia="宋体" w:hint="default"/>
                <w:sz w:val="18"/>
                <w:szCs w:val="18"/>
              </w:rPr>
            </w:pPr>
            <w:r>
              <w:rPr>
                <w:rFonts w:ascii="宋体" w:hAnsi="宋体" w:cs="宋体" w:eastAsia="宋体" w:hint="default"/>
                <w:sz w:val="18"/>
                <w:szCs w:val="18"/>
              </w:rPr>
              <w:t>执行董事、 总经理</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52"/>
              <w:jc w:val="right"/>
              <w:rPr>
                <w:rFonts w:ascii="宋体" w:hAnsi="宋体" w:cs="宋体" w:eastAsia="宋体" w:hint="default"/>
                <w:sz w:val="18"/>
                <w:szCs w:val="18"/>
              </w:rPr>
            </w:pPr>
            <w:r>
              <w:rPr>
                <w:rFonts w:ascii="宋体" w:hAnsi="宋体" w:cs="宋体" w:eastAsia="宋体" w:hint="default"/>
                <w:sz w:val="18"/>
                <w:szCs w:val="18"/>
              </w:rPr>
              <w:t>李战鹏</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9" w:right="0"/>
              <w:jc w:val="left"/>
              <w:rPr>
                <w:rFonts w:ascii="宋体" w:hAnsi="宋体" w:cs="宋体" w:eastAsia="宋体" w:hint="default"/>
                <w:sz w:val="18"/>
                <w:szCs w:val="18"/>
              </w:rPr>
            </w:pPr>
            <w:r>
              <w:rPr>
                <w:rFonts w:ascii="宋体" w:hAnsi="宋体" w:cs="宋体" w:eastAsia="宋体" w:hint="default"/>
                <w:sz w:val="18"/>
                <w:szCs w:val="18"/>
              </w:rPr>
              <w:t>正元曦客</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52"/>
              <w:jc w:val="right"/>
              <w:rPr>
                <w:rFonts w:ascii="宋体" w:hAnsi="宋体" w:cs="宋体" w:eastAsia="宋体" w:hint="default"/>
                <w:sz w:val="18"/>
                <w:szCs w:val="18"/>
              </w:rPr>
            </w:pPr>
            <w:r>
              <w:rPr>
                <w:rFonts w:ascii="宋体" w:hAnsi="宋体" w:cs="宋体" w:eastAsia="宋体" w:hint="default"/>
                <w:sz w:val="18"/>
                <w:szCs w:val="18"/>
              </w:rPr>
              <w:t>李战鹏</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9" w:right="0"/>
              <w:jc w:val="left"/>
              <w:rPr>
                <w:rFonts w:ascii="宋体" w:hAnsi="宋体" w:cs="宋体" w:eastAsia="宋体" w:hint="default"/>
                <w:sz w:val="18"/>
                <w:szCs w:val="18"/>
              </w:rPr>
            </w:pPr>
            <w:r>
              <w:rPr>
                <w:rFonts w:ascii="宋体" w:hAnsi="宋体" w:cs="宋体" w:eastAsia="宋体" w:hint="default"/>
                <w:sz w:val="18"/>
                <w:szCs w:val="18"/>
              </w:rPr>
              <w:t>四川正元</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52"/>
              <w:jc w:val="right"/>
              <w:rPr>
                <w:rFonts w:ascii="宋体" w:hAnsi="宋体" w:cs="宋体" w:eastAsia="宋体" w:hint="default"/>
                <w:sz w:val="18"/>
                <w:szCs w:val="18"/>
              </w:rPr>
            </w:pPr>
            <w:r>
              <w:rPr>
                <w:rFonts w:ascii="宋体" w:hAnsi="宋体" w:cs="宋体" w:eastAsia="宋体" w:hint="default"/>
                <w:sz w:val="18"/>
                <w:szCs w:val="18"/>
              </w:rPr>
              <w:t>李战鹏</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9" w:right="0"/>
              <w:jc w:val="left"/>
              <w:rPr>
                <w:rFonts w:ascii="宋体" w:hAnsi="宋体" w:cs="宋体" w:eastAsia="宋体" w:hint="default"/>
                <w:sz w:val="18"/>
                <w:szCs w:val="18"/>
              </w:rPr>
            </w:pPr>
            <w:r>
              <w:rPr>
                <w:rFonts w:ascii="宋体" w:hAnsi="宋体" w:cs="宋体" w:eastAsia="宋体" w:hint="default"/>
                <w:sz w:val="18"/>
                <w:szCs w:val="18"/>
              </w:rPr>
              <w:t>校云智慧</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52"/>
              <w:jc w:val="right"/>
              <w:rPr>
                <w:rFonts w:ascii="宋体" w:hAnsi="宋体" w:cs="宋体" w:eastAsia="宋体" w:hint="default"/>
                <w:sz w:val="18"/>
                <w:szCs w:val="18"/>
              </w:rPr>
            </w:pPr>
            <w:r>
              <w:rPr>
                <w:rFonts w:ascii="宋体" w:hAnsi="宋体" w:cs="宋体" w:eastAsia="宋体" w:hint="default"/>
                <w:sz w:val="18"/>
                <w:szCs w:val="18"/>
              </w:rPr>
              <w:t>周军辉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9" w:right="0"/>
              <w:jc w:val="left"/>
              <w:rPr>
                <w:rFonts w:ascii="宋体" w:hAnsi="宋体" w:cs="宋体" w:eastAsia="宋体" w:hint="default"/>
                <w:sz w:val="18"/>
                <w:szCs w:val="18"/>
              </w:rPr>
            </w:pPr>
            <w:r>
              <w:rPr>
                <w:rFonts w:ascii="宋体" w:hAnsi="宋体" w:cs="宋体" w:eastAsia="宋体" w:hint="default"/>
                <w:sz w:val="18"/>
                <w:szCs w:val="18"/>
              </w:rPr>
              <w:t>正元曦客</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52"/>
              <w:jc w:val="right"/>
              <w:rPr>
                <w:rFonts w:ascii="宋体" w:hAnsi="宋体" w:cs="宋体" w:eastAsia="宋体" w:hint="default"/>
                <w:sz w:val="18"/>
                <w:szCs w:val="18"/>
              </w:rPr>
            </w:pPr>
            <w:r>
              <w:rPr>
                <w:rFonts w:ascii="宋体" w:hAnsi="宋体" w:cs="宋体" w:eastAsia="宋体" w:hint="default"/>
                <w:sz w:val="18"/>
                <w:szCs w:val="18"/>
              </w:rPr>
              <w:t>周军辉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9" w:right="0"/>
              <w:jc w:val="left"/>
              <w:rPr>
                <w:rFonts w:ascii="宋体" w:hAnsi="宋体" w:cs="宋体" w:eastAsia="宋体" w:hint="default"/>
                <w:sz w:val="18"/>
                <w:szCs w:val="18"/>
              </w:rPr>
            </w:pPr>
            <w:r>
              <w:rPr>
                <w:rFonts w:ascii="宋体" w:hAnsi="宋体" w:cs="宋体" w:eastAsia="宋体" w:hint="default"/>
                <w:sz w:val="18"/>
                <w:szCs w:val="18"/>
              </w:rPr>
              <w:t>校云智慧</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52"/>
              <w:jc w:val="right"/>
              <w:rPr>
                <w:rFonts w:ascii="宋体" w:hAnsi="宋体" w:cs="宋体" w:eastAsia="宋体" w:hint="default"/>
                <w:sz w:val="18"/>
                <w:szCs w:val="18"/>
              </w:rPr>
            </w:pPr>
            <w:r>
              <w:rPr>
                <w:rFonts w:ascii="宋体" w:hAnsi="宋体" w:cs="宋体" w:eastAsia="宋体" w:hint="default"/>
                <w:sz w:val="18"/>
                <w:szCs w:val="18"/>
              </w:rPr>
              <w:t>周军辉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9" w:right="0"/>
              <w:jc w:val="left"/>
              <w:rPr>
                <w:rFonts w:ascii="宋体" w:hAnsi="宋体" w:cs="宋体" w:eastAsia="宋体" w:hint="default"/>
                <w:sz w:val="18"/>
                <w:szCs w:val="18"/>
              </w:rPr>
            </w:pPr>
            <w:r>
              <w:rPr>
                <w:rFonts w:ascii="宋体" w:hAnsi="宋体" w:cs="宋体" w:eastAsia="宋体" w:hint="default"/>
                <w:sz w:val="18"/>
                <w:szCs w:val="18"/>
              </w:rPr>
              <w:t>坚果智慧</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2" w:right="82"/>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68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79"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51"/>
        <w:ind w:left="254" w:right="0" w:firstLine="0"/>
        <w:jc w:val="left"/>
        <w:rPr>
          <w:rFonts w:ascii="宋体" w:hAnsi="宋体" w:cs="宋体" w:eastAsia="宋体" w:hint="default"/>
          <w:sz w:val="18"/>
          <w:szCs w:val="18"/>
        </w:rPr>
      </w:pPr>
      <w:r>
        <w:rPr>
          <w:rFonts w:ascii="宋体" w:hAnsi="宋体" w:cs="宋体" w:eastAsia="宋体" w:hint="default"/>
          <w:sz w:val="18"/>
          <w:szCs w:val="18"/>
        </w:rPr>
        <w:t>公司现任及报告期内离任董事、监事和高级管理人员近三年证券监管机构处罚的情况</w:t>
      </w:r>
    </w:p>
    <w:p>
      <w:pPr>
        <w:spacing w:before="117"/>
        <w:ind w:left="2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left="254" w:right="0"/>
        <w:jc w:val="left"/>
        <w:rPr>
          <w:b w:val="0"/>
          <w:bCs w:val="0"/>
        </w:rPr>
      </w:pPr>
      <w:bookmarkStart w:name="四、董事、监事、高级管理人员报酬情况" w:id="125"/>
      <w:bookmarkEnd w:id="125"/>
      <w:r>
        <w:rPr>
          <w:b w:val="0"/>
          <w:bCs w:val="0"/>
        </w:rPr>
      </w:r>
      <w:r>
        <w:rPr/>
        <w:t>四、董事、监事、高级管理人员报酬情况</w:t>
      </w:r>
      <w:r>
        <w:rPr>
          <w:b w:val="0"/>
          <w:bCs w:val="0"/>
        </w:rPr>
      </w:r>
    </w:p>
    <w:p>
      <w:pPr>
        <w:spacing w:line="240" w:lineRule="auto" w:before="9"/>
        <w:rPr>
          <w:rFonts w:ascii="宋体" w:hAnsi="宋体" w:cs="宋体" w:eastAsia="宋体" w:hint="default"/>
          <w:b/>
          <w:bCs/>
          <w:sz w:val="26"/>
          <w:szCs w:val="26"/>
        </w:rPr>
      </w:pPr>
    </w:p>
    <w:p>
      <w:pPr>
        <w:spacing w:before="0"/>
        <w:ind w:left="254" w:right="0" w:firstLine="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董事、监事、高级管理人员报酬的决策程序、确定依据、实际支付情况</w:t>
      </w:r>
    </w:p>
    <w:p>
      <w:pPr>
        <w:pStyle w:val="BodyText"/>
        <w:spacing w:line="357" w:lineRule="auto" w:before="144"/>
        <w:ind w:left="254" w:right="1134" w:firstLine="480"/>
        <w:jc w:val="both"/>
      </w:pPr>
      <w:r>
        <w:rPr/>
        <w:t>公司独立董事津贴由董事会提交股东大会审议通过后实施，在公司任职的其他董事、监 事、高级管理人员根据公司薪酬体系和绩效考核体系综合考评后领取薪酬。公司已向董事、 监事及高级管理人员全额支付报告期内的薪酬。公司报告期内董事、监事和高级管理人员报</w:t>
      </w:r>
      <w:r>
        <w:rPr>
          <w:spacing w:val="-115"/>
        </w:rPr>
        <w:t> </w:t>
      </w:r>
      <w:r>
        <w:rPr>
          <w:spacing w:val="-115"/>
        </w:rPr>
      </w:r>
      <w:r>
        <w:rPr/>
        <w:t>酬情况</w:t>
      </w:r>
    </w:p>
    <w:p>
      <w:pPr>
        <w:spacing w:before="47"/>
        <w:ind w:left="0" w:right="149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
        <w:rPr>
          <w:rFonts w:ascii="宋体" w:hAnsi="宋体" w:cs="宋体" w:eastAsia="宋体" w:hint="default"/>
          <w:sz w:val="8"/>
          <w:szCs w:val="8"/>
        </w:rPr>
      </w:pPr>
    </w:p>
    <w:tbl>
      <w:tblPr>
        <w:tblW w:w="0" w:type="auto"/>
        <w:jc w:val="left"/>
        <w:tblInd w:w="282" w:type="dxa"/>
        <w:tblLayout w:type="fixed"/>
        <w:tblCellMar>
          <w:top w:w="0" w:type="dxa"/>
          <w:left w:w="0" w:type="dxa"/>
          <w:bottom w:w="0" w:type="dxa"/>
          <w:right w:w="0" w:type="dxa"/>
        </w:tblCellMar>
        <w:tblLook w:val="01E0"/>
      </w:tblPr>
      <w:tblGrid>
        <w:gridCol w:w="1368"/>
        <w:gridCol w:w="1368"/>
        <w:gridCol w:w="1367"/>
        <w:gridCol w:w="1367"/>
        <w:gridCol w:w="1367"/>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姓名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39" w:right="137"/>
              <w:jc w:val="left"/>
              <w:rPr>
                <w:rFonts w:ascii="宋体" w:hAnsi="宋体" w:cs="宋体" w:eastAsia="宋体" w:hint="default"/>
                <w:sz w:val="18"/>
                <w:szCs w:val="18"/>
              </w:rPr>
            </w:pPr>
            <w:r>
              <w:rPr>
                <w:rFonts w:ascii="宋体" w:hAnsi="宋体" w:cs="宋体" w:eastAsia="宋体" w:hint="default"/>
                <w:sz w:val="18"/>
                <w:szCs w:val="18"/>
              </w:rPr>
              <w:t>从公司获得的 税前报酬总额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39" w:right="137"/>
              <w:jc w:val="left"/>
              <w:rPr>
                <w:rFonts w:ascii="宋体" w:hAnsi="宋体" w:cs="宋体" w:eastAsia="宋体" w:hint="default"/>
                <w:sz w:val="18"/>
                <w:szCs w:val="18"/>
              </w:rPr>
            </w:pPr>
            <w:r>
              <w:rPr>
                <w:rFonts w:ascii="宋体" w:hAnsi="宋体" w:cs="宋体" w:eastAsia="宋体" w:hint="default"/>
                <w:sz w:val="18"/>
                <w:szCs w:val="18"/>
              </w:rPr>
              <w:t>是否在公司关 联方获取报酬</w:t>
            </w:r>
          </w:p>
        </w:tc>
      </w:tr>
      <w:tr>
        <w:trPr>
          <w:trHeight w:val="520"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
              <w:jc w:val="center"/>
              <w:rPr>
                <w:rFonts w:ascii="宋体" w:hAnsi="宋体" w:cs="宋体" w:eastAsia="宋体" w:hint="default"/>
                <w:sz w:val="18"/>
                <w:szCs w:val="18"/>
              </w:rPr>
            </w:pPr>
            <w:r>
              <w:rPr>
                <w:rFonts w:ascii="宋体" w:hAnsi="宋体" w:cs="宋体" w:eastAsia="宋体" w:hint="default"/>
                <w:sz w:val="18"/>
                <w:szCs w:val="18"/>
              </w:rPr>
              <w:t>陈坚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80" w:right="0"/>
              <w:jc w:val="left"/>
              <w:rPr>
                <w:rFonts w:ascii="宋体" w:hAnsi="宋体" w:cs="宋体" w:eastAsia="宋体" w:hint="default"/>
                <w:sz w:val="18"/>
                <w:szCs w:val="18"/>
              </w:rPr>
            </w:pPr>
            <w:r>
              <w:rPr>
                <w:rFonts w:ascii="宋体" w:hAnsi="宋体" w:cs="宋体" w:eastAsia="宋体" w:hint="default"/>
                <w:spacing w:val="-9"/>
                <w:sz w:val="18"/>
                <w:szCs w:val="18"/>
              </w:rPr>
              <w:t>董事长、总经理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 w:right="0"/>
              <w:jc w:val="center"/>
              <w:rPr>
                <w:rFonts w:ascii="Times New Roman" w:hAnsi="Times New Roman" w:cs="Times New Roman" w:eastAsia="Times New Roman" w:hint="default"/>
                <w:sz w:val="18"/>
                <w:szCs w:val="18"/>
              </w:rPr>
            </w:pPr>
            <w:r>
              <w:rPr>
                <w:rFonts w:ascii="Times New Roman"/>
                <w:sz w:val="18"/>
              </w:rPr>
              <w:t>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76"/>
              <w:jc w:val="right"/>
              <w:rPr>
                <w:rFonts w:ascii="Times New Roman" w:hAnsi="Times New Roman" w:cs="Times New Roman" w:eastAsia="Times New Roman" w:hint="default"/>
                <w:sz w:val="18"/>
                <w:szCs w:val="18"/>
              </w:rPr>
            </w:pPr>
            <w:r>
              <w:rPr>
                <w:rFonts w:ascii="Times New Roman"/>
                <w:sz w:val="18"/>
              </w:rPr>
              <w:t>47.58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587"/>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52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
              <w:jc w:val="center"/>
              <w:rPr>
                <w:rFonts w:ascii="宋体" w:hAnsi="宋体" w:cs="宋体" w:eastAsia="宋体" w:hint="default"/>
                <w:sz w:val="18"/>
                <w:szCs w:val="18"/>
              </w:rPr>
            </w:pPr>
            <w:r>
              <w:rPr>
                <w:rFonts w:ascii="宋体" w:hAnsi="宋体" w:cs="宋体" w:eastAsia="宋体" w:hint="default"/>
                <w:sz w:val="18"/>
                <w:szCs w:val="18"/>
              </w:rPr>
              <w:t>陈英</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8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
              <w:jc w:val="center"/>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 w:right="0"/>
              <w:jc w:val="center"/>
              <w:rPr>
                <w:rFonts w:ascii="Times New Roman" w:hAnsi="Times New Roman" w:cs="Times New Roman" w:eastAsia="Times New Roman" w:hint="default"/>
                <w:sz w:val="18"/>
                <w:szCs w:val="18"/>
              </w:rPr>
            </w:pPr>
            <w:r>
              <w:rPr>
                <w:rFonts w:ascii="Times New Roman"/>
                <w:sz w:val="18"/>
              </w:rPr>
              <w:t>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76"/>
              <w:jc w:val="right"/>
              <w:rPr>
                <w:rFonts w:ascii="Times New Roman" w:hAnsi="Times New Roman" w:cs="Times New Roman" w:eastAsia="Times New Roman" w:hint="default"/>
                <w:sz w:val="18"/>
                <w:szCs w:val="18"/>
              </w:rPr>
            </w:pPr>
            <w:r>
              <w:rPr>
                <w:rFonts w:ascii="Times New Roman"/>
                <w:sz w:val="18"/>
              </w:rPr>
              <w:t>10.8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587"/>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陈根清</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80" w:right="197"/>
              <w:jc w:val="left"/>
              <w:rPr>
                <w:rFonts w:ascii="宋体" w:hAnsi="宋体" w:cs="宋体" w:eastAsia="宋体" w:hint="default"/>
                <w:sz w:val="18"/>
                <w:szCs w:val="18"/>
              </w:rPr>
            </w:pPr>
            <w:r>
              <w:rPr>
                <w:rFonts w:ascii="宋体" w:hAnsi="宋体" w:cs="宋体" w:eastAsia="宋体" w:hint="default"/>
                <w:sz w:val="18"/>
                <w:szCs w:val="18"/>
              </w:rPr>
              <w:t>董事、副总经 理、财务总监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76"/>
              <w:jc w:val="right"/>
              <w:rPr>
                <w:rFonts w:ascii="Times New Roman" w:hAnsi="Times New Roman" w:cs="Times New Roman" w:eastAsia="Times New Roman" w:hint="default"/>
                <w:sz w:val="18"/>
                <w:szCs w:val="18"/>
              </w:rPr>
            </w:pPr>
            <w:r>
              <w:rPr>
                <w:rFonts w:ascii="Times New Roman"/>
                <w:sz w:val="18"/>
              </w:rPr>
              <w:t>31.33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87"/>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126" w:right="125" w:firstLine="178"/>
              <w:jc w:val="left"/>
              <w:rPr>
                <w:rFonts w:ascii="Times New Roman" w:hAnsi="Times New Roman" w:cs="Times New Roman" w:eastAsia="Times New Roman" w:hint="default"/>
                <w:sz w:val="18"/>
                <w:szCs w:val="18"/>
              </w:rPr>
            </w:pPr>
            <w:r>
              <w:rPr>
                <w:rFonts w:ascii="Times New Roman"/>
                <w:spacing w:val="-6"/>
                <w:sz w:val="18"/>
              </w:rPr>
              <w:t>JAY</w:t>
            </w:r>
            <w:r>
              <w:rPr>
                <w:rFonts w:ascii="Times New Roman"/>
                <w:spacing w:val="-11"/>
                <w:sz w:val="18"/>
              </w:rPr>
              <w:t> </w:t>
            </w:r>
            <w:r>
              <w:rPr>
                <w:rFonts w:ascii="Times New Roman"/>
                <w:sz w:val="18"/>
              </w:rPr>
              <w:t>TSAI</w:t>
            </w:r>
            <w:r>
              <w:rPr>
                <w:rFonts w:ascii="Times New Roman"/>
                <w:w w:val="99"/>
                <w:sz w:val="18"/>
              </w:rPr>
              <w:t> </w:t>
            </w:r>
            <w:r>
              <w:rPr>
                <w:rFonts w:ascii="Times New Roman"/>
                <w:sz w:val="18"/>
              </w:rPr>
              <w:t>CHIEN</w:t>
            </w:r>
            <w:r>
              <w:rPr>
                <w:rFonts w:ascii="Times New Roman"/>
                <w:spacing w:val="-1"/>
                <w:sz w:val="18"/>
              </w:rPr>
              <w:t> </w:t>
            </w:r>
            <w:r>
              <w:rPr>
                <w:rFonts w:ascii="Times New Roman"/>
                <w:sz w:val="18"/>
              </w:rPr>
              <w:t>CHOU</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80" w:right="197"/>
              <w:jc w:val="left"/>
              <w:rPr>
                <w:rFonts w:ascii="宋体" w:hAnsi="宋体" w:cs="宋体" w:eastAsia="宋体" w:hint="default"/>
                <w:sz w:val="18"/>
                <w:szCs w:val="18"/>
              </w:rPr>
            </w:pPr>
            <w:r>
              <w:rPr>
                <w:rFonts w:ascii="宋体" w:hAnsi="宋体" w:cs="宋体" w:eastAsia="宋体" w:hint="default"/>
                <w:sz w:val="18"/>
                <w:szCs w:val="18"/>
              </w:rPr>
              <w:t>董事、副总经 理、总工程师</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76"/>
              <w:jc w:val="right"/>
              <w:rPr>
                <w:rFonts w:ascii="Times New Roman" w:hAnsi="Times New Roman" w:cs="Times New Roman" w:eastAsia="Times New Roman" w:hint="default"/>
                <w:sz w:val="18"/>
                <w:szCs w:val="18"/>
              </w:rPr>
            </w:pPr>
            <w:r>
              <w:rPr>
                <w:rFonts w:ascii="Times New Roman"/>
                <w:sz w:val="18"/>
              </w:rPr>
              <w:t>16.56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87"/>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520"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宋体" w:hAnsi="宋体" w:cs="宋体" w:eastAsia="宋体" w:hint="default"/>
                <w:sz w:val="18"/>
                <w:szCs w:val="18"/>
              </w:rPr>
            </w:pPr>
            <w:r>
              <w:rPr>
                <w:rFonts w:ascii="宋体" w:hAnsi="宋体" w:cs="宋体" w:eastAsia="宋体" w:hint="default"/>
                <w:sz w:val="18"/>
                <w:szCs w:val="18"/>
              </w:rPr>
              <w:t>龚明勇</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8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 w:right="0"/>
              <w:jc w:val="center"/>
              <w:rPr>
                <w:rFonts w:ascii="Times New Roman" w:hAnsi="Times New Roman" w:cs="Times New Roman" w:eastAsia="Times New Roman" w:hint="default"/>
                <w:sz w:val="18"/>
                <w:szCs w:val="18"/>
              </w:rPr>
            </w:pPr>
            <w:r>
              <w:rPr>
                <w:rFonts w:ascii="Times New Roman"/>
                <w:sz w:val="18"/>
              </w:rPr>
              <w:t>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77"/>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587"/>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52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
              <w:jc w:val="center"/>
              <w:rPr>
                <w:rFonts w:ascii="宋体" w:hAnsi="宋体" w:cs="宋体" w:eastAsia="宋体" w:hint="default"/>
                <w:sz w:val="18"/>
                <w:szCs w:val="18"/>
              </w:rPr>
            </w:pPr>
            <w:r>
              <w:rPr>
                <w:rFonts w:ascii="宋体" w:hAnsi="宋体" w:cs="宋体" w:eastAsia="宋体" w:hint="default"/>
                <w:sz w:val="18"/>
                <w:szCs w:val="18"/>
              </w:rPr>
              <w:t>朱军</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8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 w:right="0"/>
              <w:jc w:val="center"/>
              <w:rPr>
                <w:rFonts w:ascii="Times New Roman" w:hAnsi="Times New Roman" w:cs="Times New Roman" w:eastAsia="Times New Roman" w:hint="default"/>
                <w:sz w:val="18"/>
                <w:szCs w:val="18"/>
              </w:rPr>
            </w:pPr>
            <w:r>
              <w:rPr>
                <w:rFonts w:ascii="Times New Roman"/>
                <w:sz w:val="18"/>
              </w:rPr>
              <w:t>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76"/>
              <w:jc w:val="right"/>
              <w:rPr>
                <w:rFonts w:ascii="Times New Roman" w:hAnsi="Times New Roman" w:cs="Times New Roman" w:eastAsia="Times New Roman" w:hint="default"/>
                <w:sz w:val="18"/>
                <w:szCs w:val="18"/>
              </w:rPr>
            </w:pPr>
            <w:r>
              <w:rPr>
                <w:rFonts w:ascii="Times New Roman"/>
                <w:sz w:val="18"/>
              </w:rPr>
              <w:t>31.54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587"/>
              <w:jc w:val="righ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right"/>
        <w:rPr>
          <w:rFonts w:ascii="宋体" w:hAnsi="宋体" w:cs="宋体" w:eastAsia="宋体" w:hint="default"/>
          <w:sz w:val="18"/>
          <w:szCs w:val="18"/>
        </w:rPr>
        <w:sectPr>
          <w:pgSz w:w="11910" w:h="16840"/>
          <w:pgMar w:header="747" w:footer="979" w:top="1060" w:bottom="1160" w:left="880" w:right="0"/>
        </w:sectPr>
      </w:pPr>
    </w:p>
    <w:p>
      <w:pPr>
        <w:spacing w:line="240" w:lineRule="auto" w:before="6"/>
        <w:rPr>
          <w:rFonts w:ascii="宋体" w:hAnsi="宋体" w:cs="宋体" w:eastAsia="宋体" w:hint="default"/>
          <w:sz w:val="28"/>
          <w:szCs w:val="28"/>
        </w:rPr>
      </w:pPr>
    </w:p>
    <w:tbl>
      <w:tblPr>
        <w:tblW w:w="0" w:type="auto"/>
        <w:jc w:val="left"/>
        <w:tblInd w:w="182" w:type="dxa"/>
        <w:tblLayout w:type="fixed"/>
        <w:tblCellMar>
          <w:top w:w="0" w:type="dxa"/>
          <w:left w:w="0" w:type="dxa"/>
          <w:bottom w:w="0" w:type="dxa"/>
          <w:right w:w="0" w:type="dxa"/>
        </w:tblCellMar>
        <w:tblLook w:val="01E0"/>
      </w:tblPr>
      <w:tblGrid>
        <w:gridCol w:w="1368"/>
        <w:gridCol w:w="1368"/>
        <w:gridCol w:w="1367"/>
        <w:gridCol w:w="1367"/>
        <w:gridCol w:w="1367"/>
        <w:gridCol w:w="1367"/>
        <w:gridCol w:w="1367"/>
      </w:tblGrid>
      <w:tr>
        <w:trPr>
          <w:trHeight w:val="520"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宋体" w:hAnsi="宋体" w:cs="宋体" w:eastAsia="宋体" w:hint="default"/>
                <w:sz w:val="18"/>
                <w:szCs w:val="18"/>
              </w:rPr>
            </w:pPr>
            <w:r>
              <w:rPr>
                <w:rFonts w:ascii="宋体" w:hAnsi="宋体" w:cs="宋体" w:eastAsia="宋体" w:hint="default"/>
                <w:sz w:val="18"/>
                <w:szCs w:val="18"/>
              </w:rPr>
              <w:t>童本立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80"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587"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589" w:right="0"/>
              <w:jc w:val="left"/>
              <w:rPr>
                <w:rFonts w:ascii="Times New Roman" w:hAnsi="Times New Roman" w:cs="Times New Roman" w:eastAsia="Times New Roman" w:hint="default"/>
                <w:sz w:val="18"/>
                <w:szCs w:val="18"/>
              </w:rPr>
            </w:pPr>
            <w:r>
              <w:rPr>
                <w:rFonts w:ascii="Times New Roman"/>
                <w:sz w:val="18"/>
              </w:rPr>
              <w:t>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76"/>
              <w:jc w:val="right"/>
              <w:rPr>
                <w:rFonts w:ascii="Times New Roman" w:hAnsi="Times New Roman" w:cs="Times New Roman" w:eastAsia="Times New Roman" w:hint="default"/>
                <w:sz w:val="18"/>
                <w:szCs w:val="18"/>
              </w:rPr>
            </w:pPr>
            <w:r>
              <w:rPr>
                <w:rFonts w:ascii="Times New Roman"/>
                <w:sz w:val="18"/>
              </w:rPr>
              <w:t>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52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宋体" w:hAnsi="宋体" w:cs="宋体" w:eastAsia="宋体" w:hint="default"/>
                <w:sz w:val="18"/>
                <w:szCs w:val="18"/>
              </w:rPr>
            </w:pPr>
            <w:r>
              <w:rPr>
                <w:rFonts w:ascii="宋体" w:hAnsi="宋体" w:cs="宋体" w:eastAsia="宋体" w:hint="default"/>
                <w:sz w:val="18"/>
                <w:szCs w:val="18"/>
              </w:rPr>
              <w:t>朱加宁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80"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587"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589" w:right="0"/>
              <w:jc w:val="left"/>
              <w:rPr>
                <w:rFonts w:ascii="Times New Roman" w:hAnsi="Times New Roman" w:cs="Times New Roman" w:eastAsia="Times New Roman" w:hint="default"/>
                <w:sz w:val="18"/>
                <w:szCs w:val="18"/>
              </w:rPr>
            </w:pPr>
            <w:r>
              <w:rPr>
                <w:rFonts w:ascii="Times New Roman"/>
                <w:sz w:val="18"/>
              </w:rPr>
              <w:t>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76"/>
              <w:jc w:val="right"/>
              <w:rPr>
                <w:rFonts w:ascii="Times New Roman" w:hAnsi="Times New Roman" w:cs="Times New Roman" w:eastAsia="Times New Roman" w:hint="default"/>
                <w:sz w:val="18"/>
                <w:szCs w:val="18"/>
              </w:rPr>
            </w:pPr>
            <w:r>
              <w:rPr>
                <w:rFonts w:ascii="Times New Roman"/>
                <w:sz w:val="18"/>
              </w:rPr>
              <w:t>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520"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宋体" w:hAnsi="宋体" w:cs="宋体" w:eastAsia="宋体" w:hint="default"/>
                <w:sz w:val="18"/>
                <w:szCs w:val="18"/>
              </w:rPr>
            </w:pPr>
            <w:r>
              <w:rPr>
                <w:rFonts w:ascii="宋体" w:hAnsi="宋体" w:cs="宋体" w:eastAsia="宋体" w:hint="default"/>
                <w:sz w:val="18"/>
                <w:szCs w:val="18"/>
              </w:rPr>
              <w:t>张耀辉</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80"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587"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589" w:right="0"/>
              <w:jc w:val="left"/>
              <w:rPr>
                <w:rFonts w:ascii="Times New Roman" w:hAnsi="Times New Roman" w:cs="Times New Roman" w:eastAsia="Times New Roman" w:hint="default"/>
                <w:sz w:val="18"/>
                <w:szCs w:val="18"/>
              </w:rPr>
            </w:pPr>
            <w:r>
              <w:rPr>
                <w:rFonts w:ascii="Times New Roman"/>
                <w:sz w:val="18"/>
              </w:rPr>
              <w:t>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76"/>
              <w:jc w:val="right"/>
              <w:rPr>
                <w:rFonts w:ascii="Times New Roman" w:hAnsi="Times New Roman" w:cs="Times New Roman" w:eastAsia="Times New Roman" w:hint="default"/>
                <w:sz w:val="18"/>
                <w:szCs w:val="18"/>
              </w:rPr>
            </w:pPr>
            <w:r>
              <w:rPr>
                <w:rFonts w:ascii="Times New Roman"/>
                <w:sz w:val="18"/>
              </w:rPr>
              <w:t>0.34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520"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宋体" w:hAnsi="宋体" w:cs="宋体" w:eastAsia="宋体" w:hint="default"/>
                <w:sz w:val="18"/>
                <w:szCs w:val="18"/>
              </w:rPr>
            </w:pPr>
            <w:r>
              <w:rPr>
                <w:rFonts w:ascii="宋体" w:hAnsi="宋体" w:cs="宋体" w:eastAsia="宋体" w:hint="default"/>
                <w:sz w:val="18"/>
                <w:szCs w:val="18"/>
              </w:rPr>
              <w:t>翁玉涛</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80"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587"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589" w:right="0"/>
              <w:jc w:val="left"/>
              <w:rPr>
                <w:rFonts w:ascii="Times New Roman" w:hAnsi="Times New Roman" w:cs="Times New Roman" w:eastAsia="Times New Roman" w:hint="default"/>
                <w:sz w:val="18"/>
                <w:szCs w:val="18"/>
              </w:rPr>
            </w:pPr>
            <w:r>
              <w:rPr>
                <w:rFonts w:ascii="Times New Roman"/>
                <w:sz w:val="18"/>
              </w:rPr>
              <w:t>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77"/>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52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宋体" w:hAnsi="宋体" w:cs="宋体" w:eastAsia="宋体" w:hint="default"/>
                <w:sz w:val="18"/>
                <w:szCs w:val="18"/>
              </w:rPr>
            </w:pPr>
            <w:r>
              <w:rPr>
                <w:rFonts w:ascii="宋体" w:hAnsi="宋体" w:cs="宋体" w:eastAsia="宋体" w:hint="default"/>
                <w:sz w:val="18"/>
                <w:szCs w:val="18"/>
              </w:rPr>
              <w:t>李战鹏</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80" w:right="0"/>
              <w:jc w:val="left"/>
              <w:rPr>
                <w:rFonts w:ascii="宋体" w:hAnsi="宋体" w:cs="宋体" w:eastAsia="宋体" w:hint="default"/>
                <w:sz w:val="18"/>
                <w:szCs w:val="18"/>
              </w:rPr>
            </w:pPr>
            <w:r>
              <w:rPr>
                <w:rFonts w:ascii="宋体" w:hAnsi="宋体" w:cs="宋体" w:eastAsia="宋体" w:hint="default"/>
                <w:sz w:val="18"/>
                <w:szCs w:val="18"/>
              </w:rPr>
              <w:t>职工代表监事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587"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589" w:right="0"/>
              <w:jc w:val="left"/>
              <w:rPr>
                <w:rFonts w:ascii="Times New Roman" w:hAnsi="Times New Roman" w:cs="Times New Roman" w:eastAsia="Times New Roman" w:hint="default"/>
                <w:sz w:val="18"/>
                <w:szCs w:val="18"/>
              </w:rPr>
            </w:pPr>
            <w:r>
              <w:rPr>
                <w:rFonts w:ascii="Times New Roman"/>
                <w:sz w:val="18"/>
              </w:rPr>
              <w:t>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76"/>
              <w:jc w:val="right"/>
              <w:rPr>
                <w:rFonts w:ascii="Times New Roman" w:hAnsi="Times New Roman" w:cs="Times New Roman" w:eastAsia="Times New Roman" w:hint="default"/>
                <w:sz w:val="18"/>
                <w:szCs w:val="18"/>
              </w:rPr>
            </w:pPr>
            <w:r>
              <w:rPr>
                <w:rFonts w:ascii="Times New Roman"/>
                <w:sz w:val="18"/>
              </w:rPr>
              <w:t>32.85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20"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宋体" w:hAnsi="宋体" w:cs="宋体" w:eastAsia="宋体" w:hint="default"/>
                <w:sz w:val="18"/>
                <w:szCs w:val="18"/>
              </w:rPr>
            </w:pPr>
            <w:r>
              <w:rPr>
                <w:rFonts w:ascii="宋体" w:hAnsi="宋体" w:cs="宋体" w:eastAsia="宋体" w:hint="default"/>
                <w:sz w:val="18"/>
                <w:szCs w:val="18"/>
              </w:rPr>
              <w:t>刘智海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80" w:right="0"/>
              <w:jc w:val="left"/>
              <w:rPr>
                <w:rFonts w:ascii="宋体" w:hAnsi="宋体" w:cs="宋体" w:eastAsia="宋体" w:hint="default"/>
                <w:sz w:val="18"/>
                <w:szCs w:val="18"/>
              </w:rPr>
            </w:pPr>
            <w:r>
              <w:rPr>
                <w:rFonts w:ascii="宋体" w:hAnsi="宋体" w:cs="宋体" w:eastAsia="宋体" w:hint="default"/>
                <w:sz w:val="18"/>
                <w:szCs w:val="18"/>
              </w:rPr>
              <w:t>职工代表监事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587"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589" w:right="0"/>
              <w:jc w:val="left"/>
              <w:rPr>
                <w:rFonts w:ascii="Times New Roman" w:hAnsi="Times New Roman" w:cs="Times New Roman" w:eastAsia="Times New Roman" w:hint="default"/>
                <w:sz w:val="18"/>
                <w:szCs w:val="18"/>
              </w:rPr>
            </w:pPr>
            <w:r>
              <w:rPr>
                <w:rFonts w:ascii="Times New Roman"/>
                <w:sz w:val="18"/>
              </w:rPr>
              <w:t>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76"/>
              <w:jc w:val="right"/>
              <w:rPr>
                <w:rFonts w:ascii="Times New Roman" w:hAnsi="Times New Roman" w:cs="Times New Roman" w:eastAsia="Times New Roman" w:hint="default"/>
                <w:sz w:val="18"/>
                <w:szCs w:val="18"/>
              </w:rPr>
            </w:pPr>
            <w:r>
              <w:rPr>
                <w:rFonts w:ascii="Times New Roman"/>
                <w:sz w:val="18"/>
              </w:rPr>
              <w:t>34.56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20"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宋体" w:hAnsi="宋体" w:cs="宋体" w:eastAsia="宋体" w:hint="default"/>
                <w:sz w:val="18"/>
                <w:szCs w:val="18"/>
              </w:rPr>
            </w:pPr>
            <w:r>
              <w:rPr>
                <w:rFonts w:ascii="宋体" w:hAnsi="宋体" w:cs="宋体" w:eastAsia="宋体" w:hint="default"/>
                <w:sz w:val="18"/>
                <w:szCs w:val="18"/>
              </w:rPr>
              <w:t>施东圣</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80"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587"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589" w:right="0"/>
              <w:jc w:val="left"/>
              <w:rPr>
                <w:rFonts w:ascii="Times New Roman" w:hAnsi="Times New Roman" w:cs="Times New Roman" w:eastAsia="Times New Roman" w:hint="default"/>
                <w:sz w:val="18"/>
                <w:szCs w:val="18"/>
              </w:rPr>
            </w:pPr>
            <w:r>
              <w:rPr>
                <w:rFonts w:ascii="Times New Roman"/>
                <w:sz w:val="18"/>
              </w:rPr>
              <w:t>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76"/>
              <w:jc w:val="right"/>
              <w:rPr>
                <w:rFonts w:ascii="Times New Roman" w:hAnsi="Times New Roman" w:cs="Times New Roman" w:eastAsia="Times New Roman" w:hint="default"/>
                <w:sz w:val="18"/>
                <w:szCs w:val="18"/>
              </w:rPr>
            </w:pPr>
            <w:r>
              <w:rPr>
                <w:rFonts w:ascii="Times New Roman"/>
                <w:sz w:val="18"/>
              </w:rPr>
              <w:t>33.68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2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宋体" w:hAnsi="宋体" w:cs="宋体" w:eastAsia="宋体" w:hint="default"/>
                <w:sz w:val="18"/>
                <w:szCs w:val="18"/>
              </w:rPr>
            </w:pPr>
            <w:r>
              <w:rPr>
                <w:rFonts w:ascii="宋体" w:hAnsi="宋体" w:cs="宋体" w:eastAsia="宋体" w:hint="default"/>
                <w:sz w:val="18"/>
                <w:szCs w:val="18"/>
              </w:rPr>
              <w:t>吕晓平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80"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587"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589" w:right="0"/>
              <w:jc w:val="left"/>
              <w:rPr>
                <w:rFonts w:ascii="Times New Roman" w:hAnsi="Times New Roman" w:cs="Times New Roman" w:eastAsia="Times New Roman" w:hint="default"/>
                <w:sz w:val="18"/>
                <w:szCs w:val="18"/>
              </w:rPr>
            </w:pPr>
            <w:r>
              <w:rPr>
                <w:rFonts w:ascii="Times New Roman"/>
                <w:sz w:val="18"/>
              </w:rPr>
              <w:t>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76"/>
              <w:jc w:val="right"/>
              <w:rPr>
                <w:rFonts w:ascii="Times New Roman" w:hAnsi="Times New Roman" w:cs="Times New Roman" w:eastAsia="Times New Roman" w:hint="default"/>
                <w:sz w:val="18"/>
                <w:szCs w:val="18"/>
              </w:rPr>
            </w:pPr>
            <w:r>
              <w:rPr>
                <w:rFonts w:ascii="Times New Roman"/>
                <w:sz w:val="18"/>
              </w:rPr>
              <w:t>33.25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周军辉</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80" w:right="78"/>
              <w:jc w:val="left"/>
              <w:rPr>
                <w:rFonts w:ascii="宋体" w:hAnsi="宋体" w:cs="宋体" w:eastAsia="宋体" w:hint="default"/>
                <w:sz w:val="18"/>
                <w:szCs w:val="18"/>
              </w:rPr>
            </w:pPr>
            <w:r>
              <w:rPr>
                <w:rFonts w:ascii="宋体" w:hAnsi="宋体" w:cs="宋体" w:eastAsia="宋体" w:hint="default"/>
                <w:spacing w:val="-9"/>
                <w:sz w:val="18"/>
                <w:szCs w:val="18"/>
              </w:rPr>
              <w:t>副总经理、董事</w:t>
            </w:r>
            <w:r>
              <w:rPr>
                <w:rFonts w:ascii="宋体" w:hAnsi="宋体" w:cs="宋体" w:eastAsia="宋体" w:hint="default"/>
                <w:sz w:val="18"/>
                <w:szCs w:val="18"/>
              </w:rPr>
              <w:t> 会秘书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87"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89" w:right="0"/>
              <w:jc w:val="left"/>
              <w:rPr>
                <w:rFonts w:ascii="Times New Roman" w:hAnsi="Times New Roman" w:cs="Times New Roman" w:eastAsia="Times New Roman" w:hint="default"/>
                <w:sz w:val="18"/>
                <w:szCs w:val="18"/>
              </w:rPr>
            </w:pPr>
            <w:r>
              <w:rPr>
                <w:rFonts w:ascii="Times New Roman"/>
                <w:sz w:val="18"/>
              </w:rPr>
              <w:t>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76"/>
              <w:jc w:val="right"/>
              <w:rPr>
                <w:rFonts w:ascii="Times New Roman" w:hAnsi="Times New Roman" w:cs="Times New Roman" w:eastAsia="Times New Roman" w:hint="default"/>
                <w:sz w:val="18"/>
                <w:szCs w:val="18"/>
              </w:rPr>
            </w:pPr>
            <w:r>
              <w:rPr>
                <w:rFonts w:ascii="Times New Roman"/>
                <w:sz w:val="18"/>
              </w:rPr>
              <w:t>34.36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20"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宋体" w:hAnsi="宋体" w:cs="宋体" w:eastAsia="宋体" w:hint="default"/>
                <w:sz w:val="18"/>
                <w:szCs w:val="18"/>
              </w:rPr>
            </w:pPr>
            <w:r>
              <w:rPr>
                <w:rFonts w:ascii="宋体" w:hAnsi="宋体" w:cs="宋体" w:eastAsia="宋体" w:hint="default"/>
                <w:sz w:val="18"/>
                <w:szCs w:val="18"/>
              </w:rPr>
              <w:t>范熊熊</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80"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587"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589" w:right="0"/>
              <w:jc w:val="left"/>
              <w:rPr>
                <w:rFonts w:ascii="Times New Roman" w:hAnsi="Times New Roman" w:cs="Times New Roman" w:eastAsia="Times New Roman" w:hint="default"/>
                <w:sz w:val="18"/>
                <w:szCs w:val="18"/>
              </w:rPr>
            </w:pPr>
            <w:r>
              <w:rPr>
                <w:rFonts w:ascii="Times New Roman"/>
                <w:sz w:val="18"/>
              </w:rPr>
              <w:t>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77"/>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20"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
              <w:jc w:val="center"/>
              <w:rPr>
                <w:rFonts w:ascii="宋体" w:hAnsi="宋体" w:cs="宋体" w:eastAsia="宋体" w:hint="default"/>
                <w:sz w:val="18"/>
                <w:szCs w:val="18"/>
              </w:rPr>
            </w:pPr>
            <w:r>
              <w:rPr>
                <w:rFonts w:ascii="宋体" w:hAnsi="宋体" w:cs="宋体" w:eastAsia="宋体" w:hint="default"/>
                <w:sz w:val="18"/>
                <w:szCs w:val="18"/>
              </w:rPr>
              <w:t>余锴</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8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587"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589" w:right="0"/>
              <w:jc w:val="left"/>
              <w:rPr>
                <w:rFonts w:ascii="Times New Roman" w:hAnsi="Times New Roman" w:cs="Times New Roman" w:eastAsia="Times New Roman" w:hint="default"/>
                <w:sz w:val="18"/>
                <w:szCs w:val="18"/>
              </w:rPr>
            </w:pPr>
            <w:r>
              <w:rPr>
                <w:rFonts w:ascii="Times New Roman"/>
                <w:sz w:val="18"/>
              </w:rPr>
              <w:t>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77"/>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2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宋体" w:hAnsi="宋体" w:cs="宋体" w:eastAsia="宋体" w:hint="default"/>
                <w:sz w:val="18"/>
                <w:szCs w:val="18"/>
              </w:rPr>
            </w:pPr>
            <w:r>
              <w:rPr>
                <w:rFonts w:ascii="宋体" w:hAnsi="宋体" w:cs="宋体" w:eastAsia="宋体" w:hint="default"/>
                <w:sz w:val="18"/>
                <w:szCs w:val="18"/>
              </w:rPr>
              <w:t>黄金明</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8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587"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589" w:right="0"/>
              <w:jc w:val="left"/>
              <w:rPr>
                <w:rFonts w:ascii="Times New Roman" w:hAnsi="Times New Roman" w:cs="Times New Roman" w:eastAsia="Times New Roman" w:hint="default"/>
                <w:sz w:val="18"/>
                <w:szCs w:val="18"/>
              </w:rPr>
            </w:pPr>
            <w:r>
              <w:rPr>
                <w:rFonts w:ascii="Times New Roman"/>
                <w:sz w:val="18"/>
              </w:rPr>
              <w:t>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77"/>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20"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宋体" w:hAnsi="宋体" w:cs="宋体" w:eastAsia="宋体" w:hint="default"/>
                <w:sz w:val="18"/>
                <w:szCs w:val="18"/>
              </w:rPr>
            </w:pPr>
            <w:r>
              <w:rPr>
                <w:rFonts w:ascii="宋体" w:hAnsi="宋体" w:cs="宋体" w:eastAsia="宋体" w:hint="default"/>
                <w:sz w:val="18"/>
                <w:szCs w:val="18"/>
              </w:rPr>
              <w:t>陆卫明</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8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587"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589" w:right="0"/>
              <w:jc w:val="left"/>
              <w:rPr>
                <w:rFonts w:ascii="Times New Roman" w:hAnsi="Times New Roman" w:cs="Times New Roman" w:eastAsia="Times New Roman" w:hint="default"/>
                <w:sz w:val="18"/>
                <w:szCs w:val="18"/>
              </w:rPr>
            </w:pPr>
            <w:r>
              <w:rPr>
                <w:rFonts w:ascii="Times New Roman"/>
                <w:sz w:val="18"/>
              </w:rPr>
              <w:t>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77"/>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20"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宋体" w:hAnsi="宋体" w:cs="宋体" w:eastAsia="宋体" w:hint="default"/>
                <w:sz w:val="18"/>
                <w:szCs w:val="18"/>
              </w:rPr>
            </w:pPr>
            <w:r>
              <w:rPr>
                <w:rFonts w:ascii="宋体" w:hAnsi="宋体" w:cs="宋体" w:eastAsia="宋体" w:hint="default"/>
                <w:sz w:val="18"/>
                <w:szCs w:val="18"/>
              </w:rPr>
              <w:t>潘利华</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80"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587"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589" w:right="0"/>
              <w:jc w:val="left"/>
              <w:rPr>
                <w:rFonts w:ascii="Times New Roman" w:hAnsi="Times New Roman" w:cs="Times New Roman" w:eastAsia="Times New Roman" w:hint="default"/>
                <w:sz w:val="18"/>
                <w:szCs w:val="18"/>
              </w:rPr>
            </w:pPr>
            <w:r>
              <w:rPr>
                <w:rFonts w:ascii="Times New Roman"/>
                <w:sz w:val="18"/>
              </w:rPr>
              <w:t>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76"/>
              <w:jc w:val="right"/>
              <w:rPr>
                <w:rFonts w:ascii="Times New Roman" w:hAnsi="Times New Roman" w:cs="Times New Roman" w:eastAsia="Times New Roman" w:hint="default"/>
                <w:sz w:val="18"/>
                <w:szCs w:val="18"/>
              </w:rPr>
            </w:pPr>
            <w:r>
              <w:rPr>
                <w:rFonts w:ascii="Times New Roman"/>
                <w:sz w:val="18"/>
              </w:rPr>
              <w:t>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2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宋体" w:hAnsi="宋体" w:cs="宋体" w:eastAsia="宋体" w:hint="default"/>
                <w:sz w:val="18"/>
                <w:szCs w:val="18"/>
              </w:rPr>
            </w:pPr>
            <w:r>
              <w:rPr>
                <w:rFonts w:ascii="宋体" w:hAnsi="宋体" w:cs="宋体" w:eastAsia="宋体" w:hint="default"/>
                <w:sz w:val="18"/>
                <w:szCs w:val="18"/>
              </w:rPr>
              <w:t>杨增荣</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80"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587"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589" w:right="0"/>
              <w:jc w:val="left"/>
              <w:rPr>
                <w:rFonts w:ascii="Times New Roman" w:hAnsi="Times New Roman" w:cs="Times New Roman" w:eastAsia="Times New Roman" w:hint="default"/>
                <w:sz w:val="18"/>
                <w:szCs w:val="18"/>
              </w:rPr>
            </w:pPr>
            <w:r>
              <w:rPr>
                <w:rFonts w:ascii="Times New Roman"/>
                <w:sz w:val="18"/>
              </w:rPr>
              <w:t>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77"/>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20"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0"/>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0"/>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0"/>
              <w:ind w:left="617" w:right="0"/>
              <w:jc w:val="left"/>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0"/>
              <w:ind w:left="619" w:right="0"/>
              <w:jc w:val="left"/>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0"/>
              <w:ind w:left="1"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76"/>
              <w:jc w:val="right"/>
              <w:rPr>
                <w:rFonts w:ascii="Times New Roman" w:hAnsi="Times New Roman" w:cs="Times New Roman" w:eastAsia="Times New Roman" w:hint="default"/>
                <w:sz w:val="18"/>
                <w:szCs w:val="18"/>
              </w:rPr>
            </w:pPr>
            <w:r>
              <w:rPr>
                <w:rFonts w:ascii="Times New Roman"/>
                <w:sz w:val="18"/>
              </w:rPr>
              <w:t>331.15</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0"/>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公司董事、高级管理人员报告期内被授予的股权激励情况</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五、公司员工情况" w:id="126"/>
      <w:bookmarkEnd w:id="126"/>
      <w:r>
        <w:rPr>
          <w:b w:val="0"/>
          <w:bCs w:val="0"/>
        </w:rPr>
      </w:r>
      <w:r>
        <w:rPr/>
        <w:t>五、公司员工情况</w:t>
      </w:r>
      <w:r>
        <w:rPr>
          <w:b w:val="0"/>
          <w:bCs w:val="0"/>
        </w:rPr>
      </w:r>
    </w:p>
    <w:p>
      <w:pPr>
        <w:spacing w:line="240" w:lineRule="auto" w:before="9"/>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bookmarkStart w:name="1、员工数量、专业构成及教育程度" w:id="127"/>
      <w:bookmarkEnd w:id="127"/>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、员工数量、专业构成及教育程度</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577"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9"/>
              <w:ind w:left="22"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582</w:t>
            </w:r>
          </w:p>
        </w:tc>
      </w:tr>
      <w:tr>
        <w:trPr>
          <w:trHeight w:val="577"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9"/>
              <w:ind w:left="22"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3"/>
                <w:sz w:val="18"/>
              </w:rPr>
              <w:t>118</w:t>
            </w:r>
          </w:p>
        </w:tc>
      </w:tr>
      <w:tr>
        <w:trPr>
          <w:trHeight w:val="577"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9"/>
              <w:ind w:left="22"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1,021</w:t>
            </w:r>
          </w:p>
        </w:tc>
      </w:tr>
      <w:tr>
        <w:trPr>
          <w:trHeight w:val="577"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9"/>
              <w:ind w:left="22"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1,055</w:t>
            </w:r>
          </w:p>
        </w:tc>
      </w:tr>
      <w:tr>
        <w:trPr>
          <w:trHeight w:val="578"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9"/>
              <w:ind w:left="22"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1"/>
          <w:szCs w:val="11"/>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533"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5"/>
              <w:ind w:right="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529"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9"/>
              <w:ind w:right="1"/>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9"/>
              <w:ind w:left="1576"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141" w:hRule="exact"/>
        </w:trPr>
        <w:tc>
          <w:tcPr>
            <w:tcW w:w="4785" w:type="dxa"/>
            <w:tcBorders>
              <w:top w:val="single" w:sz="35" w:space="0" w:color="D2D2D2"/>
              <w:left w:val="single" w:sz="4" w:space="0" w:color="000000"/>
              <w:bottom w:val="nil" w:sz="6" w:space="0" w:color="auto"/>
              <w:right w:val="single" w:sz="4" w:space="0" w:color="000000"/>
            </w:tcBorders>
          </w:tcPr>
          <w:p>
            <w:pPr/>
          </w:p>
        </w:tc>
        <w:tc>
          <w:tcPr>
            <w:tcW w:w="4784" w:type="dxa"/>
            <w:vMerge w:val="restart"/>
            <w:tcBorders>
              <w:top w:val="single" w:sz="39" w:space="0" w:color="D2D2D2"/>
              <w:left w:val="single" w:sz="13" w:space="0" w:color="D2D2D2"/>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w:t>
            </w:r>
          </w:p>
        </w:tc>
      </w:tr>
      <w:tr>
        <w:trPr>
          <w:trHeight w:val="441" w:hRule="exact"/>
        </w:trPr>
        <w:tc>
          <w:tcPr>
            <w:tcW w:w="4785"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84" w:type="dxa"/>
            <w:vMerge/>
            <w:tcBorders>
              <w:left w:val="single" w:sz="13" w:space="0" w:color="D2D2D2"/>
              <w:bottom w:val="single" w:sz="4" w:space="0" w:color="000000"/>
              <w:right w:val="single" w:sz="4" w:space="0" w:color="000000"/>
            </w:tcBorders>
          </w:tcPr>
          <w:p>
            <w:pPr/>
          </w:p>
        </w:tc>
      </w:tr>
      <w:tr>
        <w:trPr>
          <w:trHeight w:val="136" w:hRule="exact"/>
        </w:trPr>
        <w:tc>
          <w:tcPr>
            <w:tcW w:w="4785" w:type="dxa"/>
            <w:tcBorders>
              <w:top w:val="single" w:sz="35" w:space="0" w:color="D2D2D2"/>
              <w:left w:val="single" w:sz="4" w:space="0" w:color="000000"/>
              <w:bottom w:val="nil" w:sz="6" w:space="0" w:color="auto"/>
              <w:right w:val="single" w:sz="4" w:space="0" w:color="000000"/>
            </w:tcBorders>
          </w:tcPr>
          <w:p>
            <w:pPr/>
          </w:p>
        </w:tc>
        <w:tc>
          <w:tcPr>
            <w:tcW w:w="4784" w:type="dxa"/>
            <w:vMerge w:val="restart"/>
            <w:tcBorders>
              <w:top w:val="single" w:sz="4" w:space="0" w:color="000000"/>
              <w:left w:val="single" w:sz="13" w:space="0" w:color="D2D2D2"/>
              <w:right w:val="single" w:sz="4" w:space="0" w:color="000000"/>
            </w:tcBorders>
          </w:tcPr>
          <w:p>
            <w:pPr>
              <w:pStyle w:val="TableParagraph"/>
              <w:spacing w:line="240" w:lineRule="auto"/>
              <w:ind w:right="0"/>
              <w:jc w:val="left"/>
              <w:rPr>
                <w:rFonts w:ascii="宋体" w:hAnsi="宋体" w:cs="宋体" w:eastAsia="宋体" w:hint="default"/>
                <w:b/>
                <w:bCs/>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293</w:t>
            </w:r>
          </w:p>
        </w:tc>
      </w:tr>
      <w:tr>
        <w:trPr>
          <w:trHeight w:val="440" w:hRule="exact"/>
        </w:trPr>
        <w:tc>
          <w:tcPr>
            <w:tcW w:w="4785"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84" w:type="dxa"/>
            <w:vMerge/>
            <w:tcBorders>
              <w:left w:val="single" w:sz="13" w:space="0" w:color="D2D2D2"/>
              <w:bottom w:val="single" w:sz="4" w:space="0" w:color="000000"/>
              <w:right w:val="single" w:sz="4" w:space="0" w:color="000000"/>
            </w:tcBorders>
          </w:tcPr>
          <w:p>
            <w:pPr/>
          </w:p>
        </w:tc>
      </w:tr>
      <w:tr>
        <w:trPr>
          <w:trHeight w:val="137" w:hRule="exact"/>
        </w:trPr>
        <w:tc>
          <w:tcPr>
            <w:tcW w:w="4785" w:type="dxa"/>
            <w:tcBorders>
              <w:top w:val="single" w:sz="35" w:space="0" w:color="D2D2D2"/>
              <w:left w:val="single" w:sz="4" w:space="0" w:color="000000"/>
              <w:bottom w:val="nil" w:sz="6" w:space="0" w:color="auto"/>
              <w:right w:val="single" w:sz="4" w:space="0" w:color="000000"/>
            </w:tcBorders>
          </w:tcPr>
          <w:p>
            <w:pPr/>
          </w:p>
        </w:tc>
        <w:tc>
          <w:tcPr>
            <w:tcW w:w="4784" w:type="dxa"/>
            <w:vMerge w:val="restart"/>
            <w:tcBorders>
              <w:top w:val="single" w:sz="4" w:space="0" w:color="000000"/>
              <w:left w:val="single" w:sz="13" w:space="0" w:color="D2D2D2"/>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562</w:t>
            </w:r>
          </w:p>
        </w:tc>
      </w:tr>
      <w:tr>
        <w:trPr>
          <w:trHeight w:val="440" w:hRule="exact"/>
        </w:trPr>
        <w:tc>
          <w:tcPr>
            <w:tcW w:w="4785"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84" w:type="dxa"/>
            <w:vMerge/>
            <w:tcBorders>
              <w:left w:val="single" w:sz="13" w:space="0" w:color="D2D2D2"/>
              <w:bottom w:val="single" w:sz="4" w:space="0" w:color="000000"/>
              <w:right w:val="single" w:sz="4" w:space="0" w:color="000000"/>
            </w:tcBorders>
          </w:tcPr>
          <w:p>
            <w:pPr/>
          </w:p>
        </w:tc>
      </w:tr>
      <w:tr>
        <w:trPr>
          <w:trHeight w:val="136" w:hRule="exact"/>
        </w:trPr>
        <w:tc>
          <w:tcPr>
            <w:tcW w:w="4785" w:type="dxa"/>
            <w:tcBorders>
              <w:top w:val="single" w:sz="74" w:space="0" w:color="D2D2D2"/>
              <w:left w:val="single" w:sz="4" w:space="0" w:color="000000"/>
              <w:bottom w:val="nil" w:sz="6" w:space="0" w:color="auto"/>
              <w:right w:val="single" w:sz="4" w:space="0" w:color="000000"/>
            </w:tcBorders>
          </w:tcPr>
          <w:p>
            <w:pPr/>
          </w:p>
        </w:tc>
        <w:tc>
          <w:tcPr>
            <w:tcW w:w="4784" w:type="dxa"/>
            <w:vMerge w:val="restart"/>
            <w:tcBorders>
              <w:top w:val="single" w:sz="4" w:space="0" w:color="000000"/>
              <w:left w:val="single" w:sz="13" w:space="0" w:color="D2D2D2"/>
              <w:right w:val="single" w:sz="4" w:space="0" w:color="000000"/>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w:t>
            </w:r>
          </w:p>
        </w:tc>
      </w:tr>
      <w:tr>
        <w:trPr>
          <w:trHeight w:val="441" w:hRule="exact"/>
        </w:trPr>
        <w:tc>
          <w:tcPr>
            <w:tcW w:w="4785"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84" w:type="dxa"/>
            <w:vMerge/>
            <w:tcBorders>
              <w:left w:val="single" w:sz="13" w:space="0" w:color="D2D2D2"/>
              <w:bottom w:val="single" w:sz="4" w:space="0" w:color="000000"/>
              <w:right w:val="single" w:sz="4" w:space="0" w:color="000000"/>
            </w:tcBorders>
          </w:tcPr>
          <w:p>
            <w:pPr/>
          </w:p>
        </w:tc>
      </w:tr>
      <w:tr>
        <w:trPr>
          <w:trHeight w:val="136" w:hRule="exact"/>
        </w:trPr>
        <w:tc>
          <w:tcPr>
            <w:tcW w:w="4785" w:type="dxa"/>
            <w:tcBorders>
              <w:top w:val="single" w:sz="35" w:space="0" w:color="D2D2D2"/>
              <w:left w:val="single" w:sz="4" w:space="0" w:color="000000"/>
              <w:bottom w:val="nil" w:sz="6" w:space="0" w:color="auto"/>
              <w:right w:val="single" w:sz="4" w:space="0" w:color="000000"/>
            </w:tcBorders>
          </w:tcPr>
          <w:p>
            <w:pPr/>
          </w:p>
        </w:tc>
        <w:tc>
          <w:tcPr>
            <w:tcW w:w="4784" w:type="dxa"/>
            <w:vMerge w:val="restart"/>
            <w:tcBorders>
              <w:top w:val="single" w:sz="4" w:space="0" w:color="000000"/>
              <w:left w:val="single" w:sz="13" w:space="0" w:color="D2D2D2"/>
              <w:right w:val="single" w:sz="4" w:space="0" w:color="000000"/>
            </w:tcBorders>
          </w:tcPr>
          <w:p>
            <w:pPr>
              <w:pStyle w:val="TableParagraph"/>
              <w:spacing w:line="240" w:lineRule="auto"/>
              <w:ind w:right="0"/>
              <w:jc w:val="left"/>
              <w:rPr>
                <w:rFonts w:ascii="宋体" w:hAnsi="宋体" w:cs="宋体" w:eastAsia="宋体" w:hint="default"/>
                <w:b/>
                <w:bCs/>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3"/>
                <w:sz w:val="18"/>
              </w:rPr>
              <w:t>116</w:t>
            </w:r>
          </w:p>
        </w:tc>
      </w:tr>
      <w:tr>
        <w:trPr>
          <w:trHeight w:val="441" w:hRule="exact"/>
        </w:trPr>
        <w:tc>
          <w:tcPr>
            <w:tcW w:w="4785"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84" w:type="dxa"/>
            <w:vMerge/>
            <w:tcBorders>
              <w:left w:val="single" w:sz="13" w:space="0" w:color="D2D2D2"/>
              <w:bottom w:val="single" w:sz="4" w:space="0" w:color="000000"/>
              <w:right w:val="single" w:sz="4" w:space="0" w:color="000000"/>
            </w:tcBorders>
          </w:tcPr>
          <w:p>
            <w:pPr/>
          </w:p>
        </w:tc>
      </w:tr>
      <w:tr>
        <w:trPr>
          <w:trHeight w:val="136" w:hRule="exact"/>
        </w:trPr>
        <w:tc>
          <w:tcPr>
            <w:tcW w:w="4785" w:type="dxa"/>
            <w:tcBorders>
              <w:top w:val="single" w:sz="74" w:space="0" w:color="D2D2D2"/>
              <w:left w:val="single" w:sz="4" w:space="0" w:color="000000"/>
              <w:bottom w:val="nil" w:sz="6" w:space="0" w:color="auto"/>
              <w:right w:val="single" w:sz="4" w:space="0" w:color="000000"/>
            </w:tcBorders>
          </w:tcPr>
          <w:p>
            <w:pPr/>
          </w:p>
        </w:tc>
        <w:tc>
          <w:tcPr>
            <w:tcW w:w="4784" w:type="dxa"/>
            <w:vMerge w:val="restart"/>
            <w:tcBorders>
              <w:top w:val="single" w:sz="4" w:space="0" w:color="000000"/>
              <w:left w:val="single" w:sz="13" w:space="0" w:color="D2D2D2"/>
              <w:right w:val="single" w:sz="4" w:space="0" w:color="000000"/>
            </w:tcBorders>
          </w:tcPr>
          <w:p>
            <w:pPr>
              <w:pStyle w:val="TableParagraph"/>
              <w:spacing w:line="240" w:lineRule="auto"/>
              <w:ind w:right="0"/>
              <w:jc w:val="left"/>
              <w:rPr>
                <w:rFonts w:ascii="宋体" w:hAnsi="宋体" w:cs="宋体" w:eastAsia="宋体" w:hint="default"/>
                <w:b/>
                <w:bCs/>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1,021</w:t>
            </w:r>
          </w:p>
        </w:tc>
      </w:tr>
      <w:tr>
        <w:trPr>
          <w:trHeight w:val="485" w:hRule="exact"/>
        </w:trPr>
        <w:tc>
          <w:tcPr>
            <w:tcW w:w="4785"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vMerge/>
            <w:tcBorders>
              <w:left w:val="single" w:sz="13" w:space="0" w:color="D2D2D2"/>
              <w:bottom w:val="single" w:sz="35" w:space="0" w:color="D2D2D2"/>
              <w:right w:val="single" w:sz="4" w:space="0" w:color="000000"/>
            </w:tcBorders>
          </w:tcPr>
          <w:p>
            <w:pPr/>
          </w:p>
        </w:tc>
      </w:tr>
      <w:tr>
        <w:trPr>
          <w:trHeight w:val="577"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9"/>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53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9"/>
              <w:ind w:left="22"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9"/>
              <w:ind w:left="22"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621" w:hRule="exact"/>
        </w:trPr>
        <w:tc>
          <w:tcPr>
            <w:tcW w:w="4785" w:type="dxa"/>
            <w:tcBorders>
              <w:top w:val="single" w:sz="39" w:space="0" w:color="D2D2D2"/>
              <w:left w:val="single" w:sz="4" w:space="0" w:color="000000"/>
              <w:bottom w:val="single" w:sz="4" w:space="0" w:color="000000"/>
              <w:right w:val="single" w:sz="4" w:space="0" w:color="000000"/>
            </w:tcBorders>
          </w:tcPr>
          <w:p>
            <w:pPr>
              <w:pStyle w:val="TableParagraph"/>
              <w:spacing w:line="240" w:lineRule="auto" w:before="140"/>
              <w:ind w:left="22" w:right="0"/>
              <w:jc w:val="left"/>
              <w:rPr>
                <w:rFonts w:ascii="宋体" w:hAnsi="宋体" w:cs="宋体" w:eastAsia="宋体" w:hint="default"/>
                <w:sz w:val="18"/>
                <w:szCs w:val="18"/>
              </w:rPr>
            </w:pPr>
            <w:r>
              <w:rPr>
                <w:rFonts w:ascii="宋体" w:hAnsi="宋体" w:cs="宋体" w:eastAsia="宋体" w:hint="default"/>
                <w:sz w:val="18"/>
                <w:szCs w:val="18"/>
              </w:rPr>
              <w:t>硕士及以上学历</w:t>
            </w:r>
          </w:p>
        </w:tc>
        <w:tc>
          <w:tcPr>
            <w:tcW w:w="4784" w:type="dxa"/>
            <w:tcBorders>
              <w:top w:val="single" w:sz="39" w:space="0" w:color="D2D2D2"/>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w:t>
            </w:r>
          </w:p>
        </w:tc>
      </w:tr>
      <w:tr>
        <w:trPr>
          <w:trHeight w:val="577"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22" w:right="0"/>
              <w:jc w:val="left"/>
              <w:rPr>
                <w:rFonts w:ascii="宋体" w:hAnsi="宋体" w:cs="宋体" w:eastAsia="宋体" w:hint="default"/>
                <w:sz w:val="18"/>
                <w:szCs w:val="18"/>
              </w:rPr>
            </w:pPr>
            <w:r>
              <w:rPr>
                <w:rFonts w:ascii="宋体" w:hAnsi="宋体" w:cs="宋体" w:eastAsia="宋体" w:hint="default"/>
                <w:sz w:val="18"/>
                <w:szCs w:val="18"/>
              </w:rPr>
              <w:t>本科学历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515</w:t>
            </w:r>
          </w:p>
        </w:tc>
      </w:tr>
      <w:tr>
        <w:trPr>
          <w:trHeight w:val="578"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22" w:right="0"/>
              <w:jc w:val="left"/>
              <w:rPr>
                <w:rFonts w:ascii="宋体" w:hAnsi="宋体" w:cs="宋体" w:eastAsia="宋体" w:hint="default"/>
                <w:sz w:val="18"/>
                <w:szCs w:val="18"/>
              </w:rPr>
            </w:pPr>
            <w:r>
              <w:rPr>
                <w:rFonts w:ascii="宋体" w:hAnsi="宋体" w:cs="宋体" w:eastAsia="宋体" w:hint="default"/>
                <w:sz w:val="18"/>
                <w:szCs w:val="18"/>
              </w:rPr>
              <w:t>大专学历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410</w:t>
            </w:r>
          </w:p>
        </w:tc>
      </w:tr>
      <w:tr>
        <w:trPr>
          <w:trHeight w:val="577"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22" w:right="0"/>
              <w:jc w:val="left"/>
              <w:rPr>
                <w:rFonts w:ascii="宋体" w:hAnsi="宋体" w:cs="宋体" w:eastAsia="宋体" w:hint="default"/>
                <w:sz w:val="18"/>
                <w:szCs w:val="18"/>
              </w:rPr>
            </w:pPr>
            <w:r>
              <w:rPr>
                <w:rFonts w:ascii="宋体" w:hAnsi="宋体" w:cs="宋体" w:eastAsia="宋体" w:hint="default"/>
                <w:sz w:val="18"/>
                <w:szCs w:val="18"/>
              </w:rPr>
              <w:t>大专以下学历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64</w:t>
            </w:r>
          </w:p>
        </w:tc>
      </w:tr>
      <w:tr>
        <w:trPr>
          <w:trHeight w:val="577"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1,021</w:t>
            </w:r>
          </w:p>
        </w:tc>
      </w:tr>
    </w:tbl>
    <w:p>
      <w:pPr>
        <w:spacing w:line="240" w:lineRule="auto" w:before="2"/>
        <w:rPr>
          <w:rFonts w:ascii="宋体" w:hAnsi="宋体" w:cs="宋体" w:eastAsia="宋体" w:hint="default"/>
          <w:b/>
          <w:bCs/>
          <w:sz w:val="19"/>
          <w:szCs w:val="19"/>
        </w:rPr>
      </w:pPr>
    </w:p>
    <w:p>
      <w:pPr>
        <w:spacing w:before="35"/>
        <w:ind w:left="154" w:right="0" w:firstLine="0"/>
        <w:jc w:val="left"/>
        <w:rPr>
          <w:rFonts w:ascii="宋体" w:hAnsi="宋体" w:cs="宋体" w:eastAsia="宋体" w:hint="default"/>
          <w:sz w:val="21"/>
          <w:szCs w:val="21"/>
        </w:rPr>
      </w:pPr>
      <w:bookmarkStart w:name="2、薪酬政策" w:id="128"/>
      <w:bookmarkEnd w:id="128"/>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、薪酬政策</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357" w:lineRule="auto" w:before="0"/>
        <w:ind w:right="1170" w:firstLine="480"/>
        <w:jc w:val="both"/>
      </w:pPr>
      <w:r>
        <w:rPr/>
        <w:t>公司按照经董事会薪酬与考核委员会审议通过的薪酬考核方案，制定各岗位薪资待遇。 员工薪酬主要由基本薪酬、绩效薪酬和年终奖组成。公司薪酬政策坚持与岗位价值相匹配的 基本原则，同时兼顾技术与专业化能力的差别化对待，根据不同类别岗位职级制定相应的薪 酬等级体系，在每个岗位职级内根据其技术能力、专业化能力水平确定对应的薪酬。</w:t>
      </w:r>
    </w:p>
    <w:p>
      <w:pPr>
        <w:spacing w:line="240" w:lineRule="auto" w:before="6"/>
        <w:rPr>
          <w:rFonts w:ascii="宋体" w:hAnsi="宋体" w:cs="宋体" w:eastAsia="宋体" w:hint="default"/>
          <w:sz w:val="27"/>
          <w:szCs w:val="27"/>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上市公司从事软件与信息技术服务业务》的披露要求</w:t>
      </w:r>
    </w:p>
    <w:p>
      <w:pPr>
        <w:pStyle w:val="BodyText"/>
        <w:spacing w:line="338" w:lineRule="auto" w:before="132"/>
        <w:ind w:right="1130" w:firstLine="480"/>
        <w:jc w:val="both"/>
      </w:pPr>
      <w:r>
        <w:rPr>
          <w:spacing w:val="-1"/>
        </w:rPr>
        <w:t>报告期内，公司领取薪酬员工总数为</w:t>
      </w:r>
      <w:r>
        <w:rPr>
          <w:rFonts w:ascii="Times New Roman" w:hAnsi="Times New Roman" w:cs="Times New Roman" w:eastAsia="Times New Roman" w:hint="default"/>
          <w:spacing w:val="-1"/>
        </w:rPr>
        <w:t>1,055</w:t>
      </w:r>
      <w:r>
        <w:rPr>
          <w:spacing w:val="-1"/>
        </w:rPr>
        <w:t>人，职工薪酬总额</w:t>
      </w:r>
      <w:r>
        <w:rPr>
          <w:rFonts w:ascii="Times New Roman" w:hAnsi="Times New Roman" w:cs="Times New Roman" w:eastAsia="Times New Roman" w:hint="default"/>
          <w:spacing w:val="-1"/>
        </w:rPr>
        <w:t>11,679.25</w:t>
      </w:r>
      <w:r>
        <w:rPr>
          <w:spacing w:val="-1"/>
        </w:rPr>
        <w:t>万元，占公司成本</w:t>
      </w:r>
      <w:r>
        <w:rPr/>
        <w:t> </w:t>
      </w:r>
      <w:r>
        <w:rPr>
          <w:spacing w:val="2"/>
        </w:rPr>
        <w:t>总额</w:t>
      </w:r>
      <w:r>
        <w:rPr>
          <w:rFonts w:ascii="Times New Roman" w:hAnsi="Times New Roman" w:cs="Times New Roman" w:eastAsia="Times New Roman" w:hint="default"/>
          <w:spacing w:val="2"/>
        </w:rPr>
        <w:t>21.65%</w:t>
      </w:r>
      <w:r>
        <w:rPr>
          <w:spacing w:val="2"/>
        </w:rPr>
        <w:t>，其中核心技术人员</w:t>
      </w:r>
      <w:r>
        <w:rPr>
          <w:rFonts w:ascii="Times New Roman" w:hAnsi="Times New Roman" w:cs="Times New Roman" w:eastAsia="Times New Roman" w:hint="default"/>
          <w:spacing w:val="2"/>
        </w:rPr>
        <w:t>47</w:t>
      </w:r>
      <w:r>
        <w:rPr>
          <w:spacing w:val="2"/>
        </w:rPr>
        <w:t>人，占领取薪酬员工总数</w:t>
      </w:r>
      <w:r>
        <w:rPr>
          <w:rFonts w:ascii="Times New Roman" w:hAnsi="Times New Roman" w:cs="Times New Roman" w:eastAsia="Times New Roman" w:hint="default"/>
          <w:spacing w:val="2"/>
        </w:rPr>
        <w:t>4.45%</w:t>
      </w:r>
      <w:r>
        <w:rPr>
          <w:spacing w:val="2"/>
        </w:rPr>
        <w:t>，核心技术人员薪酬总额</w:t>
      </w:r>
      <w:r>
        <w:rPr>
          <w:spacing w:val="-109"/>
        </w:rPr>
        <w:t> </w:t>
      </w:r>
      <w:r>
        <w:rPr>
          <w:spacing w:val="-109"/>
        </w:rPr>
      </w:r>
      <w:r>
        <w:rPr>
          <w:rFonts w:ascii="Times New Roman" w:hAnsi="Times New Roman" w:cs="Times New Roman" w:eastAsia="Times New Roman" w:hint="default"/>
        </w:rPr>
        <w:t>1,016.20</w:t>
      </w:r>
      <w:r>
        <w:rPr/>
        <w:t>万元，占职工薪酬总额</w:t>
      </w:r>
      <w:r>
        <w:rPr>
          <w:rFonts w:ascii="Times New Roman" w:hAnsi="Times New Roman" w:cs="Times New Roman" w:eastAsia="Times New Roman" w:hint="default"/>
        </w:rPr>
        <w:t>8.70%</w:t>
      </w:r>
      <w:r>
        <w:rPr/>
        <w:t>。</w:t>
      </w:r>
    </w:p>
    <w:p>
      <w:pPr>
        <w:pStyle w:val="BodyText"/>
        <w:spacing w:line="240" w:lineRule="auto" w:before="27"/>
        <w:ind w:left="634" w:right="0"/>
        <w:jc w:val="left"/>
      </w:pPr>
      <w:r>
        <w:rPr/>
        <w:t>报告期内，公司加大市场拓展力度及研发投入，并建立以市场为导向的考评体系，完善</w:t>
      </w:r>
    </w:p>
    <w:p>
      <w:pPr>
        <w:spacing w:after="0" w:line="240" w:lineRule="auto"/>
        <w:jc w:val="left"/>
        <w:sectPr>
          <w:pgSz w:w="11910" w:h="16840"/>
          <w:pgMar w:header="747" w:footer="979" w:top="1060" w:bottom="1160" w:left="980" w:right="0"/>
        </w:sectPr>
      </w:pPr>
    </w:p>
    <w:p>
      <w:pPr>
        <w:spacing w:line="240" w:lineRule="auto" w:before="7"/>
        <w:rPr>
          <w:rFonts w:ascii="宋体" w:hAnsi="宋体" w:cs="宋体" w:eastAsia="宋体" w:hint="default"/>
          <w:sz w:val="29"/>
          <w:szCs w:val="29"/>
        </w:rPr>
      </w:pPr>
    </w:p>
    <w:p>
      <w:pPr>
        <w:pStyle w:val="BodyText"/>
        <w:spacing w:line="343" w:lineRule="auto" w:before="26"/>
        <w:ind w:right="0"/>
        <w:jc w:val="left"/>
      </w:pPr>
      <w:r>
        <w:rPr/>
        <w:t>考核制度及激励机制，人员成本、销售费用、研发费用、管理费用费用均较上年有增幅，同 </w:t>
      </w:r>
      <w:r>
        <w:rPr>
          <w:spacing w:val="20"/>
        </w:rPr>
        <w:t>时营业收入及归属于上市公司股东的净利润亦较上年有增幅。</w:t>
      </w:r>
      <w:r>
        <w:rPr>
          <w:spacing w:val="-97"/>
        </w:rPr>
        <w:t> </w:t>
      </w:r>
      <w:r>
        <w:rPr>
          <w:rFonts w:ascii="Times New Roman" w:hAnsi="Times New Roman" w:cs="Times New Roman" w:eastAsia="Times New Roman" w:hint="default"/>
        </w:rPr>
        <w:t>2018</w:t>
      </w:r>
      <w:r>
        <w:rPr>
          <w:rFonts w:ascii="Times New Roman" w:hAnsi="Times New Roman" w:cs="Times New Roman" w:eastAsia="Times New Roman" w:hint="default"/>
          <w:spacing w:val="-38"/>
        </w:rPr>
        <w:t> </w:t>
      </w:r>
      <w:r>
        <w:rPr>
          <w:spacing w:val="18"/>
        </w:rPr>
        <w:t>年度职工薪酬总额</w:t>
      </w:r>
      <w:r>
        <w:rPr>
          <w:spacing w:val="-113"/>
        </w:rPr>
        <w:t> </w:t>
      </w:r>
      <w:r>
        <w:rPr>
          <w:spacing w:val="-113"/>
        </w:rPr>
      </w:r>
      <w:r>
        <w:rPr>
          <w:rFonts w:ascii="Times New Roman" w:hAnsi="Times New Roman" w:cs="Times New Roman" w:eastAsia="Times New Roman" w:hint="default"/>
          <w:spacing w:val="-5"/>
        </w:rPr>
        <w:t>11,679.25</w:t>
      </w:r>
      <w:r>
        <w:rPr>
          <w:spacing w:val="-5"/>
        </w:rPr>
        <w:t>万元，较上年增加</w:t>
      </w:r>
      <w:r>
        <w:rPr>
          <w:rFonts w:ascii="Times New Roman" w:hAnsi="Times New Roman" w:cs="Times New Roman" w:eastAsia="Times New Roman" w:hint="default"/>
          <w:spacing w:val="-5"/>
        </w:rPr>
        <w:t>39.08%</w:t>
      </w:r>
      <w:r>
        <w:rPr>
          <w:spacing w:val="-5"/>
        </w:rPr>
        <w:t>，其中核心技术人员薪酬</w:t>
      </w:r>
      <w:r>
        <w:rPr>
          <w:rFonts w:ascii="Times New Roman" w:hAnsi="Times New Roman" w:cs="Times New Roman" w:eastAsia="Times New Roman" w:hint="default"/>
          <w:spacing w:val="-5"/>
        </w:rPr>
        <w:t>1,016.20</w:t>
      </w:r>
      <w:r>
        <w:rPr>
          <w:spacing w:val="-5"/>
        </w:rPr>
        <w:t>万元，较上年增加</w:t>
      </w:r>
      <w:r>
        <w:rPr>
          <w:rFonts w:ascii="Times New Roman" w:hAnsi="Times New Roman" w:cs="Times New Roman" w:eastAsia="Times New Roman" w:hint="default"/>
          <w:spacing w:val="-5"/>
        </w:rPr>
        <w:t>22.95%</w:t>
      </w:r>
      <w:r>
        <w:rPr>
          <w:spacing w:val="-5"/>
        </w:rPr>
        <w:t>；</w:t>
      </w:r>
      <w:r>
        <w:rPr>
          <w:spacing w:val="-78"/>
        </w:rPr>
        <w:t> </w:t>
      </w:r>
      <w:r>
        <w:rPr>
          <w:spacing w:val="-5"/>
        </w:rPr>
        <w:t>实现营业收入</w:t>
      </w:r>
      <w:r>
        <w:rPr>
          <w:rFonts w:ascii="Times New Roman" w:hAnsi="Times New Roman" w:cs="Times New Roman" w:eastAsia="Times New Roman" w:hint="default"/>
          <w:spacing w:val="-5"/>
        </w:rPr>
        <w:t>56,683.65</w:t>
      </w:r>
      <w:r>
        <w:rPr>
          <w:spacing w:val="-5"/>
        </w:rPr>
        <w:t>万元，比上年增加</w:t>
      </w:r>
      <w:r>
        <w:rPr>
          <w:rFonts w:ascii="Times New Roman" w:hAnsi="Times New Roman" w:cs="Times New Roman" w:eastAsia="Times New Roman" w:hint="default"/>
          <w:spacing w:val="-5"/>
        </w:rPr>
        <w:t>26.27%</w:t>
      </w:r>
      <w:r>
        <w:rPr>
          <w:spacing w:val="-5"/>
        </w:rPr>
        <w:t>；归属于上市公司股东的净利润</w:t>
      </w:r>
      <w:r>
        <w:rPr>
          <w:rFonts w:ascii="Times New Roman" w:hAnsi="Times New Roman" w:cs="Times New Roman" w:eastAsia="Times New Roman" w:hint="default"/>
          <w:spacing w:val="-5"/>
        </w:rPr>
        <w:t>5,035.38</w:t>
      </w:r>
      <w:r>
        <w:rPr>
          <w:spacing w:val="-5"/>
        </w:rPr>
        <w:t>万元，</w:t>
      </w:r>
      <w:r>
        <w:rPr>
          <w:spacing w:val="-76"/>
        </w:rPr>
        <w:t> </w:t>
      </w:r>
      <w:r>
        <w:rPr/>
        <w:t>比上年增加</w:t>
      </w:r>
      <w:r>
        <w:rPr>
          <w:rFonts w:ascii="Times New Roman" w:hAnsi="Times New Roman" w:cs="Times New Roman" w:eastAsia="Times New Roman" w:hint="default"/>
        </w:rPr>
        <w:t>19.98%</w:t>
      </w:r>
      <w:r>
        <w:rPr/>
        <w:t>。</w:t>
      </w:r>
    </w:p>
    <w:p>
      <w:pPr>
        <w:spacing w:line="240" w:lineRule="auto" w:before="6"/>
        <w:rPr>
          <w:rFonts w:ascii="宋体" w:hAnsi="宋体" w:cs="宋体" w:eastAsia="宋体" w:hint="default"/>
          <w:sz w:val="20"/>
          <w:szCs w:val="20"/>
        </w:rPr>
      </w:pPr>
    </w:p>
    <w:p>
      <w:pPr>
        <w:spacing w:before="0"/>
        <w:ind w:left="154" w:right="0" w:firstLine="0"/>
        <w:jc w:val="left"/>
        <w:rPr>
          <w:rFonts w:ascii="宋体" w:hAnsi="宋体" w:cs="宋体" w:eastAsia="宋体" w:hint="default"/>
          <w:sz w:val="21"/>
          <w:szCs w:val="21"/>
        </w:rPr>
      </w:pPr>
      <w:bookmarkStart w:name="3、培训计划" w:id="129"/>
      <w:bookmarkEnd w:id="129"/>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、培训计划</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348" w:lineRule="auto" w:before="0"/>
        <w:ind w:right="0" w:firstLine="480"/>
        <w:jc w:val="left"/>
      </w:pPr>
      <w:r>
        <w:rPr>
          <w:spacing w:val="-3"/>
        </w:rPr>
        <w:t>为提升公司的凝聚力和竞争力，公司一直注重员工的培训发展，建立了完善的培训体系。</w:t>
      </w:r>
      <w:r>
        <w:rPr/>
        <w:t> </w:t>
      </w:r>
      <w:r>
        <w:rPr>
          <w:rFonts w:ascii="Times New Roman" w:hAnsi="Times New Roman" w:cs="Times New Roman" w:eastAsia="Times New Roman" w:hint="default"/>
        </w:rPr>
        <w:t>2018</w:t>
      </w:r>
      <w:r>
        <w:rPr/>
        <w:t>年正元学堂按营销、研发、技术、管理四个岗位类别持续开课，根据不同对象制定对应</w:t>
      </w:r>
      <w:r>
        <w:rPr>
          <w:spacing w:val="-117"/>
        </w:rPr>
        <w:t> </w:t>
      </w:r>
      <w:r>
        <w:rPr>
          <w:spacing w:val="-117"/>
        </w:rPr>
      </w:r>
      <w:r>
        <w:rPr/>
        <w:t>的培训计划，提高标准严格要求，加速打造正元智慧人才建设体系。</w:t>
      </w:r>
    </w:p>
    <w:p>
      <w:pPr>
        <w:pStyle w:val="BodyText"/>
        <w:spacing w:line="348" w:lineRule="auto" w:before="46"/>
        <w:ind w:right="994" w:firstLine="480"/>
        <w:jc w:val="left"/>
      </w:pPr>
      <w:r>
        <w:rPr>
          <w:rFonts w:ascii="Times New Roman" w:hAnsi="Times New Roman" w:cs="Times New Roman" w:eastAsia="Times New Roman" w:hint="default"/>
          <w:spacing w:val="-2"/>
        </w:rPr>
        <w:t>2019</w:t>
      </w:r>
      <w:r>
        <w:rPr>
          <w:spacing w:val="-2"/>
        </w:rPr>
        <w:t>年度公司将继续聘请公司内部及外部专业讲师，面向管理层及销售人员、研发人员、</w:t>
      </w:r>
      <w:r>
        <w:rPr/>
        <w:t> 技术人员、管理人员以及新员工开展专业培训，培训形式线上线下相结合，课堂授课与军训</w:t>
      </w:r>
      <w:r>
        <w:rPr>
          <w:spacing w:val="-111"/>
        </w:rPr>
        <w:t> </w:t>
      </w:r>
      <w:r>
        <w:rPr>
          <w:spacing w:val="-111"/>
        </w:rPr>
      </w:r>
      <w:r>
        <w:rPr/>
        <w:t>相结合，为公司发展奠定人才基础。</w:t>
      </w:r>
    </w:p>
    <w:p>
      <w:pPr>
        <w:spacing w:line="240" w:lineRule="auto" w:before="4"/>
        <w:rPr>
          <w:rFonts w:ascii="宋体" w:hAnsi="宋体" w:cs="宋体" w:eastAsia="宋体" w:hint="default"/>
          <w:sz w:val="22"/>
          <w:szCs w:val="22"/>
        </w:rPr>
      </w:pPr>
    </w:p>
    <w:p>
      <w:pPr>
        <w:spacing w:before="0"/>
        <w:ind w:left="154" w:right="0" w:firstLine="0"/>
        <w:jc w:val="left"/>
        <w:rPr>
          <w:rFonts w:ascii="宋体" w:hAnsi="宋体" w:cs="宋体" w:eastAsia="宋体" w:hint="default"/>
          <w:sz w:val="21"/>
          <w:szCs w:val="21"/>
        </w:rPr>
      </w:pPr>
      <w:bookmarkStart w:name="4、劳务外包情况" w:id="130"/>
      <w:bookmarkEnd w:id="130"/>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、劳务外包情况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978"/>
        <w:jc w:val="center"/>
        <w:rPr>
          <w:b w:val="0"/>
          <w:bCs w:val="0"/>
        </w:rPr>
      </w:pPr>
      <w:bookmarkStart w:name="第九节 公司治理" w:id="131"/>
      <w:bookmarkEnd w:id="131"/>
      <w:r>
        <w:rPr>
          <w:b w:val="0"/>
          <w:bCs w:val="0"/>
        </w:rPr>
      </w:r>
      <w:bookmarkStart w:name="_bookmark7" w:id="132"/>
      <w:bookmarkEnd w:id="132"/>
      <w:r>
        <w:rPr>
          <w:b w:val="0"/>
          <w:bCs w:val="0"/>
        </w:rPr>
      </w:r>
      <w:r>
        <w:rPr/>
        <w:t>第九节</w:t>
      </w:r>
      <w:r>
        <w:rPr>
          <w:spacing w:val="-5"/>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both"/>
        <w:rPr>
          <w:b w:val="0"/>
          <w:bCs w:val="0"/>
        </w:rPr>
      </w:pPr>
      <w:bookmarkStart w:name="一、公司治理的基本状况" w:id="133"/>
      <w:bookmarkEnd w:id="133"/>
      <w:r>
        <w:rPr>
          <w:b w:val="0"/>
          <w:bCs w:val="0"/>
        </w:rPr>
      </w:r>
      <w:r>
        <w:rPr/>
        <w:t>一、公司治理的基本状况</w:t>
      </w:r>
      <w:r>
        <w:rPr>
          <w:b w:val="0"/>
          <w:bCs w:val="0"/>
        </w:rPr>
      </w:r>
    </w:p>
    <w:p>
      <w:pPr>
        <w:spacing w:line="240" w:lineRule="auto" w:before="10"/>
        <w:rPr>
          <w:rFonts w:ascii="宋体" w:hAnsi="宋体" w:cs="宋体" w:eastAsia="宋体" w:hint="default"/>
          <w:b/>
          <w:bCs/>
          <w:sz w:val="28"/>
          <w:szCs w:val="28"/>
        </w:rPr>
      </w:pPr>
    </w:p>
    <w:p>
      <w:pPr>
        <w:pStyle w:val="BodyText"/>
        <w:spacing w:line="357" w:lineRule="auto" w:before="0"/>
        <w:ind w:right="1132" w:firstLine="480"/>
        <w:jc w:val="both"/>
      </w:pPr>
      <w:r>
        <w:rPr/>
        <w:t>报告期内，公司严格按照《公司法》《证券法》《上市公司治理准则》《深圳证券交易 所创业板股票上市规则》《深圳证券交易所创业板上市公司规范运作指引》等法律、法规和</w:t>
      </w:r>
      <w:r>
        <w:rPr>
          <w:spacing w:val="-117"/>
        </w:rPr>
        <w:t> </w:t>
      </w:r>
      <w:r>
        <w:rPr>
          <w:spacing w:val="-117"/>
        </w:rPr>
      </w:r>
      <w:r>
        <w:rPr/>
        <w:t>中国证监会有关法律法规等的要求，不断完善公司的法人治理结构，建立健全公司内部管理 和控制制度，持续深入开展公司治理活动，促进了公司规范运作，提高了公司治理水平。截</w:t>
      </w:r>
      <w:r>
        <w:rPr>
          <w:spacing w:val="-112"/>
        </w:rPr>
        <w:t> </w:t>
      </w:r>
      <w:r>
        <w:rPr>
          <w:spacing w:val="-112"/>
        </w:rPr>
      </w:r>
      <w:r>
        <w:rPr/>
        <w:t>至报告期末，公司治理的实际状况符合《上市公司治理准则》和《深圳证券交易所创业板上 市公司规范运作指引》等要求。</w:t>
      </w:r>
    </w:p>
    <w:p>
      <w:pPr>
        <w:pStyle w:val="BodyText"/>
        <w:spacing w:line="338" w:lineRule="auto"/>
        <w:ind w:left="634" w:right="0"/>
        <w:jc w:val="left"/>
      </w:pPr>
      <w:r>
        <w:rPr>
          <w:rFonts w:ascii="Times New Roman" w:hAnsi="Times New Roman" w:cs="Times New Roman" w:eastAsia="Times New Roman" w:hint="default"/>
        </w:rPr>
        <w:t>1</w:t>
      </w:r>
      <w:r>
        <w:rPr/>
        <w:t>、股东和股东大会 </w:t>
      </w:r>
      <w:r>
        <w:rPr>
          <w:spacing w:val="-3"/>
        </w:rPr>
        <w:t>公司严格按照《公司法》《上市公司股东大会规则》《公司章程》《股东大会议事规则》</w:t>
      </w:r>
    </w:p>
    <w:p>
      <w:pPr>
        <w:pStyle w:val="BodyText"/>
        <w:spacing w:line="357" w:lineRule="auto" w:before="55"/>
        <w:ind w:right="1139"/>
        <w:jc w:val="both"/>
      </w:pPr>
      <w:r>
        <w:rPr/>
        <w:t>等相关法律法规、规范性文件和公司规章制度的有关规定和要求，规范地召集、召开股东大 会。公司平等对待所有股东，特别是中小股东、公众股东享有平等地位，使其充分行使自己 的权利。不存在损害股东利益的情形。</w:t>
      </w:r>
    </w:p>
    <w:p>
      <w:pPr>
        <w:pStyle w:val="BodyText"/>
        <w:spacing w:line="357" w:lineRule="auto"/>
        <w:ind w:right="1137" w:firstLine="480"/>
        <w:jc w:val="both"/>
      </w:pPr>
      <w:r>
        <w:rPr/>
        <w:t>报告期内，公司召开的股东大会均由公司董事会召集召开，由见证律师进行现场见证并 出具法律意见书。在股东大会上充分保证各位股东有充分的发言权，确保股东对公司重大事 项的知情权、参与权、表决权，使其充分行使股东合法权利。</w:t>
      </w:r>
    </w:p>
    <w:p>
      <w:pPr>
        <w:pStyle w:val="BodyText"/>
        <w:spacing w:line="338" w:lineRule="auto"/>
        <w:ind w:left="634" w:right="0"/>
        <w:jc w:val="left"/>
      </w:pPr>
      <w:r>
        <w:rPr>
          <w:rFonts w:ascii="Times New Roman" w:hAnsi="Times New Roman" w:cs="Times New Roman" w:eastAsia="Times New Roman" w:hint="default"/>
        </w:rPr>
        <w:t>2</w:t>
      </w:r>
      <w:r>
        <w:rPr/>
        <w:t>、公司与控股股东 公司控股股东严格按照《上市公司治理准则》《深圳证券交易所创业板股票上市规则》</w:t>
      </w:r>
    </w:p>
    <w:p>
      <w:pPr>
        <w:pStyle w:val="BodyText"/>
        <w:spacing w:line="357" w:lineRule="auto" w:before="55"/>
        <w:ind w:right="1133"/>
        <w:jc w:val="both"/>
      </w:pPr>
      <w:r>
        <w:rPr/>
        <w:t>《深圳证券交易所创业板上市公司规范运作指引》《公司章程》等相关规定和要求，规范自</w:t>
      </w:r>
      <w:r>
        <w:rPr>
          <w:spacing w:val="-114"/>
        </w:rPr>
        <w:t> </w:t>
      </w:r>
      <w:r>
        <w:rPr>
          <w:spacing w:val="-114"/>
        </w:rPr>
      </w:r>
      <w:r>
        <w:rPr/>
        <w:t>己的行为，没有超越股东大会直接或间接干预公司的决策和经营活动。公司不存在控股股东 占用公司资金及为控股股东提供担保的情形。公司拥有独立完整的业务和自主经营能力，在 业务、人员、资产、机构、财务上独立于控股股东，公司董事会、监事会和内部机构独立运</w:t>
      </w:r>
      <w:r>
        <w:rPr>
          <w:spacing w:val="-113"/>
        </w:rPr>
        <w:t> </w:t>
      </w:r>
      <w:r>
        <w:rPr>
          <w:spacing w:val="-113"/>
        </w:rPr>
      </w:r>
      <w:r>
        <w:rPr/>
        <w:t>作。</w:t>
      </w:r>
    </w:p>
    <w:p>
      <w:pPr>
        <w:pStyle w:val="BodyText"/>
        <w:spacing w:line="338" w:lineRule="auto"/>
        <w:ind w:left="634" w:right="1126"/>
        <w:jc w:val="left"/>
      </w:pPr>
      <w:r>
        <w:rPr>
          <w:rFonts w:ascii="Times New Roman" w:hAnsi="Times New Roman" w:cs="Times New Roman" w:eastAsia="Times New Roman" w:hint="default"/>
        </w:rPr>
        <w:t>3</w:t>
      </w:r>
      <w:r>
        <w:rPr/>
        <w:t>、董事与董事会 </w:t>
      </w:r>
      <w:r>
        <w:rPr>
          <w:spacing w:val="-1"/>
        </w:rPr>
        <w:t>公司董事会设董事</w:t>
      </w:r>
      <w:r>
        <w:rPr>
          <w:rFonts w:ascii="Times New Roman" w:hAnsi="Times New Roman" w:cs="Times New Roman" w:eastAsia="Times New Roman" w:hint="default"/>
          <w:spacing w:val="-1"/>
        </w:rPr>
        <w:t>9</w:t>
      </w:r>
      <w:r>
        <w:rPr>
          <w:spacing w:val="-1"/>
        </w:rPr>
        <w:t>名，其中独立董事</w:t>
      </w:r>
      <w:r>
        <w:rPr>
          <w:rFonts w:ascii="Times New Roman" w:hAnsi="Times New Roman" w:cs="Times New Roman" w:eastAsia="Times New Roman" w:hint="default"/>
          <w:spacing w:val="-1"/>
        </w:rPr>
        <w:t>3</w:t>
      </w:r>
      <w:r>
        <w:rPr>
          <w:spacing w:val="-1"/>
        </w:rPr>
        <w:t>名，达到公司董事总数的</w:t>
      </w:r>
      <w:r>
        <w:rPr>
          <w:rFonts w:ascii="Times New Roman" w:hAnsi="Times New Roman" w:cs="Times New Roman" w:eastAsia="Times New Roman" w:hint="default"/>
          <w:spacing w:val="-1"/>
        </w:rPr>
        <w:t>1/3</w:t>
      </w:r>
      <w:r>
        <w:rPr>
          <w:spacing w:val="-1"/>
        </w:rPr>
        <w:t>。董事会的人数及人</w:t>
      </w:r>
    </w:p>
    <w:p>
      <w:pPr>
        <w:pStyle w:val="BodyText"/>
        <w:spacing w:line="357" w:lineRule="auto" w:before="27"/>
        <w:ind w:right="1137"/>
        <w:jc w:val="both"/>
      </w:pPr>
      <w:r>
        <w:rPr/>
        <w:t>员构成符合法律、法规和《公司章程》的要求。各位董事能够依据《董事会议事规则》《独 立董事制度》《深圳证券交易所创业板上市公司规范运作指引》等开展工作，按时出席董事</w:t>
      </w:r>
    </w:p>
    <w:p>
      <w:pPr>
        <w:spacing w:after="0" w:line="357" w:lineRule="auto"/>
        <w:jc w:val="both"/>
        <w:sectPr>
          <w:pgSz w:w="11910" w:h="16840"/>
          <w:pgMar w:header="747" w:footer="979" w:top="1060" w:bottom="1160" w:left="980" w:right="0"/>
        </w:sectPr>
      </w:pPr>
    </w:p>
    <w:p>
      <w:pPr>
        <w:spacing w:line="240" w:lineRule="auto" w:before="7"/>
        <w:rPr>
          <w:rFonts w:ascii="宋体" w:hAnsi="宋体" w:cs="宋体" w:eastAsia="宋体" w:hint="default"/>
          <w:sz w:val="29"/>
          <w:szCs w:val="29"/>
        </w:rPr>
      </w:pPr>
    </w:p>
    <w:p>
      <w:pPr>
        <w:pStyle w:val="BodyText"/>
        <w:spacing w:line="357" w:lineRule="auto" w:before="26"/>
        <w:ind w:right="1139"/>
        <w:jc w:val="both"/>
      </w:pPr>
      <w:r>
        <w:rPr/>
        <w:t>会、专门委员会和股东大会，勤勉尽责地履行职责和义务，同时积极参加相关培训，熟悉相 关法律法规。</w:t>
      </w:r>
    </w:p>
    <w:p>
      <w:pPr>
        <w:pStyle w:val="BodyText"/>
        <w:spacing w:line="350" w:lineRule="auto"/>
        <w:ind w:right="1102" w:firstLine="480"/>
        <w:jc w:val="both"/>
      </w:pPr>
      <w:r>
        <w:rPr/>
        <w:t>董事会下设薪酬与考核委员会、战略委员会、提名委员会和审计委员会，除战略委员会 外其他委员会中独立董事占比均超过</w:t>
      </w:r>
      <w:r>
        <w:rPr>
          <w:rFonts w:ascii="Times New Roman" w:hAnsi="Times New Roman" w:cs="Times New Roman" w:eastAsia="Times New Roman" w:hint="default"/>
        </w:rPr>
        <w:t>1/2</w:t>
      </w:r>
      <w:r>
        <w:rPr/>
        <w:t>，为董事会的决策提供了科学和专业的意见和参考。 各委员会依据《公司章程》和各委员会议事细则的规定履行职权，不受公司其他部门和个人 的干预。</w:t>
      </w:r>
    </w:p>
    <w:p>
      <w:pPr>
        <w:pStyle w:val="BodyText"/>
        <w:spacing w:line="338" w:lineRule="auto" w:before="43"/>
        <w:ind w:left="634" w:right="0"/>
        <w:jc w:val="left"/>
      </w:pPr>
      <w:r>
        <w:rPr>
          <w:rFonts w:ascii="Times New Roman" w:hAnsi="Times New Roman" w:cs="Times New Roman" w:eastAsia="Times New Roman" w:hint="default"/>
        </w:rPr>
        <w:t>4</w:t>
      </w:r>
      <w:r>
        <w:rPr/>
        <w:t>、监事与监事会 </w:t>
      </w:r>
      <w:r>
        <w:rPr>
          <w:spacing w:val="-3"/>
        </w:rPr>
        <w:t>公司监事会设监事</w:t>
      </w:r>
      <w:r>
        <w:rPr>
          <w:rFonts w:ascii="Times New Roman" w:hAnsi="Times New Roman" w:cs="Times New Roman" w:eastAsia="Times New Roman" w:hint="default"/>
          <w:spacing w:val="-3"/>
        </w:rPr>
        <w:t>3</w:t>
      </w:r>
      <w:r>
        <w:rPr>
          <w:spacing w:val="-3"/>
        </w:rPr>
        <w:t>名，其中职工监事</w:t>
      </w:r>
      <w:r>
        <w:rPr>
          <w:rFonts w:ascii="Times New Roman" w:hAnsi="Times New Roman" w:cs="Times New Roman" w:eastAsia="Times New Roman" w:hint="default"/>
          <w:spacing w:val="-3"/>
        </w:rPr>
        <w:t>2</w:t>
      </w:r>
      <w:r>
        <w:rPr>
          <w:spacing w:val="-3"/>
        </w:rPr>
        <w:t>名，监事会的人数和构成符合法律、法规的要求。</w:t>
      </w:r>
    </w:p>
    <w:p>
      <w:pPr>
        <w:pStyle w:val="BodyText"/>
        <w:spacing w:line="357" w:lineRule="auto" w:before="27"/>
        <w:ind w:right="1139"/>
        <w:jc w:val="both"/>
      </w:pPr>
      <w:r>
        <w:rPr/>
        <w:t>各位监事能够按照《监事会议事规则》的要求，认真履行自己的职责，对公司重大事项、关 联交易、财务状况以及董事、高管人员履行职责的合法合规性进行监督，维护公司及股东的 合法权益。</w:t>
      </w:r>
    </w:p>
    <w:p>
      <w:pPr>
        <w:pStyle w:val="BodyText"/>
        <w:spacing w:line="338" w:lineRule="auto"/>
        <w:ind w:left="634" w:right="0"/>
        <w:jc w:val="left"/>
      </w:pPr>
      <w:r>
        <w:rPr>
          <w:rFonts w:ascii="Times New Roman" w:hAnsi="Times New Roman" w:cs="Times New Roman" w:eastAsia="Times New Roman" w:hint="default"/>
        </w:rPr>
        <w:t>5</w:t>
      </w:r>
      <w:r>
        <w:rPr/>
        <w:t>、绩效考核与激励机制 公司制定了《董事、监事、高级管理人员薪酬管理制度》，并建立了绩效考评体系和薪</w:t>
      </w:r>
    </w:p>
    <w:p>
      <w:pPr>
        <w:pStyle w:val="BodyText"/>
        <w:spacing w:line="357" w:lineRule="auto" w:before="55"/>
        <w:ind w:right="1137"/>
        <w:jc w:val="both"/>
      </w:pPr>
      <w:r>
        <w:rPr/>
        <w:t>酬制度，董监高的工作绩效与其收入直接挂钩。董监高人员的聘任公开、透明，符合法律、</w:t>
      </w:r>
      <w:r>
        <w:rPr>
          <w:spacing w:val="-117"/>
        </w:rPr>
        <w:t> </w:t>
      </w:r>
      <w:r>
        <w:rPr>
          <w:spacing w:val="-117"/>
        </w:rPr>
      </w:r>
      <w:r>
        <w:rPr/>
        <w:t>法规的规定。公司董事会下设的提名委员会、薪酬与考核委员会负责对公司董事及高级管理 人员进行绩效考核。</w:t>
      </w:r>
    </w:p>
    <w:p>
      <w:pPr>
        <w:pStyle w:val="BodyText"/>
        <w:spacing w:line="338" w:lineRule="auto"/>
        <w:ind w:left="634" w:right="0"/>
        <w:jc w:val="left"/>
      </w:pPr>
      <w:r>
        <w:rPr>
          <w:rFonts w:ascii="Times New Roman" w:hAnsi="Times New Roman" w:cs="Times New Roman" w:eastAsia="Times New Roman" w:hint="default"/>
        </w:rPr>
        <w:t>6</w:t>
      </w:r>
      <w:r>
        <w:rPr/>
        <w:t>、信息披露与透明度 公司严格按照有关法律法规以及《信息披露制度》《投资者关系管理制度》等的要求，</w:t>
      </w:r>
    </w:p>
    <w:p>
      <w:pPr>
        <w:pStyle w:val="BodyText"/>
        <w:spacing w:line="350" w:lineRule="auto" w:before="55"/>
        <w:ind w:right="0"/>
        <w:jc w:val="left"/>
      </w:pPr>
      <w:r>
        <w:rPr>
          <w:spacing w:val="-3"/>
        </w:rPr>
        <w:t>真实、准确、及时、公平、完整地披露有关信息；并指定公司董事会秘书负责信息披露工作，</w:t>
      </w:r>
      <w:r>
        <w:rPr>
          <w:spacing w:val="-82"/>
        </w:rPr>
        <w:t> </w:t>
      </w:r>
      <w:r>
        <w:rPr>
          <w:spacing w:val="-82"/>
        </w:rPr>
      </w:r>
      <w:r>
        <w:rPr/>
        <w:t>协调公司与投资者的关系，接待股东来访，回答投资者咨询，向投资者提供公司已披露的资 </w:t>
      </w:r>
      <w:r>
        <w:rPr>
          <w:spacing w:val="-3"/>
        </w:rPr>
        <w:t>料；并指定《证券时报》和巨潮网（</w:t>
      </w:r>
      <w:hyperlink r:id="rId11">
        <w:r>
          <w:rPr>
            <w:rFonts w:ascii="Times New Roman" w:hAnsi="Times New Roman" w:cs="Times New Roman" w:eastAsia="Times New Roman" w:hint="default"/>
            <w:spacing w:val="-3"/>
          </w:rPr>
          <w:t>www.cninfo.com.cn</w:t>
        </w:r>
      </w:hyperlink>
      <w:r>
        <w:rPr>
          <w:spacing w:val="-3"/>
        </w:rPr>
        <w:t>）为公司信息披露的指定报纸和网站，</w:t>
      </w:r>
      <w:r>
        <w:rPr>
          <w:spacing w:val="-88"/>
        </w:rPr>
        <w:t> </w:t>
      </w:r>
      <w:r>
        <w:rPr>
          <w:spacing w:val="-88"/>
        </w:rPr>
      </w:r>
      <w:r>
        <w:rPr/>
        <w:t>确保公司所有股东能够以平等的机会获得信息。</w:t>
      </w:r>
    </w:p>
    <w:p>
      <w:pPr>
        <w:pStyle w:val="BodyText"/>
        <w:spacing w:line="338" w:lineRule="auto" w:before="43"/>
        <w:ind w:left="634" w:right="0"/>
        <w:jc w:val="left"/>
      </w:pPr>
      <w:r>
        <w:rPr>
          <w:rFonts w:ascii="Times New Roman" w:hAnsi="Times New Roman" w:cs="Times New Roman" w:eastAsia="Times New Roman" w:hint="default"/>
        </w:rPr>
        <w:t>7</w:t>
      </w:r>
      <w:r>
        <w:rPr/>
        <w:t>、相关利益者 公司充分尊重和维护相关利益者的合法权益，实现股东、员工、社会等各方利益的协调</w:t>
      </w:r>
    </w:p>
    <w:p>
      <w:pPr>
        <w:pStyle w:val="BodyText"/>
        <w:spacing w:line="357" w:lineRule="auto" w:before="55"/>
        <w:ind w:left="634" w:right="0" w:hanging="480"/>
        <w:jc w:val="left"/>
      </w:pPr>
      <w:r>
        <w:rPr/>
        <w:t>平衡，共同推动公司持续、健康的发展。 报告期内以及</w:t>
      </w:r>
      <w:r>
        <w:rPr>
          <w:rFonts w:ascii="Times New Roman" w:hAnsi="Times New Roman" w:cs="Times New Roman" w:eastAsia="Times New Roman" w:hint="default"/>
        </w:rPr>
        <w:t>2017</w:t>
      </w:r>
      <w:r>
        <w:rPr/>
        <w:t>年年度报告编制期间，公司不存在向大股东、实际控制人提供未公开</w:t>
      </w:r>
    </w:p>
    <w:p>
      <w:pPr>
        <w:pStyle w:val="BodyText"/>
        <w:spacing w:line="357" w:lineRule="auto" w:before="5"/>
        <w:ind w:left="634" w:right="0" w:hanging="480"/>
        <w:jc w:val="left"/>
      </w:pPr>
      <w:r>
        <w:rPr/>
        <w:t>信息等公司治理非规范情况。 公司自成立以来，一贯严格按照《公司法》《证券法》等有关法律、法规的要求规范运</w:t>
      </w:r>
    </w:p>
    <w:p>
      <w:pPr>
        <w:pStyle w:val="BodyText"/>
        <w:spacing w:line="240" w:lineRule="auto"/>
        <w:ind w:right="0"/>
        <w:jc w:val="left"/>
      </w:pPr>
      <w:r>
        <w:rPr/>
        <w:t>作，并将严格按照《上市公司治理准则》等有关规定的要求，不断完善公司的治理结构，切</w:t>
      </w:r>
    </w:p>
    <w:p>
      <w:pPr>
        <w:spacing w:after="0" w:line="240" w:lineRule="auto"/>
        <w:jc w:val="left"/>
        <w:sectPr>
          <w:pgSz w:w="11910" w:h="16840"/>
          <w:pgMar w:header="747" w:footer="979" w:top="1060" w:bottom="1160" w:left="980" w:right="0"/>
        </w:sectPr>
      </w:pPr>
    </w:p>
    <w:p>
      <w:pPr>
        <w:spacing w:line="240" w:lineRule="auto" w:before="7"/>
        <w:rPr>
          <w:rFonts w:ascii="宋体" w:hAnsi="宋体" w:cs="宋体" w:eastAsia="宋体" w:hint="default"/>
          <w:sz w:val="29"/>
          <w:szCs w:val="29"/>
        </w:rPr>
      </w:pPr>
    </w:p>
    <w:p>
      <w:pPr>
        <w:pStyle w:val="BodyText"/>
        <w:spacing w:line="240" w:lineRule="auto" w:before="26"/>
        <w:ind w:right="0"/>
        <w:jc w:val="left"/>
      </w:pPr>
      <w:r>
        <w:rPr/>
        <w:t>实维护中小股东的利益。</w:t>
      </w:r>
    </w:p>
    <w:p>
      <w:pPr>
        <w:pStyle w:val="BodyText"/>
        <w:spacing w:line="338" w:lineRule="auto" w:before="154"/>
        <w:ind w:left="634" w:right="0"/>
        <w:jc w:val="left"/>
      </w:pPr>
      <w:r>
        <w:rPr>
          <w:rFonts w:ascii="Times New Roman" w:hAnsi="Times New Roman" w:cs="Times New Roman" w:eastAsia="Times New Roman" w:hint="default"/>
        </w:rPr>
        <w:t>8</w:t>
      </w:r>
      <w:r>
        <w:rPr/>
        <w:t>、内部审计制度的执行 公司制定了《内部审计制度》《内部控制规范》，有效地规范了经营管理，控制风险的</w:t>
      </w:r>
    </w:p>
    <w:p>
      <w:pPr>
        <w:pStyle w:val="BodyText"/>
        <w:spacing w:line="357" w:lineRule="auto" w:before="56"/>
        <w:ind w:right="0"/>
        <w:jc w:val="left"/>
      </w:pPr>
      <w:r>
        <w:rPr/>
        <w:t>同时确保经营活动的正常开展。通过对公司各项治理制度的规范和落实，公司的治理水平不 断提高，有效的保证了公司各项经营目标的实现。</w:t>
      </w:r>
    </w:p>
    <w:p>
      <w:pPr>
        <w:pStyle w:val="BodyText"/>
        <w:spacing w:line="357" w:lineRule="auto"/>
        <w:ind w:right="1139" w:firstLine="480"/>
        <w:jc w:val="both"/>
      </w:pPr>
      <w:r>
        <w:rPr/>
        <w:t>公司董事会下设审计委员会，主要负责公司内部审计与外部审计之间进行沟通，并监督 公司内部审计制度的实施，审查公司内部控制制度的执行情况，审查公司的财务信息等。审 计委员会下设独立的内审部，内审部直接对审计委员会负责及报告工作。</w:t>
      </w:r>
    </w:p>
    <w:p>
      <w:pPr>
        <w:spacing w:before="47"/>
        <w:ind w:left="154" w:right="0" w:firstLine="0"/>
        <w:jc w:val="left"/>
        <w:rPr>
          <w:rFonts w:ascii="宋体" w:hAnsi="宋体" w:cs="宋体" w:eastAsia="宋体" w:hint="default"/>
          <w:sz w:val="18"/>
          <w:szCs w:val="18"/>
        </w:rPr>
      </w:pPr>
      <w:r>
        <w:rPr>
          <w:rFonts w:ascii="宋体" w:hAnsi="宋体" w:cs="宋体" w:eastAsia="宋体" w:hint="default"/>
          <w:sz w:val="18"/>
          <w:szCs w:val="18"/>
        </w:rPr>
        <w:t>公司治理的实际状况与中国证监会发布的有关上市公司治理的规范性文件是否存在重大差异</w:t>
      </w:r>
    </w:p>
    <w:p>
      <w:pPr>
        <w:spacing w:line="338" w:lineRule="auto" w:before="117"/>
        <w:ind w:left="154" w:right="355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公司治理的实际状况与中国证监会发布的有关上市公司治理的规范性文件不存在重大差异。</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二、公司相对于控股股东在业务、人员、资产、机构、财务等方面的独立情况" w:id="134"/>
      <w:bookmarkEnd w:id="134"/>
      <w:r>
        <w:rPr>
          <w:b w:val="0"/>
          <w:bCs w:val="0"/>
        </w:rPr>
      </w:r>
      <w:r>
        <w:rPr/>
        <w:t>二、公司相对于控股股东在业务、人员、资产、机构、财务等方面的独立情况</w:t>
      </w:r>
      <w:r>
        <w:rPr>
          <w:b w:val="0"/>
          <w:bCs w:val="0"/>
        </w:rPr>
      </w:r>
    </w:p>
    <w:p>
      <w:pPr>
        <w:spacing w:line="240" w:lineRule="auto" w:before="11"/>
        <w:rPr>
          <w:rFonts w:ascii="宋体" w:hAnsi="宋体" w:cs="宋体" w:eastAsia="宋体" w:hint="default"/>
          <w:b/>
          <w:bCs/>
          <w:sz w:val="28"/>
          <w:szCs w:val="28"/>
        </w:rPr>
      </w:pPr>
    </w:p>
    <w:p>
      <w:pPr>
        <w:pStyle w:val="BodyText"/>
        <w:spacing w:line="357" w:lineRule="auto" w:before="0"/>
        <w:ind w:right="1170" w:firstLine="480"/>
        <w:jc w:val="both"/>
      </w:pPr>
      <w:r>
        <w:rPr/>
        <w:t>公司建立了健全的公司法人治理结构。公司与控股股东在业务、人员、资产、机构、财 务等方面完全分开，均具有独立完整的自主业务能力。公司所有的生产经营或重大事项均根 据《公司章程》及相关制度的规定按授权权限提交经理层、董事会和股东大会讨论确定。</w:t>
      </w:r>
    </w:p>
    <w:p>
      <w:pPr>
        <w:pStyle w:val="BodyText"/>
        <w:spacing w:line="357" w:lineRule="auto"/>
        <w:ind w:left="634" w:right="1152"/>
        <w:jc w:val="left"/>
      </w:pPr>
      <w:r>
        <w:rPr>
          <w:rFonts w:ascii="宋体" w:hAnsi="宋体" w:cs="宋体" w:eastAsia="宋体" w:hint="default"/>
        </w:rPr>
        <w:t>1</w:t>
      </w:r>
      <w:r>
        <w:rPr/>
        <w:t>、业务独立情况 公司在业务方面独立于控股股东，拥有独立完整的业务及独立自主经营能力。同时，公</w:t>
      </w:r>
    </w:p>
    <w:p>
      <w:pPr>
        <w:pStyle w:val="BodyText"/>
        <w:spacing w:line="357" w:lineRule="auto"/>
        <w:ind w:right="1152"/>
        <w:jc w:val="left"/>
      </w:pPr>
      <w:r>
        <w:rPr/>
        <w:t>司控股股东出具了避免同业竞争的承诺，承诺不直接或间接地从事任何与公司构成同业竞争 的业务。</w:t>
      </w:r>
    </w:p>
    <w:p>
      <w:pPr>
        <w:pStyle w:val="BodyText"/>
        <w:spacing w:line="357" w:lineRule="auto"/>
        <w:ind w:left="634" w:right="1152"/>
        <w:jc w:val="left"/>
      </w:pPr>
      <w:r>
        <w:rPr>
          <w:rFonts w:ascii="宋体" w:hAnsi="宋体" w:cs="宋体" w:eastAsia="宋体" w:hint="default"/>
        </w:rPr>
        <w:t>2</w:t>
      </w:r>
      <w:r>
        <w:rPr/>
        <w:t>、人员独立方面 公司有独立的人事管理机构，负责本公司员工招聘等人力资源管理工作。本公司董事、</w:t>
      </w:r>
    </w:p>
    <w:p>
      <w:pPr>
        <w:pStyle w:val="BodyText"/>
        <w:spacing w:line="357" w:lineRule="auto"/>
        <w:ind w:left="634" w:right="1152" w:hanging="480"/>
        <w:jc w:val="left"/>
      </w:pPr>
      <w:r>
        <w:rPr/>
        <w:t>监事、高级管理人员均严格按照《公司法》《公司章程》的有关规定经选举产生和聘任。 </w:t>
      </w:r>
      <w:r>
        <w:rPr>
          <w:rFonts w:ascii="宋体" w:hAnsi="宋体" w:cs="宋体" w:eastAsia="宋体" w:hint="default"/>
        </w:rPr>
        <w:t>3</w:t>
      </w:r>
      <w:r>
        <w:rPr/>
        <w:t>、资产独立情况 公司资产独立、完整，公司对其所有的资产具有完全的控制支配权，控股股东未占用、</w:t>
      </w:r>
    </w:p>
    <w:p>
      <w:pPr>
        <w:pStyle w:val="BodyText"/>
        <w:spacing w:line="357" w:lineRule="auto"/>
        <w:ind w:left="634" w:right="8472" w:hanging="480"/>
        <w:jc w:val="left"/>
      </w:pPr>
      <w:r>
        <w:rPr/>
        <w:t>支配公司资产。 </w:t>
      </w:r>
      <w:r>
        <w:rPr>
          <w:rFonts w:ascii="宋体" w:hAnsi="宋体" w:cs="宋体" w:eastAsia="宋体" w:hint="default"/>
        </w:rPr>
        <w:t>4</w:t>
      </w:r>
      <w:r>
        <w:rPr/>
        <w:t>、机构独立情况</w:t>
      </w:r>
    </w:p>
    <w:p>
      <w:pPr>
        <w:pStyle w:val="BodyText"/>
        <w:spacing w:line="357" w:lineRule="auto"/>
        <w:ind w:right="1170" w:firstLine="480"/>
        <w:jc w:val="both"/>
      </w:pPr>
      <w:r>
        <w:rPr/>
        <w:t>公司董事会、监事会和内部机构均独立运作，与控股股东完全分开，公司控股股东依法 定程序参与公司决策。</w:t>
      </w:r>
    </w:p>
    <w:p>
      <w:pPr>
        <w:pStyle w:val="BodyText"/>
        <w:spacing w:line="240" w:lineRule="auto"/>
        <w:ind w:left="634" w:right="0"/>
        <w:jc w:val="left"/>
      </w:pPr>
      <w:r>
        <w:rPr>
          <w:rFonts w:ascii="宋体" w:hAnsi="宋体" w:cs="宋体" w:eastAsia="宋体" w:hint="default"/>
        </w:rPr>
        <w:t>5</w:t>
      </w:r>
      <w:r>
        <w:rPr/>
        <w:t>、财务独立情况</w:t>
      </w:r>
    </w:p>
    <w:p>
      <w:pPr>
        <w:spacing w:after="0" w:line="240" w:lineRule="auto"/>
        <w:jc w:val="left"/>
        <w:sectPr>
          <w:pgSz w:w="11910" w:h="16840"/>
          <w:pgMar w:header="747" w:footer="979" w:top="1060" w:bottom="1160" w:left="980" w:right="0"/>
        </w:sectPr>
      </w:pPr>
    </w:p>
    <w:p>
      <w:pPr>
        <w:spacing w:line="240" w:lineRule="auto" w:before="7"/>
        <w:rPr>
          <w:rFonts w:ascii="宋体" w:hAnsi="宋体" w:cs="宋体" w:eastAsia="宋体" w:hint="default"/>
          <w:sz w:val="29"/>
          <w:szCs w:val="29"/>
        </w:rPr>
      </w:pPr>
    </w:p>
    <w:p>
      <w:pPr>
        <w:pStyle w:val="BodyText"/>
        <w:spacing w:line="357" w:lineRule="auto" w:before="26"/>
        <w:ind w:left="174" w:right="1169" w:firstLine="480"/>
        <w:jc w:val="both"/>
      </w:pPr>
      <w:r>
        <w:rPr/>
        <w:t>公司设有独立的财务部门和专职财务人员，独立核算、独立财务决策、单独纳税，有独 立会计体系和独立银行账户，独立纳税，公司的资金使用按照公司《章程》及相关制度的规 定在授权范围内独立决策，不存在股东单位干预公司资金使用的情形。</w:t>
      </w:r>
    </w:p>
    <w:p>
      <w:pPr>
        <w:spacing w:line="240" w:lineRule="auto" w:before="11"/>
        <w:rPr>
          <w:rFonts w:ascii="宋体" w:hAnsi="宋体" w:cs="宋体" w:eastAsia="宋体" w:hint="default"/>
          <w:sz w:val="19"/>
          <w:szCs w:val="19"/>
        </w:rPr>
      </w:pPr>
    </w:p>
    <w:p>
      <w:pPr>
        <w:pStyle w:val="Heading2"/>
        <w:spacing w:line="240" w:lineRule="auto"/>
        <w:ind w:left="174" w:right="1392"/>
        <w:jc w:val="left"/>
        <w:rPr>
          <w:b w:val="0"/>
          <w:bCs w:val="0"/>
        </w:rPr>
      </w:pPr>
      <w:bookmarkStart w:name="三、同业竞争情况" w:id="135"/>
      <w:bookmarkEnd w:id="135"/>
      <w:r>
        <w:rPr>
          <w:b w:val="0"/>
          <w:bCs w:val="0"/>
        </w:rPr>
      </w:r>
      <w:r>
        <w:rPr/>
        <w:t>三、同业竞争情况</w:t>
      </w:r>
      <w:r>
        <w:rPr>
          <w:b w:val="0"/>
          <w:bCs w:val="0"/>
        </w:rPr>
      </w:r>
    </w:p>
    <w:p>
      <w:pPr>
        <w:spacing w:line="240" w:lineRule="auto" w:before="7"/>
        <w:rPr>
          <w:rFonts w:ascii="宋体" w:hAnsi="宋体" w:cs="宋体" w:eastAsia="宋体" w:hint="default"/>
          <w:b/>
          <w:bCs/>
          <w:sz w:val="26"/>
          <w:szCs w:val="26"/>
        </w:rPr>
      </w:pPr>
    </w:p>
    <w:p>
      <w:pPr>
        <w:spacing w:before="0"/>
        <w:ind w:left="174" w:right="13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left="174" w:right="1392"/>
        <w:jc w:val="left"/>
        <w:rPr>
          <w:b w:val="0"/>
          <w:bCs w:val="0"/>
        </w:rPr>
      </w:pPr>
      <w:bookmarkStart w:name="四、报告期内召开的年度股东大会和临时股东大会的有关情况" w:id="136"/>
      <w:bookmarkEnd w:id="136"/>
      <w:r>
        <w:rPr>
          <w:b w:val="0"/>
          <w:bCs w:val="0"/>
        </w:rPr>
      </w:r>
      <w:r>
        <w:rPr/>
        <w:t>四、报告期内召开的年度股东大会和临时股东大会的有关情况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spacing w:before="0"/>
        <w:ind w:left="174" w:right="1392" w:firstLine="0"/>
        <w:jc w:val="left"/>
        <w:rPr>
          <w:rFonts w:ascii="宋体" w:hAnsi="宋体" w:cs="宋体" w:eastAsia="宋体" w:hint="default"/>
          <w:sz w:val="21"/>
          <w:szCs w:val="21"/>
        </w:rPr>
      </w:pPr>
      <w:bookmarkStart w:name="1、本报告期股东大会情况" w:id="137"/>
      <w:bookmarkEnd w:id="137"/>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、本报告期股东大会情况</w:t>
      </w:r>
      <w:r>
        <w:rPr>
          <w:rFonts w:ascii="宋体" w:hAnsi="宋体" w:cs="宋体" w:eastAsia="宋体" w:hint="default"/>
          <w:sz w:val="21"/>
          <w:szCs w:val="21"/>
        </w:rPr>
      </w:r>
    </w:p>
    <w:p>
      <w:pPr>
        <w:spacing w:line="240" w:lineRule="auto" w:before="10"/>
        <w:rPr>
          <w:rFonts w:ascii="宋体" w:hAnsi="宋体" w:cs="宋体" w:eastAsia="宋体" w:hint="default"/>
          <w:b/>
          <w:bCs/>
          <w:sz w:val="25"/>
          <w:szCs w:val="25"/>
        </w:rPr>
      </w:pPr>
    </w:p>
    <w:tbl>
      <w:tblPr>
        <w:tblW w:w="0" w:type="auto"/>
        <w:jc w:val="left"/>
        <w:tblInd w:w="111" w:type="dxa"/>
        <w:tblLayout w:type="fixed"/>
        <w:tblCellMar>
          <w:top w:w="0" w:type="dxa"/>
          <w:left w:w="0" w:type="dxa"/>
          <w:bottom w:w="0" w:type="dxa"/>
          <w:right w:w="0" w:type="dxa"/>
        </w:tblCellMar>
        <w:tblLook w:val="01E0"/>
      </w:tblPr>
      <w:tblGrid>
        <w:gridCol w:w="1760"/>
        <w:gridCol w:w="1417"/>
        <w:gridCol w:w="1595"/>
        <w:gridCol w:w="1594"/>
        <w:gridCol w:w="1594"/>
        <w:gridCol w:w="1724"/>
      </w:tblGrid>
      <w:tr>
        <w:trPr>
          <w:trHeight w:val="401" w:hRule="exact"/>
        </w:trPr>
        <w:tc>
          <w:tcPr>
            <w:tcW w:w="17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会议类型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2"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402" w:hRule="exact"/>
        </w:trPr>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年度股东大会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77"/>
              <w:jc w:val="right"/>
              <w:rPr>
                <w:rFonts w:ascii="Times New Roman" w:hAnsi="Times New Roman" w:cs="Times New Roman" w:eastAsia="Times New Roman" w:hint="default"/>
                <w:sz w:val="18"/>
                <w:szCs w:val="18"/>
              </w:rPr>
            </w:pPr>
            <w:r>
              <w:rPr>
                <w:rFonts w:ascii="Times New Roman"/>
                <w:sz w:val="18"/>
              </w:rPr>
              <w:t>62.75%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center"/>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714" w:hRule="exact"/>
        </w:trPr>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80" w:right="183"/>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 股东大会</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77"/>
              <w:jc w:val="right"/>
              <w:rPr>
                <w:rFonts w:ascii="Times New Roman" w:hAnsi="Times New Roman" w:cs="Times New Roman" w:eastAsia="Times New Roman" w:hint="default"/>
                <w:sz w:val="18"/>
                <w:szCs w:val="18"/>
              </w:rPr>
            </w:pPr>
            <w:r>
              <w:rPr>
                <w:rFonts w:ascii="Times New Roman"/>
                <w:sz w:val="18"/>
              </w:rPr>
              <w:t>57.04%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00"/>
              <w:jc w:val="center"/>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714" w:hRule="exact"/>
        </w:trPr>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80" w:right="183"/>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 股东大会</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77"/>
              <w:jc w:val="right"/>
              <w:rPr>
                <w:rFonts w:ascii="Times New Roman" w:hAnsi="Times New Roman" w:cs="Times New Roman" w:eastAsia="Times New Roman" w:hint="default"/>
                <w:sz w:val="18"/>
                <w:szCs w:val="18"/>
              </w:rPr>
            </w:pPr>
            <w:r>
              <w:rPr>
                <w:rFonts w:ascii="Times New Roman"/>
                <w:sz w:val="18"/>
              </w:rPr>
              <w:t>58.03%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00"/>
              <w:jc w:val="center"/>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716" w:hRule="exact"/>
        </w:trPr>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80" w:right="183"/>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年第三次临时 股东大会</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77"/>
              <w:jc w:val="right"/>
              <w:rPr>
                <w:rFonts w:ascii="Times New Roman" w:hAnsi="Times New Roman" w:cs="Times New Roman" w:eastAsia="Times New Roman" w:hint="default"/>
                <w:sz w:val="18"/>
                <w:szCs w:val="18"/>
              </w:rPr>
            </w:pPr>
            <w:r>
              <w:rPr>
                <w:rFonts w:ascii="Times New Roman"/>
                <w:sz w:val="18"/>
              </w:rPr>
              <w:t>58.52%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00"/>
              <w:jc w:val="center"/>
              <w:rPr>
                <w:rFonts w:ascii="Times New Roman" w:hAnsi="Times New Roman" w:cs="Times New Roman" w:eastAsia="Times New Roman" w:hint="default"/>
                <w:sz w:val="18"/>
                <w:szCs w:val="18"/>
              </w:rPr>
            </w:pPr>
            <w:hyperlink r:id="rId11">
              <w:r>
                <w:rPr>
                  <w:rFonts w:ascii="Times New Roman"/>
                  <w:sz w:val="18"/>
                </w:rPr>
                <w:t>www.cninfo.com.cn</w:t>
              </w:r>
            </w:hyperlink>
          </w:p>
        </w:tc>
      </w:tr>
    </w:tbl>
    <w:p>
      <w:pPr>
        <w:spacing w:line="240" w:lineRule="auto" w:before="2"/>
        <w:rPr>
          <w:rFonts w:ascii="宋体" w:hAnsi="宋体" w:cs="宋体" w:eastAsia="宋体" w:hint="default"/>
          <w:b/>
          <w:bCs/>
          <w:sz w:val="19"/>
          <w:szCs w:val="19"/>
        </w:rPr>
      </w:pPr>
    </w:p>
    <w:p>
      <w:pPr>
        <w:spacing w:before="35"/>
        <w:ind w:left="174" w:right="1392" w:firstLine="0"/>
        <w:jc w:val="left"/>
        <w:rPr>
          <w:rFonts w:ascii="宋体" w:hAnsi="宋体" w:cs="宋体" w:eastAsia="宋体" w:hint="default"/>
          <w:sz w:val="21"/>
          <w:szCs w:val="21"/>
        </w:rPr>
      </w:pPr>
      <w:bookmarkStart w:name="2、表决权恢复的优先股股东请求召开临时股东大会" w:id="138"/>
      <w:bookmarkEnd w:id="138"/>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、表决权恢复的优先股股东请求召开临时股东大会</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74" w:right="13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left="174" w:right="1392"/>
        <w:jc w:val="left"/>
        <w:rPr>
          <w:b w:val="0"/>
          <w:bCs w:val="0"/>
        </w:rPr>
      </w:pPr>
      <w:bookmarkStart w:name="五、报告期内独立董事履行职责的情况" w:id="139"/>
      <w:bookmarkEnd w:id="139"/>
      <w:r>
        <w:rPr>
          <w:b w:val="0"/>
          <w:bCs w:val="0"/>
        </w:rPr>
      </w:r>
      <w:r>
        <w:rPr/>
        <w:t>五、报告期内独立董事履行职责的情况</w:t>
      </w:r>
      <w:r>
        <w:rPr>
          <w:b w:val="0"/>
          <w:bCs w:val="0"/>
        </w:rPr>
      </w:r>
    </w:p>
    <w:p>
      <w:pPr>
        <w:spacing w:line="240" w:lineRule="auto" w:before="9"/>
        <w:rPr>
          <w:rFonts w:ascii="宋体" w:hAnsi="宋体" w:cs="宋体" w:eastAsia="宋体" w:hint="default"/>
          <w:b/>
          <w:bCs/>
          <w:sz w:val="24"/>
          <w:szCs w:val="24"/>
        </w:rPr>
      </w:pPr>
    </w:p>
    <w:p>
      <w:pPr>
        <w:spacing w:before="0"/>
        <w:ind w:left="174" w:right="1392" w:firstLine="0"/>
        <w:jc w:val="left"/>
        <w:rPr>
          <w:rFonts w:ascii="宋体" w:hAnsi="宋体" w:cs="宋体" w:eastAsia="宋体" w:hint="default"/>
          <w:sz w:val="21"/>
          <w:szCs w:val="21"/>
        </w:rPr>
      </w:pPr>
      <w:bookmarkStart w:name="1、独立董事出席董事会及股东大会的情况" w:id="140"/>
      <w:bookmarkEnd w:id="140"/>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、独立董事出席董事会及股东大会的情况</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69" w:type="dxa"/>
        <w:tblLayout w:type="fixed"/>
        <w:tblCellMar>
          <w:top w:w="0" w:type="dxa"/>
          <w:left w:w="0" w:type="dxa"/>
          <w:bottom w:w="0" w:type="dxa"/>
          <w:right w:w="0" w:type="dxa"/>
        </w:tblCellMar>
        <w:tblLook w:val="01E0"/>
      </w:tblPr>
      <w:tblGrid>
        <w:gridCol w:w="1427"/>
        <w:gridCol w:w="1164"/>
        <w:gridCol w:w="1164"/>
        <w:gridCol w:w="1163"/>
        <w:gridCol w:w="1164"/>
        <w:gridCol w:w="1163"/>
        <w:gridCol w:w="1163"/>
        <w:gridCol w:w="1163"/>
      </w:tblGrid>
      <w:tr>
        <w:trPr>
          <w:trHeight w:val="402" w:hRule="exact"/>
        </w:trPr>
        <w:tc>
          <w:tcPr>
            <w:tcW w:w="9571"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5" w:right="36"/>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05" w:right="36" w:hanging="270"/>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07" w:right="35" w:hanging="270"/>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485" w:right="35" w:hanging="450"/>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5" w:right="35"/>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95" w:right="35"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童本立</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5" w:right="0"/>
              <w:jc w:val="left"/>
              <w:rPr>
                <w:rFonts w:ascii="Times New Roman" w:hAnsi="Times New Roman" w:cs="Times New Roman" w:eastAsia="Times New Roman" w:hint="default"/>
                <w:sz w:val="18"/>
                <w:szCs w:val="18"/>
              </w:rPr>
            </w:pPr>
            <w:r>
              <w:rPr>
                <w:rFonts w:ascii="Times New Roman"/>
                <w:sz w:val="18"/>
              </w:rPr>
              <w:t>12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5" w:right="0"/>
              <w:jc w:val="left"/>
              <w:rPr>
                <w:rFonts w:ascii="Times New Roman" w:hAnsi="Times New Roman" w:cs="Times New Roman" w:eastAsia="Times New Roman" w:hint="default"/>
                <w:sz w:val="18"/>
                <w:szCs w:val="18"/>
              </w:rPr>
            </w:pPr>
            <w:r>
              <w:rPr>
                <w:rFonts w:ascii="Times New Roman"/>
                <w:sz w:val="18"/>
              </w:rPr>
              <w:t>12</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朱加宁</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5" w:right="0"/>
              <w:jc w:val="left"/>
              <w:rPr>
                <w:rFonts w:ascii="Times New Roman" w:hAnsi="Times New Roman" w:cs="Times New Roman" w:eastAsia="Times New Roman" w:hint="default"/>
                <w:sz w:val="18"/>
                <w:szCs w:val="18"/>
              </w:rPr>
            </w:pPr>
            <w:r>
              <w:rPr>
                <w:rFonts w:ascii="Times New Roman"/>
                <w:sz w:val="18"/>
              </w:rPr>
              <w:t>12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5" w:right="0"/>
              <w:jc w:val="left"/>
              <w:rPr>
                <w:rFonts w:ascii="Times New Roman" w:hAnsi="Times New Roman" w:cs="Times New Roman" w:eastAsia="Times New Roman" w:hint="default"/>
                <w:sz w:val="18"/>
                <w:szCs w:val="18"/>
              </w:rPr>
            </w:pPr>
            <w:r>
              <w:rPr>
                <w:rFonts w:ascii="Times New Roman"/>
                <w:sz w:val="18"/>
              </w:rPr>
              <w:t>12</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张耀辉</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1" w:right="0"/>
              <w:jc w:val="left"/>
              <w:rPr>
                <w:rFonts w:ascii="Times New Roman" w:hAnsi="Times New Roman" w:cs="Times New Roman" w:eastAsia="Times New Roman" w:hint="default"/>
                <w:sz w:val="18"/>
                <w:szCs w:val="18"/>
              </w:rPr>
            </w:pPr>
            <w:r>
              <w:rPr>
                <w:rFonts w:ascii="Times New Roman"/>
                <w:sz w:val="18"/>
              </w:rPr>
              <w:t>1</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1" w:right="0"/>
              <w:jc w:val="left"/>
              <w:rPr>
                <w:rFonts w:ascii="Times New Roman" w:hAnsi="Times New Roman" w:cs="Times New Roman" w:eastAsia="Times New Roman" w:hint="default"/>
                <w:sz w:val="18"/>
                <w:szCs w:val="18"/>
              </w:rPr>
            </w:pPr>
            <w:r>
              <w:rPr>
                <w:rFonts w:ascii="Times New Roman"/>
                <w:sz w:val="18"/>
              </w:rPr>
              <w:t>1</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潘利华</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9" w:right="0"/>
              <w:jc w:val="lef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1" w:right="0"/>
              <w:jc w:val="left"/>
              <w:rPr>
                <w:rFonts w:ascii="Times New Roman" w:hAnsi="Times New Roman" w:cs="Times New Roman" w:eastAsia="Times New Roman" w:hint="default"/>
                <w:sz w:val="18"/>
                <w:szCs w:val="18"/>
              </w:rPr>
            </w:pPr>
            <w:r>
              <w:rPr>
                <w:rFonts w:ascii="Times New Roman"/>
                <w:sz w:val="18"/>
              </w:rPr>
              <w:t>9</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w:t>
            </w:r>
          </w:p>
        </w:tc>
      </w:tr>
    </w:tbl>
    <w:p>
      <w:pPr>
        <w:spacing w:before="51"/>
        <w:ind w:left="174" w:right="1392" w:firstLine="0"/>
        <w:jc w:val="left"/>
        <w:rPr>
          <w:rFonts w:ascii="宋体" w:hAnsi="宋体" w:cs="宋体" w:eastAsia="宋体" w:hint="default"/>
          <w:sz w:val="18"/>
          <w:szCs w:val="18"/>
        </w:rPr>
      </w:pPr>
      <w:r>
        <w:rPr>
          <w:rFonts w:ascii="宋体" w:hAnsi="宋体" w:cs="宋体" w:eastAsia="宋体" w:hint="default"/>
          <w:sz w:val="18"/>
          <w:szCs w:val="18"/>
        </w:rPr>
        <w:t>连续两次未亲自出席董事会的说明</w:t>
      </w:r>
    </w:p>
    <w:p>
      <w:pPr>
        <w:spacing w:after="0"/>
        <w:jc w:val="left"/>
        <w:rPr>
          <w:rFonts w:ascii="宋体" w:hAnsi="宋体" w:cs="宋体" w:eastAsia="宋体" w:hint="default"/>
          <w:sz w:val="18"/>
          <w:szCs w:val="18"/>
        </w:rPr>
        <w:sectPr>
          <w:pgSz w:w="11910" w:h="16840"/>
          <w:pgMar w:header="747" w:footer="979" w:top="1060" w:bottom="1160" w:left="960" w:right="0"/>
        </w:sectPr>
      </w:pPr>
    </w:p>
    <w:p>
      <w:pPr>
        <w:spacing w:line="240" w:lineRule="auto" w:before="9"/>
        <w:rPr>
          <w:rFonts w:ascii="宋体" w:hAnsi="宋体" w:cs="宋体" w:eastAsia="宋体" w:hint="default"/>
          <w:sz w:val="24"/>
          <w:szCs w:val="24"/>
        </w:rPr>
      </w:pPr>
    </w:p>
    <w:p>
      <w:pPr>
        <w:spacing w:before="35"/>
        <w:ind w:left="154" w:right="0" w:firstLine="0"/>
        <w:jc w:val="left"/>
        <w:rPr>
          <w:rFonts w:ascii="宋体" w:hAnsi="宋体" w:cs="宋体" w:eastAsia="宋体" w:hint="default"/>
          <w:sz w:val="21"/>
          <w:szCs w:val="21"/>
        </w:rPr>
      </w:pPr>
      <w:bookmarkStart w:name="2、独立董事对公司有关事项提出异议的情况" w:id="141"/>
      <w:bookmarkEnd w:id="141"/>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、独立董事对公司有关事项提出异议的情况</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独立董事对公司有关事项是否提出异议</w:t>
      </w:r>
    </w:p>
    <w:p>
      <w:pPr>
        <w:spacing w:line="340" w:lineRule="auto" w:before="116"/>
        <w:ind w:left="154" w:right="69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报告期内独立董事对公司有关事项未提出异议。</w:t>
      </w:r>
    </w:p>
    <w:p>
      <w:pPr>
        <w:spacing w:line="240" w:lineRule="auto" w:before="12"/>
        <w:rPr>
          <w:rFonts w:ascii="宋体" w:hAnsi="宋体" w:cs="宋体" w:eastAsia="宋体" w:hint="default"/>
          <w:sz w:val="20"/>
          <w:szCs w:val="20"/>
        </w:rPr>
      </w:pPr>
    </w:p>
    <w:p>
      <w:pPr>
        <w:spacing w:before="0"/>
        <w:ind w:left="154" w:right="0" w:firstLine="0"/>
        <w:jc w:val="left"/>
        <w:rPr>
          <w:rFonts w:ascii="宋体" w:hAnsi="宋体" w:cs="宋体" w:eastAsia="宋体" w:hint="default"/>
          <w:sz w:val="21"/>
          <w:szCs w:val="21"/>
        </w:rPr>
      </w:pPr>
      <w:bookmarkStart w:name="3、独立董事履行职责的其他说明" w:id="142"/>
      <w:bookmarkEnd w:id="142"/>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、独立董事履行职责的其他说明</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独立董事对公司有关建议是否被采纳</w:t>
      </w:r>
    </w:p>
    <w:p>
      <w:pPr>
        <w:spacing w:line="338" w:lineRule="auto" w:before="116"/>
        <w:ind w:left="154" w:right="67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独立董事对公司有关建议被采纳或未被采纳的说明</w:t>
      </w:r>
    </w:p>
    <w:p>
      <w:pPr>
        <w:pStyle w:val="BodyText"/>
        <w:spacing w:line="357" w:lineRule="auto" w:before="71"/>
        <w:ind w:right="0" w:firstLine="480"/>
        <w:jc w:val="left"/>
      </w:pPr>
      <w:r>
        <w:rPr/>
        <w:t>公司独立董事勤勉尽责，严格按照中国证监会的相关规定及《公司章程》《董事会议事 </w:t>
      </w:r>
      <w:r>
        <w:rPr>
          <w:spacing w:val="-3"/>
        </w:rPr>
        <w:t>规则》和《独立董事制度》开展工作，关注公司运作，独立履行职责，对公司内部控制建设、</w:t>
      </w:r>
      <w:r>
        <w:rPr>
          <w:spacing w:val="-83"/>
        </w:rPr>
        <w:t> </w:t>
      </w:r>
      <w:r>
        <w:rPr>
          <w:spacing w:val="-83"/>
        </w:rPr>
      </w:r>
      <w:r>
        <w:rPr/>
        <w:t>管理体系建设和重大决策等方面提出了很多宝贵的专业性建议，对公司财务及生产经营活动 进行了有效监督，提高了公司决策的科学性，为完善公司监督机制，维护公司和全体股东的</w:t>
      </w:r>
      <w:r>
        <w:rPr>
          <w:spacing w:val="-115"/>
        </w:rPr>
        <w:t> </w:t>
      </w:r>
      <w:r>
        <w:rPr>
          <w:spacing w:val="-115"/>
        </w:rPr>
      </w:r>
      <w:r>
        <w:rPr/>
        <w:t>合法权益发挥了应有的作用。</w:t>
      </w:r>
    </w:p>
    <w:p>
      <w:pPr>
        <w:spacing w:line="240" w:lineRule="auto" w:before="11"/>
        <w:rPr>
          <w:rFonts w:ascii="宋体" w:hAnsi="宋体" w:cs="宋体" w:eastAsia="宋体" w:hint="default"/>
          <w:sz w:val="19"/>
          <w:szCs w:val="19"/>
        </w:rPr>
      </w:pPr>
    </w:p>
    <w:p>
      <w:pPr>
        <w:pStyle w:val="Heading2"/>
        <w:spacing w:line="240" w:lineRule="auto"/>
        <w:ind w:right="0"/>
        <w:jc w:val="left"/>
        <w:rPr>
          <w:b w:val="0"/>
          <w:bCs w:val="0"/>
        </w:rPr>
      </w:pPr>
      <w:bookmarkStart w:name="六、董事会下设专门委员会在报告期内履行职责情况" w:id="143"/>
      <w:bookmarkEnd w:id="143"/>
      <w:r>
        <w:rPr>
          <w:b w:val="0"/>
          <w:bCs w:val="0"/>
        </w:rPr>
      </w:r>
      <w:r>
        <w:rPr/>
        <w:t>六、董事会下设专门委员会在报告期内履行职责情况</w:t>
      </w:r>
      <w:r>
        <w:rPr>
          <w:b w:val="0"/>
          <w:bCs w:val="0"/>
        </w:rPr>
      </w:r>
    </w:p>
    <w:p>
      <w:pPr>
        <w:spacing w:line="240" w:lineRule="auto" w:before="10"/>
        <w:rPr>
          <w:rFonts w:ascii="宋体" w:hAnsi="宋体" w:cs="宋体" w:eastAsia="宋体" w:hint="default"/>
          <w:b/>
          <w:bCs/>
          <w:sz w:val="28"/>
          <w:szCs w:val="28"/>
        </w:rPr>
      </w:pPr>
    </w:p>
    <w:p>
      <w:pPr>
        <w:pStyle w:val="BodyText"/>
        <w:spacing w:line="240" w:lineRule="auto" w:before="0"/>
        <w:ind w:left="634" w:right="0"/>
        <w:jc w:val="left"/>
      </w:pPr>
      <w:r>
        <w:rPr/>
        <w:t>公司董事会下设战略委员会、审计委员会、薪酬与考核委员会、提名委员会，并制定了</w:t>
      </w:r>
    </w:p>
    <w:p>
      <w:pPr>
        <w:pStyle w:val="BodyText"/>
        <w:spacing w:line="357" w:lineRule="auto" w:before="154"/>
        <w:ind w:right="1139"/>
        <w:jc w:val="both"/>
      </w:pPr>
      <w:r>
        <w:rPr/>
        <w:t>《战略委员会工作细则》《审计委员会工作细则》《提名委员会工作细则》《薪酬和考核委 员会工作细则》。报告期内，各专门委员会均能按照相关法律、法规、规范性文件及《公司 章程》等要求认真尽职地开展工作，具体履职情况如下：</w:t>
      </w:r>
    </w:p>
    <w:p>
      <w:pPr>
        <w:spacing w:line="357" w:lineRule="auto" w:before="36"/>
        <w:ind w:left="634" w:right="0" w:firstLine="2"/>
        <w:jc w:val="left"/>
        <w:rPr>
          <w:rFonts w:ascii="宋体" w:hAnsi="宋体" w:cs="宋体" w:eastAsia="宋体" w:hint="default"/>
          <w:sz w:val="24"/>
          <w:szCs w:val="24"/>
        </w:rPr>
      </w:pPr>
      <w:r>
        <w:rPr>
          <w:rFonts w:ascii="宋体" w:hAnsi="宋体" w:cs="宋体" w:eastAsia="宋体" w:hint="default"/>
          <w:b/>
          <w:bCs/>
          <w:sz w:val="24"/>
          <w:szCs w:val="24"/>
        </w:rPr>
        <w:t>1</w:t>
      </w:r>
      <w:r>
        <w:rPr>
          <w:rFonts w:ascii="宋体" w:hAnsi="宋体" w:cs="宋体" w:eastAsia="宋体" w:hint="default"/>
          <w:b/>
          <w:bCs/>
          <w:sz w:val="24"/>
          <w:szCs w:val="24"/>
        </w:rPr>
        <w:t>、战略委员会履行职责情况</w:t>
      </w:r>
      <w:r>
        <w:rPr>
          <w:rFonts w:ascii="宋体" w:hAnsi="宋体" w:cs="宋体" w:eastAsia="宋体" w:hint="default"/>
          <w:b/>
          <w:bCs/>
          <w:w w:val="99"/>
          <w:sz w:val="24"/>
          <w:szCs w:val="24"/>
        </w:rPr>
        <w:t> </w:t>
      </w:r>
      <w:r>
        <w:rPr>
          <w:rFonts w:ascii="宋体" w:hAnsi="宋体" w:cs="宋体" w:eastAsia="宋体" w:hint="default"/>
          <w:sz w:val="24"/>
          <w:szCs w:val="24"/>
        </w:rPr>
        <w:t>报告期内，战略委员会结合公司所处行业发展阶段，立足公司实际，对公司经营现状、</w:t>
      </w:r>
    </w:p>
    <w:p>
      <w:pPr>
        <w:pStyle w:val="BodyText"/>
        <w:spacing w:line="357" w:lineRule="auto"/>
        <w:ind w:left="634" w:right="1118" w:hanging="480"/>
        <w:jc w:val="left"/>
      </w:pPr>
      <w:r>
        <w:rPr/>
        <w:t>未来发展规划等事项进行了分析、讨论，并向董事会提出合理建议。 </w:t>
      </w:r>
      <w:r>
        <w:rPr>
          <w:rFonts w:ascii="宋体" w:hAnsi="宋体" w:cs="宋体" w:eastAsia="宋体" w:hint="default"/>
          <w:b/>
          <w:bCs/>
        </w:rPr>
        <w:t>2</w:t>
      </w:r>
      <w:r>
        <w:rPr>
          <w:rFonts w:ascii="宋体" w:hAnsi="宋体" w:cs="宋体" w:eastAsia="宋体" w:hint="default"/>
          <w:b/>
          <w:bCs/>
        </w:rPr>
        <w:t>、审计委员会履行职责情况</w:t>
      </w:r>
      <w:r>
        <w:rPr>
          <w:rFonts w:ascii="宋体" w:hAnsi="宋体" w:cs="宋体" w:eastAsia="宋体" w:hint="default"/>
          <w:b/>
          <w:bCs/>
          <w:w w:val="99"/>
        </w:rPr>
        <w:t> </w:t>
      </w:r>
      <w:r>
        <w:rPr/>
        <w:t>公司董事会审计委员会本着勤勉尽责的原则，充分发挥监督作用，报告期内主要履行了</w:t>
      </w:r>
    </w:p>
    <w:p>
      <w:pPr>
        <w:pStyle w:val="BodyText"/>
        <w:spacing w:line="240" w:lineRule="auto"/>
        <w:ind w:right="0"/>
        <w:jc w:val="left"/>
      </w:pPr>
      <w:r>
        <w:rPr/>
        <w:t>以下职责：</w:t>
      </w:r>
    </w:p>
    <w:p>
      <w:pPr>
        <w:pStyle w:val="BodyText"/>
        <w:spacing w:line="357" w:lineRule="auto" w:before="154"/>
        <w:ind w:right="1139" w:firstLine="480"/>
        <w:jc w:val="both"/>
      </w:pPr>
      <w:r>
        <w:rPr/>
        <w:t>报告期内，审计委员会认真审阅公司内部审计计划及总结、定期报告等，督促和指导公 司内审部门对公司经营情况进行检查；对会计师事务所的年度审计工作进行督促并就审计过 程中的相关问题进行充分沟通，确保审计工作顺利进行，积极发挥审核和监督职能。</w:t>
      </w:r>
    </w:p>
    <w:p>
      <w:pPr>
        <w:spacing w:line="357" w:lineRule="auto" w:before="36"/>
        <w:ind w:left="634" w:right="0" w:firstLine="2"/>
        <w:jc w:val="left"/>
        <w:rPr>
          <w:rFonts w:ascii="宋体" w:hAnsi="宋体" w:cs="宋体" w:eastAsia="宋体" w:hint="default"/>
          <w:sz w:val="24"/>
          <w:szCs w:val="24"/>
        </w:rPr>
      </w:pPr>
      <w:r>
        <w:rPr>
          <w:rFonts w:ascii="宋体" w:hAnsi="宋体" w:cs="宋体" w:eastAsia="宋体" w:hint="default"/>
          <w:b/>
          <w:bCs/>
          <w:sz w:val="24"/>
          <w:szCs w:val="24"/>
        </w:rPr>
        <w:t>3</w:t>
      </w:r>
      <w:r>
        <w:rPr>
          <w:rFonts w:ascii="宋体" w:hAnsi="宋体" w:cs="宋体" w:eastAsia="宋体" w:hint="default"/>
          <w:b/>
          <w:bCs/>
          <w:sz w:val="24"/>
          <w:szCs w:val="24"/>
        </w:rPr>
        <w:t>、薪酬与考核委员会的履职情况</w:t>
      </w:r>
      <w:r>
        <w:rPr>
          <w:rFonts w:ascii="宋体" w:hAnsi="宋体" w:cs="宋体" w:eastAsia="宋体" w:hint="default"/>
          <w:b/>
          <w:bCs/>
          <w:w w:val="99"/>
          <w:sz w:val="24"/>
          <w:szCs w:val="24"/>
        </w:rPr>
        <w:t> </w:t>
      </w:r>
      <w:r>
        <w:rPr>
          <w:rFonts w:ascii="宋体" w:hAnsi="宋体" w:cs="宋体" w:eastAsia="宋体" w:hint="default"/>
          <w:sz w:val="24"/>
          <w:szCs w:val="24"/>
        </w:rPr>
        <w:t>报告期内，董事会薪酬与考核委员会认真研究审查董事、高级管理人员及其他人员的薪</w:t>
      </w:r>
    </w:p>
    <w:p>
      <w:pPr>
        <w:spacing w:after="0" w:line="357" w:lineRule="auto"/>
        <w:jc w:val="left"/>
        <w:rPr>
          <w:rFonts w:ascii="宋体" w:hAnsi="宋体" w:cs="宋体" w:eastAsia="宋体" w:hint="default"/>
          <w:sz w:val="24"/>
          <w:szCs w:val="24"/>
        </w:rPr>
        <w:sectPr>
          <w:pgSz w:w="11910" w:h="16840"/>
          <w:pgMar w:header="747" w:footer="979" w:top="1060" w:bottom="1160" w:left="980" w:right="0"/>
        </w:sectPr>
      </w:pPr>
    </w:p>
    <w:p>
      <w:pPr>
        <w:spacing w:line="240" w:lineRule="auto" w:before="7"/>
        <w:rPr>
          <w:rFonts w:ascii="宋体" w:hAnsi="宋体" w:cs="宋体" w:eastAsia="宋体" w:hint="default"/>
          <w:sz w:val="29"/>
          <w:szCs w:val="29"/>
        </w:rPr>
      </w:pPr>
    </w:p>
    <w:p>
      <w:pPr>
        <w:pStyle w:val="BodyText"/>
        <w:spacing w:line="357" w:lineRule="auto" w:before="26"/>
        <w:ind w:left="174" w:right="0"/>
        <w:jc w:val="left"/>
      </w:pPr>
      <w:r>
        <w:rPr/>
        <w:t>酬政策与方案，对上述人员的考核提出专业的考核意见；拟定公司股权激励计划草案、考核 管理办法及激励对象名单。</w:t>
      </w:r>
    </w:p>
    <w:p>
      <w:pPr>
        <w:spacing w:line="357" w:lineRule="auto" w:before="36"/>
        <w:ind w:left="654" w:right="0" w:firstLine="2"/>
        <w:jc w:val="left"/>
        <w:rPr>
          <w:rFonts w:ascii="宋体" w:hAnsi="宋体" w:cs="宋体" w:eastAsia="宋体" w:hint="default"/>
          <w:sz w:val="24"/>
          <w:szCs w:val="24"/>
        </w:rPr>
      </w:pPr>
      <w:r>
        <w:rPr>
          <w:rFonts w:ascii="宋体" w:hAnsi="宋体" w:cs="宋体" w:eastAsia="宋体" w:hint="default"/>
          <w:b/>
          <w:bCs/>
          <w:sz w:val="24"/>
          <w:szCs w:val="24"/>
        </w:rPr>
        <w:t>4</w:t>
      </w:r>
      <w:r>
        <w:rPr>
          <w:rFonts w:ascii="宋体" w:hAnsi="宋体" w:cs="宋体" w:eastAsia="宋体" w:hint="default"/>
          <w:b/>
          <w:bCs/>
          <w:sz w:val="24"/>
          <w:szCs w:val="24"/>
        </w:rPr>
        <w:t>、提名委员会的履职情况</w:t>
      </w:r>
      <w:r>
        <w:rPr>
          <w:rFonts w:ascii="宋体" w:hAnsi="宋体" w:cs="宋体" w:eastAsia="宋体" w:hint="default"/>
          <w:b/>
          <w:bCs/>
          <w:w w:val="99"/>
          <w:sz w:val="24"/>
          <w:szCs w:val="24"/>
        </w:rPr>
        <w:t> </w:t>
      </w:r>
      <w:r>
        <w:rPr>
          <w:rFonts w:ascii="宋体" w:hAnsi="宋体" w:cs="宋体" w:eastAsia="宋体" w:hint="default"/>
          <w:sz w:val="24"/>
          <w:szCs w:val="24"/>
        </w:rPr>
        <w:t>报告期内，提名委员会对公司董事及高级管理人员的履职情况进行了评估，对董事、高</w:t>
      </w:r>
    </w:p>
    <w:p>
      <w:pPr>
        <w:spacing w:line="528" w:lineRule="auto" w:before="36"/>
        <w:ind w:left="174" w:right="4032" w:firstLine="0"/>
        <w:jc w:val="left"/>
        <w:rPr>
          <w:rFonts w:ascii="宋体" w:hAnsi="宋体" w:cs="宋体" w:eastAsia="宋体" w:hint="default"/>
          <w:sz w:val="24"/>
          <w:szCs w:val="24"/>
        </w:rPr>
      </w:pPr>
      <w:r>
        <w:rPr>
          <w:rFonts w:ascii="宋体" w:hAnsi="宋体" w:cs="宋体" w:eastAsia="宋体" w:hint="default"/>
          <w:sz w:val="24"/>
          <w:szCs w:val="24"/>
        </w:rPr>
        <w:t>级管理人员候选人进行资格审查，切实履行了提名委员会职责。 </w:t>
      </w:r>
      <w:bookmarkStart w:name="七、监事会工作情况" w:id="144"/>
      <w:bookmarkEnd w:id="144"/>
      <w:r>
        <w:rPr>
          <w:rFonts w:ascii="宋体" w:hAnsi="宋体" w:cs="宋体" w:eastAsia="宋体" w:hint="default"/>
          <w:sz w:val="24"/>
          <w:szCs w:val="24"/>
        </w:rPr>
      </w:r>
      <w:r>
        <w:rPr>
          <w:rFonts w:ascii="宋体" w:hAnsi="宋体" w:cs="宋体" w:eastAsia="宋体" w:hint="default"/>
          <w:b/>
          <w:bCs/>
          <w:sz w:val="24"/>
          <w:szCs w:val="24"/>
        </w:rPr>
        <w:t>七、监事会工作情况</w:t>
      </w:r>
      <w:r>
        <w:rPr>
          <w:rFonts w:ascii="宋体" w:hAnsi="宋体" w:cs="宋体" w:eastAsia="宋体" w:hint="default"/>
          <w:sz w:val="24"/>
          <w:szCs w:val="24"/>
        </w:rPr>
      </w:r>
    </w:p>
    <w:p>
      <w:pPr>
        <w:spacing w:before="59"/>
        <w:ind w:left="174" w:right="1392" w:firstLine="0"/>
        <w:jc w:val="left"/>
        <w:rPr>
          <w:rFonts w:ascii="宋体" w:hAnsi="宋体" w:cs="宋体" w:eastAsia="宋体" w:hint="default"/>
          <w:sz w:val="18"/>
          <w:szCs w:val="18"/>
        </w:rPr>
      </w:pPr>
      <w:r>
        <w:rPr>
          <w:rFonts w:ascii="宋体" w:hAnsi="宋体" w:cs="宋体" w:eastAsia="宋体" w:hint="default"/>
          <w:sz w:val="18"/>
          <w:szCs w:val="18"/>
        </w:rPr>
        <w:t>监事会在报告期内的监督活动中发现公司是否存在风险</w:t>
      </w:r>
    </w:p>
    <w:p>
      <w:pPr>
        <w:spacing w:line="340" w:lineRule="auto" w:before="116"/>
        <w:ind w:left="174" w:right="733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公司监事会对报告期内的监督事项无异议。</w:t>
      </w:r>
    </w:p>
    <w:p>
      <w:pPr>
        <w:spacing w:line="240" w:lineRule="auto" w:before="3"/>
        <w:rPr>
          <w:rFonts w:ascii="宋体" w:hAnsi="宋体" w:cs="宋体" w:eastAsia="宋体" w:hint="default"/>
          <w:sz w:val="19"/>
          <w:szCs w:val="19"/>
        </w:rPr>
      </w:pPr>
    </w:p>
    <w:p>
      <w:pPr>
        <w:pStyle w:val="Heading2"/>
        <w:spacing w:line="240" w:lineRule="auto"/>
        <w:ind w:left="174" w:right="1392"/>
        <w:jc w:val="left"/>
        <w:rPr>
          <w:b w:val="0"/>
          <w:bCs w:val="0"/>
        </w:rPr>
      </w:pPr>
      <w:bookmarkStart w:name="八、高级管理人员的考评及激励情况" w:id="145"/>
      <w:bookmarkEnd w:id="145"/>
      <w:r>
        <w:rPr>
          <w:b w:val="0"/>
          <w:bCs w:val="0"/>
        </w:rPr>
      </w:r>
      <w:r>
        <w:rPr/>
        <w:t>八、高级管理人员的考评及激励情况</w:t>
      </w:r>
      <w:r>
        <w:rPr>
          <w:b w:val="0"/>
          <w:bCs w:val="0"/>
        </w:rPr>
      </w:r>
    </w:p>
    <w:p>
      <w:pPr>
        <w:spacing w:line="240" w:lineRule="auto" w:before="11"/>
        <w:rPr>
          <w:rFonts w:ascii="宋体" w:hAnsi="宋体" w:cs="宋体" w:eastAsia="宋体" w:hint="default"/>
          <w:b/>
          <w:bCs/>
          <w:sz w:val="28"/>
          <w:szCs w:val="28"/>
        </w:rPr>
      </w:pPr>
    </w:p>
    <w:p>
      <w:pPr>
        <w:pStyle w:val="BodyText"/>
        <w:spacing w:line="357" w:lineRule="auto" w:before="0"/>
        <w:ind w:left="174" w:right="0" w:firstLine="480"/>
        <w:jc w:val="left"/>
      </w:pPr>
      <w:r>
        <w:rPr/>
        <w:t>报告期内，公司建立以市场为导向的考评体系，完善考核制度，出台了上市后首份股权 激励计划。公司高级管理人员均由董事会聘任，对董事会负责，执行董事会的决议。公司董</w:t>
      </w:r>
      <w:r>
        <w:rPr>
          <w:spacing w:val="-116"/>
        </w:rPr>
        <w:t> </w:t>
      </w:r>
      <w:r>
        <w:rPr>
          <w:spacing w:val="-116"/>
        </w:rPr>
      </w:r>
      <w:r>
        <w:rPr/>
        <w:t>事会下设薪酬与考核委员会，负责对高级管理人员的工作能力、履职情况、责任目标完成情</w:t>
      </w:r>
      <w:r>
        <w:rPr>
          <w:spacing w:val="-109"/>
        </w:rPr>
        <w:t> </w:t>
      </w:r>
      <w:r>
        <w:rPr>
          <w:spacing w:val="-109"/>
        </w:rPr>
      </w:r>
      <w:r>
        <w:rPr/>
        <w:t>况等进行考核。公司高级管理人员能够严格按照《公司法》《公司章程》及国家有关法律、</w:t>
      </w:r>
      <w:r>
        <w:rPr>
          <w:spacing w:val="-114"/>
        </w:rPr>
        <w:t> </w:t>
      </w:r>
      <w:r>
        <w:rPr>
          <w:spacing w:val="-114"/>
        </w:rPr>
      </w:r>
      <w:r>
        <w:rPr>
          <w:spacing w:val="-3"/>
        </w:rPr>
        <w:t>法规认真履行职责，积极落实公司股东大会和董事会相关决议，在公司规章制度、战略规划、</w:t>
      </w:r>
      <w:r>
        <w:rPr>
          <w:spacing w:val="-81"/>
        </w:rPr>
        <w:t> </w:t>
      </w:r>
      <w:r>
        <w:rPr>
          <w:spacing w:val="-81"/>
        </w:rPr>
      </w:r>
      <w:r>
        <w:rPr/>
        <w:t>股东大会、董事会的决策框架内，不断优化日常经营体系，持续加强内部管理，积极完成董 事会交办的各项任务。</w:t>
      </w:r>
    </w:p>
    <w:p>
      <w:pPr>
        <w:spacing w:line="240" w:lineRule="auto" w:before="11"/>
        <w:rPr>
          <w:rFonts w:ascii="宋体" w:hAnsi="宋体" w:cs="宋体" w:eastAsia="宋体" w:hint="default"/>
          <w:sz w:val="19"/>
          <w:szCs w:val="19"/>
        </w:rPr>
      </w:pPr>
    </w:p>
    <w:p>
      <w:pPr>
        <w:pStyle w:val="Heading2"/>
        <w:spacing w:line="240" w:lineRule="auto"/>
        <w:ind w:left="174" w:right="1392"/>
        <w:jc w:val="left"/>
        <w:rPr>
          <w:b w:val="0"/>
          <w:bCs w:val="0"/>
        </w:rPr>
      </w:pPr>
      <w:bookmarkStart w:name="九、内部控制评价报告" w:id="146"/>
      <w:bookmarkEnd w:id="146"/>
      <w:r>
        <w:rPr>
          <w:b w:val="0"/>
          <w:bCs w:val="0"/>
        </w:rPr>
      </w:r>
      <w:r>
        <w:rPr/>
        <w:t>九、内部控制评价报告</w:t>
      </w:r>
      <w:r>
        <w:rPr>
          <w:b w:val="0"/>
          <w:bCs w:val="0"/>
        </w:rPr>
      </w:r>
    </w:p>
    <w:p>
      <w:pPr>
        <w:spacing w:line="240" w:lineRule="auto" w:before="8"/>
        <w:rPr>
          <w:rFonts w:ascii="宋体" w:hAnsi="宋体" w:cs="宋体" w:eastAsia="宋体" w:hint="default"/>
          <w:b/>
          <w:bCs/>
          <w:sz w:val="24"/>
          <w:szCs w:val="24"/>
        </w:rPr>
      </w:pPr>
    </w:p>
    <w:p>
      <w:pPr>
        <w:spacing w:before="0"/>
        <w:ind w:left="174" w:right="1392" w:firstLine="0"/>
        <w:jc w:val="left"/>
        <w:rPr>
          <w:rFonts w:ascii="宋体" w:hAnsi="宋体" w:cs="宋体" w:eastAsia="宋体" w:hint="default"/>
          <w:sz w:val="21"/>
          <w:szCs w:val="21"/>
        </w:rPr>
      </w:pPr>
      <w:bookmarkStart w:name="1、报告期内发现的内部控制重大缺陷的具体情况" w:id="147"/>
      <w:bookmarkEnd w:id="147"/>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、报告期内发现的内部控制重大缺陷的具体情况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74" w:right="13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9"/>
        <w:rPr>
          <w:rFonts w:ascii="宋体" w:hAnsi="宋体" w:cs="宋体" w:eastAsia="宋体" w:hint="default"/>
          <w:sz w:val="25"/>
          <w:szCs w:val="25"/>
        </w:rPr>
      </w:pPr>
    </w:p>
    <w:p>
      <w:pPr>
        <w:spacing w:before="0"/>
        <w:ind w:left="174" w:right="1392" w:firstLine="0"/>
        <w:jc w:val="left"/>
        <w:rPr>
          <w:rFonts w:ascii="宋体" w:hAnsi="宋体" w:cs="宋体" w:eastAsia="宋体" w:hint="default"/>
          <w:sz w:val="21"/>
          <w:szCs w:val="21"/>
        </w:rPr>
      </w:pPr>
      <w:bookmarkStart w:name="2、内控自我评价报告" w:id="148"/>
      <w:bookmarkEnd w:id="148"/>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、内控自我评价报告</w:t>
      </w:r>
      <w:r>
        <w:rPr>
          <w:rFonts w:ascii="宋体" w:hAnsi="宋体" w:cs="宋体" w:eastAsia="宋体" w:hint="default"/>
          <w:sz w:val="21"/>
          <w:szCs w:val="21"/>
        </w:rPr>
      </w:r>
    </w:p>
    <w:p>
      <w:pPr>
        <w:spacing w:line="240" w:lineRule="auto" w:before="10"/>
        <w:rPr>
          <w:rFonts w:ascii="宋体" w:hAnsi="宋体" w:cs="宋体" w:eastAsia="宋体" w:hint="default"/>
          <w:b/>
          <w:bCs/>
          <w:sz w:val="25"/>
          <w:szCs w:val="25"/>
        </w:rPr>
      </w:pPr>
    </w:p>
    <w:tbl>
      <w:tblPr>
        <w:tblW w:w="0" w:type="auto"/>
        <w:jc w:val="left"/>
        <w:tblInd w:w="111" w:type="dxa"/>
        <w:tblLayout w:type="fixed"/>
        <w:tblCellMar>
          <w:top w:w="0" w:type="dxa"/>
          <w:left w:w="0" w:type="dxa"/>
          <w:bottom w:w="0" w:type="dxa"/>
          <w:right w:w="0" w:type="dxa"/>
        </w:tblCellMar>
        <w:tblLook w:val="01E0"/>
      </w:tblPr>
      <w:tblGrid>
        <w:gridCol w:w="3195"/>
        <w:gridCol w:w="6375"/>
      </w:tblGrid>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Times New Roman" w:hAnsi="Times New Roman" w:cs="Times New Roman" w:eastAsia="Times New Roman" w:hint="default"/>
                <w:sz w:val="18"/>
                <w:szCs w:val="18"/>
              </w:rPr>
              <w:t>http://www.cninfo.com.cn)</w:t>
            </w:r>
            <w:r>
              <w:rPr>
                <w:rFonts w:ascii="宋体" w:hAnsi="宋体" w:cs="宋体" w:eastAsia="宋体" w:hint="default"/>
                <w:sz w:val="18"/>
                <w:szCs w:val="18"/>
              </w:rPr>
              <w:t>披露</w:t>
            </w:r>
          </w:p>
        </w:tc>
      </w:tr>
      <w:tr>
        <w:trPr>
          <w:trHeight w:val="714"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0" w:right="222"/>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 并财务报表资产总额的比例</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77"/>
              <w:jc w:val="right"/>
              <w:rPr>
                <w:rFonts w:ascii="Times New Roman" w:hAnsi="Times New Roman" w:cs="Times New Roman" w:eastAsia="Times New Roman" w:hint="default"/>
                <w:sz w:val="18"/>
                <w:szCs w:val="18"/>
              </w:rPr>
            </w:pPr>
            <w:r>
              <w:rPr>
                <w:rFonts w:ascii="Times New Roman"/>
                <w:sz w:val="18"/>
              </w:rPr>
              <w:t>100.00%</w:t>
            </w:r>
          </w:p>
        </w:tc>
      </w:tr>
      <w:tr>
        <w:trPr>
          <w:trHeight w:val="714"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0" w:right="222"/>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 并财务报表营业收入的比例</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77"/>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957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bl>
    <w:p>
      <w:pPr>
        <w:spacing w:after="0" w:line="240" w:lineRule="auto"/>
        <w:jc w:val="center"/>
        <w:rPr>
          <w:rFonts w:ascii="宋体" w:hAnsi="宋体" w:cs="宋体" w:eastAsia="宋体" w:hint="default"/>
          <w:sz w:val="18"/>
          <w:szCs w:val="18"/>
        </w:rPr>
        <w:sectPr>
          <w:pgSz w:w="11910" w:h="16840"/>
          <w:pgMar w:header="747" w:footer="979" w:top="1060" w:bottom="1160" w:left="960" w:right="0"/>
        </w:sectPr>
      </w:pPr>
    </w:p>
    <w:p>
      <w:pPr>
        <w:spacing w:line="240" w:lineRule="auto" w:before="6"/>
        <w:rPr>
          <w:rFonts w:ascii="宋体" w:hAnsi="宋体" w:cs="宋体" w:eastAsia="宋体" w:hint="default"/>
          <w:b/>
          <w:bCs/>
          <w:sz w:val="28"/>
          <w:szCs w:val="28"/>
        </w:rPr>
      </w:pPr>
    </w:p>
    <w:tbl>
      <w:tblPr>
        <w:tblW w:w="0" w:type="auto"/>
        <w:jc w:val="left"/>
        <w:tblInd w:w="111" w:type="dxa"/>
        <w:tblLayout w:type="fixed"/>
        <w:tblCellMar>
          <w:top w:w="0" w:type="dxa"/>
          <w:left w:w="0" w:type="dxa"/>
          <w:bottom w:w="0" w:type="dxa"/>
          <w:right w:w="0" w:type="dxa"/>
        </w:tblCellMar>
        <w:tblLook w:val="01E0"/>
      </w:tblPr>
      <w:tblGrid>
        <w:gridCol w:w="3195"/>
        <w:gridCol w:w="3323"/>
        <w:gridCol w:w="3052"/>
      </w:tblGrid>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352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left="80"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80" w:right="-7"/>
              <w:jc w:val="left"/>
              <w:rPr>
                <w:rFonts w:ascii="宋体" w:hAnsi="宋体" w:cs="宋体" w:eastAsia="宋体" w:hint="default"/>
                <w:sz w:val="18"/>
                <w:szCs w:val="18"/>
              </w:rPr>
            </w:pPr>
            <w:r>
              <w:rPr>
                <w:rFonts w:ascii="宋体" w:hAnsi="宋体" w:cs="宋体" w:eastAsia="宋体" w:hint="default"/>
                <w:spacing w:val="-5"/>
                <w:sz w:val="18"/>
                <w:szCs w:val="18"/>
              </w:rPr>
              <w:t>重大缺陷：发生涉及财务信息披露的重大</w:t>
            </w:r>
            <w:r>
              <w:rPr>
                <w:rFonts w:ascii="宋体" w:hAnsi="宋体" w:cs="宋体" w:eastAsia="宋体" w:hint="default"/>
                <w:sz w:val="18"/>
                <w:szCs w:val="18"/>
              </w:rPr>
              <w:t> </w:t>
            </w:r>
            <w:r>
              <w:rPr>
                <w:rFonts w:ascii="宋体" w:hAnsi="宋体" w:cs="宋体" w:eastAsia="宋体" w:hint="default"/>
                <w:spacing w:val="-5"/>
                <w:sz w:val="18"/>
                <w:szCs w:val="18"/>
              </w:rPr>
              <w:t>舞弊行为；公司财务报告存在重大错报被</w:t>
            </w:r>
            <w:r>
              <w:rPr>
                <w:rFonts w:ascii="宋体" w:hAnsi="宋体" w:cs="宋体" w:eastAsia="宋体" w:hint="default"/>
                <w:sz w:val="18"/>
                <w:szCs w:val="18"/>
              </w:rPr>
              <w:t> </w:t>
            </w:r>
            <w:r>
              <w:rPr>
                <w:rFonts w:ascii="宋体" w:hAnsi="宋体" w:cs="宋体" w:eastAsia="宋体" w:hint="default"/>
                <w:spacing w:val="-5"/>
                <w:sz w:val="18"/>
                <w:szCs w:val="18"/>
              </w:rPr>
              <w:t>外部监管机构或审计机构发现，公司对应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5"/>
                <w:sz w:val="18"/>
                <w:szCs w:val="18"/>
              </w:rPr>
              <w:t>的控制活动未能识别相关错报；公司财务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报告编报控制程序存在重大漏洞，可能导</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5"/>
                <w:sz w:val="18"/>
                <w:szCs w:val="18"/>
              </w:rPr>
              <w:t>致公司报表出现重大错报。重要缺陷：公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司财务报告编报控制程序存在控制漏洞， </w:t>
            </w:r>
            <w:r>
              <w:rPr>
                <w:rFonts w:ascii="宋体" w:hAnsi="宋体" w:cs="宋体" w:eastAsia="宋体" w:hint="default"/>
                <w:spacing w:val="-5"/>
                <w:sz w:val="18"/>
                <w:szCs w:val="18"/>
              </w:rPr>
              <w:t>虽然不会导致公司报表出现重大错报，但</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仍应引起公司董事会及管理层重视并改 </w:t>
            </w:r>
            <w:r>
              <w:rPr>
                <w:rFonts w:ascii="宋体" w:hAnsi="宋体" w:cs="宋体" w:eastAsia="宋体" w:hint="default"/>
                <w:spacing w:val="-5"/>
                <w:sz w:val="18"/>
                <w:szCs w:val="18"/>
              </w:rPr>
              <w:t>进的缺陷。一般缺陷：除重大缺陷和重要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缺陷之外的财务报告内部控制缺陷。</w:t>
            </w:r>
          </w:p>
        </w:tc>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80" w:right="-10"/>
              <w:jc w:val="left"/>
              <w:rPr>
                <w:rFonts w:ascii="宋体" w:hAnsi="宋体" w:cs="宋体" w:eastAsia="宋体" w:hint="default"/>
                <w:sz w:val="18"/>
                <w:szCs w:val="18"/>
              </w:rPr>
            </w:pPr>
            <w:r>
              <w:rPr>
                <w:rFonts w:ascii="宋体" w:hAnsi="宋体" w:cs="宋体" w:eastAsia="宋体" w:hint="default"/>
                <w:sz w:val="18"/>
                <w:szCs w:val="18"/>
              </w:rPr>
              <w:t>重大缺陷：缺陷发生的可能性高，会 严重降低工作效率或效果、或严重加 大效果的不确定性、或使之严重偏离 预期目标；重要缺陷：缺陷发生的可 能性较高，会显著降低工作效率或效 果、或显著加大效果的不确定性、或 使之显著偏离预期目标；一般缺陷： 缺陷发生的可能性较小，会降低工作 </w:t>
            </w:r>
            <w:r>
              <w:rPr>
                <w:rFonts w:ascii="宋体" w:hAnsi="宋体" w:cs="宋体" w:eastAsia="宋体" w:hint="default"/>
                <w:spacing w:val="-6"/>
                <w:sz w:val="18"/>
                <w:szCs w:val="18"/>
              </w:rPr>
              <w:t>效率或效果、或加大效果的不确定性、</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或使之偏离预期目标。</w:t>
            </w:r>
          </w:p>
        </w:tc>
      </w:tr>
      <w:tr>
        <w:trPr>
          <w:trHeight w:val="196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80"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00" w:lineRule="auto"/>
              <w:ind w:left="80" w:right="78"/>
              <w:jc w:val="left"/>
              <w:rPr>
                <w:rFonts w:ascii="宋体" w:hAnsi="宋体" w:cs="宋体" w:eastAsia="宋体" w:hint="default"/>
                <w:sz w:val="18"/>
                <w:szCs w:val="18"/>
              </w:rPr>
            </w:pPr>
            <w:r>
              <w:rPr>
                <w:rFonts w:ascii="宋体" w:hAnsi="宋体" w:cs="宋体" w:eastAsia="宋体" w:hint="default"/>
                <w:sz w:val="18"/>
                <w:szCs w:val="18"/>
              </w:rPr>
              <w:t>重大缺陷：错报金额</w:t>
            </w:r>
            <w:r>
              <w:rPr>
                <w:rFonts w:ascii="Times New Roman" w:hAnsi="Times New Roman" w:cs="Times New Roman" w:eastAsia="Times New Roman" w:hint="default"/>
                <w:sz w:val="18"/>
                <w:szCs w:val="18"/>
              </w:rPr>
              <w:t>≥</w:t>
            </w:r>
            <w:r>
              <w:rPr>
                <w:rFonts w:ascii="宋体" w:hAnsi="宋体" w:cs="宋体" w:eastAsia="宋体" w:hint="default"/>
                <w:sz w:val="18"/>
                <w:szCs w:val="18"/>
              </w:rPr>
              <w:t>合并财务报表营业 收入的</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；重要缺陷：合并财务报表营 业收入的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错报金额＜合并财务报表 营业收入的</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；一般缺陷：错报金额＜ 合并财务报表营业收入的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1"/>
              <w:ind w:left="80" w:right="79"/>
              <w:jc w:val="left"/>
              <w:rPr>
                <w:rFonts w:ascii="宋体" w:hAnsi="宋体" w:cs="宋体" w:eastAsia="宋体" w:hint="default"/>
                <w:sz w:val="18"/>
                <w:szCs w:val="18"/>
              </w:rPr>
            </w:pPr>
            <w:r>
              <w:rPr>
                <w:rFonts w:ascii="宋体" w:hAnsi="宋体" w:cs="宋体" w:eastAsia="宋体" w:hint="default"/>
                <w:sz w:val="18"/>
                <w:szCs w:val="18"/>
              </w:rPr>
              <w:t>重大缺陷：错报金额</w:t>
            </w:r>
            <w:r>
              <w:rPr>
                <w:rFonts w:ascii="Times New Roman" w:hAnsi="Times New Roman" w:cs="Times New Roman" w:eastAsia="Times New Roman" w:hint="default"/>
                <w:sz w:val="18"/>
                <w:szCs w:val="18"/>
              </w:rPr>
              <w:t>≥</w:t>
            </w:r>
            <w:r>
              <w:rPr>
                <w:rFonts w:ascii="宋体" w:hAnsi="宋体" w:cs="宋体" w:eastAsia="宋体" w:hint="default"/>
                <w:sz w:val="18"/>
                <w:szCs w:val="18"/>
              </w:rPr>
              <w:t>合并财务报表 营业收入的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；重要缺陷：合并财 务报表营业收入的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错报金额＜ 合并财务报表营业收入的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；一般 缺陷：错报金额＜合并财务报表营业 收入的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8"/>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8"/>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8"/>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8"/>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2"/>
        <w:rPr>
          <w:rFonts w:ascii="宋体" w:hAnsi="宋体" w:cs="宋体" w:eastAsia="宋体" w:hint="default"/>
          <w:b/>
          <w:bCs/>
          <w:sz w:val="18"/>
          <w:szCs w:val="18"/>
        </w:rPr>
      </w:pPr>
    </w:p>
    <w:p>
      <w:pPr>
        <w:pStyle w:val="Heading2"/>
        <w:spacing w:line="240" w:lineRule="auto" w:before="26"/>
        <w:ind w:left="174" w:right="1392"/>
        <w:jc w:val="left"/>
        <w:rPr>
          <w:b w:val="0"/>
          <w:bCs w:val="0"/>
        </w:rPr>
      </w:pPr>
      <w:bookmarkStart w:name="十、内部控制审计报告或鉴证报告" w:id="149"/>
      <w:bookmarkEnd w:id="149"/>
      <w:r>
        <w:rPr>
          <w:b w:val="0"/>
          <w:bCs w:val="0"/>
        </w:rPr>
      </w:r>
      <w:r>
        <w:rPr/>
        <w:t>十、内部控制审计报告或鉴证报告</w:t>
      </w:r>
      <w:r>
        <w:rPr>
          <w:b w:val="0"/>
          <w:bCs w:val="0"/>
        </w:rPr>
      </w:r>
    </w:p>
    <w:p>
      <w:pPr>
        <w:spacing w:line="240" w:lineRule="auto" w:before="7"/>
        <w:rPr>
          <w:rFonts w:ascii="宋体" w:hAnsi="宋体" w:cs="宋体" w:eastAsia="宋体" w:hint="default"/>
          <w:b/>
          <w:bCs/>
          <w:sz w:val="26"/>
          <w:szCs w:val="26"/>
        </w:rPr>
      </w:pPr>
    </w:p>
    <w:p>
      <w:pPr>
        <w:spacing w:before="0"/>
        <w:ind w:left="174" w:right="1392"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6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126" w:right="0"/>
        <w:jc w:val="left"/>
        <w:rPr>
          <w:b w:val="0"/>
          <w:bCs w:val="0"/>
        </w:rPr>
      </w:pPr>
      <w:bookmarkStart w:name="第十节 公司债券相关情况" w:id="150"/>
      <w:bookmarkEnd w:id="150"/>
      <w:r>
        <w:rPr>
          <w:b w:val="0"/>
          <w:bCs w:val="0"/>
        </w:rPr>
      </w:r>
      <w:bookmarkStart w:name="_bookmark8" w:id="151"/>
      <w:bookmarkEnd w:id="151"/>
      <w:r>
        <w:rPr>
          <w:b w:val="0"/>
          <w:bCs w:val="0"/>
        </w:rPr>
      </w:r>
      <w:r>
        <w:rPr/>
        <w:t>第十节</w:t>
      </w:r>
      <w:r>
        <w:rPr>
          <w:spacing w:val="-9"/>
        </w:rPr>
        <w:t> </w:t>
      </w:r>
      <w:r>
        <w:rPr/>
        <w:t>公司债券相关情况</w:t>
      </w:r>
      <w:r>
        <w:rPr>
          <w:b w:val="0"/>
          <w:bCs w:val="0"/>
        </w:rPr>
      </w:r>
    </w:p>
    <w:p>
      <w:pPr>
        <w:spacing w:line="240" w:lineRule="auto" w:before="8"/>
        <w:rPr>
          <w:rFonts w:ascii="宋体" w:hAnsi="宋体" w:cs="宋体" w:eastAsia="宋体" w:hint="default"/>
          <w:b/>
          <w:bCs/>
          <w:sz w:val="42"/>
          <w:szCs w:val="42"/>
        </w:rPr>
      </w:pPr>
    </w:p>
    <w:p>
      <w:pPr>
        <w:spacing w:line="357" w:lineRule="auto" w:before="0"/>
        <w:ind w:left="154" w:right="2112" w:firstLine="0"/>
        <w:jc w:val="left"/>
        <w:rPr>
          <w:rFonts w:ascii="宋体" w:hAnsi="宋体" w:cs="宋体" w:eastAsia="宋体" w:hint="default"/>
          <w:sz w:val="18"/>
          <w:szCs w:val="18"/>
        </w:rPr>
      </w:pPr>
      <w:r>
        <w:rPr>
          <w:rFonts w:ascii="宋体" w:hAnsi="宋体" w:cs="宋体" w:eastAsia="宋体" w:hint="default"/>
          <w:sz w:val="18"/>
          <w:szCs w:val="18"/>
        </w:rPr>
        <w:t>公司是否存在公开发行并在证券交易所上市，且在年度报告批准报出日未到期或到期未能全额兑付的公司债券 否</w:t>
      </w:r>
    </w:p>
    <w:p>
      <w:pPr>
        <w:spacing w:after="0" w:line="357"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608" w:right="0"/>
        <w:jc w:val="left"/>
        <w:rPr>
          <w:b w:val="0"/>
          <w:bCs w:val="0"/>
        </w:rPr>
      </w:pPr>
      <w:bookmarkStart w:name="第十一节 财务报告" w:id="152"/>
      <w:bookmarkEnd w:id="152"/>
      <w:r>
        <w:rPr>
          <w:b w:val="0"/>
          <w:bCs w:val="0"/>
        </w:rPr>
      </w:r>
      <w:bookmarkStart w:name="_bookmark9" w:id="153"/>
      <w:bookmarkEnd w:id="153"/>
      <w:r>
        <w:rPr>
          <w:b w:val="0"/>
          <w:bCs w:val="0"/>
        </w:rPr>
      </w:r>
      <w:r>
        <w:rPr/>
        <w:t>第十一节</w:t>
      </w:r>
      <w:r>
        <w:rPr>
          <w:spacing w:val="-6"/>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审计报告" w:id="154"/>
      <w:bookmarkEnd w:id="154"/>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4"/>
        <w:gridCol w:w="4785"/>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天健会计师事务所（特殊普通合伙）</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天健审〔</w:t>
            </w:r>
            <w:r>
              <w:rPr>
                <w:rFonts w:ascii="Times New Roman" w:hAnsi="Times New Roman" w:cs="Times New Roman" w:eastAsia="Times New Roman" w:hint="default"/>
                <w:sz w:val="18"/>
                <w:szCs w:val="18"/>
              </w:rPr>
              <w:t>2019</w:t>
            </w:r>
            <w:r>
              <w:rPr>
                <w:rFonts w:ascii="宋体" w:hAnsi="宋体" w:cs="宋体" w:eastAsia="宋体" w:hint="default"/>
                <w:sz w:val="18"/>
                <w:szCs w:val="18"/>
              </w:rPr>
              <w:t>〕</w:t>
            </w:r>
            <w:r>
              <w:rPr>
                <w:rFonts w:ascii="Times New Roman" w:hAnsi="Times New Roman" w:cs="Times New Roman" w:eastAsia="Times New Roman" w:hint="default"/>
                <w:sz w:val="18"/>
                <w:szCs w:val="18"/>
              </w:rPr>
              <w:t>1308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胡燕华、罗衡</w:t>
            </w:r>
          </w:p>
        </w:tc>
      </w:tr>
    </w:tbl>
    <w:p>
      <w:pPr>
        <w:spacing w:before="51"/>
        <w:ind w:left="0" w:right="976" w:firstLine="0"/>
        <w:jc w:val="center"/>
        <w:rPr>
          <w:rFonts w:ascii="宋体" w:hAnsi="宋体" w:cs="宋体" w:eastAsia="宋体" w:hint="default"/>
          <w:sz w:val="18"/>
          <w:szCs w:val="18"/>
        </w:rPr>
      </w:pPr>
      <w:r>
        <w:rPr>
          <w:rFonts w:ascii="宋体" w:hAnsi="宋体" w:cs="宋体" w:eastAsia="宋体" w:hint="default"/>
          <w:sz w:val="18"/>
          <w:szCs w:val="18"/>
        </w:rPr>
        <w:t>审计报告正文</w:t>
      </w:r>
    </w:p>
    <w:p>
      <w:pPr>
        <w:tabs>
          <w:tab w:pos="721" w:val="left" w:leader="none"/>
          <w:tab w:pos="1443" w:val="left" w:leader="none"/>
          <w:tab w:pos="2167" w:val="left" w:leader="none"/>
        </w:tabs>
        <w:spacing w:before="126"/>
        <w:ind w:left="0" w:right="979" w:firstLine="0"/>
        <w:jc w:val="center"/>
        <w:rPr>
          <w:rFonts w:ascii="黑体" w:hAnsi="黑体" w:cs="黑体" w:eastAsia="黑体" w:hint="default"/>
          <w:sz w:val="36"/>
          <w:szCs w:val="36"/>
        </w:rPr>
      </w:pPr>
      <w:r>
        <w:rPr>
          <w:rFonts w:ascii="黑体" w:hAnsi="黑体" w:cs="黑体" w:eastAsia="黑体" w:hint="default"/>
          <w:b/>
          <w:bCs/>
          <w:w w:val="95"/>
          <w:sz w:val="36"/>
          <w:szCs w:val="36"/>
        </w:rPr>
        <w:t>审</w:t>
        <w:tab/>
        <w:t>计</w:t>
        <w:tab/>
        <w:t>报</w:t>
        <w:tab/>
      </w:r>
      <w:r>
        <w:rPr>
          <w:rFonts w:ascii="黑体" w:hAnsi="黑体" w:cs="黑体" w:eastAsia="黑体" w:hint="default"/>
          <w:b/>
          <w:bCs/>
          <w:sz w:val="36"/>
          <w:szCs w:val="36"/>
        </w:rPr>
        <w:t>告</w:t>
      </w:r>
      <w:r>
        <w:rPr>
          <w:rFonts w:ascii="黑体" w:hAnsi="黑体" w:cs="黑体" w:eastAsia="黑体" w:hint="default"/>
          <w:sz w:val="36"/>
          <w:szCs w:val="36"/>
        </w:rPr>
      </w:r>
    </w:p>
    <w:p>
      <w:pPr>
        <w:spacing w:before="261"/>
        <w:ind w:left="0" w:right="977" w:firstLine="0"/>
        <w:jc w:val="center"/>
        <w:rPr>
          <w:rFonts w:ascii="黑体" w:hAnsi="黑体" w:cs="黑体" w:eastAsia="黑体" w:hint="default"/>
          <w:sz w:val="18"/>
          <w:szCs w:val="18"/>
        </w:rPr>
      </w:pPr>
      <w:r>
        <w:rPr>
          <w:rFonts w:ascii="黑体" w:hAnsi="黑体" w:cs="黑体" w:eastAsia="黑体" w:hint="default"/>
          <w:sz w:val="18"/>
          <w:szCs w:val="18"/>
        </w:rPr>
        <w:t>天健审〔</w:t>
      </w:r>
      <w:r>
        <w:rPr>
          <w:rFonts w:ascii="黑体" w:hAnsi="黑体" w:cs="黑体" w:eastAsia="黑体" w:hint="default"/>
          <w:sz w:val="18"/>
          <w:szCs w:val="18"/>
        </w:rPr>
        <w:t>2019</w:t>
      </w:r>
      <w:r>
        <w:rPr>
          <w:rFonts w:ascii="黑体" w:hAnsi="黑体" w:cs="黑体" w:eastAsia="黑体" w:hint="default"/>
          <w:sz w:val="18"/>
          <w:szCs w:val="18"/>
        </w:rPr>
        <w:t>〕</w:t>
      </w:r>
      <w:r>
        <w:rPr>
          <w:rFonts w:ascii="黑体" w:hAnsi="黑体" w:cs="黑体" w:eastAsia="黑体" w:hint="default"/>
          <w:sz w:val="18"/>
          <w:szCs w:val="18"/>
        </w:rPr>
        <w:t>1308</w:t>
      </w:r>
      <w:r>
        <w:rPr>
          <w:rFonts w:ascii="黑体" w:hAnsi="黑体" w:cs="黑体" w:eastAsia="黑体" w:hint="default"/>
          <w:spacing w:val="-46"/>
          <w:sz w:val="18"/>
          <w:szCs w:val="18"/>
        </w:rPr>
        <w:t> </w:t>
      </w:r>
      <w:r>
        <w:rPr>
          <w:rFonts w:ascii="黑体" w:hAnsi="黑体" w:cs="黑体" w:eastAsia="黑体" w:hint="default"/>
          <w:sz w:val="18"/>
          <w:szCs w:val="18"/>
        </w:rPr>
        <w:t>号</w:t>
      </w:r>
    </w:p>
    <w:p>
      <w:pPr>
        <w:spacing w:line="240" w:lineRule="auto" w:before="0"/>
        <w:rPr>
          <w:rFonts w:ascii="黑体" w:hAnsi="黑体" w:cs="黑体" w:eastAsia="黑体" w:hint="default"/>
          <w:sz w:val="18"/>
          <w:szCs w:val="18"/>
        </w:rPr>
      </w:pPr>
    </w:p>
    <w:p>
      <w:pPr>
        <w:spacing w:line="240" w:lineRule="auto" w:before="0"/>
        <w:rPr>
          <w:rFonts w:ascii="黑体" w:hAnsi="黑体" w:cs="黑体" w:eastAsia="黑体" w:hint="default"/>
          <w:sz w:val="18"/>
          <w:szCs w:val="18"/>
        </w:rPr>
      </w:pPr>
    </w:p>
    <w:p>
      <w:pPr>
        <w:spacing w:line="240" w:lineRule="auto" w:before="11"/>
        <w:rPr>
          <w:rFonts w:ascii="黑体" w:hAnsi="黑体" w:cs="黑体" w:eastAsia="黑体" w:hint="default"/>
          <w:sz w:val="19"/>
          <w:szCs w:val="19"/>
        </w:rPr>
      </w:pPr>
    </w:p>
    <w:p>
      <w:pPr>
        <w:pStyle w:val="BodyText"/>
        <w:spacing w:line="240" w:lineRule="auto" w:before="0"/>
        <w:ind w:right="0"/>
        <w:jc w:val="left"/>
      </w:pPr>
      <w:r>
        <w:rPr/>
        <w:t>浙江正元智慧科技股份有限公司全体股东：</w:t>
      </w: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29"/>
          <w:szCs w:val="29"/>
        </w:rPr>
      </w:pPr>
    </w:p>
    <w:p>
      <w:pPr>
        <w:pStyle w:val="Heading2"/>
        <w:spacing w:line="240" w:lineRule="auto"/>
        <w:ind w:left="636" w:right="0"/>
        <w:jc w:val="left"/>
        <w:rPr>
          <w:rFonts w:ascii="黑体" w:hAnsi="黑体" w:cs="黑体" w:eastAsia="黑体" w:hint="default"/>
          <w:b w:val="0"/>
          <w:bCs w:val="0"/>
        </w:rPr>
      </w:pPr>
      <w:bookmarkStart w:name="一、审计意见" w:id="155"/>
      <w:bookmarkEnd w:id="155"/>
      <w:r>
        <w:rPr>
          <w:b w:val="0"/>
          <w:bCs w:val="0"/>
        </w:rPr>
      </w:r>
      <w:r>
        <w:rPr>
          <w:rFonts w:ascii="黑体" w:hAnsi="黑体" w:cs="黑体" w:eastAsia="黑体" w:hint="default"/>
        </w:rPr>
        <w:t>一、审计意见</w:t>
      </w:r>
      <w:r>
        <w:rPr>
          <w:rFonts w:ascii="黑体" w:hAnsi="黑体" w:cs="黑体" w:eastAsia="黑体" w:hint="default"/>
          <w:b w:val="0"/>
          <w:bCs w:val="0"/>
        </w:rPr>
      </w:r>
    </w:p>
    <w:p>
      <w:pPr>
        <w:pStyle w:val="BodyText"/>
        <w:spacing w:line="357" w:lineRule="auto" w:before="192"/>
        <w:ind w:right="1130" w:firstLine="480"/>
        <w:jc w:val="both"/>
      </w:pPr>
      <w:r>
        <w:rPr/>
        <w:t>我们审计了浙江正元智慧科技股份有限公司（以下简称正元智慧公司）财务报表，包括 </w:t>
      </w:r>
      <w:r>
        <w:rPr>
          <w:rFonts w:ascii="宋体" w:hAnsi="宋体" w:cs="宋体" w:eastAsia="宋体" w:hint="default"/>
        </w:rPr>
        <w:t>2018</w:t>
      </w:r>
      <w:r>
        <w:rPr>
          <w:rFonts w:ascii="宋体" w:hAnsi="宋体" w:cs="宋体" w:eastAsia="宋体" w:hint="default"/>
          <w:spacing w:val="-57"/>
        </w:rPr>
        <w:t> </w:t>
      </w:r>
      <w:r>
        <w:rPr/>
        <w:t>年</w:t>
      </w:r>
      <w:r>
        <w:rPr>
          <w:spacing w:val="-57"/>
        </w:rPr>
        <w:t> </w:t>
      </w:r>
      <w:r>
        <w:rPr>
          <w:rFonts w:ascii="宋体" w:hAnsi="宋体" w:cs="宋体" w:eastAsia="宋体" w:hint="default"/>
        </w:rPr>
        <w:t>12</w:t>
      </w:r>
      <w:r>
        <w:rPr>
          <w:rFonts w:ascii="宋体" w:hAnsi="宋体" w:cs="宋体" w:eastAsia="宋体" w:hint="default"/>
          <w:spacing w:val="-57"/>
        </w:rPr>
        <w:t> </w:t>
      </w:r>
      <w:r>
        <w:rPr/>
        <w:t>月</w:t>
      </w:r>
      <w:r>
        <w:rPr>
          <w:spacing w:val="-57"/>
        </w:rPr>
        <w:t> </w:t>
      </w:r>
      <w:r>
        <w:rPr>
          <w:rFonts w:ascii="宋体" w:hAnsi="宋体" w:cs="宋体" w:eastAsia="宋体" w:hint="default"/>
        </w:rPr>
        <w:t>31</w:t>
      </w:r>
      <w:r>
        <w:rPr>
          <w:rFonts w:ascii="宋体" w:hAnsi="宋体" w:cs="宋体" w:eastAsia="宋体" w:hint="default"/>
          <w:spacing w:val="-57"/>
        </w:rPr>
        <w:t> </w:t>
      </w:r>
      <w:r>
        <w:rPr>
          <w:spacing w:val="-3"/>
        </w:rPr>
        <w:t>日的合并及母公司资产负债表，</w:t>
      </w:r>
      <w:r>
        <w:rPr>
          <w:rFonts w:ascii="宋体" w:hAnsi="宋体" w:cs="宋体" w:eastAsia="宋体" w:hint="default"/>
          <w:spacing w:val="-3"/>
        </w:rPr>
        <w:t>2018</w:t>
      </w:r>
      <w:r>
        <w:rPr>
          <w:rFonts w:ascii="宋体" w:hAnsi="宋体" w:cs="宋体" w:eastAsia="宋体" w:hint="default"/>
          <w:spacing w:val="-57"/>
        </w:rPr>
        <w:t> </w:t>
      </w:r>
      <w:r>
        <w:rPr>
          <w:spacing w:val="-3"/>
        </w:rPr>
        <w:t>年度的合并及母公司利润表、合并及母</w:t>
      </w:r>
      <w:r>
        <w:rPr/>
        <w:t> 公司现金流量表、合并及母公司所有者权益变动表，以及相关财务报表附注。</w:t>
      </w:r>
    </w:p>
    <w:p>
      <w:pPr>
        <w:pStyle w:val="BodyText"/>
        <w:spacing w:line="357" w:lineRule="auto" w:before="76"/>
        <w:ind w:right="1129" w:firstLine="480"/>
        <w:jc w:val="both"/>
      </w:pPr>
      <w:r>
        <w:rPr/>
        <w:t>我们认为，后附的财务报表在所有重大方面按照企业会计准则的规定编制，公允反映了</w:t>
      </w:r>
      <w:r>
        <w:rPr>
          <w:spacing w:val="2"/>
        </w:rPr>
        <w:t> </w:t>
      </w:r>
      <w:r>
        <w:rPr/>
        <w:t>正元智慧公司</w:t>
      </w:r>
      <w:r>
        <w:rPr>
          <w:spacing w:val="-56"/>
        </w:rPr>
        <w:t> </w:t>
      </w:r>
      <w:r>
        <w:rPr>
          <w:rFonts w:ascii="宋体" w:hAnsi="宋体" w:cs="宋体" w:eastAsia="宋体" w:hint="default"/>
        </w:rPr>
        <w:t>2018</w:t>
      </w:r>
      <w:r>
        <w:rPr>
          <w:rFonts w:ascii="宋体" w:hAnsi="宋体" w:cs="宋体" w:eastAsia="宋体" w:hint="default"/>
          <w:spacing w:val="-56"/>
        </w:rPr>
        <w:t> </w:t>
      </w:r>
      <w:r>
        <w:rPr/>
        <w:t>年</w:t>
      </w:r>
      <w:r>
        <w:rPr>
          <w:spacing w:val="-56"/>
        </w:rPr>
        <w:t> </w:t>
      </w:r>
      <w:r>
        <w:rPr>
          <w:rFonts w:ascii="宋体" w:hAnsi="宋体" w:cs="宋体" w:eastAsia="宋体" w:hint="default"/>
        </w:rPr>
        <w:t>12</w:t>
      </w:r>
      <w:r>
        <w:rPr>
          <w:rFonts w:ascii="宋体" w:hAnsi="宋体" w:cs="宋体" w:eastAsia="宋体" w:hint="default"/>
          <w:spacing w:val="-56"/>
        </w:rPr>
        <w:t> </w:t>
      </w:r>
      <w:r>
        <w:rPr/>
        <w:t>月</w:t>
      </w:r>
      <w:r>
        <w:rPr>
          <w:spacing w:val="-56"/>
        </w:rPr>
        <w:t> </w:t>
      </w:r>
      <w:r>
        <w:rPr>
          <w:rFonts w:ascii="宋体" w:hAnsi="宋体" w:cs="宋体" w:eastAsia="宋体" w:hint="default"/>
        </w:rPr>
        <w:t>31</w:t>
      </w:r>
      <w:r>
        <w:rPr>
          <w:rFonts w:ascii="宋体" w:hAnsi="宋体" w:cs="宋体" w:eastAsia="宋体" w:hint="default"/>
          <w:spacing w:val="-56"/>
        </w:rPr>
        <w:t> </w:t>
      </w:r>
      <w:r>
        <w:rPr/>
        <w:t>日的合并及母公司财务状况，以及</w:t>
      </w:r>
      <w:r>
        <w:rPr>
          <w:spacing w:val="-56"/>
        </w:rPr>
        <w:t> </w:t>
      </w:r>
      <w:r>
        <w:rPr>
          <w:rFonts w:ascii="宋体" w:hAnsi="宋体" w:cs="宋体" w:eastAsia="宋体" w:hint="default"/>
        </w:rPr>
        <w:t>2018</w:t>
      </w:r>
      <w:r>
        <w:rPr>
          <w:rFonts w:ascii="宋体" w:hAnsi="宋体" w:cs="宋体" w:eastAsia="宋体" w:hint="default"/>
          <w:spacing w:val="-55"/>
        </w:rPr>
        <w:t> </w:t>
      </w:r>
      <w:r>
        <w:rPr/>
        <w:t>年度的合并及母公司 经营成果和现金流量。</w:t>
      </w: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20"/>
          <w:szCs w:val="20"/>
        </w:rPr>
      </w:pPr>
    </w:p>
    <w:p>
      <w:pPr>
        <w:pStyle w:val="Heading2"/>
        <w:spacing w:line="240" w:lineRule="auto"/>
        <w:ind w:left="636" w:right="0"/>
        <w:jc w:val="left"/>
        <w:rPr>
          <w:rFonts w:ascii="黑体" w:hAnsi="黑体" w:cs="黑体" w:eastAsia="黑体" w:hint="default"/>
          <w:b w:val="0"/>
          <w:bCs w:val="0"/>
        </w:rPr>
      </w:pPr>
      <w:bookmarkStart w:name="二、形成审计意见的基础" w:id="156"/>
      <w:bookmarkEnd w:id="156"/>
      <w:r>
        <w:rPr>
          <w:b w:val="0"/>
          <w:bCs w:val="0"/>
        </w:rPr>
      </w:r>
      <w:r>
        <w:rPr>
          <w:rFonts w:ascii="黑体" w:hAnsi="黑体" w:cs="黑体" w:eastAsia="黑体" w:hint="default"/>
        </w:rPr>
        <w:t>二、形成审计意见的基础</w:t>
      </w:r>
      <w:r>
        <w:rPr>
          <w:rFonts w:ascii="黑体" w:hAnsi="黑体" w:cs="黑体" w:eastAsia="黑体" w:hint="default"/>
          <w:b w:val="0"/>
          <w:bCs w:val="0"/>
        </w:rPr>
      </w:r>
    </w:p>
    <w:p>
      <w:pPr>
        <w:pStyle w:val="BodyText"/>
        <w:spacing w:line="357" w:lineRule="auto" w:before="192"/>
        <w:ind w:right="1135" w:firstLine="480"/>
        <w:jc w:val="both"/>
      </w:pPr>
      <w:r>
        <w:rPr/>
        <w:t>我们按照中国注册会计师审计准则的规定执行了审计工作。审计报告的“注册会计师对 财务报表审计的责任”部分进一步阐述了我们在这些准则下的责任。按照中国注册会计师职</w:t>
      </w:r>
      <w:r>
        <w:rPr>
          <w:spacing w:val="-116"/>
        </w:rPr>
        <w:t> </w:t>
      </w:r>
      <w:r>
        <w:rPr>
          <w:spacing w:val="-116"/>
        </w:rPr>
      </w:r>
      <w:r>
        <w:rPr/>
        <w:t>业道德守则，我们独立于正元智慧公司，并履行了职业道德方面的其他责任。我们相信，我</w:t>
      </w:r>
      <w:r>
        <w:rPr>
          <w:spacing w:val="-117"/>
        </w:rPr>
        <w:t> </w:t>
      </w:r>
      <w:r>
        <w:rPr>
          <w:spacing w:val="-117"/>
        </w:rPr>
      </w:r>
      <w:r>
        <w:rPr/>
        <w:t>们获取的审计证据是充分、适当的，为发表审计意见提供了基础。</w:t>
      </w:r>
    </w:p>
    <w:p>
      <w:pPr>
        <w:spacing w:after="0" w:line="357" w:lineRule="auto"/>
        <w:jc w:val="both"/>
        <w:sectPr>
          <w:pgSz w:w="11910" w:h="16840"/>
          <w:pgMar w:header="747" w:footer="979" w:top="1060" w:bottom="1160" w:left="980" w:right="0"/>
        </w:sectPr>
      </w:pPr>
    </w:p>
    <w:p>
      <w:pPr>
        <w:spacing w:line="240" w:lineRule="auto" w:before="9"/>
        <w:rPr>
          <w:rFonts w:ascii="宋体" w:hAnsi="宋体" w:cs="宋体" w:eastAsia="宋体" w:hint="default"/>
          <w:sz w:val="29"/>
          <w:szCs w:val="29"/>
        </w:rPr>
      </w:pPr>
    </w:p>
    <w:p>
      <w:pPr>
        <w:pStyle w:val="Heading2"/>
        <w:spacing w:line="240" w:lineRule="auto" w:before="26"/>
        <w:ind w:left="636" w:right="0"/>
        <w:jc w:val="left"/>
        <w:rPr>
          <w:rFonts w:ascii="黑体" w:hAnsi="黑体" w:cs="黑体" w:eastAsia="黑体" w:hint="default"/>
          <w:b w:val="0"/>
          <w:bCs w:val="0"/>
        </w:rPr>
      </w:pPr>
      <w:bookmarkStart w:name="三、关键审计事项" w:id="157"/>
      <w:bookmarkEnd w:id="157"/>
      <w:r>
        <w:rPr>
          <w:b w:val="0"/>
          <w:bCs w:val="0"/>
        </w:rPr>
      </w:r>
      <w:r>
        <w:rPr>
          <w:rFonts w:ascii="黑体" w:hAnsi="黑体" w:cs="黑体" w:eastAsia="黑体" w:hint="default"/>
        </w:rPr>
        <w:t>三、关键审计事项</w:t>
      </w:r>
      <w:r>
        <w:rPr>
          <w:rFonts w:ascii="黑体" w:hAnsi="黑体" w:cs="黑体" w:eastAsia="黑体" w:hint="default"/>
          <w:b w:val="0"/>
          <w:bCs w:val="0"/>
        </w:rPr>
      </w:r>
    </w:p>
    <w:p>
      <w:pPr>
        <w:pStyle w:val="BodyText"/>
        <w:spacing w:line="357" w:lineRule="auto" w:before="192"/>
        <w:ind w:right="1133" w:firstLine="480"/>
        <w:jc w:val="both"/>
      </w:pPr>
      <w:r>
        <w:rPr/>
        <w:t>关键审计事项是我们根据职业判断，认为对本期财务报表审计最为重要的事项。这些事 项的应对以对财务报表整体进行审计并形成审计意见为背景，我们不对这些事项单独发表意 见。</w:t>
      </w:r>
    </w:p>
    <w:p>
      <w:pPr>
        <w:pStyle w:val="BodyText"/>
        <w:spacing w:line="388" w:lineRule="auto" w:before="77"/>
        <w:ind w:left="634" w:right="8712"/>
        <w:jc w:val="left"/>
      </w:pPr>
      <w:r>
        <w:rPr>
          <w:rFonts w:ascii="宋体" w:hAnsi="宋体" w:cs="宋体" w:eastAsia="宋体" w:hint="default"/>
        </w:rPr>
        <w:t>(</w:t>
      </w:r>
      <w:r>
        <w:rPr/>
        <w:t>一</w:t>
      </w:r>
      <w:r>
        <w:rPr>
          <w:rFonts w:ascii="宋体" w:hAnsi="宋体" w:cs="宋体" w:eastAsia="宋体" w:hint="default"/>
        </w:rPr>
        <w:t>) </w:t>
      </w:r>
      <w:r>
        <w:rPr/>
        <w:t>收入确认 </w:t>
      </w:r>
      <w:r>
        <w:rPr>
          <w:rFonts w:ascii="宋体" w:hAnsi="宋体" w:cs="宋体" w:eastAsia="宋体" w:hint="default"/>
        </w:rPr>
        <w:t>1. </w:t>
      </w:r>
      <w:r>
        <w:rPr/>
        <w:t>事项描述</w:t>
      </w:r>
    </w:p>
    <w:p>
      <w:pPr>
        <w:pStyle w:val="BodyText"/>
        <w:spacing w:line="388" w:lineRule="auto" w:before="44"/>
        <w:ind w:left="634" w:right="1113"/>
        <w:jc w:val="left"/>
      </w:pPr>
      <w:r>
        <w:rPr>
          <w:spacing w:val="-5"/>
        </w:rPr>
        <w:t>相关信息披露详见财务报表附注三（二十二）、五</w:t>
      </w:r>
      <w:r>
        <w:rPr>
          <w:rFonts w:ascii="宋体" w:hAnsi="宋体" w:cs="宋体" w:eastAsia="宋体" w:hint="default"/>
          <w:spacing w:val="-5"/>
        </w:rPr>
        <w:t>(</w:t>
      </w:r>
      <w:r>
        <w:rPr>
          <w:spacing w:val="-5"/>
        </w:rPr>
        <w:t>二</w:t>
      </w:r>
      <w:r>
        <w:rPr>
          <w:rFonts w:ascii="宋体" w:hAnsi="宋体" w:cs="宋体" w:eastAsia="宋体" w:hint="default"/>
          <w:spacing w:val="-5"/>
        </w:rPr>
        <w:t>)1</w:t>
      </w:r>
      <w:r>
        <w:rPr>
          <w:rFonts w:ascii="宋体" w:hAnsi="宋体" w:cs="宋体" w:eastAsia="宋体" w:hint="default"/>
          <w:spacing w:val="-60"/>
        </w:rPr>
        <w:t> </w:t>
      </w:r>
      <w:r>
        <w:rPr/>
        <w:t>及十三</w:t>
      </w:r>
      <w:r>
        <w:rPr>
          <w:rFonts w:ascii="宋体" w:hAnsi="宋体" w:cs="宋体" w:eastAsia="宋体" w:hint="default"/>
        </w:rPr>
        <w:t>(</w:t>
      </w:r>
      <w:r>
        <w:rPr/>
        <w:t>一</w:t>
      </w:r>
      <w:r>
        <w:rPr>
          <w:rFonts w:ascii="宋体" w:hAnsi="宋体" w:cs="宋体" w:eastAsia="宋体" w:hint="default"/>
        </w:rPr>
        <w:t>)</w:t>
      </w:r>
      <w:r>
        <w:rPr/>
        <w:t>。</w:t>
      </w:r>
      <w:r>
        <w:rPr>
          <w:spacing w:val="-111"/>
        </w:rPr>
        <w:t> </w:t>
      </w:r>
      <w:r>
        <w:rPr/>
        <w:t>正元智慧公司的营业收入主要来自于一卡通系统建设收入。</w:t>
      </w:r>
      <w:r>
        <w:rPr>
          <w:rFonts w:ascii="宋体" w:hAnsi="宋体" w:cs="宋体" w:eastAsia="宋体" w:hint="default"/>
        </w:rPr>
        <w:t>2018</w:t>
      </w:r>
      <w:r>
        <w:rPr>
          <w:rFonts w:ascii="宋体" w:hAnsi="宋体" w:cs="宋体" w:eastAsia="宋体" w:hint="default"/>
          <w:spacing w:val="-81"/>
        </w:rPr>
        <w:t> </w:t>
      </w:r>
      <w:r>
        <w:rPr/>
        <w:t>年度，正元智慧公司财</w:t>
      </w:r>
    </w:p>
    <w:p>
      <w:pPr>
        <w:pStyle w:val="BodyText"/>
        <w:spacing w:line="357" w:lineRule="auto" w:before="5"/>
        <w:ind w:right="1113"/>
        <w:jc w:val="left"/>
      </w:pPr>
      <w:r>
        <w:rPr/>
        <w:t>务报表所示营业收入项目金额为人民币 </w:t>
      </w:r>
      <w:r>
        <w:rPr>
          <w:rFonts w:ascii="宋体" w:hAnsi="宋体" w:cs="宋体" w:eastAsia="宋体" w:hint="default"/>
        </w:rPr>
        <w:t>56,683.65</w:t>
      </w:r>
      <w:r>
        <w:rPr>
          <w:rFonts w:ascii="宋体" w:hAnsi="宋体" w:cs="宋体" w:eastAsia="宋体" w:hint="default"/>
          <w:spacing w:val="-81"/>
        </w:rPr>
        <w:t> </w:t>
      </w:r>
      <w:r>
        <w:rPr/>
        <w:t>万元，其中系统建设业务的营业收入为人 民币</w:t>
      </w:r>
      <w:r>
        <w:rPr>
          <w:spacing w:val="-60"/>
        </w:rPr>
        <w:t> </w:t>
      </w:r>
      <w:r>
        <w:rPr>
          <w:rFonts w:ascii="宋体" w:hAnsi="宋体" w:cs="宋体" w:eastAsia="宋体" w:hint="default"/>
        </w:rPr>
        <w:t>43,298.94</w:t>
      </w:r>
      <w:r>
        <w:rPr>
          <w:rFonts w:ascii="宋体" w:hAnsi="宋体" w:cs="宋体" w:eastAsia="宋体" w:hint="default"/>
          <w:spacing w:val="-60"/>
        </w:rPr>
        <w:t> </w:t>
      </w:r>
      <w:r>
        <w:rPr/>
        <w:t>万元，占营业收入的</w:t>
      </w:r>
      <w:r>
        <w:rPr>
          <w:spacing w:val="-60"/>
        </w:rPr>
        <w:t> </w:t>
      </w:r>
      <w:r>
        <w:rPr>
          <w:rFonts w:ascii="宋体" w:hAnsi="宋体" w:cs="宋体" w:eastAsia="宋体" w:hint="default"/>
        </w:rPr>
        <w:t>76.39%</w:t>
      </w:r>
      <w:r>
        <w:rPr/>
        <w:t>。</w:t>
      </w:r>
    </w:p>
    <w:p>
      <w:pPr>
        <w:pStyle w:val="BodyText"/>
        <w:spacing w:line="357" w:lineRule="auto" w:before="74"/>
        <w:ind w:right="1136" w:firstLine="480"/>
        <w:jc w:val="both"/>
      </w:pPr>
      <w:r>
        <w:rPr/>
        <w:t>根据正元智慧公司收入确认政策，一卡通系统建设收入需要在项目已实际完工并取得项 目调试验收报告时确认收入。</w:t>
      </w:r>
    </w:p>
    <w:p>
      <w:pPr>
        <w:pStyle w:val="BodyText"/>
        <w:spacing w:line="357" w:lineRule="auto" w:before="74"/>
        <w:ind w:right="1132" w:firstLine="480"/>
        <w:jc w:val="both"/>
      </w:pPr>
      <w:r>
        <w:rPr/>
        <w:t>由于营业收入是正元智慧公司关键业绩指标之一，收入确认的真实性依赖于验收报告的 获取，可能存在正元智慧公司管理层（以下简称管理层）通过不恰当的收入确认以达到特定</w:t>
      </w:r>
      <w:r>
        <w:rPr>
          <w:spacing w:val="-109"/>
        </w:rPr>
        <w:t> </w:t>
      </w:r>
      <w:r>
        <w:rPr>
          <w:spacing w:val="-109"/>
        </w:rPr>
      </w:r>
      <w:r>
        <w:rPr/>
        <w:t>目标或预期的固有风险。因此，我们将收入确认确定为关键审计事项。</w:t>
      </w:r>
    </w:p>
    <w:p>
      <w:pPr>
        <w:pStyle w:val="BodyText"/>
        <w:spacing w:line="388" w:lineRule="auto" w:before="77"/>
        <w:ind w:left="634" w:right="5232"/>
        <w:jc w:val="left"/>
      </w:pPr>
      <w:r>
        <w:rPr>
          <w:rFonts w:ascii="宋体" w:hAnsi="宋体" w:cs="宋体" w:eastAsia="宋体" w:hint="default"/>
        </w:rPr>
        <w:t>2. </w:t>
      </w:r>
      <w:r>
        <w:rPr/>
        <w:t>审计应对 针对收入确认，我们实施的审计程序主要包括：</w:t>
      </w:r>
    </w:p>
    <w:p>
      <w:pPr>
        <w:pStyle w:val="BodyText"/>
        <w:spacing w:line="357" w:lineRule="auto" w:before="43"/>
        <w:ind w:right="1139" w:firstLine="480"/>
        <w:jc w:val="both"/>
      </w:pPr>
      <w:r>
        <w:rPr>
          <w:rFonts w:ascii="宋体" w:hAnsi="宋体" w:cs="宋体" w:eastAsia="宋体" w:hint="default"/>
        </w:rPr>
        <w:t>(1)</w:t>
      </w:r>
      <w:r>
        <w:rPr>
          <w:rFonts w:ascii="宋体" w:hAnsi="宋体" w:cs="宋体" w:eastAsia="宋体" w:hint="default"/>
          <w:spacing w:val="4"/>
        </w:rPr>
        <w:t> </w:t>
      </w:r>
      <w:r>
        <w:rPr/>
        <w:t>了解与收入确认相关的关键内部控制，评价其设计和确定其是否得到执行，并测试 相关内部控制的运行有效性；</w:t>
      </w:r>
    </w:p>
    <w:p>
      <w:pPr>
        <w:pStyle w:val="BodyText"/>
        <w:spacing w:line="357" w:lineRule="auto" w:before="76"/>
        <w:ind w:right="1139" w:firstLine="480"/>
        <w:jc w:val="both"/>
      </w:pPr>
      <w:r>
        <w:rPr>
          <w:rFonts w:ascii="宋体" w:hAnsi="宋体" w:cs="宋体" w:eastAsia="宋体" w:hint="default"/>
        </w:rPr>
        <w:t>(2)</w:t>
      </w:r>
      <w:r>
        <w:rPr>
          <w:rFonts w:ascii="宋体" w:hAnsi="宋体" w:cs="宋体" w:eastAsia="宋体" w:hint="default"/>
          <w:spacing w:val="4"/>
        </w:rPr>
        <w:t> </w:t>
      </w:r>
      <w:r>
        <w:rPr/>
        <w:t>检查主要的销售合同及验收报告，识别与商品所有权上的主要风险和报酬转移相关 的条款，评价收入确认政策是否符合企业会计准则的规定；</w:t>
      </w:r>
    </w:p>
    <w:p>
      <w:pPr>
        <w:pStyle w:val="BodyText"/>
        <w:spacing w:line="357" w:lineRule="auto" w:before="74"/>
        <w:ind w:right="1136" w:firstLine="480"/>
        <w:jc w:val="both"/>
      </w:pPr>
      <w:r>
        <w:rPr>
          <w:rFonts w:ascii="宋体" w:hAnsi="宋体" w:cs="宋体" w:eastAsia="宋体" w:hint="default"/>
        </w:rPr>
        <w:t>(3)</w:t>
      </w:r>
      <w:r>
        <w:rPr>
          <w:rFonts w:ascii="宋体" w:hAnsi="宋体" w:cs="宋体" w:eastAsia="宋体" w:hint="default"/>
          <w:spacing w:val="7"/>
        </w:rPr>
        <w:t> </w:t>
      </w:r>
      <w:r>
        <w:rPr/>
        <w:t>对营业收入及毛利率按类别、项目实施实质性分析程序，识别是否存在重大或异常 波动，并查明波动原因；</w:t>
      </w:r>
    </w:p>
    <w:p>
      <w:pPr>
        <w:pStyle w:val="BodyText"/>
        <w:spacing w:line="240" w:lineRule="auto" w:before="76"/>
        <w:ind w:left="634" w:right="0"/>
        <w:jc w:val="left"/>
      </w:pPr>
      <w:r>
        <w:rPr>
          <w:rFonts w:ascii="宋体" w:hAnsi="宋体" w:cs="宋体" w:eastAsia="宋体" w:hint="default"/>
        </w:rPr>
        <w:t>(4) </w:t>
      </w:r>
      <w:r>
        <w:rPr/>
        <w:t>结合应收账款函证，以抽样方式向主要客户函证本期销售额；</w:t>
      </w:r>
    </w:p>
    <w:p>
      <w:pPr>
        <w:pStyle w:val="BodyText"/>
        <w:spacing w:line="240" w:lineRule="auto" w:before="194"/>
        <w:ind w:left="634" w:right="0"/>
        <w:jc w:val="left"/>
      </w:pPr>
      <w:r>
        <w:rPr>
          <w:rFonts w:ascii="宋体" w:hAnsi="宋体" w:cs="宋体" w:eastAsia="宋体" w:hint="default"/>
        </w:rPr>
        <w:t>(5) </w:t>
      </w:r>
      <w:r>
        <w:rPr/>
        <w:t>获取资产负债表日后的验收报告，检查其收入确认时点的准确性；</w:t>
      </w:r>
    </w:p>
    <w:p>
      <w:pPr>
        <w:pStyle w:val="BodyText"/>
        <w:spacing w:line="388" w:lineRule="auto" w:before="194"/>
        <w:ind w:left="634" w:right="2352"/>
        <w:jc w:val="left"/>
      </w:pPr>
      <w:r>
        <w:rPr>
          <w:rFonts w:ascii="宋体" w:hAnsi="宋体" w:cs="宋体" w:eastAsia="宋体" w:hint="default"/>
        </w:rPr>
        <w:t>(6) </w:t>
      </w:r>
      <w:r>
        <w:rPr/>
        <w:t>检查与营业收入相关的信息是否已在财务报表中作出恰当列报和披露。 </w:t>
      </w:r>
      <w:r>
        <w:rPr>
          <w:rFonts w:ascii="宋体" w:hAnsi="宋体" w:cs="宋体" w:eastAsia="宋体" w:hint="default"/>
        </w:rPr>
        <w:t>(</w:t>
      </w:r>
      <w:r>
        <w:rPr/>
        <w:t>二</w:t>
      </w:r>
      <w:r>
        <w:rPr>
          <w:rFonts w:ascii="宋体" w:hAnsi="宋体" w:cs="宋体" w:eastAsia="宋体" w:hint="default"/>
        </w:rPr>
        <w:t>) </w:t>
      </w:r>
      <w:r>
        <w:rPr/>
        <w:t>应收账款的减值</w:t>
      </w:r>
    </w:p>
    <w:p>
      <w:pPr>
        <w:pStyle w:val="BodyText"/>
        <w:spacing w:line="240" w:lineRule="auto" w:before="46"/>
        <w:ind w:left="634" w:right="0"/>
        <w:jc w:val="left"/>
      </w:pPr>
      <w:r>
        <w:rPr>
          <w:rFonts w:ascii="宋体" w:hAnsi="宋体" w:cs="宋体" w:eastAsia="宋体" w:hint="default"/>
        </w:rPr>
        <w:t>1. </w:t>
      </w:r>
      <w:r>
        <w:rPr/>
        <w:t>事项描述</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9"/>
          <w:szCs w:val="29"/>
        </w:rPr>
      </w:pPr>
    </w:p>
    <w:p>
      <w:pPr>
        <w:pStyle w:val="BodyText"/>
        <w:spacing w:line="240" w:lineRule="auto" w:before="26"/>
        <w:ind w:left="634" w:right="0"/>
        <w:jc w:val="left"/>
      </w:pPr>
      <w:r>
        <w:rPr/>
        <w:t>相关信息披露详见财务报表附注三（十）和五（一）</w:t>
      </w:r>
      <w:r>
        <w:rPr>
          <w:rFonts w:ascii="宋体" w:hAnsi="宋体" w:cs="宋体" w:eastAsia="宋体" w:hint="default"/>
        </w:rPr>
        <w:t>2</w:t>
      </w:r>
      <w:r>
        <w:rPr/>
        <w:t>。</w:t>
      </w:r>
    </w:p>
    <w:p>
      <w:pPr>
        <w:pStyle w:val="BodyText"/>
        <w:spacing w:line="240" w:lineRule="auto" w:before="192"/>
        <w:ind w:left="634" w:right="0"/>
        <w:jc w:val="left"/>
      </w:pPr>
      <w:r>
        <w:rPr/>
        <w:t>截至</w:t>
      </w:r>
      <w:r>
        <w:rPr>
          <w:spacing w:val="-71"/>
        </w:rPr>
        <w:t> </w:t>
      </w:r>
      <w:r>
        <w:rPr>
          <w:rFonts w:ascii="宋体" w:hAnsi="宋体" w:cs="宋体" w:eastAsia="宋体" w:hint="default"/>
        </w:rPr>
        <w:t>2018</w:t>
      </w:r>
      <w:r>
        <w:rPr>
          <w:rFonts w:ascii="宋体" w:hAnsi="宋体" w:cs="宋体" w:eastAsia="宋体" w:hint="default"/>
          <w:spacing w:val="-70"/>
        </w:rPr>
        <w:t> </w:t>
      </w:r>
      <w:r>
        <w:rPr/>
        <w:t>年</w:t>
      </w:r>
      <w:r>
        <w:rPr>
          <w:spacing w:val="-71"/>
        </w:rPr>
        <w:t> </w:t>
      </w:r>
      <w:r>
        <w:rPr>
          <w:rFonts w:ascii="宋体" w:hAnsi="宋体" w:cs="宋体" w:eastAsia="宋体" w:hint="default"/>
        </w:rPr>
        <w:t>12</w:t>
      </w:r>
      <w:r>
        <w:rPr>
          <w:rFonts w:ascii="宋体" w:hAnsi="宋体" w:cs="宋体" w:eastAsia="宋体" w:hint="default"/>
          <w:spacing w:val="-71"/>
        </w:rPr>
        <w:t> </w:t>
      </w:r>
      <w:r>
        <w:rPr/>
        <w:t>月</w:t>
      </w:r>
      <w:r>
        <w:rPr>
          <w:spacing w:val="-71"/>
        </w:rPr>
        <w:t> </w:t>
      </w:r>
      <w:r>
        <w:rPr>
          <w:rFonts w:ascii="宋体" w:hAnsi="宋体" w:cs="宋体" w:eastAsia="宋体" w:hint="default"/>
          <w:spacing w:val="1"/>
        </w:rPr>
        <w:t>3</w:t>
      </w:r>
      <w:r>
        <w:rPr>
          <w:rFonts w:ascii="宋体" w:hAnsi="宋体" w:cs="宋体" w:eastAsia="宋体" w:hint="default"/>
        </w:rPr>
        <w:t>1</w:t>
      </w:r>
      <w:r>
        <w:rPr>
          <w:rFonts w:ascii="宋体" w:hAnsi="宋体" w:cs="宋体" w:eastAsia="宋体" w:hint="default"/>
          <w:spacing w:val="-70"/>
        </w:rPr>
        <w:t> </w:t>
      </w:r>
      <w:r>
        <w:rPr/>
        <w:t>日</w:t>
      </w:r>
      <w:r>
        <w:rPr>
          <w:spacing w:val="-120"/>
        </w:rPr>
        <w:t>，</w:t>
      </w:r>
      <w:r>
        <w:rPr/>
        <w:t>正元智慧公司应收账款项目账面余额为人民币</w:t>
      </w:r>
      <w:r>
        <w:rPr>
          <w:spacing w:val="-71"/>
        </w:rPr>
        <w:t> </w:t>
      </w:r>
      <w:r>
        <w:rPr>
          <w:rFonts w:ascii="宋体" w:hAnsi="宋体" w:cs="宋体" w:eastAsia="宋体" w:hint="default"/>
        </w:rPr>
        <w:t>36,535.06</w:t>
      </w:r>
      <w:r>
        <w:rPr>
          <w:rFonts w:ascii="宋体" w:hAnsi="宋体" w:cs="宋体" w:eastAsia="宋体" w:hint="default"/>
          <w:spacing w:val="-71"/>
        </w:rPr>
        <w:t> </w:t>
      </w:r>
      <w:r>
        <w:rPr/>
        <w:t>万元，</w:t>
      </w:r>
    </w:p>
    <w:p>
      <w:pPr>
        <w:pStyle w:val="BodyText"/>
        <w:spacing w:line="360" w:lineRule="auto" w:before="154"/>
        <w:ind w:right="1115"/>
        <w:jc w:val="left"/>
      </w:pPr>
      <w:r>
        <w:rPr/>
        <w:t>坏账准备为人民币 </w:t>
      </w:r>
      <w:r>
        <w:rPr>
          <w:rFonts w:ascii="宋体" w:hAnsi="宋体" w:cs="宋体" w:eastAsia="宋体" w:hint="default"/>
        </w:rPr>
        <w:t>5,058.80 </w:t>
      </w:r>
      <w:r>
        <w:rPr/>
        <w:t>万元，账面价值为人民币 </w:t>
      </w:r>
      <w:r>
        <w:rPr>
          <w:rFonts w:ascii="宋体" w:hAnsi="宋体" w:cs="宋体" w:eastAsia="宋体" w:hint="default"/>
        </w:rPr>
        <w:t>31,476.26</w:t>
      </w:r>
      <w:r>
        <w:rPr>
          <w:rFonts w:ascii="宋体" w:hAnsi="宋体" w:cs="宋体" w:eastAsia="宋体" w:hint="default"/>
          <w:spacing w:val="-83"/>
        </w:rPr>
        <w:t> </w:t>
      </w:r>
      <w:r>
        <w:rPr/>
        <w:t>万元，占期末资产总额的 </w:t>
      </w:r>
      <w:r>
        <w:rPr>
          <w:rFonts w:ascii="宋体" w:hAnsi="宋体" w:cs="宋体" w:eastAsia="宋体" w:hint="default"/>
        </w:rPr>
        <w:t>31.06%</w:t>
      </w:r>
      <w:r>
        <w:rPr/>
        <w:t>。</w:t>
      </w:r>
    </w:p>
    <w:p>
      <w:pPr>
        <w:pStyle w:val="BodyText"/>
        <w:spacing w:line="357" w:lineRule="auto" w:before="73"/>
        <w:ind w:right="1130" w:firstLine="480"/>
        <w:jc w:val="both"/>
      </w:pPr>
      <w:r>
        <w:rPr/>
        <w:t>对于单独进行减值测试的应收账款，当存在客观证据表明其发生减值时，管理层综合考 虑债务人的行业状况、经营情况、财务状况、涉诉情况、还款记录等因素，估计未来现金流</w:t>
      </w:r>
      <w:r>
        <w:rPr>
          <w:spacing w:val="-110"/>
        </w:rPr>
        <w:t> </w:t>
      </w:r>
      <w:r>
        <w:rPr>
          <w:spacing w:val="-110"/>
        </w:rPr>
      </w:r>
      <w:r>
        <w:rPr/>
        <w:t>量现值，并确定应计提的坏账准备；对于采用组合方式进行减值测试的应收账款，管理层根</w:t>
      </w:r>
      <w:r>
        <w:rPr>
          <w:spacing w:val="-109"/>
        </w:rPr>
        <w:t> </w:t>
      </w:r>
      <w:r>
        <w:rPr>
          <w:spacing w:val="-109"/>
        </w:rPr>
      </w:r>
      <w:r>
        <w:rPr/>
        <w:t>据账龄划分组合，以历史损失率为基础，结合现实情况进行调整，估计未来现金流量现值，</w:t>
      </w:r>
      <w:r>
        <w:rPr>
          <w:spacing w:val="-113"/>
        </w:rPr>
        <w:t> </w:t>
      </w:r>
      <w:r>
        <w:rPr>
          <w:spacing w:val="-113"/>
        </w:rPr>
      </w:r>
      <w:r>
        <w:rPr/>
        <w:t>并确定应计提的坏账准备。</w:t>
      </w:r>
    </w:p>
    <w:p>
      <w:pPr>
        <w:pStyle w:val="BodyText"/>
        <w:spacing w:line="357" w:lineRule="auto" w:before="74"/>
        <w:ind w:right="1135" w:firstLine="480"/>
        <w:jc w:val="both"/>
      </w:pPr>
      <w:r>
        <w:rPr/>
        <w:t>由于应收账款金额重大，且应收账款减值测试涉及重大管理层判断，我们将应收账款减 值确定为关键审计事项。</w:t>
      </w:r>
    </w:p>
    <w:p>
      <w:pPr>
        <w:pStyle w:val="BodyText"/>
        <w:spacing w:line="388" w:lineRule="auto" w:before="76"/>
        <w:ind w:left="634" w:right="4752"/>
        <w:jc w:val="left"/>
      </w:pPr>
      <w:r>
        <w:rPr>
          <w:rFonts w:ascii="宋体" w:hAnsi="宋体" w:cs="宋体" w:eastAsia="宋体" w:hint="default"/>
        </w:rPr>
        <w:t>2. </w:t>
      </w:r>
      <w:r>
        <w:rPr/>
        <w:t>审计应对 针对应收账款减值，我们实施的审计程序主要包括：</w:t>
      </w:r>
    </w:p>
    <w:p>
      <w:pPr>
        <w:pStyle w:val="BodyText"/>
        <w:spacing w:line="360" w:lineRule="auto" w:before="43"/>
        <w:ind w:right="1139" w:firstLine="480"/>
        <w:jc w:val="both"/>
      </w:pPr>
      <w:r>
        <w:rPr>
          <w:rFonts w:ascii="宋体" w:hAnsi="宋体" w:cs="宋体" w:eastAsia="宋体" w:hint="default"/>
        </w:rPr>
        <w:t>(1)</w:t>
      </w:r>
      <w:r>
        <w:rPr>
          <w:rFonts w:ascii="宋体" w:hAnsi="宋体" w:cs="宋体" w:eastAsia="宋体" w:hint="default"/>
          <w:spacing w:val="4"/>
        </w:rPr>
        <w:t> </w:t>
      </w:r>
      <w:r>
        <w:rPr/>
        <w:t>了解与应收账款减值相关的关键内部控制，评价其设计和确定其是否得到执行，并 测试相关内部控制的运行有效性；</w:t>
      </w:r>
    </w:p>
    <w:p>
      <w:pPr>
        <w:pStyle w:val="BodyText"/>
        <w:spacing w:line="357" w:lineRule="auto" w:before="72"/>
        <w:ind w:right="1129" w:firstLine="480"/>
        <w:jc w:val="both"/>
      </w:pPr>
      <w:r>
        <w:rPr>
          <w:rFonts w:ascii="宋体" w:hAnsi="宋体" w:cs="宋体" w:eastAsia="宋体" w:hint="default"/>
        </w:rPr>
        <w:t>(2)</w:t>
      </w:r>
      <w:r>
        <w:rPr>
          <w:rFonts w:ascii="宋体" w:hAnsi="宋体" w:cs="宋体" w:eastAsia="宋体" w:hint="default"/>
          <w:spacing w:val="11"/>
        </w:rPr>
        <w:t> </w:t>
      </w:r>
      <w:r>
        <w:rPr/>
        <w:t>复核以前年度已计提坏账准备的应收账款的后续实际核销或转回情况，评价管理层</w:t>
      </w:r>
      <w:r>
        <w:rPr>
          <w:spacing w:val="2"/>
        </w:rPr>
        <w:t> </w:t>
      </w:r>
      <w:r>
        <w:rPr/>
        <w:t>过往预测的准确性；</w:t>
      </w:r>
    </w:p>
    <w:p>
      <w:pPr>
        <w:pStyle w:val="BodyText"/>
        <w:spacing w:line="357" w:lineRule="auto" w:before="76"/>
        <w:ind w:right="1139" w:firstLine="480"/>
        <w:jc w:val="both"/>
      </w:pPr>
      <w:r>
        <w:rPr>
          <w:rFonts w:ascii="宋体" w:hAnsi="宋体" w:cs="宋体" w:eastAsia="宋体" w:hint="default"/>
        </w:rPr>
        <w:t>(3)</w:t>
      </w:r>
      <w:r>
        <w:rPr>
          <w:rFonts w:ascii="宋体" w:hAnsi="宋体" w:cs="宋体" w:eastAsia="宋体" w:hint="default"/>
          <w:spacing w:val="4"/>
        </w:rPr>
        <w:t> </w:t>
      </w:r>
      <w:r>
        <w:rPr/>
        <w:t>复核管理层对应收账款进行减值测试的相关考虑和客观证据，评价管理层是否充分 识别已发生减值的应收账款；</w:t>
      </w:r>
    </w:p>
    <w:p>
      <w:pPr>
        <w:pStyle w:val="BodyText"/>
        <w:spacing w:line="357" w:lineRule="auto" w:before="74"/>
        <w:ind w:right="1129" w:firstLine="480"/>
        <w:jc w:val="both"/>
      </w:pPr>
      <w:r>
        <w:rPr>
          <w:rFonts w:ascii="宋体" w:hAnsi="宋体" w:cs="宋体" w:eastAsia="宋体" w:hint="default"/>
        </w:rPr>
        <w:t>(4)</w:t>
      </w:r>
      <w:r>
        <w:rPr>
          <w:rFonts w:ascii="宋体" w:hAnsi="宋体" w:cs="宋体" w:eastAsia="宋体" w:hint="default"/>
          <w:spacing w:val="11"/>
        </w:rPr>
        <w:t> </w:t>
      </w:r>
      <w:r>
        <w:rPr/>
        <w:t>对于采用组合方式进行减值测试的应收账款，评价管理层按信用风险特征划分组合</w:t>
      </w:r>
      <w:r>
        <w:rPr>
          <w:spacing w:val="2"/>
        </w:rPr>
        <w:t> </w:t>
      </w:r>
      <w:r>
        <w:rPr/>
        <w:t>的合理性；根据具有类似信用风险特征组合的历史损失率及反映当前情况的相关可观察数据</w:t>
      </w:r>
      <w:r>
        <w:rPr>
          <w:spacing w:val="-116"/>
        </w:rPr>
        <w:t> </w:t>
      </w:r>
      <w:r>
        <w:rPr>
          <w:spacing w:val="-116"/>
        </w:rPr>
      </w:r>
      <w:r>
        <w:rPr>
          <w:spacing w:val="-5"/>
        </w:rPr>
        <w:t>等，评价管理层减值测试方法的合理性（包括各组合坏账准备的计提比例）；测试管理层使用</w:t>
      </w:r>
      <w:r>
        <w:rPr/>
        <w:t> 数据的准确性和完整性以及对应计提坏账准备的计算是否准确；</w:t>
      </w:r>
    </w:p>
    <w:p>
      <w:pPr>
        <w:pStyle w:val="BodyText"/>
        <w:spacing w:line="240" w:lineRule="auto" w:before="76"/>
        <w:ind w:left="634" w:right="0"/>
        <w:jc w:val="left"/>
      </w:pPr>
      <w:r>
        <w:rPr>
          <w:rFonts w:ascii="宋体" w:hAnsi="宋体" w:cs="宋体" w:eastAsia="宋体" w:hint="default"/>
        </w:rPr>
        <w:t>(5) </w:t>
      </w:r>
      <w:r>
        <w:rPr/>
        <w:t>检查应收账款的期后回款情况，评价管理层计提应收账款坏账准备的合理性；</w:t>
      </w:r>
    </w:p>
    <w:p>
      <w:pPr>
        <w:pStyle w:val="BodyText"/>
        <w:spacing w:line="240" w:lineRule="auto" w:before="194"/>
        <w:ind w:left="634" w:right="0"/>
        <w:jc w:val="left"/>
      </w:pPr>
      <w:r>
        <w:rPr>
          <w:rFonts w:ascii="宋体" w:hAnsi="宋体" w:cs="宋体" w:eastAsia="宋体" w:hint="default"/>
        </w:rPr>
        <w:t>(6) </w:t>
      </w:r>
      <w:r>
        <w:rPr/>
        <w:t>检查与应收账款减值相关的信息是否已在财务报表中作出恰当列报和披露。</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9"/>
          <w:szCs w:val="29"/>
        </w:rPr>
      </w:pPr>
    </w:p>
    <w:p>
      <w:pPr>
        <w:pStyle w:val="Heading2"/>
        <w:spacing w:line="240" w:lineRule="auto"/>
        <w:ind w:left="636" w:right="0"/>
        <w:jc w:val="left"/>
        <w:rPr>
          <w:rFonts w:ascii="黑体" w:hAnsi="黑体" w:cs="黑体" w:eastAsia="黑体" w:hint="default"/>
          <w:b w:val="0"/>
          <w:bCs w:val="0"/>
        </w:rPr>
      </w:pPr>
      <w:bookmarkStart w:name="四、其他信息" w:id="158"/>
      <w:bookmarkEnd w:id="158"/>
      <w:r>
        <w:rPr>
          <w:b w:val="0"/>
          <w:bCs w:val="0"/>
        </w:rPr>
      </w:r>
      <w:r>
        <w:rPr>
          <w:rFonts w:ascii="黑体" w:hAnsi="黑体" w:cs="黑体" w:eastAsia="黑体" w:hint="default"/>
        </w:rPr>
        <w:t>四、其他信息</w:t>
      </w:r>
      <w:r>
        <w:rPr>
          <w:rFonts w:ascii="黑体" w:hAnsi="黑体" w:cs="黑体" w:eastAsia="黑体" w:hint="default"/>
          <w:b w:val="0"/>
          <w:bCs w:val="0"/>
        </w:rPr>
      </w:r>
    </w:p>
    <w:p>
      <w:pPr>
        <w:pStyle w:val="BodyText"/>
        <w:spacing w:line="240" w:lineRule="auto" w:before="193"/>
        <w:ind w:left="634" w:right="0"/>
        <w:jc w:val="left"/>
      </w:pPr>
      <w:r>
        <w:rPr/>
        <w:t>管理层对其他信息负责。其他信息包括年度报告中涵盖的信息，但不包括财务报表和我</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9"/>
          <w:szCs w:val="29"/>
        </w:rPr>
      </w:pPr>
    </w:p>
    <w:p>
      <w:pPr>
        <w:pStyle w:val="BodyText"/>
        <w:spacing w:line="386" w:lineRule="auto" w:before="26"/>
        <w:ind w:left="634" w:right="0" w:hanging="480"/>
        <w:jc w:val="left"/>
      </w:pPr>
      <w:r>
        <w:rPr/>
        <w:t>们的审计报告。 我们对财务报表发表的审计意见不涵盖其他信息，我们也不对其他信息发表任何形式的</w:t>
      </w:r>
    </w:p>
    <w:p>
      <w:pPr>
        <w:pStyle w:val="BodyText"/>
        <w:spacing w:line="240" w:lineRule="auto" w:before="8"/>
        <w:ind w:right="0"/>
        <w:jc w:val="left"/>
      </w:pPr>
      <w:r>
        <w:rPr/>
        <w:t>鉴证结论。</w:t>
      </w:r>
    </w:p>
    <w:p>
      <w:pPr>
        <w:pStyle w:val="BodyText"/>
        <w:spacing w:line="372" w:lineRule="auto" w:before="194"/>
        <w:ind w:right="1140" w:firstLine="480"/>
        <w:jc w:val="right"/>
      </w:pPr>
      <w:r>
        <w:rPr/>
        <w:t>结合我们对财务报表的审计，我们的责任是阅读其他信息，在此过程中，考虑其他信息 是否与财务报表或我们在审计过程中了解到的情况存在重大不一致或者似乎存在重大错报。 基于我们已执行的工作，如果我们确定其他信息存在重大错报，我们应当报告该事实。</w:t>
      </w:r>
    </w:p>
    <w:p>
      <w:pPr>
        <w:pStyle w:val="BodyText"/>
        <w:spacing w:line="240" w:lineRule="auto" w:before="23"/>
        <w:ind w:right="0"/>
        <w:jc w:val="left"/>
      </w:pPr>
      <w:r>
        <w:rPr/>
        <w:t>在这方面，我们无任何事项需要报告。</w:t>
      </w: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29"/>
          <w:szCs w:val="29"/>
        </w:rPr>
      </w:pPr>
    </w:p>
    <w:p>
      <w:pPr>
        <w:pStyle w:val="Heading2"/>
        <w:spacing w:line="240" w:lineRule="auto"/>
        <w:ind w:left="636" w:right="0"/>
        <w:jc w:val="left"/>
        <w:rPr>
          <w:rFonts w:ascii="黑体" w:hAnsi="黑体" w:cs="黑体" w:eastAsia="黑体" w:hint="default"/>
          <w:b w:val="0"/>
          <w:bCs w:val="0"/>
        </w:rPr>
      </w:pPr>
      <w:bookmarkStart w:name="五、管理层和治理层对财务报表的责任" w:id="159"/>
      <w:bookmarkEnd w:id="159"/>
      <w:r>
        <w:rPr>
          <w:b w:val="0"/>
          <w:bCs w:val="0"/>
        </w:rPr>
      </w:r>
      <w:r>
        <w:rPr>
          <w:rFonts w:ascii="黑体" w:hAnsi="黑体" w:cs="黑体" w:eastAsia="黑体" w:hint="default"/>
        </w:rPr>
        <w:t>五、管理层和治理层对财务报表的责任</w:t>
      </w:r>
      <w:r>
        <w:rPr>
          <w:rFonts w:ascii="黑体" w:hAnsi="黑体" w:cs="黑体" w:eastAsia="黑体" w:hint="default"/>
          <w:b w:val="0"/>
          <w:bCs w:val="0"/>
        </w:rPr>
      </w:r>
    </w:p>
    <w:p>
      <w:pPr>
        <w:pStyle w:val="BodyText"/>
        <w:spacing w:line="357" w:lineRule="auto" w:before="192"/>
        <w:ind w:right="1140" w:firstLine="480"/>
        <w:jc w:val="both"/>
      </w:pPr>
      <w:r>
        <w:rPr/>
        <w:t>管理层负责按照企业会计准则的规定编制财务报表，使其实现公允反映，并设计、执行 和维护必要的内部控制，以使财务报表不存在由于舞弊或错误导致的重大错报。</w:t>
      </w:r>
    </w:p>
    <w:p>
      <w:pPr>
        <w:pStyle w:val="BodyText"/>
        <w:spacing w:line="357" w:lineRule="auto" w:before="74"/>
        <w:ind w:right="1131" w:firstLine="480"/>
        <w:jc w:val="both"/>
      </w:pPr>
      <w:r>
        <w:rPr/>
        <w:t>在编制财务报表时，管理层负责评估正元智慧公司的持续经营能力，披露与持续经营相 </w:t>
      </w:r>
      <w:r>
        <w:rPr>
          <w:spacing w:val="-5"/>
        </w:rPr>
        <w:t>关的事项（如适用），并运用持续经营假设，除非计划进行清算、终止运营或别无其他现实的</w:t>
      </w:r>
      <w:r>
        <w:rPr>
          <w:spacing w:val="-118"/>
        </w:rPr>
        <w:t> </w:t>
      </w:r>
      <w:r>
        <w:rPr>
          <w:spacing w:val="-118"/>
        </w:rPr>
      </w:r>
      <w:r>
        <w:rPr/>
        <w:t>选择。</w:t>
      </w:r>
    </w:p>
    <w:p>
      <w:pPr>
        <w:pStyle w:val="BodyText"/>
        <w:spacing w:line="240" w:lineRule="auto" w:before="77"/>
        <w:ind w:left="634" w:right="0"/>
        <w:jc w:val="left"/>
      </w:pPr>
      <w:r>
        <w:rPr/>
        <w:t>正元智慧治理层（以下简称治理层）负责监督正元智慧公司的财务报告过程。</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9"/>
          <w:szCs w:val="29"/>
        </w:rPr>
      </w:pPr>
    </w:p>
    <w:p>
      <w:pPr>
        <w:pStyle w:val="Heading2"/>
        <w:spacing w:line="240" w:lineRule="auto"/>
        <w:ind w:left="636" w:right="0"/>
        <w:jc w:val="left"/>
        <w:rPr>
          <w:rFonts w:ascii="黑体" w:hAnsi="黑体" w:cs="黑体" w:eastAsia="黑体" w:hint="default"/>
          <w:b w:val="0"/>
          <w:bCs w:val="0"/>
        </w:rPr>
      </w:pPr>
      <w:bookmarkStart w:name="六、注册会计师对财务报表审计的责任" w:id="160"/>
      <w:bookmarkEnd w:id="160"/>
      <w:r>
        <w:rPr>
          <w:b w:val="0"/>
          <w:bCs w:val="0"/>
        </w:rPr>
      </w:r>
      <w:r>
        <w:rPr>
          <w:rFonts w:ascii="黑体" w:hAnsi="黑体" w:cs="黑体" w:eastAsia="黑体" w:hint="default"/>
        </w:rPr>
        <w:t>六、注册会计师对财务报表审计的责任</w:t>
      </w:r>
      <w:r>
        <w:rPr>
          <w:rFonts w:ascii="黑体" w:hAnsi="黑体" w:cs="黑体" w:eastAsia="黑体" w:hint="default"/>
          <w:b w:val="0"/>
          <w:bCs w:val="0"/>
        </w:rPr>
      </w:r>
    </w:p>
    <w:p>
      <w:pPr>
        <w:pStyle w:val="BodyText"/>
        <w:spacing w:line="357" w:lineRule="auto" w:before="193"/>
        <w:ind w:right="1129" w:firstLine="480"/>
        <w:jc w:val="both"/>
      </w:pPr>
      <w:r>
        <w:rPr>
          <w:spacing w:val="6"/>
        </w:rPr>
        <w:t>我们的目标是对财务报表整体是否不存在由于舞弊或错误导致的重大错报获取合理保</w:t>
      </w:r>
      <w:r>
        <w:rPr/>
        <w:t> 证，并出具包含审计意见的审计报告。合理保证是高水平的保证，但并不能保证按照审计准 则执行的审计在某一重大错报存在时总能发现。错报可能由于舞弊或错误导致，如果合理预</w:t>
      </w:r>
      <w:r>
        <w:rPr>
          <w:spacing w:val="-110"/>
        </w:rPr>
        <w:t> </w:t>
      </w:r>
      <w:r>
        <w:rPr>
          <w:spacing w:val="-110"/>
        </w:rPr>
      </w:r>
      <w:r>
        <w:rPr/>
        <w:t>期错报单独或汇总起来可能影响财务报表使用者依据财务报表作出的经济决策，则通常认为</w:t>
      </w:r>
      <w:r>
        <w:rPr/>
        <w:t> 错报是重大的。</w:t>
      </w:r>
    </w:p>
    <w:p>
      <w:pPr>
        <w:pStyle w:val="BodyText"/>
        <w:spacing w:line="357" w:lineRule="auto" w:before="74"/>
        <w:ind w:right="1140" w:firstLine="480"/>
        <w:jc w:val="both"/>
      </w:pPr>
      <w:r>
        <w:rPr/>
        <w:t>在按照审计准则执行审计工作的过程中，我们运用职业判断，并保持职业怀疑。同时， 我们也执行以下工作：</w:t>
      </w:r>
    </w:p>
    <w:p>
      <w:pPr>
        <w:pStyle w:val="BodyText"/>
        <w:spacing w:line="357" w:lineRule="auto" w:before="74"/>
        <w:ind w:right="1131" w:firstLine="480"/>
        <w:jc w:val="both"/>
      </w:pP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24"/>
        </w:rPr>
        <w:t> </w:t>
      </w:r>
      <w:r>
        <w:rPr>
          <w:spacing w:val="-3"/>
        </w:rPr>
        <w:t>识别和评估由于舞弊或错误导致的财务报表重大错报风险，设计和实施审计程序以</w:t>
      </w:r>
      <w:r>
        <w:rPr/>
        <w:t> 应对这些风险，并获取充分、适当的审计证据，作为发表审计意见的基础。由于舞弊可能涉 及串通、伪造、故意遗漏、虚假陈述或凌驾于内部控制之上，未能发现由于舞弊导致的重大 错报的风险高于未能发现由于错误导致的重大错报的风险。</w:t>
      </w:r>
    </w:p>
    <w:p>
      <w:pPr>
        <w:spacing w:after="0" w:line="357" w:lineRule="auto"/>
        <w:jc w:val="both"/>
        <w:sectPr>
          <w:footerReference w:type="default" r:id="rId13"/>
          <w:pgSz w:w="11910" w:h="16840"/>
          <w:pgMar w:footer="979" w:header="747" w:top="1060" w:bottom="1160" w:left="980" w:right="0"/>
        </w:sectPr>
      </w:pPr>
    </w:p>
    <w:p>
      <w:pPr>
        <w:spacing w:line="240" w:lineRule="auto" w:before="7"/>
        <w:rPr>
          <w:rFonts w:ascii="宋体" w:hAnsi="宋体" w:cs="宋体" w:eastAsia="宋体" w:hint="default"/>
          <w:sz w:val="29"/>
          <w:szCs w:val="29"/>
        </w:rPr>
      </w:pPr>
    </w:p>
    <w:p>
      <w:pPr>
        <w:pStyle w:val="BodyText"/>
        <w:spacing w:line="357" w:lineRule="auto" w:before="26"/>
        <w:ind w:right="1131" w:firstLine="480"/>
        <w:jc w:val="both"/>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24"/>
        </w:rPr>
        <w:t> </w:t>
      </w:r>
      <w:r>
        <w:rPr>
          <w:spacing w:val="-3"/>
        </w:rPr>
        <w:t>了解与审计相关的内部控制，以设计恰当的审计程序，但目的并非对内部控制的有</w:t>
      </w:r>
      <w:r>
        <w:rPr/>
        <w:t> 效性发表意见。</w:t>
      </w:r>
    </w:p>
    <w:p>
      <w:pPr>
        <w:pStyle w:val="BodyText"/>
        <w:spacing w:line="240" w:lineRule="auto" w:before="76"/>
        <w:ind w:left="634" w:right="0"/>
        <w:jc w:val="left"/>
      </w:pPr>
      <w:r>
        <w:rPr>
          <w:rFonts w:ascii="宋体" w:hAnsi="宋体" w:cs="宋体" w:eastAsia="宋体" w:hint="default"/>
        </w:rPr>
        <w:t>(</w:t>
      </w:r>
      <w:r>
        <w:rPr/>
        <w:t>三</w:t>
      </w:r>
      <w:r>
        <w:rPr>
          <w:rFonts w:ascii="宋体" w:hAnsi="宋体" w:cs="宋体" w:eastAsia="宋体" w:hint="default"/>
        </w:rPr>
        <w:t>) </w:t>
      </w:r>
      <w:r>
        <w:rPr/>
        <w:t>评价管理层选用会计政策的恰当性和作出会计估计及相关披露的合理性。</w:t>
      </w:r>
    </w:p>
    <w:p>
      <w:pPr>
        <w:pStyle w:val="BodyText"/>
        <w:spacing w:line="357" w:lineRule="auto" w:before="194"/>
        <w:ind w:right="1129" w:firstLine="480"/>
        <w:jc w:val="both"/>
      </w:pPr>
      <w:r>
        <w:rPr>
          <w:rFonts w:ascii="宋体" w:hAnsi="宋体" w:cs="宋体" w:eastAsia="宋体" w:hint="default"/>
        </w:rPr>
        <w:t>(</w:t>
      </w:r>
      <w:r>
        <w:rPr/>
        <w:t>四</w:t>
      </w:r>
      <w:r>
        <w:rPr>
          <w:rFonts w:ascii="宋体" w:hAnsi="宋体" w:cs="宋体" w:eastAsia="宋体" w:hint="default"/>
        </w:rPr>
        <w:t>)</w:t>
      </w:r>
      <w:r>
        <w:rPr>
          <w:rFonts w:ascii="宋体" w:hAnsi="宋体" w:cs="宋体" w:eastAsia="宋体" w:hint="default"/>
          <w:spacing w:val="22"/>
        </w:rPr>
        <w:t> </w:t>
      </w:r>
      <w:r>
        <w:rPr>
          <w:spacing w:val="-3"/>
        </w:rPr>
        <w:t>对管理层使用持续经营假设的恰当性得出结论。同时，根据获取的审计证据，就可</w:t>
      </w:r>
      <w:r>
        <w:rPr/>
        <w:t> 能导致对正元智慧公司持续经营能力产生重大疑虑的事项或情况是否存在重大不确定性得出</w:t>
      </w:r>
      <w:r>
        <w:rPr>
          <w:spacing w:val="-117"/>
        </w:rPr>
        <w:t> </w:t>
      </w:r>
      <w:r>
        <w:rPr>
          <w:spacing w:val="-117"/>
        </w:rPr>
      </w:r>
      <w:r>
        <w:rPr/>
        <w:t>结论。如果我们得出结论认为存在重大不确定性，审计准则要求我们在审计报告中提请报表 使用者注意财务报表中的相关披露；如果披露不充分，我们应当发表非无保留意见。我们的 结论基于截至审计报告日可获得的信息。然而，未来的事项或情况可能导致正元智慧公司不</w:t>
      </w:r>
      <w:r>
        <w:rPr>
          <w:spacing w:val="-107"/>
        </w:rPr>
        <w:t> </w:t>
      </w:r>
      <w:r>
        <w:rPr>
          <w:spacing w:val="-107"/>
        </w:rPr>
      </w:r>
      <w:r>
        <w:rPr/>
        <w:t>能持续经营。</w:t>
      </w:r>
    </w:p>
    <w:p>
      <w:pPr>
        <w:pStyle w:val="BodyText"/>
        <w:spacing w:line="357" w:lineRule="auto" w:before="74"/>
        <w:ind w:right="1133" w:firstLine="480"/>
        <w:jc w:val="both"/>
      </w:pPr>
      <w:r>
        <w:rPr>
          <w:rFonts w:ascii="宋体" w:hAnsi="宋体" w:cs="宋体" w:eastAsia="宋体" w:hint="default"/>
        </w:rPr>
        <w:t>(</w:t>
      </w:r>
      <w:r>
        <w:rPr/>
        <w:t>五</w:t>
      </w:r>
      <w:r>
        <w:rPr>
          <w:rFonts w:ascii="宋体" w:hAnsi="宋体" w:cs="宋体" w:eastAsia="宋体" w:hint="default"/>
        </w:rPr>
        <w:t>)</w:t>
      </w:r>
      <w:r>
        <w:rPr>
          <w:rFonts w:ascii="宋体" w:hAnsi="宋体" w:cs="宋体" w:eastAsia="宋体" w:hint="default"/>
          <w:spacing w:val="29"/>
        </w:rPr>
        <w:t> </w:t>
      </w:r>
      <w:r>
        <w:rPr>
          <w:spacing w:val="-4"/>
        </w:rPr>
        <w:t>评价财务报表的总体列报、结构和内容（包括披露），并评价财务报表是否公允反</w:t>
      </w:r>
      <w:r>
        <w:rPr/>
        <w:t> 映相关交易和事项。</w:t>
      </w:r>
    </w:p>
    <w:p>
      <w:pPr>
        <w:pStyle w:val="BodyText"/>
        <w:spacing w:line="374" w:lineRule="auto" w:before="74"/>
        <w:ind w:right="1131" w:firstLine="480"/>
        <w:jc w:val="right"/>
      </w:pPr>
      <w:r>
        <w:rPr>
          <w:rFonts w:ascii="宋体" w:hAnsi="宋体" w:cs="宋体" w:eastAsia="宋体" w:hint="default"/>
        </w:rPr>
        <w:t>(</w:t>
      </w:r>
      <w:r>
        <w:rPr/>
        <w:t>六</w:t>
      </w:r>
      <w:r>
        <w:rPr>
          <w:rFonts w:ascii="宋体" w:hAnsi="宋体" w:cs="宋体" w:eastAsia="宋体" w:hint="default"/>
        </w:rPr>
        <w:t>)</w:t>
      </w:r>
      <w:r>
        <w:rPr>
          <w:rFonts w:ascii="宋体" w:hAnsi="宋体" w:cs="宋体" w:eastAsia="宋体" w:hint="default"/>
          <w:spacing w:val="26"/>
        </w:rPr>
        <w:t> </w:t>
      </w:r>
      <w:r>
        <w:rPr>
          <w:spacing w:val="-3"/>
        </w:rPr>
        <w:t>就正元智慧公司中实体或业务活动的财务信息获取充分、适当的审计证据，以对财</w:t>
      </w:r>
      <w:r>
        <w:rPr/>
        <w:t> 务报表发表审计意见。我们负责指导、监督和执行集团审计，并对审计意见承担全部责任。 我们与治理层就计划的审计范围、时间安排和重大审计发现等事项进行沟通，包括沟通</w:t>
      </w:r>
    </w:p>
    <w:p>
      <w:pPr>
        <w:pStyle w:val="BodyText"/>
        <w:spacing w:line="386" w:lineRule="auto" w:before="21"/>
        <w:ind w:left="634" w:right="0" w:hanging="480"/>
        <w:jc w:val="left"/>
      </w:pPr>
      <w:r>
        <w:rPr/>
        <w:t>我们在审计中识别出的值得关注的内部控制缺陷。 我们还就已遵守与独立性相关的职业道德要求向治理层提供声明，并与治理层沟通可能</w:t>
      </w:r>
    </w:p>
    <w:p>
      <w:pPr>
        <w:pStyle w:val="BodyText"/>
        <w:spacing w:line="386" w:lineRule="auto" w:before="8"/>
        <w:ind w:left="634" w:right="0" w:hanging="480"/>
        <w:jc w:val="left"/>
      </w:pPr>
      <w:r>
        <w:rPr>
          <w:spacing w:val="-4"/>
        </w:rPr>
        <w:t>被合理认为影响我们独立性的所有关系和其他事项，以及相关的防范措施（如适用）。</w:t>
      </w:r>
      <w:r>
        <w:rPr>
          <w:spacing w:val="-87"/>
        </w:rPr>
        <w:t> </w:t>
      </w:r>
      <w:r>
        <w:rPr>
          <w:spacing w:val="-87"/>
        </w:rPr>
      </w:r>
      <w:r>
        <w:rPr/>
        <w:t>从与治理层沟通过的事项中，我们确定哪些事项对本期财务报表审计最为重要，因而构</w:t>
      </w:r>
    </w:p>
    <w:p>
      <w:pPr>
        <w:pStyle w:val="BodyText"/>
        <w:spacing w:line="357" w:lineRule="auto" w:before="7"/>
        <w:ind w:right="1139"/>
        <w:jc w:val="both"/>
      </w:pPr>
      <w:r>
        <w:rPr/>
        <w:t>成关键审计事项。我们在审计报告中描述这些事项，除非法律法规禁止公开披露这些事项， 或在极少数情形下，如果合理预期在审计报告中沟通某事项造成的负面后果超过在公众利益 方面产生的益处，我们确定不应在审计报告中沟通该事项。</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29"/>
          <w:szCs w:val="29"/>
        </w:rPr>
      </w:pPr>
    </w:p>
    <w:p>
      <w:pPr>
        <w:pStyle w:val="BodyText"/>
        <w:tabs>
          <w:tab w:pos="4354" w:val="left" w:leader="none"/>
        </w:tabs>
        <w:spacing w:line="240" w:lineRule="auto" w:before="0"/>
        <w:ind w:right="0"/>
        <w:jc w:val="left"/>
      </w:pPr>
      <w:r>
        <w:rPr/>
        <w:t>天健会计师事务所（特殊普通合伙）</w:t>
        <w:tab/>
        <w:t>中国注册会计师：胡燕华</w:t>
      </w:r>
    </w:p>
    <w:p>
      <w:pPr>
        <w:pStyle w:val="BodyText"/>
        <w:spacing w:line="240" w:lineRule="auto" w:before="38"/>
        <w:ind w:left="0" w:right="534"/>
        <w:jc w:val="center"/>
      </w:pPr>
      <w:r>
        <w:rPr/>
        <w:t>（项目合伙人）</w:t>
      </w:r>
    </w:p>
    <w:p>
      <w:pPr>
        <w:spacing w:line="240" w:lineRule="auto" w:before="10"/>
        <w:rPr>
          <w:rFonts w:ascii="宋体" w:hAnsi="宋体" w:cs="宋体" w:eastAsia="宋体" w:hint="default"/>
          <w:sz w:val="35"/>
          <w:szCs w:val="35"/>
        </w:rPr>
      </w:pPr>
    </w:p>
    <w:p>
      <w:pPr>
        <w:pStyle w:val="BodyText"/>
        <w:tabs>
          <w:tab w:pos="4354" w:val="left" w:leader="none"/>
        </w:tabs>
        <w:spacing w:line="240" w:lineRule="auto" w:before="0"/>
        <w:ind w:left="1414" w:right="0"/>
        <w:jc w:val="left"/>
      </w:pPr>
      <w:r>
        <w:rPr/>
        <w:t>中国·杭州</w:t>
        <w:tab/>
        <w:t>中国注册会计师：罗衡</w:t>
      </w: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29"/>
          <w:szCs w:val="29"/>
        </w:rPr>
      </w:pPr>
    </w:p>
    <w:p>
      <w:pPr>
        <w:pStyle w:val="BodyText"/>
        <w:spacing w:line="240" w:lineRule="auto" w:before="0"/>
        <w:ind w:left="1402" w:right="979"/>
        <w:jc w:val="center"/>
      </w:pPr>
      <w:r>
        <w:rPr/>
        <w:t>二〇一九年三月二十七日</w:t>
      </w:r>
    </w:p>
    <w:p>
      <w:pPr>
        <w:spacing w:after="0" w:line="240" w:lineRule="auto"/>
        <w:jc w:val="center"/>
        <w:sectPr>
          <w:footerReference w:type="default" r:id="rId14"/>
          <w:pgSz w:w="11910" w:h="16840"/>
          <w:pgMar w:footer="979" w:header="747" w:top="1060" w:bottom="1160" w:left="980" w:right="0"/>
          <w:pgNumType w:start="101"/>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63"/>
        <w:ind w:right="0"/>
        <w:jc w:val="left"/>
        <w:rPr>
          <w:b w:val="0"/>
          <w:bCs w:val="0"/>
        </w:rPr>
      </w:pPr>
      <w:bookmarkStart w:name="二、财务报表" w:id="161"/>
      <w:bookmarkEnd w:id="161"/>
      <w:r>
        <w:rPr>
          <w:b w:val="0"/>
          <w:bCs w:val="0"/>
        </w:rPr>
      </w:r>
      <w:r>
        <w:rPr/>
        <w:t>二、财务报表</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财务附注中报表的单位为：人民币元</w:t>
      </w:r>
    </w:p>
    <w:p>
      <w:pPr>
        <w:spacing w:line="240" w:lineRule="auto" w:before="10"/>
        <w:rPr>
          <w:rFonts w:ascii="宋体" w:hAnsi="宋体" w:cs="宋体" w:eastAsia="宋体" w:hint="default"/>
          <w:sz w:val="26"/>
          <w:szCs w:val="26"/>
        </w:rPr>
      </w:pPr>
    </w:p>
    <w:p>
      <w:pPr>
        <w:spacing w:before="0"/>
        <w:ind w:left="154" w:right="0" w:firstLine="0"/>
        <w:jc w:val="left"/>
        <w:rPr>
          <w:rFonts w:ascii="宋体" w:hAnsi="宋体" w:cs="宋体" w:eastAsia="宋体" w:hint="default"/>
          <w:sz w:val="21"/>
          <w:szCs w:val="21"/>
        </w:rPr>
      </w:pPr>
      <w:bookmarkStart w:name="1、合并资产负债表" w:id="162"/>
      <w:bookmarkEnd w:id="162"/>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、合并资产负债表</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spacing w:before="44"/>
        <w:ind w:left="154" w:right="-20" w:firstLine="0"/>
        <w:jc w:val="left"/>
        <w:rPr>
          <w:rFonts w:ascii="宋体" w:hAnsi="宋体" w:cs="宋体" w:eastAsia="宋体" w:hint="default"/>
          <w:sz w:val="18"/>
          <w:szCs w:val="18"/>
        </w:rPr>
      </w:pPr>
      <w:r>
        <w:rPr>
          <w:rFonts w:ascii="宋体" w:hAnsi="宋体" w:cs="宋体" w:eastAsia="宋体" w:hint="default"/>
          <w:sz w:val="18"/>
          <w:szCs w:val="18"/>
        </w:rPr>
        <w:t>编制单位：浙江正元智慧科技股份有限公司</w:t>
      </w:r>
    </w:p>
    <w:p>
      <w:pPr>
        <w:spacing w:line="240" w:lineRule="auto" w:before="0"/>
        <w:rPr>
          <w:rFonts w:ascii="宋体" w:hAnsi="宋体" w:cs="宋体" w:eastAsia="宋体" w:hint="default"/>
          <w:sz w:val="18"/>
          <w:szCs w:val="18"/>
        </w:rPr>
      </w:pPr>
      <w:r>
        <w:rPr/>
        <w:br w:type="column"/>
      </w:r>
      <w:r>
        <w:rPr>
          <w:rFonts w:ascii="宋体"/>
          <w:sz w:val="18"/>
        </w:rPr>
      </w:r>
    </w:p>
    <w:p>
      <w:pPr>
        <w:spacing w:before="160"/>
        <w:ind w:left="153" w:right="-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3" w:equalWidth="0">
            <w:col w:w="3575" w:space="503"/>
            <w:col w:w="1639" w:space="3203"/>
            <w:col w:w="2010"/>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71"/>
        <w:gridCol w:w="3418"/>
        <w:gridCol w:w="2968"/>
      </w:tblGrid>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224,257,088.55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207,192,191.79</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88"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 损益的金融资产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316,704,751.52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277,242,401.43</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1,942,145.00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3,307,836.32</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56"/>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314,762,606.52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273,934,565.11</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18,143,758.57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14,561,237.38</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32,418,763.19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35,510,883.54</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3,714,760.27</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56"/>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168,680,057.50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112,985,384.23</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60,359,767.11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51,896,257.27</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820,564,186.44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699,388,355.64</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171"/>
        <w:gridCol w:w="3418"/>
        <w:gridCol w:w="2968"/>
      </w:tblGrid>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216,000.00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216,000.00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79,078,151.51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77,048,765.82</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29,965,366.76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6,514,702.13</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7,833,188.58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6,605,727.36</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51,064,626.84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11,230,818.21</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2,610,372.23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2,610,372.23</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5,066,260.82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89,759.19</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11,864,816.31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7,610,094.86</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5,082,007.12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7,174,342.72</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192,780,790.17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119,100,582.52</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1,013,344,976.61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818,488,938.16</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167,177,351.38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79,000,000.00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68"/>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88"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 损益的金融负债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68"/>
              <w:jc w:val="righ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121,854,768.54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113,822,855.13</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58,710,105.65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47,093,262.91</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68"/>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22,245,614.02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10,276,886.61</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6,591,983.45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6,219,741.52</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4,346,822.36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3,912,948.40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240,797.26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81,420.33</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56"/>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171"/>
        <w:gridCol w:w="3418"/>
        <w:gridCol w:w="2968"/>
      </w:tblGrid>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380,926,645.40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260,325,694.57</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36"/>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380,926,645.40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260,325,694.57</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66,666,667.00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66,666,667.00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36"/>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281,383,613.25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278,118,619.65</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25,502,239.13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20,073,387.01</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211,138,977.02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179,547,380.38</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584,691,496.40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544,406,054.04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94"/>
        <w:gridCol w:w="3407"/>
        <w:gridCol w:w="2968"/>
      </w:tblGrid>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47,726,834.81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13,757,189.55</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632,418,331.21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558,163,243.59</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1,013,344,976.61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818,488,938.16</w:t>
            </w:r>
          </w:p>
        </w:tc>
      </w:tr>
    </w:tbl>
    <w:p>
      <w:pPr>
        <w:spacing w:line="240" w:lineRule="auto" w:before="3"/>
        <w:rPr>
          <w:rFonts w:ascii="Times New Roman" w:hAnsi="Times New Roman" w:cs="Times New Roman" w:eastAsia="Times New Roman" w:hint="default"/>
          <w:sz w:val="23"/>
          <w:szCs w:val="23"/>
        </w:rPr>
      </w:pPr>
    </w:p>
    <w:p>
      <w:pPr>
        <w:tabs>
          <w:tab w:pos="3330" w:val="left" w:leader="none"/>
          <w:tab w:pos="7561" w:val="left" w:leader="none"/>
        </w:tabs>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法定代表人：陈坚</w:t>
        <w:tab/>
        <w:t>主管会计工作负责人：陈根清</w:t>
        <w:tab/>
        <w:t>会计机构负责人：包建军</w:t>
      </w:r>
    </w:p>
    <w:p>
      <w:pPr>
        <w:spacing w:line="240" w:lineRule="auto" w:before="11"/>
        <w:rPr>
          <w:rFonts w:ascii="宋体" w:hAnsi="宋体" w:cs="宋体" w:eastAsia="宋体" w:hint="default"/>
          <w:sz w:val="26"/>
          <w:szCs w:val="26"/>
        </w:rPr>
      </w:pPr>
    </w:p>
    <w:p>
      <w:pPr>
        <w:spacing w:before="0"/>
        <w:ind w:left="154" w:right="0" w:firstLine="0"/>
        <w:jc w:val="left"/>
        <w:rPr>
          <w:rFonts w:ascii="宋体" w:hAnsi="宋体" w:cs="宋体" w:eastAsia="宋体" w:hint="default"/>
          <w:sz w:val="21"/>
          <w:szCs w:val="21"/>
        </w:rPr>
      </w:pPr>
      <w:bookmarkStart w:name="2、母公司资产负债表" w:id="163"/>
      <w:bookmarkEnd w:id="163"/>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、母公司资产负债表</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8"/>
        <w:gridCol w:w="3314"/>
        <w:gridCol w:w="2966"/>
      </w:tblGrid>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152,909,828.90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153,376,386.27</w:t>
            </w:r>
          </w:p>
        </w:tc>
      </w:tr>
      <w:tr>
        <w:trPr>
          <w:trHeight w:val="714"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5"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 益的金融资产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299,384,594.74</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264,066,127.74</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1,942,145.00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3,307,836.32</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64"/>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297,442,449.74</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260,758,291.42</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13,049,467.15</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13,748,648.24</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67,519,391.57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61,670,786.66</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3,714,760.27</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64"/>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132,214,382.51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82,116,898.34</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56,017,506.13</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51,506,458.77</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721,095,171.00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626,485,306.02</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142,324,970.72</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100,398,765.82</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5,967,399.65</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4,818,250.35</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6,741,649.69</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6,605,727.36</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278"/>
        <w:gridCol w:w="3314"/>
        <w:gridCol w:w="2966"/>
      </w:tblGrid>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18,157,631.82</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9,651,984.94</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6,435,491.47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4,792,582.96</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450,769.24</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179,627,143.35</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126,718,080.67</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900,722,314.35</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753,203,386.69</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139,177,351.38</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55,000,000.00</w:t>
            </w:r>
          </w:p>
        </w:tc>
      </w:tr>
      <w:tr>
        <w:trPr>
          <w:trHeight w:val="714"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 益的金融负债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98,904,604.19</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101,451,735.07</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49,980,838.13</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35,742,378.98</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15,882,234.90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6,792,290.57</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1,903,931.88</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2,695,688.79</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3,513,288.83</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3,212,454.98</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212,563.93</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75,970.33</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64"/>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309,362,249.31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204,894,548.39</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44"/>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278"/>
        <w:gridCol w:w="3314"/>
        <w:gridCol w:w="2966"/>
      </w:tblGrid>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309,362,249.31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204,894,548.39</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66,666,667.00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66,666,667.00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44"/>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283,004,340.21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280,908,301.23</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25,502,239.13</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20,073,387.01</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216,186,818.70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180,660,483.06</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591,360,065.04</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548,308,838.30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900,722,314.35</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753,203,386.69</w:t>
            </w:r>
          </w:p>
        </w:tc>
      </w:tr>
    </w:tbl>
    <w:p>
      <w:pPr>
        <w:spacing w:line="240" w:lineRule="auto" w:before="10"/>
        <w:rPr>
          <w:rFonts w:ascii="Times New Roman" w:hAnsi="Times New Roman" w:cs="Times New Roman" w:eastAsia="Times New Roman" w:hint="default"/>
          <w:sz w:val="21"/>
          <w:szCs w:val="21"/>
        </w:rPr>
      </w:pPr>
    </w:p>
    <w:p>
      <w:pPr>
        <w:spacing w:before="35"/>
        <w:ind w:left="154" w:right="0" w:firstLine="0"/>
        <w:jc w:val="left"/>
        <w:rPr>
          <w:rFonts w:ascii="宋体" w:hAnsi="宋体" w:cs="宋体" w:eastAsia="宋体" w:hint="default"/>
          <w:sz w:val="21"/>
          <w:szCs w:val="21"/>
        </w:rPr>
      </w:pPr>
      <w:bookmarkStart w:name="3、合并利润表" w:id="164"/>
      <w:bookmarkEnd w:id="164"/>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、合并利润表</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566,836,544.20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448,922,268.58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566,836,544.20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448,922,268.58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539,365,853.26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425,239,634.18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341,344,452.66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271,544,248.30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3,748,873.62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3,584,681.54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52,459,315.55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38,108,991.73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51,104,839.47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42,391,798.06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70,388,151.77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55,405,696.81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6,327,186.79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2,387,054.94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03"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6,733,528.25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3,347,550.81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4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612,772.87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1,097,473.31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13,993,033.40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11,817,162.80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21,832,874.34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16,748,920.67</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3,198,020.76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2,136,696.27</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779,385.69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398,827.37</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226,119.71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1,085.49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52,727,705.75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42,569,336.83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178,136.33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14,388.74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3,401,667.98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65,916.40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49,504,174.10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42,517,809.17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-628,907.94</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1,254,021.58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50,133,082.04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41,263,787.59</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50,133,082.04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41,263,787.59</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50,353,782.16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41,968,856.74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-220,700.12</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-705,069.15</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（一）不能重分类进损益的其他 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（二）将重分类进损益的其他综 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6"/>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50,133,082.04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41,263,787.59</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50,353,782.16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41,968,856.74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-220,700.12</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-705,069.15</w:t>
            </w:r>
            <w:r>
              <w:rPr>
                <w:rFonts w:ascii="Times New Roman"/>
                <w:sz w:val="18"/>
              </w:rPr>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0.69</w:t>
            </w:r>
          </w:p>
        </w:tc>
      </w:tr>
    </w:tbl>
    <w:p>
      <w:pPr>
        <w:tabs>
          <w:tab w:pos="3484" w:val="left" w:leader="none"/>
          <w:tab w:pos="7715" w:val="left" w:leader="none"/>
        </w:tabs>
        <w:spacing w:line="592" w:lineRule="auto" w:before="51"/>
        <w:ind w:left="154" w:right="1229" w:firstLine="0"/>
        <w:jc w:val="both"/>
        <w:rPr>
          <w:rFonts w:ascii="宋体" w:hAnsi="宋体" w:cs="宋体" w:eastAsia="宋体" w:hint="default"/>
          <w:sz w:val="21"/>
          <w:szCs w:val="21"/>
        </w:rPr>
      </w:pPr>
      <w:r>
        <w:rPr>
          <w:rFonts w:ascii="宋体" w:hAnsi="宋体" w:cs="宋体" w:eastAsia="宋体" w:hint="default"/>
          <w:sz w:val="18"/>
          <w:szCs w:val="18"/>
        </w:rPr>
        <w:t>本期发生同一控制下企业合并的，被合并方在合并前实现的净利润为：</w:t>
      </w:r>
      <w:r>
        <w:rPr>
          <w:rFonts w:ascii="Times New Roman" w:hAnsi="Times New Roman" w:cs="Times New Roman" w:eastAsia="Times New Roman" w:hint="default"/>
          <w:sz w:val="18"/>
          <w:szCs w:val="18"/>
        </w:rPr>
        <w:t>0.00 </w:t>
      </w:r>
      <w:r>
        <w:rPr>
          <w:rFonts w:ascii="宋体" w:hAnsi="宋体" w:cs="宋体" w:eastAsia="宋体" w:hint="default"/>
          <w:sz w:val="18"/>
          <w:szCs w:val="18"/>
        </w:rPr>
        <w:t>元，上期被合并方实现的净利润为：</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 法定代表人：陈坚</w:t>
        <w:tab/>
        <w:t>主管会计工作负责人：陈根清</w:t>
        <w:tab/>
        <w:t>会计机构负责人：包建军 </w:t>
      </w:r>
      <w:bookmarkStart w:name="4、母公司利润表" w:id="165"/>
      <w:bookmarkEnd w:id="165"/>
      <w:r>
        <w:rPr>
          <w:rFonts w:ascii="宋体" w:hAnsi="宋体" w:cs="宋体" w:eastAsia="宋体" w:hint="default"/>
          <w:sz w:val="18"/>
          <w:szCs w:val="18"/>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、母公司利润表</w:t>
      </w:r>
      <w:r>
        <w:rPr>
          <w:rFonts w:ascii="宋体" w:hAnsi="宋体" w:cs="宋体" w:eastAsia="宋体" w:hint="default"/>
          <w:sz w:val="21"/>
          <w:szCs w:val="21"/>
        </w:rPr>
      </w:r>
    </w:p>
    <w:p>
      <w:pPr>
        <w:spacing w:before="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285"/>
              <w:jc w:val="right"/>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443,349,748.18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355,615,883.70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276,242,453.45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217,053,313.72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301"/>
              <w:jc w:val="right"/>
              <w:rPr>
                <w:rFonts w:ascii="宋体" w:hAnsi="宋体" w:cs="宋体" w:eastAsia="宋体" w:hint="default"/>
                <w:sz w:val="18"/>
                <w:szCs w:val="18"/>
              </w:rPr>
            </w:pPr>
            <w:r>
              <w:rPr>
                <w:rFonts w:ascii="宋体" w:hAnsi="宋体" w:cs="宋体" w:eastAsia="宋体" w:hint="default"/>
                <w:sz w:val="18"/>
                <w:szCs w:val="18"/>
              </w:rPr>
              <w:t>税金及附加</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2,653,047.24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2,617,619.63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35,295,001.81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27,287,968.08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27,233,242.06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22,232,240.28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51,177,933.59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47,167,735.23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5,102,214.35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1,493,785.81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5,472,183.43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2,446,416.12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6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491,891.02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1,050,580.86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12,414,372.25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9,867,942.99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16,663,762.08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12,916,335.06</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5,272,524.41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3,918,096.27</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3"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803,344.90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398,827.37</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-489.03</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-2,614.51</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55,167,280.89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44,727,094.78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12,148.50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13,535.09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354,919.90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868.60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54,824,509.49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44,739,761.27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535,988.33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837,102.30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54,288,521.16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43,902,658.97</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54,288,521.16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43,902,658.97</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（一）不能重分类进损益的其他 综合收益</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97"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（二）将重分类进损益的其他综 合收益</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36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85"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85"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54,288,521.16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43,902,658.97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spacing w:before="35"/>
        <w:ind w:left="154" w:right="0" w:firstLine="0"/>
        <w:jc w:val="left"/>
        <w:rPr>
          <w:rFonts w:ascii="宋体" w:hAnsi="宋体" w:cs="宋体" w:eastAsia="宋体" w:hint="default"/>
          <w:sz w:val="21"/>
          <w:szCs w:val="21"/>
        </w:rPr>
      </w:pPr>
      <w:bookmarkStart w:name="5、合并现金流量表" w:id="166"/>
      <w:bookmarkEnd w:id="166"/>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、合并现金流量表</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55"/>
        <w:gridCol w:w="3302"/>
        <w:gridCol w:w="3300"/>
      </w:tblGrid>
      <w:tr>
        <w:trPr>
          <w:trHeight w:val="40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51"/>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600,925,555.68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459,672,872.08</w:t>
            </w:r>
          </w:p>
        </w:tc>
      </w:tr>
      <w:tr>
        <w:trPr>
          <w:trHeight w:val="714"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0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51"/>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0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0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0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51"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0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51"/>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0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0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0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16,221,131.09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17,206,181.99</w:t>
            </w:r>
          </w:p>
        </w:tc>
      </w:tr>
      <w:tr>
        <w:trPr>
          <w:trHeight w:val="402"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51"/>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62,090,437.14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72,221,377.81</w:t>
            </w:r>
          </w:p>
        </w:tc>
      </w:tr>
      <w:tr>
        <w:trPr>
          <w:trHeight w:val="40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679,237,123.91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549,100,431.88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429,420,091.91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334,231,910.65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8"/>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104,781,429.18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83,127,108.67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39,587,224.90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33,757,185.03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98,909,717.51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138,004,968.92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672,698,463.50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589,121,173.27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6,538,660.41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-40,020,741.39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2,418,635.07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1,737,868.90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496,858.24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35,378.99</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299,000,000.00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301,915,493.31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146,773,247.89</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80,917,333.57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10,103,469.99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24,216,000.00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299,000,000.00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381,167,333.57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229,319,469.99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-79,251,840.26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-82,546,222.10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37,413,100.00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176,743,337.45</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37,413,100.00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231,177,351.38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114,000,000.00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283,590,451.38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290,743,337.45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99,000,000.00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22,321,284.72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5,040,821.61</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2,053,800.00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1,711,500.00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14,113,337.45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165,321,284.72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118,154,159.06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118,269,166.66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172,589,178.39</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45,555,986.81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50,022,214.90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175,586,866.87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125,564,651.97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221,142,853.68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175,586,866.87</w:t>
            </w:r>
          </w:p>
        </w:tc>
      </w:tr>
    </w:tbl>
    <w:p>
      <w:pPr>
        <w:spacing w:line="240" w:lineRule="auto" w:before="10"/>
        <w:rPr>
          <w:rFonts w:ascii="Times New Roman" w:hAnsi="Times New Roman" w:cs="Times New Roman" w:eastAsia="Times New Roman" w:hint="default"/>
          <w:sz w:val="21"/>
          <w:szCs w:val="21"/>
        </w:rPr>
      </w:pPr>
    </w:p>
    <w:p>
      <w:pPr>
        <w:spacing w:before="35"/>
        <w:ind w:left="154" w:right="0" w:firstLine="0"/>
        <w:jc w:val="left"/>
        <w:rPr>
          <w:rFonts w:ascii="宋体" w:hAnsi="宋体" w:cs="宋体" w:eastAsia="宋体" w:hint="default"/>
          <w:sz w:val="21"/>
          <w:szCs w:val="21"/>
        </w:rPr>
      </w:pPr>
      <w:bookmarkStart w:name="6、母公司现金流量表" w:id="167"/>
      <w:bookmarkEnd w:id="167"/>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、母公司现金流量表</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471,051,443.59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338,360,632.97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11,619,926.35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13,787,304.45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67,609,890.32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73,434,923.64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550,281,260.26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425,582,861.06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361,873,264.49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261,793,908.15</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66,446,693.87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54,943,299.64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29,610,525.69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24,082,013.05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91,037,558.49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129,403,349.10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548,968,042.54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470,222,569.94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1,313,217.72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-44,639,708.88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4,469,179.51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3,519,268.90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3,150.00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4,637.00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307,341,000.00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311,813,329.51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148,523,905.90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13,295,728.71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9,620,158.57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41,122,860.00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28,590,000.00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316,953,750.00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371,372,338.71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233,210,158.57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-59,559,009.20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-84,686,252.67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172,333,337.45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201,177,351.38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216,177,351.38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259,333,337.45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84,000,000.00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18,668,923.23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2,428,718.17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14,113,337.45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135,668,923.23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100,542,055.62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80,508,428.15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158,791,281.83</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22,262,636.67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29,465,320.28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127,532,957.36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98,067,637.08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149,795,594.03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127,532,957.36</w:t>
            </w: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bookmarkStart w:name="7、合并所有者权益变动表" w:id="168"/>
      <w:bookmarkEnd w:id="168"/>
      <w:r>
        <w:rPr/>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、合并所有者权益变动表</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1415"/>
        <w:gridCol w:w="574"/>
        <w:gridCol w:w="530"/>
        <w:gridCol w:w="532"/>
        <w:gridCol w:w="530"/>
        <w:gridCol w:w="665"/>
        <w:gridCol w:w="665"/>
        <w:gridCol w:w="665"/>
        <w:gridCol w:w="665"/>
        <w:gridCol w:w="664"/>
        <w:gridCol w:w="666"/>
        <w:gridCol w:w="665"/>
        <w:gridCol w:w="665"/>
        <w:gridCol w:w="659"/>
      </w:tblGrid>
      <w:tr>
        <w:trPr>
          <w:trHeight w:val="402" w:hRule="exact"/>
        </w:trPr>
        <w:tc>
          <w:tcPr>
            <w:tcW w:w="1415" w:type="dxa"/>
            <w:vMerge w:val="restart"/>
            <w:tcBorders>
              <w:top w:val="single" w:sz="4" w:space="0" w:color="000000"/>
              <w:left w:val="single" w:sz="4" w:space="0" w:color="000000"/>
              <w:right w:val="single" w:sz="4" w:space="0" w:color="000000"/>
            </w:tcBorders>
            <w:shd w:val="clear" w:color="auto" w:fill="D2D2D2"/>
          </w:tcPr>
          <w:p>
            <w:pPr/>
          </w:p>
        </w:tc>
        <w:tc>
          <w:tcPr>
            <w:tcW w:w="8145"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51" w:hRule="exact"/>
        </w:trPr>
        <w:tc>
          <w:tcPr>
            <w:tcW w:w="1415" w:type="dxa"/>
            <w:vMerge/>
            <w:tcBorders>
              <w:left w:val="single" w:sz="4" w:space="0" w:color="000000"/>
              <w:right w:val="single" w:sz="4" w:space="0" w:color="000000"/>
            </w:tcBorders>
            <w:shd w:val="clear" w:color="auto" w:fill="D2D2D2"/>
          </w:tcPr>
          <w:p>
            <w:pPr/>
          </w:p>
        </w:tc>
        <w:tc>
          <w:tcPr>
            <w:tcW w:w="6821"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15" w:type="dxa"/>
            <w:vMerge/>
            <w:tcBorders>
              <w:left w:val="single" w:sz="4" w:space="0" w:color="000000"/>
              <w:bottom w:val="nil" w:sz="6" w:space="0" w:color="auto"/>
              <w:right w:val="single" w:sz="4" w:space="0" w:color="000000"/>
            </w:tcBorders>
            <w:shd w:val="clear" w:color="auto" w:fill="D2D2D2"/>
          </w:tcPr>
          <w:p>
            <w:pPr/>
          </w:p>
        </w:tc>
        <w:tc>
          <w:tcPr>
            <w:tcW w:w="6821" w:type="dxa"/>
            <w:gridSpan w:val="11"/>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1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74"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4" w:type="dxa"/>
            <w:tcBorders>
              <w:top w:val="single" w:sz="4" w:space="0" w:color="000000"/>
              <w:left w:val="single" w:sz="4" w:space="0" w:color="000000"/>
              <w:bottom w:val="nil" w:sz="6" w:space="0" w:color="auto"/>
              <w:right w:val="single" w:sz="4" w:space="0" w:color="000000"/>
            </w:tcBorders>
            <w:shd w:val="clear" w:color="auto" w:fill="D2D2D2"/>
          </w:tcPr>
          <w:p>
            <w:pPr/>
          </w:p>
        </w:tc>
        <w:tc>
          <w:tcPr>
            <w:tcW w:w="666"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6"/>
              <w:ind w:left="56" w:right="5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3" w:hRule="exact"/>
        </w:trPr>
        <w:tc>
          <w:tcPr>
            <w:tcW w:w="1415" w:type="dxa"/>
            <w:vMerge/>
            <w:tcBorders>
              <w:left w:val="single" w:sz="4" w:space="0" w:color="000000"/>
              <w:bottom w:val="nil" w:sz="6" w:space="0" w:color="auto"/>
              <w:right w:val="single" w:sz="4" w:space="0" w:color="000000"/>
            </w:tcBorders>
            <w:shd w:val="clear" w:color="auto" w:fill="D2D2D2"/>
          </w:tcPr>
          <w:p>
            <w:pPr/>
          </w:p>
        </w:tc>
        <w:tc>
          <w:tcPr>
            <w:tcW w:w="574"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36" w:right="56"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36"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6"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7"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4" w:hRule="exact"/>
        </w:trPr>
        <w:tc>
          <w:tcPr>
            <w:tcW w:w="1415" w:type="dxa"/>
            <w:vMerge w:val="restart"/>
            <w:tcBorders>
              <w:top w:val="nil" w:sz="6" w:space="0" w:color="auto"/>
              <w:left w:val="single" w:sz="4" w:space="0" w:color="000000"/>
              <w:right w:val="single" w:sz="4" w:space="0" w:color="000000"/>
            </w:tcBorders>
            <w:shd w:val="clear" w:color="auto" w:fill="D2D2D2"/>
          </w:tcPr>
          <w:p>
            <w:pPr/>
          </w:p>
        </w:tc>
        <w:tc>
          <w:tcPr>
            <w:tcW w:w="5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5"/>
              <w:ind w:left="108"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4"/>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4"/>
              <w:ind w:left="170" w:right="79"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9" w:hRule="exact"/>
        </w:trPr>
        <w:tc>
          <w:tcPr>
            <w:tcW w:w="1415" w:type="dxa"/>
            <w:vMerge/>
            <w:tcBorders>
              <w:left w:val="single" w:sz="4" w:space="0" w:color="000000"/>
              <w:right w:val="single" w:sz="4" w:space="0" w:color="000000"/>
            </w:tcBorders>
            <w:shd w:val="clear" w:color="auto" w:fill="D2D2D2"/>
          </w:tcPr>
          <w:p>
            <w:pPr/>
          </w:p>
        </w:tc>
        <w:tc>
          <w:tcPr>
            <w:tcW w:w="574"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15" w:type="dxa"/>
            <w:vMerge/>
            <w:tcBorders>
              <w:left w:val="single" w:sz="4" w:space="0" w:color="000000"/>
              <w:right w:val="single" w:sz="4" w:space="0" w:color="000000"/>
            </w:tcBorders>
            <w:shd w:val="clear" w:color="auto" w:fill="D2D2D2"/>
          </w:tcPr>
          <w:p>
            <w:pPr/>
          </w:p>
        </w:tc>
        <w:tc>
          <w:tcPr>
            <w:tcW w:w="574"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4" w:type="dxa"/>
            <w:vMerge/>
            <w:tcBorders>
              <w:left w:val="single" w:sz="4" w:space="0" w:color="000000"/>
              <w:bottom w:val="nil" w:sz="6" w:space="0" w:color="auto"/>
              <w:right w:val="single" w:sz="4" w:space="0" w:color="000000"/>
            </w:tcBorders>
            <w:shd w:val="clear" w:color="auto" w:fill="D2D2D2"/>
          </w:tcPr>
          <w:p>
            <w:pPr/>
          </w:p>
        </w:tc>
        <w:tc>
          <w:tcPr>
            <w:tcW w:w="666"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9" w:hRule="exact"/>
        </w:trPr>
        <w:tc>
          <w:tcPr>
            <w:tcW w:w="1415" w:type="dxa"/>
            <w:vMerge/>
            <w:tcBorders>
              <w:left w:val="single" w:sz="4" w:space="0" w:color="000000"/>
              <w:bottom w:val="single" w:sz="4" w:space="0" w:color="000000"/>
              <w:right w:val="single" w:sz="4" w:space="0" w:color="000000"/>
            </w:tcBorders>
            <w:shd w:val="clear" w:color="auto" w:fill="D2D2D2"/>
          </w:tcPr>
          <w:p>
            <w:pPr/>
          </w:p>
        </w:tc>
        <w:tc>
          <w:tcPr>
            <w:tcW w:w="574"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4" w:type="dxa"/>
            <w:tcBorders>
              <w:top w:val="nil" w:sz="6" w:space="0" w:color="auto"/>
              <w:left w:val="single" w:sz="4" w:space="0" w:color="000000"/>
              <w:bottom w:val="single" w:sz="4" w:space="0" w:color="000000"/>
              <w:right w:val="single" w:sz="4" w:space="0" w:color="000000"/>
            </w:tcBorders>
            <w:shd w:val="clear" w:color="auto" w:fill="D2D2D2"/>
          </w:tcPr>
          <w:p>
            <w:pPr/>
          </w:p>
        </w:tc>
        <w:tc>
          <w:tcPr>
            <w:tcW w:w="666"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66,666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,667.0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278,118</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,619.65</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20,073,</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387.01</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179,547</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,380.38</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13,757,</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189.55</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558,163</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,243.59</w:t>
            </w: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3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66,666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,667.0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278,118</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,619.65</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20,073,</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387.01</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179,547</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,380.38</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13,757,</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189.55</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558,163</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,243.59</w:t>
            </w: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026"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9"/>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号填列）</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3,264,9</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93.60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5,428,8</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52.12</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31,591,</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596.64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33,969,</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645.26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74,255,</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087.62</w:t>
            </w: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50,353,</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782.16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-220,70</w:t>
            </w:r>
          </w:p>
          <w:p>
            <w:pPr>
              <w:pStyle w:val="TableParagraph"/>
              <w:spacing w:line="240" w:lineRule="auto" w:before="106"/>
              <w:ind w:left="316" w:right="0"/>
              <w:jc w:val="left"/>
              <w:rPr>
                <w:rFonts w:ascii="Times New Roman" w:hAnsi="Times New Roman" w:cs="Times New Roman" w:eastAsia="Times New Roman" w:hint="default"/>
                <w:sz w:val="18"/>
                <w:szCs w:val="18"/>
              </w:rPr>
            </w:pPr>
            <w:r>
              <w:rPr>
                <w:rFonts w:ascii="Times New Roman"/>
                <w:sz w:val="18"/>
              </w:rPr>
              <w:t>0.12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50,133,</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082.04</w:t>
            </w: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2,096,0</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38.98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37,413,</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100.00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39,509,</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138.98</w:t>
            </w: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37,413,</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100.00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37,413,</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100.00</w:t>
            </w: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2,096,0</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38.98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2,096,0</w:t>
            </w:r>
          </w:p>
          <w:p>
            <w:pPr>
              <w:pStyle w:val="TableParagraph"/>
              <w:spacing w:line="240" w:lineRule="auto" w:before="106"/>
              <w:ind w:left="197" w:right="0"/>
              <w:jc w:val="center"/>
              <w:rPr>
                <w:rFonts w:ascii="Times New Roman" w:hAnsi="Times New Roman" w:cs="Times New Roman" w:eastAsia="Times New Roman" w:hint="default"/>
                <w:sz w:val="18"/>
                <w:szCs w:val="18"/>
              </w:rPr>
            </w:pPr>
            <w:r>
              <w:rPr>
                <w:rFonts w:ascii="Times New Roman"/>
                <w:sz w:val="18"/>
              </w:rPr>
              <w:t>38.98</w:t>
            </w:r>
          </w:p>
        </w:tc>
      </w:tr>
      <w:tr>
        <w:trPr>
          <w:trHeight w:val="402"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5,428,8</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52.12</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-18,762,</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185.52</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-2,053,8</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00.00</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-15,387,</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133.40</w:t>
            </w: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61"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5,428,8</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52.12</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-5,428,8</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52.12</w:t>
            </w:r>
          </w:p>
        </w:tc>
        <w:tc>
          <w:tcPr>
            <w:tcW w:w="665"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402"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36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准备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-13,333,</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333.40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-2,053,8</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00.00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-15,387,</w:t>
            </w:r>
          </w:p>
          <w:p>
            <w:pPr>
              <w:pStyle w:val="TableParagraph"/>
              <w:spacing w:line="240" w:lineRule="auto" w:before="105"/>
              <w:ind w:left="107" w:right="0"/>
              <w:jc w:val="center"/>
              <w:rPr>
                <w:rFonts w:ascii="Times New Roman" w:hAnsi="Times New Roman" w:cs="Times New Roman" w:eastAsia="Times New Roman" w:hint="default"/>
                <w:sz w:val="18"/>
                <w:szCs w:val="18"/>
              </w:rPr>
            </w:pPr>
            <w:r>
              <w:rPr>
                <w:rFonts w:ascii="Times New Roman"/>
                <w:sz w:val="18"/>
              </w:rPr>
              <w:t>133.40</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1,168,9</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54.62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-1,168,9</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54.62</w:t>
            </w: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66,666</w:t>
            </w:r>
          </w:p>
          <w:p>
            <w:pPr>
              <w:pStyle w:val="TableParagraph"/>
              <w:spacing w:line="240" w:lineRule="auto" w:before="104"/>
              <w:ind w:right="19"/>
              <w:jc w:val="right"/>
              <w:rPr>
                <w:rFonts w:ascii="Times New Roman" w:hAnsi="Times New Roman" w:cs="Times New Roman" w:eastAsia="Times New Roman" w:hint="default"/>
                <w:sz w:val="18"/>
                <w:szCs w:val="18"/>
              </w:rPr>
            </w:pPr>
            <w:r>
              <w:rPr>
                <w:rFonts w:ascii="Times New Roman"/>
                <w:sz w:val="18"/>
              </w:rPr>
              <w:t>,667.0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281,383</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,613.25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25,502,</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239.13</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211,138</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,977.02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47,726,</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834.81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632,418</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,331.21</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427"/>
        <w:gridCol w:w="562"/>
        <w:gridCol w:w="530"/>
        <w:gridCol w:w="532"/>
        <w:gridCol w:w="530"/>
        <w:gridCol w:w="665"/>
        <w:gridCol w:w="665"/>
        <w:gridCol w:w="665"/>
        <w:gridCol w:w="665"/>
        <w:gridCol w:w="665"/>
        <w:gridCol w:w="665"/>
        <w:gridCol w:w="678"/>
        <w:gridCol w:w="652"/>
        <w:gridCol w:w="659"/>
      </w:tblGrid>
      <w:tr>
        <w:trPr>
          <w:trHeight w:val="402" w:hRule="exact"/>
        </w:trPr>
        <w:tc>
          <w:tcPr>
            <w:tcW w:w="1427" w:type="dxa"/>
            <w:vMerge w:val="restart"/>
            <w:tcBorders>
              <w:top w:val="single" w:sz="4" w:space="0" w:color="000000"/>
              <w:left w:val="single" w:sz="4" w:space="0" w:color="000000"/>
              <w:right w:val="single" w:sz="4" w:space="0" w:color="000000"/>
            </w:tcBorders>
            <w:shd w:val="clear" w:color="auto" w:fill="D2D2D2"/>
          </w:tcPr>
          <w:p>
            <w:pPr/>
          </w:p>
        </w:tc>
        <w:tc>
          <w:tcPr>
            <w:tcW w:w="813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1" w:hRule="exact"/>
        </w:trPr>
        <w:tc>
          <w:tcPr>
            <w:tcW w:w="1427" w:type="dxa"/>
            <w:vMerge/>
            <w:tcBorders>
              <w:left w:val="single" w:sz="4" w:space="0" w:color="000000"/>
              <w:right w:val="single" w:sz="4" w:space="0" w:color="000000"/>
            </w:tcBorders>
            <w:shd w:val="clear" w:color="auto" w:fill="D2D2D2"/>
          </w:tcPr>
          <w:p>
            <w:pPr/>
          </w:p>
        </w:tc>
        <w:tc>
          <w:tcPr>
            <w:tcW w:w="6822"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6822" w:type="dxa"/>
            <w:gridSpan w:val="11"/>
            <w:vMerge/>
            <w:tcBorders>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562"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78"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6"/>
              <w:ind w:left="50" w:right="49"/>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3"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7"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53" w:right="62"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4" w:hRule="exact"/>
        </w:trPr>
        <w:tc>
          <w:tcPr>
            <w:tcW w:w="1427" w:type="dxa"/>
            <w:vMerge w:val="restart"/>
            <w:tcBorders>
              <w:top w:val="nil" w:sz="6" w:space="0" w:color="auto"/>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4"/>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4"/>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4"/>
              <w:ind w:left="171" w:right="7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9" w:hRule="exact"/>
        </w:trPr>
        <w:tc>
          <w:tcPr>
            <w:tcW w:w="1427" w:type="dxa"/>
            <w:vMerge/>
            <w:tcBorders>
              <w:left w:val="single" w:sz="4" w:space="0" w:color="000000"/>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27" w:type="dxa"/>
            <w:vMerge/>
            <w:tcBorders>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78" w:type="dxa"/>
            <w:vMerge/>
            <w:tcBorders>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9" w:hRule="exact"/>
        </w:trPr>
        <w:tc>
          <w:tcPr>
            <w:tcW w:w="1427"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78"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135,484</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,699.44</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15,683,</w:t>
            </w:r>
          </w:p>
          <w:p>
            <w:pPr>
              <w:pStyle w:val="TableParagraph"/>
              <w:spacing w:line="240" w:lineRule="auto" w:before="106"/>
              <w:ind w:left="142" w:right="0"/>
              <w:jc w:val="left"/>
              <w:rPr>
                <w:rFonts w:ascii="Times New Roman" w:hAnsi="Times New Roman" w:cs="Times New Roman" w:eastAsia="Times New Roman" w:hint="default"/>
                <w:sz w:val="18"/>
                <w:szCs w:val="18"/>
              </w:rPr>
            </w:pPr>
            <w:r>
              <w:rPr>
                <w:rFonts w:ascii="Times New Roman"/>
                <w:sz w:val="18"/>
              </w:rPr>
              <w:t>121.11</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141,968</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,789.54</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11,763,</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758.70</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354,900</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,368.79</w:t>
            </w:r>
          </w:p>
        </w:tc>
      </w:tr>
      <w:tr>
        <w:trPr>
          <w:trHeight w:val="392"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42"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135,484</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,699.44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15,683,</w:t>
            </w:r>
          </w:p>
          <w:p>
            <w:pPr>
              <w:pStyle w:val="TableParagraph"/>
              <w:spacing w:line="240" w:lineRule="auto" w:before="106"/>
              <w:ind w:left="142" w:right="0"/>
              <w:jc w:val="left"/>
              <w:rPr>
                <w:rFonts w:ascii="Times New Roman" w:hAnsi="Times New Roman" w:cs="Times New Roman" w:eastAsia="Times New Roman" w:hint="default"/>
                <w:sz w:val="18"/>
                <w:szCs w:val="18"/>
              </w:rPr>
            </w:pPr>
            <w:r>
              <w:rPr>
                <w:rFonts w:ascii="Times New Roman"/>
                <w:sz w:val="18"/>
              </w:rPr>
              <w:t>121.11</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141,968</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,789.54</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11,763,</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758.70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354,900</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,368.79</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16,666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,667.0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142,633</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,920.21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4,390,2</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65.90</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37,578,</w:t>
            </w:r>
          </w:p>
          <w:p>
            <w:pPr>
              <w:pStyle w:val="TableParagraph"/>
              <w:spacing w:line="240" w:lineRule="auto" w:before="106"/>
              <w:ind w:left="149" w:right="0"/>
              <w:jc w:val="left"/>
              <w:rPr>
                <w:rFonts w:ascii="Times New Roman" w:hAnsi="Times New Roman" w:cs="Times New Roman" w:eastAsia="Times New Roman" w:hint="default"/>
                <w:sz w:val="18"/>
                <w:szCs w:val="18"/>
              </w:rPr>
            </w:pPr>
            <w:r>
              <w:rPr>
                <w:rFonts w:ascii="Times New Roman"/>
                <w:sz w:val="18"/>
              </w:rPr>
              <w:t>590.84</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1,993,4</w:t>
            </w:r>
          </w:p>
          <w:p>
            <w:pPr>
              <w:pStyle w:val="TableParagraph"/>
              <w:spacing w:line="240" w:lineRule="auto" w:before="106"/>
              <w:ind w:left="192" w:right="0"/>
              <w:jc w:val="center"/>
              <w:rPr>
                <w:rFonts w:ascii="Times New Roman" w:hAnsi="Times New Roman" w:cs="Times New Roman" w:eastAsia="Times New Roman" w:hint="default"/>
                <w:sz w:val="18"/>
                <w:szCs w:val="18"/>
              </w:rPr>
            </w:pPr>
            <w:r>
              <w:rPr>
                <w:rFonts w:ascii="Times New Roman"/>
                <w:sz w:val="18"/>
              </w:rPr>
              <w:t>30.85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203,262</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,874.80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4" w:right="0"/>
              <w:jc w:val="left"/>
              <w:rPr>
                <w:rFonts w:ascii="Times New Roman" w:hAnsi="Times New Roman" w:cs="Times New Roman" w:eastAsia="Times New Roman" w:hint="default"/>
                <w:sz w:val="18"/>
                <w:szCs w:val="18"/>
              </w:rPr>
            </w:pPr>
            <w:r>
              <w:rPr>
                <w:rFonts w:ascii="Times New Roman"/>
                <w:sz w:val="18"/>
              </w:rPr>
              <w:t>41,968,</w:t>
            </w:r>
          </w:p>
          <w:p>
            <w:pPr>
              <w:pStyle w:val="TableParagraph"/>
              <w:spacing w:line="240" w:lineRule="auto" w:before="106"/>
              <w:ind w:left="149" w:right="0"/>
              <w:jc w:val="left"/>
              <w:rPr>
                <w:rFonts w:ascii="Times New Roman" w:hAnsi="Times New Roman" w:cs="Times New Roman" w:eastAsia="Times New Roman" w:hint="default"/>
                <w:sz w:val="18"/>
                <w:szCs w:val="18"/>
              </w:rPr>
            </w:pPr>
            <w:r>
              <w:rPr>
                <w:rFonts w:ascii="Times New Roman"/>
                <w:sz w:val="18"/>
              </w:rPr>
              <w:t>856.74</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-705,06</w:t>
            </w:r>
          </w:p>
          <w:p>
            <w:pPr>
              <w:pStyle w:val="TableParagraph"/>
              <w:spacing w:line="240" w:lineRule="auto" w:before="106"/>
              <w:ind w:left="304" w:right="0"/>
              <w:jc w:val="left"/>
              <w:rPr>
                <w:rFonts w:ascii="Times New Roman" w:hAnsi="Times New Roman" w:cs="Times New Roman" w:eastAsia="Times New Roman" w:hint="default"/>
                <w:sz w:val="18"/>
                <w:szCs w:val="18"/>
              </w:rPr>
            </w:pPr>
            <w:r>
              <w:rPr>
                <w:rFonts w:ascii="Times New Roman"/>
                <w:sz w:val="18"/>
              </w:rPr>
              <w:t>9.15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41,263,</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787.59</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16,666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,667.0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142,633</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,920.21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4,410,0</w:t>
            </w:r>
          </w:p>
          <w:p>
            <w:pPr>
              <w:pStyle w:val="TableParagraph"/>
              <w:spacing w:line="240" w:lineRule="auto" w:before="106"/>
              <w:ind w:left="192" w:right="0"/>
              <w:jc w:val="center"/>
              <w:rPr>
                <w:rFonts w:ascii="Times New Roman" w:hAnsi="Times New Roman" w:cs="Times New Roman" w:eastAsia="Times New Roman" w:hint="default"/>
                <w:sz w:val="18"/>
                <w:szCs w:val="18"/>
              </w:rPr>
            </w:pPr>
            <w:r>
              <w:rPr>
                <w:rFonts w:ascii="Times New Roman"/>
                <w:sz w:val="18"/>
              </w:rPr>
              <w:t>00.00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163,710</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,587.21</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2" w:lineRule="auto"/>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16,666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,667.0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141,553</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,333.00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4,410,0</w:t>
            </w:r>
          </w:p>
          <w:p>
            <w:pPr>
              <w:pStyle w:val="TableParagraph"/>
              <w:spacing w:line="240" w:lineRule="auto" w:before="106"/>
              <w:ind w:left="192" w:right="0"/>
              <w:jc w:val="center"/>
              <w:rPr>
                <w:rFonts w:ascii="Times New Roman" w:hAnsi="Times New Roman" w:cs="Times New Roman" w:eastAsia="Times New Roman" w:hint="default"/>
                <w:sz w:val="18"/>
                <w:szCs w:val="18"/>
              </w:rPr>
            </w:pPr>
            <w:r>
              <w:rPr>
                <w:rFonts w:ascii="Times New Roman"/>
                <w:sz w:val="18"/>
              </w:rPr>
              <w:t>00.00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162,630</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,000.00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1,080,5</w:t>
            </w:r>
          </w:p>
          <w:p>
            <w:pPr>
              <w:pStyle w:val="TableParagraph"/>
              <w:spacing w:line="240" w:lineRule="auto" w:before="106"/>
              <w:ind w:left="206" w:right="0"/>
              <w:jc w:val="center"/>
              <w:rPr>
                <w:rFonts w:ascii="Times New Roman" w:hAnsi="Times New Roman" w:cs="Times New Roman" w:eastAsia="Times New Roman" w:hint="default"/>
                <w:sz w:val="18"/>
                <w:szCs w:val="18"/>
              </w:rPr>
            </w:pPr>
            <w:r>
              <w:rPr>
                <w:rFonts w:ascii="Times New Roman"/>
                <w:sz w:val="18"/>
              </w:rPr>
              <w:t>87.21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1,080,5</w:t>
            </w:r>
          </w:p>
          <w:p>
            <w:pPr>
              <w:pStyle w:val="TableParagraph"/>
              <w:spacing w:line="240" w:lineRule="auto" w:before="106"/>
              <w:ind w:left="197" w:right="0"/>
              <w:jc w:val="center"/>
              <w:rPr>
                <w:rFonts w:ascii="Times New Roman" w:hAnsi="Times New Roman" w:cs="Times New Roman" w:eastAsia="Times New Roman" w:hint="default"/>
                <w:sz w:val="18"/>
                <w:szCs w:val="18"/>
              </w:rPr>
            </w:pPr>
            <w:r>
              <w:rPr>
                <w:rFonts w:ascii="Times New Roman"/>
                <w:sz w:val="18"/>
              </w:rPr>
              <w:t>87.21</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4,390,2</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65.90</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-4,390,2</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65.90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-1,711,5</w:t>
            </w:r>
          </w:p>
          <w:p>
            <w:pPr>
              <w:pStyle w:val="TableParagraph"/>
              <w:spacing w:line="240" w:lineRule="auto" w:before="106"/>
              <w:ind w:left="192" w:right="0"/>
              <w:jc w:val="center"/>
              <w:rPr>
                <w:rFonts w:ascii="Times New Roman" w:hAnsi="Times New Roman" w:cs="Times New Roman" w:eastAsia="Times New Roman" w:hint="default"/>
                <w:sz w:val="18"/>
                <w:szCs w:val="18"/>
              </w:rPr>
            </w:pPr>
            <w:r>
              <w:rPr>
                <w:rFonts w:ascii="Times New Roman"/>
                <w:sz w:val="18"/>
              </w:rPr>
              <w:t>00.00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-1,711,5</w:t>
            </w:r>
          </w:p>
          <w:p>
            <w:pPr>
              <w:pStyle w:val="TableParagraph"/>
              <w:spacing w:line="240" w:lineRule="auto" w:before="106"/>
              <w:ind w:left="197" w:right="0"/>
              <w:jc w:val="center"/>
              <w:rPr>
                <w:rFonts w:ascii="Times New Roman" w:hAnsi="Times New Roman" w:cs="Times New Roman" w:eastAsia="Times New Roman" w:hint="default"/>
                <w:sz w:val="18"/>
                <w:szCs w:val="18"/>
              </w:rPr>
            </w:pPr>
            <w:r>
              <w:rPr>
                <w:rFonts w:ascii="Times New Roman"/>
                <w:sz w:val="18"/>
              </w:rPr>
              <w:t>00.00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4,390,2</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65.90</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-4,390,2</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65.90</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-1,711,5</w:t>
            </w:r>
          </w:p>
          <w:p>
            <w:pPr>
              <w:pStyle w:val="TableParagraph"/>
              <w:spacing w:line="240" w:lineRule="auto" w:before="106"/>
              <w:ind w:left="192" w:right="0"/>
              <w:jc w:val="center"/>
              <w:rPr>
                <w:rFonts w:ascii="Times New Roman" w:hAnsi="Times New Roman" w:cs="Times New Roman" w:eastAsia="Times New Roman" w:hint="default"/>
                <w:sz w:val="18"/>
                <w:szCs w:val="18"/>
              </w:rPr>
            </w:pPr>
            <w:r>
              <w:rPr>
                <w:rFonts w:ascii="Times New Roman"/>
                <w:sz w:val="18"/>
              </w:rPr>
              <w:t>00.00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-1,711,5</w:t>
            </w:r>
          </w:p>
          <w:p>
            <w:pPr>
              <w:pStyle w:val="TableParagraph"/>
              <w:spacing w:line="240" w:lineRule="auto" w:before="106"/>
              <w:ind w:left="197" w:right="0"/>
              <w:jc w:val="center"/>
              <w:rPr>
                <w:rFonts w:ascii="Times New Roman" w:hAnsi="Times New Roman" w:cs="Times New Roman" w:eastAsia="Times New Roman" w:hint="default"/>
                <w:sz w:val="18"/>
                <w:szCs w:val="18"/>
              </w:rPr>
            </w:pPr>
            <w:r>
              <w:rPr>
                <w:rFonts w:ascii="Times New Roman"/>
                <w:sz w:val="18"/>
              </w:rPr>
              <w:t>00.00</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36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66,666</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,667.0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3" w:right="0"/>
              <w:jc w:val="left"/>
              <w:rPr>
                <w:rFonts w:ascii="Times New Roman" w:hAnsi="Times New Roman" w:cs="Times New Roman" w:eastAsia="Times New Roman" w:hint="default"/>
                <w:sz w:val="18"/>
                <w:szCs w:val="18"/>
              </w:rPr>
            </w:pPr>
            <w:r>
              <w:rPr>
                <w:rFonts w:ascii="Times New Roman"/>
                <w:sz w:val="18"/>
              </w:rPr>
              <w:t>278,118</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,619.65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20,073,</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387.01</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179,547</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,380.38</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13,757,</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189.55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558,163</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,243.59</w:t>
            </w:r>
          </w:p>
        </w:tc>
      </w:tr>
    </w:tbl>
    <w:p>
      <w:pPr>
        <w:spacing w:line="240" w:lineRule="auto" w:before="10"/>
        <w:rPr>
          <w:rFonts w:ascii="Times New Roman" w:hAnsi="Times New Roman" w:cs="Times New Roman" w:eastAsia="Times New Roman" w:hint="default"/>
          <w:sz w:val="21"/>
          <w:szCs w:val="21"/>
        </w:rPr>
      </w:pPr>
    </w:p>
    <w:p>
      <w:pPr>
        <w:spacing w:before="35"/>
        <w:ind w:left="154" w:right="0" w:firstLine="0"/>
        <w:jc w:val="left"/>
        <w:rPr>
          <w:rFonts w:ascii="宋体" w:hAnsi="宋体" w:cs="宋体" w:eastAsia="宋体" w:hint="default"/>
          <w:sz w:val="21"/>
          <w:szCs w:val="21"/>
        </w:rPr>
      </w:pPr>
      <w:bookmarkStart w:name="8、母公司所有者权益变动表" w:id="169"/>
      <w:bookmarkEnd w:id="169"/>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、母公司所有者权益变动表</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30"/>
        <w:gridCol w:w="691"/>
        <w:gridCol w:w="665"/>
        <w:gridCol w:w="665"/>
        <w:gridCol w:w="665"/>
        <w:gridCol w:w="797"/>
        <w:gridCol w:w="798"/>
        <w:gridCol w:w="798"/>
        <w:gridCol w:w="798"/>
        <w:gridCol w:w="797"/>
        <w:gridCol w:w="676"/>
        <w:gridCol w:w="781"/>
      </w:tblGrid>
      <w:tr>
        <w:trPr>
          <w:trHeight w:val="397"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1" w:hRule="exact"/>
        </w:trPr>
        <w:tc>
          <w:tcPr>
            <w:tcW w:w="14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1" w:hRule="exact"/>
        </w:trPr>
        <w:tc>
          <w:tcPr>
            <w:tcW w:w="1430" w:type="dxa"/>
            <w:vMerge/>
            <w:tcBorders>
              <w:left w:val="single" w:sz="4" w:space="0" w:color="000000"/>
              <w:bottom w:val="nil" w:sz="6" w:space="0" w:color="auto"/>
              <w:right w:val="single" w:sz="4" w:space="0" w:color="000000"/>
            </w:tcBorders>
            <w:shd w:val="clear" w:color="auto" w:fill="D2D2D2"/>
          </w:tcPr>
          <w:p>
            <w:pPr/>
          </w:p>
        </w:tc>
        <w:tc>
          <w:tcPr>
            <w:tcW w:w="6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1" w:hRule="exact"/>
        </w:trPr>
        <w:tc>
          <w:tcPr>
            <w:tcW w:w="1430" w:type="dxa"/>
            <w:vMerge w:val="restart"/>
            <w:tcBorders>
              <w:top w:val="nil" w:sz="6" w:space="0" w:color="auto"/>
              <w:left w:val="single" w:sz="4" w:space="0" w:color="000000"/>
              <w:right w:val="single" w:sz="4" w:space="0" w:color="000000"/>
            </w:tcBorders>
            <w:shd w:val="clear" w:color="auto" w:fill="D2D2D2"/>
          </w:tcPr>
          <w:p>
            <w:pPr/>
          </w:p>
        </w:tc>
        <w:tc>
          <w:tcPr>
            <w:tcW w:w="691"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6" w:hRule="exact"/>
        </w:trPr>
        <w:tc>
          <w:tcPr>
            <w:tcW w:w="1430"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1"/>
              <w:ind w:left="20" w:right="0"/>
              <w:jc w:val="left"/>
              <w:rPr>
                <w:rFonts w:ascii="Times New Roman" w:hAnsi="Times New Roman" w:cs="Times New Roman" w:eastAsia="Times New Roman" w:hint="default"/>
                <w:sz w:val="18"/>
                <w:szCs w:val="18"/>
              </w:rPr>
            </w:pPr>
            <w:r>
              <w:rPr>
                <w:rFonts w:ascii="Times New Roman"/>
                <w:sz w:val="18"/>
              </w:rPr>
              <w:t>66,666,6</w:t>
            </w:r>
          </w:p>
          <w:p>
            <w:pPr>
              <w:pStyle w:val="TableParagraph"/>
              <w:spacing w:line="240" w:lineRule="auto" w:before="105"/>
              <w:ind w:left="245" w:right="0"/>
              <w:jc w:val="left"/>
              <w:rPr>
                <w:rFonts w:ascii="Times New Roman" w:hAnsi="Times New Roman" w:cs="Times New Roman" w:eastAsia="Times New Roman" w:hint="default"/>
                <w:sz w:val="18"/>
                <w:szCs w:val="18"/>
              </w:rPr>
            </w:pPr>
            <w:r>
              <w:rPr>
                <w:rFonts w:ascii="Times New Roman"/>
                <w:sz w:val="18"/>
              </w:rPr>
              <w:t>67.00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280,908,3</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01.23</w:t>
            </w:r>
          </w:p>
        </w:tc>
        <w:tc>
          <w:tcPr>
            <w:tcW w:w="798" w:type="dxa"/>
            <w:vMerge w:val="restart"/>
            <w:tcBorders>
              <w:top w:val="single" w:sz="18" w:space="0" w:color="D2D2D2"/>
              <w:left w:val="single" w:sz="4" w:space="0" w:color="000000"/>
              <w:right w:val="single" w:sz="4" w:space="0" w:color="000000"/>
            </w:tcBorders>
          </w:tcPr>
          <w:p>
            <w:pPr/>
          </w:p>
        </w:tc>
        <w:tc>
          <w:tcPr>
            <w:tcW w:w="798" w:type="dxa"/>
            <w:vMerge w:val="restart"/>
            <w:tcBorders>
              <w:top w:val="single" w:sz="18"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20,073,38</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7.01</w:t>
            </w:r>
          </w:p>
        </w:tc>
        <w:tc>
          <w:tcPr>
            <w:tcW w:w="676" w:type="dxa"/>
            <w:vMerge w:val="restart"/>
            <w:tcBorders>
              <w:top w:val="single" w:sz="18" w:space="0" w:color="D2D2D2"/>
              <w:left w:val="single" w:sz="4" w:space="0" w:color="000000"/>
              <w:right w:val="single" w:sz="4" w:space="0" w:color="000000"/>
            </w:tcBorders>
          </w:tcPr>
          <w:p>
            <w:pPr>
              <w:pStyle w:val="TableParagraph"/>
              <w:spacing w:line="240" w:lineRule="auto" w:before="73"/>
              <w:ind w:left="58" w:right="0"/>
              <w:jc w:val="left"/>
              <w:rPr>
                <w:rFonts w:ascii="Times New Roman" w:hAnsi="Times New Roman" w:cs="Times New Roman" w:eastAsia="Times New Roman" w:hint="default"/>
                <w:sz w:val="18"/>
                <w:szCs w:val="18"/>
              </w:rPr>
            </w:pPr>
            <w:r>
              <w:rPr>
                <w:rFonts w:ascii="Times New Roman"/>
                <w:sz w:val="18"/>
              </w:rPr>
              <w:t>180,660</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,483.06</w:t>
            </w:r>
          </w:p>
        </w:tc>
        <w:tc>
          <w:tcPr>
            <w:tcW w:w="781" w:type="dxa"/>
            <w:vMerge w:val="restart"/>
            <w:tcBorders>
              <w:top w:val="single" w:sz="18" w:space="0" w:color="D2D2D2"/>
              <w:left w:val="single" w:sz="4" w:space="0" w:color="000000"/>
              <w:right w:val="single" w:sz="4" w:space="0" w:color="000000"/>
            </w:tcBorders>
          </w:tcPr>
          <w:p>
            <w:pPr>
              <w:pStyle w:val="TableParagraph"/>
              <w:spacing w:line="240" w:lineRule="auto" w:before="73"/>
              <w:ind w:left="27" w:right="0"/>
              <w:jc w:val="left"/>
              <w:rPr>
                <w:rFonts w:ascii="Times New Roman" w:hAnsi="Times New Roman" w:cs="Times New Roman" w:eastAsia="Times New Roman" w:hint="default"/>
                <w:sz w:val="18"/>
                <w:szCs w:val="18"/>
              </w:rPr>
            </w:pPr>
            <w:r>
              <w:rPr>
                <w:rFonts w:ascii="Times New Roman"/>
                <w:sz w:val="18"/>
              </w:rPr>
              <w:t>548,308,8</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38.30</w:t>
            </w: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7"/>
                <w:w w:val="95"/>
                <w:sz w:val="18"/>
                <w:szCs w:val="18"/>
              </w:rPr>
              <w:t>一、上年期末余额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1"/>
              <w:ind w:left="20" w:right="0"/>
              <w:jc w:val="left"/>
              <w:rPr>
                <w:rFonts w:ascii="Times New Roman" w:hAnsi="Times New Roman" w:cs="Times New Roman" w:eastAsia="Times New Roman" w:hint="default"/>
                <w:sz w:val="18"/>
                <w:szCs w:val="18"/>
              </w:rPr>
            </w:pPr>
            <w:r>
              <w:rPr>
                <w:rFonts w:ascii="Times New Roman"/>
                <w:sz w:val="18"/>
              </w:rPr>
              <w:t>66,666,6</w:t>
            </w:r>
          </w:p>
          <w:p>
            <w:pPr>
              <w:pStyle w:val="TableParagraph"/>
              <w:spacing w:line="240" w:lineRule="auto" w:before="105"/>
              <w:ind w:left="245" w:right="0"/>
              <w:jc w:val="left"/>
              <w:rPr>
                <w:rFonts w:ascii="Times New Roman" w:hAnsi="Times New Roman" w:cs="Times New Roman" w:eastAsia="Times New Roman" w:hint="default"/>
                <w:sz w:val="18"/>
                <w:szCs w:val="18"/>
              </w:rPr>
            </w:pPr>
            <w:r>
              <w:rPr>
                <w:rFonts w:ascii="Times New Roman"/>
                <w:sz w:val="18"/>
              </w:rPr>
              <w:t>67.00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280,908,3</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01.23</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20,073,38</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7.01</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180,660</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,483.06</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548,308,8</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38.30</w:t>
            </w: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pacing w:val="-7"/>
                <w:w w:val="95"/>
                <w:sz w:val="18"/>
                <w:szCs w:val="18"/>
              </w:rPr>
              <w:t>二、本年期初余额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2,096,038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5,428,852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.12</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35,526,</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335.64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43,051,22</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6.74</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54,288,</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521.16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54,288,52</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1.16</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2,096,038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2,096,038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.98</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2,096,038</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.98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2,096,038</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.98</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5,428,852</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.12</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-18,762,</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185.52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-13,333,3</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33.40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5,428,852</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.12</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-5,428,8</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52.12</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-13,333,</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333.40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-13,333,3</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33.40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66,666,6</w:t>
            </w:r>
          </w:p>
          <w:p>
            <w:pPr>
              <w:pStyle w:val="TableParagraph"/>
              <w:spacing w:line="240" w:lineRule="auto" w:before="106"/>
              <w:ind w:left="253" w:right="0"/>
              <w:jc w:val="left"/>
              <w:rPr>
                <w:rFonts w:ascii="Times New Roman" w:hAnsi="Times New Roman" w:cs="Times New Roman" w:eastAsia="Times New Roman" w:hint="default"/>
                <w:sz w:val="18"/>
                <w:szCs w:val="18"/>
              </w:rPr>
            </w:pPr>
            <w:r>
              <w:rPr>
                <w:rFonts w:ascii="Times New Roman"/>
                <w:sz w:val="18"/>
              </w:rPr>
              <w:t>67.00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283,004,3</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40.21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25,502,23</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9.13</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216,186</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,818.70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591,360,0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65.04</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58"/>
        <w:gridCol w:w="686"/>
        <w:gridCol w:w="653"/>
        <w:gridCol w:w="665"/>
        <w:gridCol w:w="654"/>
        <w:gridCol w:w="809"/>
        <w:gridCol w:w="797"/>
        <w:gridCol w:w="798"/>
        <w:gridCol w:w="798"/>
        <w:gridCol w:w="796"/>
        <w:gridCol w:w="676"/>
        <w:gridCol w:w="781"/>
      </w:tblGrid>
      <w:tr>
        <w:trPr>
          <w:trHeight w:val="397" w:hRule="exact"/>
        </w:trPr>
        <w:tc>
          <w:tcPr>
            <w:tcW w:w="1458" w:type="dxa"/>
            <w:tcBorders>
              <w:top w:val="single" w:sz="4" w:space="0" w:color="000000"/>
              <w:left w:val="single" w:sz="4" w:space="0" w:color="000000"/>
              <w:bottom w:val="nil" w:sz="6" w:space="0" w:color="auto"/>
              <w:right w:val="single" w:sz="4" w:space="0" w:color="000000"/>
            </w:tcBorders>
            <w:shd w:val="clear" w:color="auto" w:fill="D2D2D2"/>
          </w:tcPr>
          <w:p>
            <w:pPr/>
          </w:p>
        </w:tc>
        <w:tc>
          <w:tcPr>
            <w:tcW w:w="8115"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5"/>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2" w:hRule="exact"/>
        </w:trPr>
        <w:tc>
          <w:tcPr>
            <w:tcW w:w="145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2"/>
              <w:ind w:right="16"/>
              <w:jc w:val="center"/>
              <w:rPr>
                <w:rFonts w:ascii="宋体" w:hAnsi="宋体" w:cs="宋体" w:eastAsia="宋体" w:hint="default"/>
                <w:sz w:val="18"/>
                <w:szCs w:val="18"/>
              </w:rPr>
            </w:pPr>
            <w:r>
              <w:rPr>
                <w:rFonts w:ascii="宋体" w:hAnsi="宋体" w:cs="宋体" w:eastAsia="宋体" w:hint="default"/>
                <w:sz w:val="18"/>
                <w:szCs w:val="18"/>
              </w:rPr>
              <w:t>项目</w:t>
            </w: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197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44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809"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2"/>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2"/>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6"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2"/>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2"/>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4" w:hRule="exact"/>
        </w:trPr>
        <w:tc>
          <w:tcPr>
            <w:tcW w:w="1458" w:type="dxa"/>
            <w:vMerge/>
            <w:tcBorders>
              <w:left w:val="single" w:sz="4" w:space="0" w:color="000000"/>
              <w:bottom w:val="nil" w:sz="6" w:space="0" w:color="auto"/>
              <w:right w:val="single" w:sz="4" w:space="0" w:color="000000"/>
            </w:tcBorders>
            <w:shd w:val="clear" w:color="auto" w:fill="D2D2D2"/>
          </w:tcPr>
          <w:p>
            <w:pP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4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72" w:type="dxa"/>
            <w:gridSpan w:val="3"/>
            <w:vMerge/>
            <w:tcBorders>
              <w:left w:val="single" w:sz="4" w:space="0" w:color="000000"/>
              <w:bottom w:val="single" w:sz="4" w:space="0" w:color="000000"/>
              <w:right w:val="single" w:sz="4" w:space="0" w:color="000000"/>
            </w:tcBorders>
            <w:shd w:val="clear" w:color="auto" w:fill="D2D2D2"/>
          </w:tcPr>
          <w:p>
            <w:pPr/>
          </w:p>
        </w:tc>
        <w:tc>
          <w:tcPr>
            <w:tcW w:w="80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7"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199" w:hRule="exact"/>
        </w:trPr>
        <w:tc>
          <w:tcPr>
            <w:tcW w:w="1458" w:type="dxa"/>
            <w:vMerge w:val="restart"/>
            <w:tcBorders>
              <w:top w:val="nil" w:sz="6" w:space="0" w:color="auto"/>
              <w:left w:val="single" w:sz="4" w:space="0" w:color="000000"/>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5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44"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5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09"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6"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5" w:hRule="exact"/>
        </w:trPr>
        <w:tc>
          <w:tcPr>
            <w:tcW w:w="1458" w:type="dxa"/>
            <w:vMerge/>
            <w:tcBorders>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53"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4" w:type="dxa"/>
            <w:vMerge/>
            <w:tcBorders>
              <w:left w:val="single" w:sz="4" w:space="0" w:color="000000"/>
              <w:bottom w:val="single" w:sz="4" w:space="0" w:color="000000"/>
              <w:right w:val="single" w:sz="4" w:space="0" w:color="000000"/>
            </w:tcBorders>
            <w:shd w:val="clear" w:color="auto" w:fill="D2D2D2"/>
          </w:tcPr>
          <w:p>
            <w:pPr/>
          </w:p>
        </w:tc>
        <w:tc>
          <w:tcPr>
            <w:tcW w:w="809"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6"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4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8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1"/>
              <w:ind w:left="-1" w:right="0"/>
              <w:jc w:val="left"/>
              <w:rPr>
                <w:rFonts w:ascii="Times New Roman" w:hAnsi="Times New Roman" w:cs="Times New Roman" w:eastAsia="Times New Roman" w:hint="default"/>
                <w:sz w:val="18"/>
                <w:szCs w:val="18"/>
              </w:rPr>
            </w:pPr>
            <w:r>
              <w:rPr>
                <w:rFonts w:ascii="Times New Roman"/>
                <w:sz w:val="18"/>
              </w:rPr>
              <w:t>50,000,0</w:t>
            </w:r>
          </w:p>
        </w:tc>
        <w:tc>
          <w:tcPr>
            <w:tcW w:w="65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55" w:right="0"/>
              <w:jc w:val="left"/>
              <w:rPr>
                <w:rFonts w:ascii="Times New Roman" w:hAnsi="Times New Roman" w:cs="Times New Roman" w:eastAsia="Times New Roman" w:hint="default"/>
                <w:sz w:val="18"/>
                <w:szCs w:val="18"/>
              </w:rPr>
            </w:pPr>
            <w:r>
              <w:rPr>
                <w:rFonts w:ascii="Times New Roman"/>
                <w:sz w:val="18"/>
              </w:rPr>
              <w:t>138,274,3</w:t>
            </w:r>
          </w:p>
        </w:tc>
        <w:tc>
          <w:tcPr>
            <w:tcW w:w="797" w:type="dxa"/>
            <w:tcBorders>
              <w:top w:val="single" w:sz="18" w:space="0" w:color="D2D2D2"/>
              <w:left w:val="single" w:sz="4" w:space="0" w:color="000000"/>
              <w:bottom w:val="single" w:sz="4" w:space="0" w:color="000000"/>
              <w:right w:val="single" w:sz="4" w:space="0" w:color="000000"/>
            </w:tcBorders>
          </w:tcPr>
          <w:p>
            <w:pPr/>
          </w:p>
        </w:tc>
        <w:tc>
          <w:tcPr>
            <w:tcW w:w="798" w:type="dxa"/>
            <w:tcBorders>
              <w:top w:val="single" w:sz="18" w:space="0" w:color="D2D2D2"/>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4" w:right="0"/>
              <w:jc w:val="left"/>
              <w:rPr>
                <w:rFonts w:ascii="Times New Roman" w:hAnsi="Times New Roman" w:cs="Times New Roman" w:eastAsia="Times New Roman" w:hint="default"/>
                <w:sz w:val="18"/>
                <w:szCs w:val="18"/>
              </w:rPr>
            </w:pPr>
            <w:r>
              <w:rPr>
                <w:rFonts w:ascii="Times New Roman"/>
                <w:sz w:val="18"/>
              </w:rPr>
              <w:t>15,683,12</w:t>
            </w:r>
          </w:p>
        </w:tc>
        <w:tc>
          <w:tcPr>
            <w:tcW w:w="676" w:type="dxa"/>
            <w:tcBorders>
              <w:top w:val="single" w:sz="18" w:space="0" w:color="D2D2D2"/>
              <w:left w:val="single" w:sz="4" w:space="0" w:color="000000"/>
              <w:bottom w:val="single" w:sz="4" w:space="0" w:color="000000"/>
              <w:right w:val="single" w:sz="4" w:space="0" w:color="000000"/>
            </w:tcBorders>
          </w:tcPr>
          <w:p>
            <w:pPr>
              <w:pStyle w:val="TableParagraph"/>
              <w:spacing w:line="240" w:lineRule="auto" w:before="94"/>
              <w:ind w:left="59" w:right="0"/>
              <w:jc w:val="left"/>
              <w:rPr>
                <w:rFonts w:ascii="Times New Roman" w:hAnsi="Times New Roman" w:cs="Times New Roman" w:eastAsia="Times New Roman" w:hint="default"/>
                <w:sz w:val="18"/>
                <w:szCs w:val="18"/>
              </w:rPr>
            </w:pPr>
            <w:r>
              <w:rPr>
                <w:rFonts w:ascii="Times New Roman"/>
                <w:sz w:val="18"/>
              </w:rPr>
              <w:t>141,148</w:t>
            </w:r>
          </w:p>
        </w:tc>
        <w:tc>
          <w:tcPr>
            <w:tcW w:w="781" w:type="dxa"/>
            <w:tcBorders>
              <w:top w:val="single" w:sz="18" w:space="0" w:color="D2D2D2"/>
              <w:left w:val="single" w:sz="4" w:space="0" w:color="000000"/>
              <w:bottom w:val="single" w:sz="4" w:space="0" w:color="000000"/>
              <w:right w:val="single" w:sz="4" w:space="0" w:color="000000"/>
            </w:tcBorders>
          </w:tcPr>
          <w:p>
            <w:pPr>
              <w:pStyle w:val="TableParagraph"/>
              <w:spacing w:line="240" w:lineRule="auto" w:before="94"/>
              <w:ind w:left="27" w:right="0"/>
              <w:jc w:val="left"/>
              <w:rPr>
                <w:rFonts w:ascii="Times New Roman" w:hAnsi="Times New Roman" w:cs="Times New Roman" w:eastAsia="Times New Roman" w:hint="default"/>
                <w:sz w:val="18"/>
                <w:szCs w:val="18"/>
              </w:rPr>
            </w:pPr>
            <w:r>
              <w:rPr>
                <w:rFonts w:ascii="Times New Roman"/>
                <w:sz w:val="18"/>
              </w:rPr>
              <w:t>345,105,5</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6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53"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59" w:right="0"/>
              <w:jc w:val="left"/>
              <w:rPr>
                <w:rFonts w:ascii="Times New Roman" w:hAnsi="Times New Roman" w:cs="Times New Roman" w:eastAsia="Times New Roman" w:hint="default"/>
                <w:sz w:val="18"/>
                <w:szCs w:val="18"/>
              </w:rPr>
            </w:pPr>
            <w:r>
              <w:rPr>
                <w:rFonts w:ascii="Times New Roman"/>
                <w:sz w:val="18"/>
              </w:rPr>
              <w:t>81.02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55" w:right="0"/>
              <w:jc w:val="left"/>
              <w:rPr>
                <w:rFonts w:ascii="Times New Roman" w:hAnsi="Times New Roman" w:cs="Times New Roman" w:eastAsia="Times New Roman" w:hint="default"/>
                <w:sz w:val="18"/>
                <w:szCs w:val="18"/>
              </w:rPr>
            </w:pPr>
            <w:r>
              <w:rPr>
                <w:rFonts w:ascii="Times New Roman"/>
                <w:sz w:val="18"/>
              </w:rPr>
              <w:t>1.11</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sz w:val="18"/>
              </w:rPr>
              <w:t>,089.99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43" w:right="0"/>
              <w:jc w:val="left"/>
              <w:rPr>
                <w:rFonts w:ascii="Times New Roman" w:hAnsi="Times New Roman" w:cs="Times New Roman" w:eastAsia="Times New Roman" w:hint="default"/>
                <w:sz w:val="18"/>
                <w:szCs w:val="18"/>
              </w:rPr>
            </w:pPr>
            <w:r>
              <w:rPr>
                <w:rFonts w:ascii="Times New Roman"/>
                <w:sz w:val="18"/>
              </w:rPr>
              <w:t>92.12</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50,000,0</w:t>
            </w:r>
          </w:p>
          <w:p>
            <w:pPr>
              <w:pStyle w:val="TableParagraph"/>
              <w:spacing w:line="240" w:lineRule="auto" w:before="105"/>
              <w:ind w:left="253"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138,274,3</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81.02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15,683,12</w:t>
            </w:r>
          </w:p>
          <w:p>
            <w:pPr>
              <w:pStyle w:val="TableParagraph"/>
              <w:spacing w:line="240" w:lineRule="auto" w:before="105"/>
              <w:ind w:left="455" w:right="0"/>
              <w:jc w:val="left"/>
              <w:rPr>
                <w:rFonts w:ascii="Times New Roman" w:hAnsi="Times New Roman" w:cs="Times New Roman" w:eastAsia="Times New Roman" w:hint="default"/>
                <w:sz w:val="18"/>
                <w:szCs w:val="18"/>
              </w:rPr>
            </w:pPr>
            <w:r>
              <w:rPr>
                <w:rFonts w:ascii="Times New Roman"/>
                <w:sz w:val="18"/>
              </w:rPr>
              <w:t>1.11</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141,148</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,089.99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345,105,5</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92.12</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16,666,6</w:t>
            </w:r>
          </w:p>
          <w:p>
            <w:pPr>
              <w:pStyle w:val="TableParagraph"/>
              <w:spacing w:line="240" w:lineRule="auto" w:before="105"/>
              <w:ind w:left="253" w:right="0"/>
              <w:jc w:val="left"/>
              <w:rPr>
                <w:rFonts w:ascii="Times New Roman" w:hAnsi="Times New Roman" w:cs="Times New Roman" w:eastAsia="Times New Roman" w:hint="default"/>
                <w:sz w:val="18"/>
                <w:szCs w:val="18"/>
              </w:rPr>
            </w:pPr>
            <w:r>
              <w:rPr>
                <w:rFonts w:ascii="Times New Roman"/>
                <w:sz w:val="18"/>
              </w:rPr>
              <w:t>67.00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142,633,9</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20.21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4,390,265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39,512,</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393.07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203,203,2</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46.18</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43,902,</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658.97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43,902,65</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8.97</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16,666,6</w:t>
            </w:r>
          </w:p>
          <w:p>
            <w:pPr>
              <w:pStyle w:val="TableParagraph"/>
              <w:spacing w:line="240" w:lineRule="auto" w:before="105"/>
              <w:ind w:left="253" w:right="0"/>
              <w:jc w:val="left"/>
              <w:rPr>
                <w:rFonts w:ascii="Times New Roman" w:hAnsi="Times New Roman" w:cs="Times New Roman" w:eastAsia="Times New Roman" w:hint="default"/>
                <w:sz w:val="18"/>
                <w:szCs w:val="18"/>
              </w:rPr>
            </w:pPr>
            <w:r>
              <w:rPr>
                <w:rFonts w:ascii="Times New Roman"/>
                <w:sz w:val="18"/>
              </w:rPr>
              <w:t>67.00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142,633,9</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20.21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159,300,5</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87.21</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16,666,6</w:t>
            </w:r>
          </w:p>
          <w:p>
            <w:pPr>
              <w:pStyle w:val="TableParagraph"/>
              <w:spacing w:line="240" w:lineRule="auto" w:before="105"/>
              <w:ind w:left="253" w:right="0"/>
              <w:jc w:val="left"/>
              <w:rPr>
                <w:rFonts w:ascii="Times New Roman" w:hAnsi="Times New Roman" w:cs="Times New Roman" w:eastAsia="Times New Roman" w:hint="default"/>
                <w:sz w:val="18"/>
                <w:szCs w:val="18"/>
              </w:rPr>
            </w:pPr>
            <w:r>
              <w:rPr>
                <w:rFonts w:ascii="Times New Roman"/>
                <w:sz w:val="18"/>
              </w:rPr>
              <w:t>67.00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141,553,3</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33.00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158,220,0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1,080,587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1,080,587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.21</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4,390,265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-4,390,2</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65.90</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4,390,265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-4,390,2</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65.90</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20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66,666,6</w:t>
            </w:r>
          </w:p>
          <w:p>
            <w:pPr>
              <w:pStyle w:val="TableParagraph"/>
              <w:spacing w:line="240" w:lineRule="auto" w:before="106"/>
              <w:ind w:left="253" w:right="0"/>
              <w:jc w:val="left"/>
              <w:rPr>
                <w:rFonts w:ascii="Times New Roman" w:hAnsi="Times New Roman" w:cs="Times New Roman" w:eastAsia="Times New Roman" w:hint="default"/>
                <w:sz w:val="18"/>
                <w:szCs w:val="18"/>
              </w:rPr>
            </w:pPr>
            <w:r>
              <w:rPr>
                <w:rFonts w:ascii="Times New Roman"/>
                <w:sz w:val="18"/>
              </w:rPr>
              <w:t>67.00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280,908,3</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01.23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20,073,38</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7.01</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180,660</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,483.06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548,308,8</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38.30</w:t>
            </w:r>
          </w:p>
        </w:tc>
      </w:tr>
    </w:tbl>
    <w:p>
      <w:pPr>
        <w:spacing w:line="240" w:lineRule="auto" w:before="7"/>
        <w:rPr>
          <w:rFonts w:ascii="Times New Roman" w:hAnsi="Times New Roman" w:cs="Times New Roman" w:eastAsia="Times New Roman" w:hint="default"/>
          <w:sz w:val="20"/>
          <w:szCs w:val="20"/>
        </w:rPr>
      </w:pPr>
    </w:p>
    <w:p>
      <w:pPr>
        <w:pStyle w:val="Heading2"/>
        <w:spacing w:line="240" w:lineRule="auto" w:before="26"/>
        <w:ind w:left="214" w:right="468"/>
        <w:jc w:val="left"/>
        <w:rPr>
          <w:b w:val="0"/>
          <w:bCs w:val="0"/>
        </w:rPr>
      </w:pPr>
      <w:bookmarkStart w:name="三、公司基本情况" w:id="170"/>
      <w:bookmarkEnd w:id="170"/>
      <w:r>
        <w:rPr>
          <w:b w:val="0"/>
          <w:bCs w:val="0"/>
        </w:rPr>
      </w:r>
      <w:r>
        <w:rPr/>
        <w:t>三、公司基本情况</w:t>
      </w:r>
      <w:r>
        <w:rPr>
          <w:b w:val="0"/>
          <w:bCs w:val="0"/>
        </w:rPr>
      </w:r>
    </w:p>
    <w:p>
      <w:pPr>
        <w:spacing w:line="240" w:lineRule="auto" w:before="10"/>
        <w:rPr>
          <w:rFonts w:ascii="宋体" w:hAnsi="宋体" w:cs="宋体" w:eastAsia="宋体" w:hint="default"/>
          <w:b/>
          <w:bCs/>
          <w:sz w:val="28"/>
          <w:szCs w:val="28"/>
        </w:rPr>
      </w:pPr>
    </w:p>
    <w:p>
      <w:pPr>
        <w:pStyle w:val="BodyText"/>
        <w:spacing w:line="357" w:lineRule="auto" w:before="0"/>
        <w:ind w:left="214" w:right="468" w:firstLine="420"/>
        <w:jc w:val="left"/>
      </w:pPr>
      <w:r>
        <w:rPr>
          <w:spacing w:val="2"/>
        </w:rPr>
        <w:t>浙江正元智慧科技股份有限公司（以下简称公司或本公司）前身为浙江正元智慧科技有</w:t>
      </w:r>
      <w:r>
        <w:rPr/>
        <w:t> 限公司（以下简称正元智慧有限公司）。正元智慧有限公司以</w:t>
      </w:r>
      <w:r>
        <w:rPr>
          <w:rFonts w:ascii="宋体" w:hAnsi="宋体" w:cs="宋体" w:eastAsia="宋体" w:hint="default"/>
        </w:rPr>
        <w:t>2012</w:t>
      </w:r>
      <w:r>
        <w:rPr/>
        <w:t>年</w:t>
      </w:r>
      <w:r>
        <w:rPr>
          <w:rFonts w:ascii="宋体" w:hAnsi="宋体" w:cs="宋体" w:eastAsia="宋体" w:hint="default"/>
        </w:rPr>
        <w:t>8</w:t>
      </w:r>
      <w:r>
        <w:rPr/>
        <w:t>月</w:t>
      </w:r>
      <w:r>
        <w:rPr>
          <w:rFonts w:ascii="宋体" w:hAnsi="宋体" w:cs="宋体" w:eastAsia="宋体" w:hint="default"/>
        </w:rPr>
        <w:t>31</w:t>
      </w:r>
      <w:r>
        <w:rPr/>
        <w:t>日为基准日，整体 变更为股份有限公司，于</w:t>
      </w:r>
      <w:r>
        <w:rPr>
          <w:rFonts w:ascii="宋体" w:hAnsi="宋体" w:cs="宋体" w:eastAsia="宋体" w:hint="default"/>
        </w:rPr>
        <w:t>2012</w:t>
      </w:r>
      <w:r>
        <w:rPr/>
        <w:t>年</w:t>
      </w:r>
      <w:r>
        <w:rPr>
          <w:rFonts w:ascii="宋体" w:hAnsi="宋体" w:cs="宋体" w:eastAsia="宋体" w:hint="default"/>
        </w:rPr>
        <w:t>10</w:t>
      </w:r>
      <w:r>
        <w:rPr/>
        <w:t>月</w:t>
      </w:r>
      <w:r>
        <w:rPr>
          <w:rFonts w:ascii="宋体" w:hAnsi="宋体" w:cs="宋体" w:eastAsia="宋体" w:hint="default"/>
        </w:rPr>
        <w:t>9</w:t>
      </w:r>
      <w:r>
        <w:rPr/>
        <w:t>日在浙江省工商行政管理局登记注册，总部位于浙江省 </w:t>
      </w:r>
      <w:r>
        <w:rPr>
          <w:spacing w:val="20"/>
        </w:rPr>
        <w:t>杭州市。</w:t>
      </w:r>
      <w:r>
        <w:rPr>
          <w:spacing w:val="-94"/>
        </w:rPr>
        <w:t> </w:t>
      </w:r>
      <w:r>
        <w:rPr>
          <w:spacing w:val="24"/>
        </w:rPr>
        <w:t>公司现持有统一社会信用代码为</w:t>
      </w:r>
      <w:r>
        <w:rPr>
          <w:spacing w:val="-87"/>
        </w:rPr>
        <w:t> </w:t>
      </w:r>
      <w:r>
        <w:rPr>
          <w:rFonts w:ascii="宋体" w:hAnsi="宋体" w:cs="宋体" w:eastAsia="宋体" w:hint="default"/>
        </w:rPr>
        <w:t>913300007200827022</w:t>
      </w:r>
      <w:r>
        <w:rPr>
          <w:rFonts w:ascii="宋体" w:hAnsi="宋体" w:cs="宋体" w:eastAsia="宋体" w:hint="default"/>
          <w:spacing w:val="-91"/>
        </w:rPr>
        <w:t> </w:t>
      </w:r>
      <w:r>
        <w:rPr>
          <w:spacing w:val="22"/>
        </w:rPr>
        <w:t>的营业执照，</w:t>
      </w:r>
      <w:r>
        <w:rPr>
          <w:spacing w:val="-94"/>
        </w:rPr>
        <w:t> </w:t>
      </w:r>
      <w:r>
        <w:rPr>
          <w:spacing w:val="20"/>
        </w:rPr>
        <w:t>注册资本</w:t>
      </w:r>
      <w:r>
        <w:rPr>
          <w:spacing w:val="-116"/>
        </w:rPr>
        <w:t> </w:t>
      </w:r>
      <w:r>
        <w:rPr>
          <w:spacing w:val="-116"/>
        </w:rPr>
      </w:r>
      <w:r>
        <w:rPr>
          <w:rFonts w:ascii="宋体" w:hAnsi="宋体" w:cs="宋体" w:eastAsia="宋体" w:hint="default"/>
          <w:spacing w:val="-2"/>
        </w:rPr>
        <w:t>66,666,667.00</w:t>
      </w:r>
      <w:r>
        <w:rPr>
          <w:spacing w:val="-2"/>
        </w:rPr>
        <w:t>元，股份总数</w:t>
      </w:r>
      <w:r>
        <w:rPr>
          <w:rFonts w:ascii="宋体" w:hAnsi="宋体" w:cs="宋体" w:eastAsia="宋体" w:hint="default"/>
          <w:spacing w:val="-2"/>
        </w:rPr>
        <w:t>66,666,667</w:t>
      </w:r>
      <w:r>
        <w:rPr>
          <w:spacing w:val="-2"/>
        </w:rPr>
        <w:t>股（每股面值</w:t>
      </w:r>
      <w:r>
        <w:rPr>
          <w:rFonts w:ascii="宋体" w:hAnsi="宋体" w:cs="宋体" w:eastAsia="宋体" w:hint="default"/>
          <w:spacing w:val="-2"/>
        </w:rPr>
        <w:t>1</w:t>
      </w:r>
      <w:r>
        <w:rPr>
          <w:spacing w:val="-2"/>
        </w:rPr>
        <w:t>元）。其中，有限售条件的流通股份：</w:t>
      </w:r>
      <w:r>
        <w:rPr>
          <w:spacing w:val="-99"/>
        </w:rPr>
        <w:t> </w:t>
      </w:r>
      <w:r>
        <w:rPr>
          <w:spacing w:val="-99"/>
        </w:rPr>
      </w:r>
      <w:r>
        <w:rPr>
          <w:rFonts w:ascii="宋体" w:hAnsi="宋体" w:cs="宋体" w:eastAsia="宋体" w:hint="default"/>
          <w:spacing w:val="2"/>
        </w:rPr>
        <w:t>A</w:t>
      </w:r>
      <w:r>
        <w:rPr>
          <w:spacing w:val="2"/>
        </w:rPr>
        <w:t>股</w:t>
      </w:r>
      <w:r>
        <w:rPr>
          <w:rFonts w:ascii="宋体" w:hAnsi="宋体" w:cs="宋体" w:eastAsia="宋体" w:hint="default"/>
          <w:spacing w:val="2"/>
        </w:rPr>
        <w:t>21,247,568</w:t>
      </w:r>
      <w:r>
        <w:rPr>
          <w:spacing w:val="2"/>
        </w:rPr>
        <w:t>股；无限售条件的流通股份</w:t>
      </w:r>
      <w:r>
        <w:rPr>
          <w:rFonts w:ascii="宋体" w:hAnsi="宋体" w:cs="宋体" w:eastAsia="宋体" w:hint="default"/>
          <w:spacing w:val="2"/>
        </w:rPr>
        <w:t>:A</w:t>
      </w:r>
      <w:r>
        <w:rPr>
          <w:spacing w:val="2"/>
        </w:rPr>
        <w:t>股</w:t>
      </w:r>
      <w:r>
        <w:rPr>
          <w:rFonts w:ascii="宋体" w:hAnsi="宋体" w:cs="宋体" w:eastAsia="宋体" w:hint="default"/>
          <w:spacing w:val="2"/>
        </w:rPr>
        <w:t>45,419,099</w:t>
      </w:r>
      <w:r>
        <w:rPr>
          <w:spacing w:val="2"/>
        </w:rPr>
        <w:t>股。公司股票已于</w:t>
      </w:r>
      <w:r>
        <w:rPr>
          <w:rFonts w:ascii="宋体" w:hAnsi="宋体" w:cs="宋体" w:eastAsia="宋体" w:hint="default"/>
          <w:spacing w:val="2"/>
        </w:rPr>
        <w:t>2017 </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21</w:t>
      </w:r>
      <w:r>
        <w:rPr>
          <w:rFonts w:ascii="宋体" w:hAnsi="宋体" w:cs="宋体" w:eastAsia="宋体" w:hint="default"/>
          <w:spacing w:val="-92"/>
        </w:rPr>
        <w:t> </w:t>
      </w:r>
      <w:r>
        <w:rPr/>
        <w:t>日在深圳证券交易所挂牌交易。</w:t>
      </w:r>
    </w:p>
    <w:p>
      <w:pPr>
        <w:pStyle w:val="BodyText"/>
        <w:spacing w:line="357" w:lineRule="auto"/>
        <w:ind w:left="214" w:right="1139" w:firstLine="420"/>
        <w:jc w:val="both"/>
      </w:pPr>
      <w:r>
        <w:rPr>
          <w:spacing w:val="2"/>
        </w:rPr>
        <w:t>本公司属软件及信息技术服务行业。主要经营活动：第二类增值电信业务中的信息服务</w:t>
      </w:r>
      <w:r>
        <w:rPr/>
        <w:t> 业务；计算机软件产品开发、技术服务与咨询及成果转让服务，电子产品、计算机软硬件销 售，建筑智能化工程施工等。产品或提供的劳务主要有：一卡通系统平台、软硬件产品销售 及项目实施，以及一卡通用户的综合服务和增值运营服务。</w:t>
      </w:r>
    </w:p>
    <w:p>
      <w:pPr>
        <w:pStyle w:val="BodyText"/>
        <w:spacing w:line="357" w:lineRule="auto"/>
        <w:ind w:left="634" w:right="2772"/>
        <w:jc w:val="left"/>
        <w:rPr>
          <w:rFonts w:ascii="宋体" w:hAnsi="宋体" w:cs="宋体" w:eastAsia="宋体" w:hint="default"/>
        </w:rPr>
      </w:pPr>
      <w:r>
        <w:rPr/>
        <w:t>本财务报表业经公司</w:t>
      </w:r>
      <w:r>
        <w:rPr>
          <w:rFonts w:ascii="宋体" w:hAnsi="宋体" w:cs="宋体" w:eastAsia="宋体" w:hint="default"/>
        </w:rPr>
        <w:t>2019</w:t>
      </w:r>
      <w:r>
        <w:rPr/>
        <w:t>年</w:t>
      </w:r>
      <w:r>
        <w:rPr>
          <w:rFonts w:ascii="宋体" w:hAnsi="宋体" w:cs="宋体" w:eastAsia="宋体" w:hint="default"/>
        </w:rPr>
        <w:t>3</w:t>
      </w:r>
      <w:r>
        <w:rPr/>
        <w:t>月</w:t>
      </w:r>
      <w:r>
        <w:rPr>
          <w:rFonts w:ascii="宋体" w:hAnsi="宋体" w:cs="宋体" w:eastAsia="宋体" w:hint="default"/>
        </w:rPr>
        <w:t>27</w:t>
      </w:r>
      <w:r>
        <w:rPr/>
        <w:t>日第三届第二次董事会批准对外报出。 本期公司将以下</w:t>
      </w:r>
      <w:r>
        <w:rPr>
          <w:rFonts w:ascii="宋体" w:hAnsi="宋体" w:cs="宋体" w:eastAsia="宋体" w:hint="default"/>
        </w:rPr>
        <w:t>12</w:t>
      </w:r>
      <w:r>
        <w:rPr/>
        <w:t>家子公司纳入合并范围</w:t>
      </w:r>
      <w:r>
        <w:rPr>
          <w:rFonts w:ascii="宋体" w:hAnsi="宋体" w:cs="宋体" w:eastAsia="宋体" w:hint="default"/>
        </w:rPr>
        <w:t>:</w:t>
      </w:r>
    </w:p>
    <w:tbl>
      <w:tblPr>
        <w:tblW w:w="0" w:type="auto"/>
        <w:jc w:val="left"/>
        <w:tblInd w:w="101" w:type="dxa"/>
        <w:tblLayout w:type="fixed"/>
        <w:tblCellMar>
          <w:top w:w="0" w:type="dxa"/>
          <w:left w:w="0" w:type="dxa"/>
          <w:bottom w:w="0" w:type="dxa"/>
          <w:right w:w="0" w:type="dxa"/>
        </w:tblCellMar>
        <w:tblLook w:val="01E0"/>
      </w:tblPr>
      <w:tblGrid>
        <w:gridCol w:w="1144"/>
        <w:gridCol w:w="4229"/>
        <w:gridCol w:w="3150"/>
      </w:tblGrid>
      <w:tr>
        <w:trPr>
          <w:trHeight w:val="464" w:hRule="exact"/>
        </w:trPr>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center"/>
              <w:rPr>
                <w:rFonts w:ascii="宋体" w:hAnsi="宋体" w:cs="宋体" w:eastAsia="宋体" w:hint="default"/>
                <w:sz w:val="24"/>
                <w:szCs w:val="24"/>
              </w:rPr>
            </w:pPr>
            <w:r>
              <w:rPr>
                <w:rFonts w:ascii="宋体" w:hAnsi="宋体" w:cs="宋体" w:eastAsia="宋体" w:hint="default"/>
                <w:sz w:val="24"/>
                <w:szCs w:val="24"/>
              </w:rPr>
              <w:t>序号</w:t>
            </w:r>
          </w:p>
        </w:tc>
        <w:tc>
          <w:tcPr>
            <w:tcW w:w="4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24"/>
                <w:szCs w:val="24"/>
              </w:rPr>
            </w:pPr>
            <w:r>
              <w:rPr>
                <w:rFonts w:ascii="宋体" w:hAnsi="宋体" w:cs="宋体" w:eastAsia="宋体" w:hint="default"/>
                <w:sz w:val="24"/>
                <w:szCs w:val="24"/>
              </w:rPr>
              <w:t>子公司名称</w:t>
            </w:r>
          </w:p>
        </w:tc>
        <w:tc>
          <w:tcPr>
            <w:tcW w:w="3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center"/>
              <w:rPr>
                <w:rFonts w:ascii="宋体" w:hAnsi="宋体" w:cs="宋体" w:eastAsia="宋体" w:hint="default"/>
                <w:sz w:val="24"/>
                <w:szCs w:val="24"/>
              </w:rPr>
            </w:pPr>
            <w:r>
              <w:rPr>
                <w:rFonts w:ascii="宋体" w:hAnsi="宋体" w:cs="宋体" w:eastAsia="宋体" w:hint="default"/>
                <w:sz w:val="24"/>
                <w:szCs w:val="24"/>
              </w:rPr>
              <w:t>简称</w:t>
            </w:r>
          </w:p>
        </w:tc>
      </w:tr>
      <w:tr>
        <w:trPr>
          <w:trHeight w:val="464" w:hRule="exact"/>
        </w:trPr>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宋体" w:hAnsi="宋体" w:cs="宋体" w:eastAsia="宋体" w:hint="default"/>
                <w:sz w:val="24"/>
                <w:szCs w:val="24"/>
              </w:rPr>
            </w:pPr>
            <w:r>
              <w:rPr>
                <w:rFonts w:ascii="宋体"/>
                <w:sz w:val="24"/>
              </w:rPr>
              <w:t>1</w:t>
            </w:r>
          </w:p>
        </w:tc>
        <w:tc>
          <w:tcPr>
            <w:tcW w:w="4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4"/>
                <w:szCs w:val="24"/>
              </w:rPr>
            </w:pPr>
            <w:r>
              <w:rPr>
                <w:rFonts w:ascii="宋体" w:hAnsi="宋体" w:cs="宋体" w:eastAsia="宋体" w:hint="default"/>
                <w:sz w:val="24"/>
                <w:szCs w:val="24"/>
              </w:rPr>
              <w:t>青岛天高智慧科技有限公司</w:t>
            </w:r>
          </w:p>
        </w:tc>
        <w:tc>
          <w:tcPr>
            <w:tcW w:w="3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宋体" w:hAnsi="宋体" w:cs="宋体" w:eastAsia="宋体" w:hint="default"/>
                <w:sz w:val="24"/>
                <w:szCs w:val="24"/>
              </w:rPr>
            </w:pPr>
            <w:r>
              <w:rPr>
                <w:rFonts w:ascii="宋体" w:hAnsi="宋体" w:cs="宋体" w:eastAsia="宋体" w:hint="default"/>
                <w:sz w:val="24"/>
                <w:szCs w:val="24"/>
              </w:rPr>
              <w:t>青岛天高公司</w:t>
            </w:r>
          </w:p>
        </w:tc>
      </w:tr>
      <w:tr>
        <w:trPr>
          <w:trHeight w:val="463" w:hRule="exact"/>
        </w:trPr>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宋体" w:hAnsi="宋体" w:cs="宋体" w:eastAsia="宋体" w:hint="default"/>
                <w:sz w:val="24"/>
                <w:szCs w:val="24"/>
              </w:rPr>
            </w:pPr>
            <w:r>
              <w:rPr>
                <w:rFonts w:ascii="宋体"/>
                <w:sz w:val="24"/>
              </w:rPr>
              <w:t>2</w:t>
            </w:r>
          </w:p>
        </w:tc>
        <w:tc>
          <w:tcPr>
            <w:tcW w:w="4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4"/>
                <w:szCs w:val="24"/>
              </w:rPr>
            </w:pPr>
            <w:r>
              <w:rPr>
                <w:rFonts w:ascii="宋体" w:hAnsi="宋体" w:cs="宋体" w:eastAsia="宋体" w:hint="default"/>
                <w:sz w:val="24"/>
                <w:szCs w:val="24"/>
              </w:rPr>
              <w:t>广西筑波智慧科技有限公司</w:t>
            </w:r>
          </w:p>
        </w:tc>
        <w:tc>
          <w:tcPr>
            <w:tcW w:w="3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宋体" w:hAnsi="宋体" w:cs="宋体" w:eastAsia="宋体" w:hint="default"/>
                <w:sz w:val="24"/>
                <w:szCs w:val="24"/>
              </w:rPr>
            </w:pPr>
            <w:r>
              <w:rPr>
                <w:rFonts w:ascii="宋体" w:hAnsi="宋体" w:cs="宋体" w:eastAsia="宋体" w:hint="default"/>
                <w:sz w:val="24"/>
                <w:szCs w:val="24"/>
              </w:rPr>
              <w:t>广西筑波公司</w:t>
            </w:r>
          </w:p>
        </w:tc>
      </w:tr>
      <w:tr>
        <w:trPr>
          <w:trHeight w:val="465" w:hRule="exact"/>
        </w:trPr>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center"/>
              <w:rPr>
                <w:rFonts w:ascii="宋体" w:hAnsi="宋体" w:cs="宋体" w:eastAsia="宋体" w:hint="default"/>
                <w:sz w:val="24"/>
                <w:szCs w:val="24"/>
              </w:rPr>
            </w:pPr>
            <w:r>
              <w:rPr>
                <w:rFonts w:ascii="宋体"/>
                <w:sz w:val="24"/>
              </w:rPr>
              <w:t>3</w:t>
            </w:r>
          </w:p>
        </w:tc>
        <w:tc>
          <w:tcPr>
            <w:tcW w:w="4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24"/>
                <w:szCs w:val="24"/>
              </w:rPr>
            </w:pPr>
            <w:r>
              <w:rPr>
                <w:rFonts w:ascii="宋体" w:hAnsi="宋体" w:cs="宋体" w:eastAsia="宋体" w:hint="default"/>
                <w:sz w:val="24"/>
                <w:szCs w:val="24"/>
              </w:rPr>
              <w:t>南昌正元智慧科技有限公司</w:t>
            </w:r>
          </w:p>
        </w:tc>
        <w:tc>
          <w:tcPr>
            <w:tcW w:w="3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center"/>
              <w:rPr>
                <w:rFonts w:ascii="宋体" w:hAnsi="宋体" w:cs="宋体" w:eastAsia="宋体" w:hint="default"/>
                <w:sz w:val="24"/>
                <w:szCs w:val="24"/>
              </w:rPr>
            </w:pPr>
            <w:r>
              <w:rPr>
                <w:rFonts w:ascii="宋体" w:hAnsi="宋体" w:cs="宋体" w:eastAsia="宋体" w:hint="default"/>
                <w:sz w:val="24"/>
                <w:szCs w:val="24"/>
              </w:rPr>
              <w:t>南昌正元公司</w:t>
            </w:r>
          </w:p>
        </w:tc>
      </w:tr>
      <w:tr>
        <w:trPr>
          <w:trHeight w:val="464" w:hRule="exact"/>
        </w:trPr>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宋体" w:hAnsi="宋体" w:cs="宋体" w:eastAsia="宋体" w:hint="default"/>
                <w:sz w:val="24"/>
                <w:szCs w:val="24"/>
              </w:rPr>
            </w:pPr>
            <w:r>
              <w:rPr>
                <w:rFonts w:ascii="宋体"/>
                <w:sz w:val="24"/>
              </w:rPr>
              <w:t>4</w:t>
            </w:r>
          </w:p>
        </w:tc>
        <w:tc>
          <w:tcPr>
            <w:tcW w:w="4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4"/>
                <w:szCs w:val="24"/>
              </w:rPr>
            </w:pPr>
            <w:r>
              <w:rPr>
                <w:rFonts w:ascii="宋体" w:hAnsi="宋体" w:cs="宋体" w:eastAsia="宋体" w:hint="default"/>
                <w:sz w:val="24"/>
                <w:szCs w:val="24"/>
              </w:rPr>
              <w:t>浙江正元数据系统工程有限公司</w:t>
            </w:r>
          </w:p>
        </w:tc>
        <w:tc>
          <w:tcPr>
            <w:tcW w:w="3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宋体" w:hAnsi="宋体" w:cs="宋体" w:eastAsia="宋体" w:hint="default"/>
                <w:sz w:val="24"/>
                <w:szCs w:val="24"/>
              </w:rPr>
            </w:pPr>
            <w:r>
              <w:rPr>
                <w:rFonts w:ascii="宋体" w:hAnsi="宋体" w:cs="宋体" w:eastAsia="宋体" w:hint="default"/>
                <w:sz w:val="24"/>
                <w:szCs w:val="24"/>
              </w:rPr>
              <w:t>正元数据公司</w:t>
            </w:r>
          </w:p>
        </w:tc>
      </w:tr>
      <w:tr>
        <w:trPr>
          <w:trHeight w:val="464" w:hRule="exact"/>
        </w:trPr>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宋体" w:hAnsi="宋体" w:cs="宋体" w:eastAsia="宋体" w:hint="default"/>
                <w:sz w:val="24"/>
                <w:szCs w:val="24"/>
              </w:rPr>
            </w:pPr>
            <w:r>
              <w:rPr>
                <w:rFonts w:ascii="宋体"/>
                <w:sz w:val="24"/>
              </w:rPr>
              <w:t>5</w:t>
            </w:r>
          </w:p>
        </w:tc>
        <w:tc>
          <w:tcPr>
            <w:tcW w:w="4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4"/>
                <w:szCs w:val="24"/>
              </w:rPr>
            </w:pPr>
            <w:r>
              <w:rPr>
                <w:rFonts w:ascii="宋体" w:hAnsi="宋体" w:cs="宋体" w:eastAsia="宋体" w:hint="default"/>
                <w:sz w:val="24"/>
                <w:szCs w:val="24"/>
              </w:rPr>
              <w:t>浙江云马智慧科技有限公司</w:t>
            </w:r>
          </w:p>
        </w:tc>
        <w:tc>
          <w:tcPr>
            <w:tcW w:w="3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宋体" w:hAnsi="宋体" w:cs="宋体" w:eastAsia="宋体" w:hint="default"/>
                <w:sz w:val="24"/>
                <w:szCs w:val="24"/>
              </w:rPr>
            </w:pPr>
            <w:r>
              <w:rPr>
                <w:rFonts w:ascii="宋体" w:hAnsi="宋体" w:cs="宋体" w:eastAsia="宋体" w:hint="default"/>
                <w:sz w:val="24"/>
                <w:szCs w:val="24"/>
              </w:rPr>
              <w:t>云马智慧公司</w:t>
            </w:r>
          </w:p>
        </w:tc>
      </w:tr>
    </w:tbl>
    <w:p>
      <w:pPr>
        <w:spacing w:after="0" w:line="240" w:lineRule="auto"/>
        <w:jc w:val="center"/>
        <w:rPr>
          <w:rFonts w:ascii="宋体" w:hAnsi="宋体" w:cs="宋体" w:eastAsia="宋体" w:hint="default"/>
          <w:sz w:val="24"/>
          <w:szCs w:val="24"/>
        </w:rPr>
        <w:sectPr>
          <w:pgSz w:w="11910" w:h="16840"/>
          <w:pgMar w:header="747" w:footer="979" w:top="1060" w:bottom="1160" w:left="920" w:right="0"/>
        </w:sectPr>
      </w:pPr>
    </w:p>
    <w:p>
      <w:pPr>
        <w:spacing w:line="240" w:lineRule="auto" w:before="6"/>
        <w:rPr>
          <w:rFonts w:ascii="宋体" w:hAnsi="宋体" w:cs="宋体" w:eastAsia="宋体" w:hint="default"/>
          <w:sz w:val="28"/>
          <w:szCs w:val="28"/>
        </w:rPr>
      </w:pPr>
    </w:p>
    <w:tbl>
      <w:tblPr>
        <w:tblW w:w="0" w:type="auto"/>
        <w:jc w:val="left"/>
        <w:tblInd w:w="101" w:type="dxa"/>
        <w:tblLayout w:type="fixed"/>
        <w:tblCellMar>
          <w:top w:w="0" w:type="dxa"/>
          <w:left w:w="0" w:type="dxa"/>
          <w:bottom w:w="0" w:type="dxa"/>
          <w:right w:w="0" w:type="dxa"/>
        </w:tblCellMar>
        <w:tblLook w:val="01E0"/>
      </w:tblPr>
      <w:tblGrid>
        <w:gridCol w:w="1144"/>
        <w:gridCol w:w="4229"/>
        <w:gridCol w:w="3150"/>
      </w:tblGrid>
      <w:tr>
        <w:trPr>
          <w:trHeight w:val="464" w:hRule="exact"/>
        </w:trPr>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507"/>
              <w:jc w:val="right"/>
              <w:rPr>
                <w:rFonts w:ascii="宋体" w:hAnsi="宋体" w:cs="宋体" w:eastAsia="宋体" w:hint="default"/>
                <w:sz w:val="24"/>
                <w:szCs w:val="24"/>
              </w:rPr>
            </w:pPr>
            <w:r>
              <w:rPr>
                <w:rFonts w:ascii="宋体"/>
                <w:sz w:val="24"/>
              </w:rPr>
              <w:t>6</w:t>
            </w:r>
          </w:p>
        </w:tc>
        <w:tc>
          <w:tcPr>
            <w:tcW w:w="4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24"/>
                <w:szCs w:val="24"/>
              </w:rPr>
            </w:pPr>
            <w:r>
              <w:rPr>
                <w:rFonts w:ascii="宋体" w:hAnsi="宋体" w:cs="宋体" w:eastAsia="宋体" w:hint="default"/>
                <w:sz w:val="24"/>
                <w:szCs w:val="24"/>
              </w:rPr>
              <w:t>杭州容博教育科技有限公司</w:t>
            </w:r>
          </w:p>
        </w:tc>
        <w:tc>
          <w:tcPr>
            <w:tcW w:w="3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849"/>
              <w:jc w:val="right"/>
              <w:rPr>
                <w:rFonts w:ascii="宋体" w:hAnsi="宋体" w:cs="宋体" w:eastAsia="宋体" w:hint="default"/>
                <w:sz w:val="24"/>
                <w:szCs w:val="24"/>
              </w:rPr>
            </w:pPr>
            <w:r>
              <w:rPr>
                <w:rFonts w:ascii="宋体" w:hAnsi="宋体" w:cs="宋体" w:eastAsia="宋体" w:hint="default"/>
                <w:sz w:val="24"/>
                <w:szCs w:val="24"/>
              </w:rPr>
              <w:t>杭州容博公司</w:t>
            </w:r>
          </w:p>
        </w:tc>
      </w:tr>
      <w:tr>
        <w:trPr>
          <w:trHeight w:val="463" w:hRule="exact"/>
        </w:trPr>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507"/>
              <w:jc w:val="right"/>
              <w:rPr>
                <w:rFonts w:ascii="宋体" w:hAnsi="宋体" w:cs="宋体" w:eastAsia="宋体" w:hint="default"/>
                <w:sz w:val="24"/>
                <w:szCs w:val="24"/>
              </w:rPr>
            </w:pPr>
            <w:r>
              <w:rPr>
                <w:rFonts w:ascii="宋体"/>
                <w:sz w:val="24"/>
              </w:rPr>
              <w:t>7</w:t>
            </w:r>
          </w:p>
        </w:tc>
        <w:tc>
          <w:tcPr>
            <w:tcW w:w="4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3" w:right="0"/>
              <w:jc w:val="left"/>
              <w:rPr>
                <w:rFonts w:ascii="宋体" w:hAnsi="宋体" w:cs="宋体" w:eastAsia="宋体" w:hint="default"/>
                <w:sz w:val="24"/>
                <w:szCs w:val="24"/>
              </w:rPr>
            </w:pPr>
            <w:r>
              <w:rPr>
                <w:rFonts w:ascii="宋体" w:hAnsi="宋体" w:cs="宋体" w:eastAsia="宋体" w:hint="default"/>
                <w:sz w:val="24"/>
                <w:szCs w:val="24"/>
              </w:rPr>
              <w:t>福建正元智慧信息科技有限公司</w:t>
            </w:r>
          </w:p>
        </w:tc>
        <w:tc>
          <w:tcPr>
            <w:tcW w:w="3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849"/>
              <w:jc w:val="right"/>
              <w:rPr>
                <w:rFonts w:ascii="宋体" w:hAnsi="宋体" w:cs="宋体" w:eastAsia="宋体" w:hint="default"/>
                <w:sz w:val="24"/>
                <w:szCs w:val="24"/>
              </w:rPr>
            </w:pPr>
            <w:r>
              <w:rPr>
                <w:rFonts w:ascii="宋体" w:hAnsi="宋体" w:cs="宋体" w:eastAsia="宋体" w:hint="default"/>
                <w:sz w:val="24"/>
                <w:szCs w:val="24"/>
              </w:rPr>
              <w:t>福建正元公司</w:t>
            </w:r>
          </w:p>
        </w:tc>
      </w:tr>
      <w:tr>
        <w:trPr>
          <w:trHeight w:val="465" w:hRule="exact"/>
        </w:trPr>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507"/>
              <w:jc w:val="right"/>
              <w:rPr>
                <w:rFonts w:ascii="宋体" w:hAnsi="宋体" w:cs="宋体" w:eastAsia="宋体" w:hint="default"/>
                <w:sz w:val="24"/>
                <w:szCs w:val="24"/>
              </w:rPr>
            </w:pPr>
            <w:r>
              <w:rPr>
                <w:rFonts w:ascii="宋体"/>
                <w:sz w:val="24"/>
              </w:rPr>
              <w:t>8</w:t>
            </w:r>
          </w:p>
        </w:tc>
        <w:tc>
          <w:tcPr>
            <w:tcW w:w="4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24"/>
                <w:szCs w:val="24"/>
              </w:rPr>
            </w:pPr>
            <w:r>
              <w:rPr>
                <w:rFonts w:ascii="宋体" w:hAnsi="宋体" w:cs="宋体" w:eastAsia="宋体" w:hint="default"/>
                <w:sz w:val="24"/>
                <w:szCs w:val="24"/>
              </w:rPr>
              <w:t>四川正元智慧科技有限公司</w:t>
            </w:r>
          </w:p>
        </w:tc>
        <w:tc>
          <w:tcPr>
            <w:tcW w:w="3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849"/>
              <w:jc w:val="right"/>
              <w:rPr>
                <w:rFonts w:ascii="宋体" w:hAnsi="宋体" w:cs="宋体" w:eastAsia="宋体" w:hint="default"/>
                <w:sz w:val="24"/>
                <w:szCs w:val="24"/>
              </w:rPr>
            </w:pPr>
            <w:r>
              <w:rPr>
                <w:rFonts w:ascii="宋体" w:hAnsi="宋体" w:cs="宋体" w:eastAsia="宋体" w:hint="default"/>
                <w:sz w:val="24"/>
                <w:szCs w:val="24"/>
              </w:rPr>
              <w:t>四川正元公司</w:t>
            </w:r>
          </w:p>
        </w:tc>
      </w:tr>
      <w:tr>
        <w:trPr>
          <w:trHeight w:val="464" w:hRule="exact"/>
        </w:trPr>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507"/>
              <w:jc w:val="right"/>
              <w:rPr>
                <w:rFonts w:ascii="宋体" w:hAnsi="宋体" w:cs="宋体" w:eastAsia="宋体" w:hint="default"/>
                <w:sz w:val="24"/>
                <w:szCs w:val="24"/>
              </w:rPr>
            </w:pPr>
            <w:r>
              <w:rPr>
                <w:rFonts w:ascii="宋体"/>
                <w:sz w:val="24"/>
              </w:rPr>
              <w:t>9</w:t>
            </w:r>
          </w:p>
        </w:tc>
        <w:tc>
          <w:tcPr>
            <w:tcW w:w="4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3" w:right="0"/>
              <w:jc w:val="left"/>
              <w:rPr>
                <w:rFonts w:ascii="宋体" w:hAnsi="宋体" w:cs="宋体" w:eastAsia="宋体" w:hint="default"/>
                <w:sz w:val="24"/>
                <w:szCs w:val="24"/>
              </w:rPr>
            </w:pPr>
            <w:r>
              <w:rPr>
                <w:rFonts w:ascii="宋体" w:hAnsi="宋体" w:cs="宋体" w:eastAsia="宋体" w:hint="default"/>
                <w:sz w:val="24"/>
                <w:szCs w:val="24"/>
              </w:rPr>
              <w:t>浙江正元曦客科技有限公司</w:t>
            </w:r>
          </w:p>
        </w:tc>
        <w:tc>
          <w:tcPr>
            <w:tcW w:w="3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849"/>
              <w:jc w:val="right"/>
              <w:rPr>
                <w:rFonts w:ascii="宋体" w:hAnsi="宋体" w:cs="宋体" w:eastAsia="宋体" w:hint="default"/>
                <w:sz w:val="24"/>
                <w:szCs w:val="24"/>
              </w:rPr>
            </w:pPr>
            <w:r>
              <w:rPr>
                <w:rFonts w:ascii="宋体" w:hAnsi="宋体" w:cs="宋体" w:eastAsia="宋体" w:hint="default"/>
                <w:sz w:val="24"/>
                <w:szCs w:val="24"/>
              </w:rPr>
              <w:t>正元曦客公司</w:t>
            </w:r>
          </w:p>
        </w:tc>
      </w:tr>
      <w:tr>
        <w:trPr>
          <w:trHeight w:val="463" w:hRule="exact"/>
        </w:trPr>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447"/>
              <w:jc w:val="right"/>
              <w:rPr>
                <w:rFonts w:ascii="宋体" w:hAnsi="宋体" w:cs="宋体" w:eastAsia="宋体" w:hint="default"/>
                <w:sz w:val="24"/>
                <w:szCs w:val="24"/>
              </w:rPr>
            </w:pPr>
            <w:r>
              <w:rPr>
                <w:rFonts w:ascii="宋体"/>
                <w:sz w:val="24"/>
              </w:rPr>
              <w:t>10</w:t>
            </w:r>
          </w:p>
        </w:tc>
        <w:tc>
          <w:tcPr>
            <w:tcW w:w="4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3" w:right="0"/>
              <w:jc w:val="left"/>
              <w:rPr>
                <w:rFonts w:ascii="宋体" w:hAnsi="宋体" w:cs="宋体" w:eastAsia="宋体" w:hint="default"/>
                <w:sz w:val="24"/>
                <w:szCs w:val="24"/>
              </w:rPr>
            </w:pPr>
            <w:r>
              <w:rPr>
                <w:rFonts w:ascii="宋体" w:hAnsi="宋体" w:cs="宋体" w:eastAsia="宋体" w:hint="default"/>
                <w:sz w:val="24"/>
                <w:szCs w:val="24"/>
              </w:rPr>
              <w:t>浙江校云智慧科技有限公司</w:t>
            </w:r>
          </w:p>
        </w:tc>
        <w:tc>
          <w:tcPr>
            <w:tcW w:w="3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849"/>
              <w:jc w:val="right"/>
              <w:rPr>
                <w:rFonts w:ascii="宋体" w:hAnsi="宋体" w:cs="宋体" w:eastAsia="宋体" w:hint="default"/>
                <w:sz w:val="24"/>
                <w:szCs w:val="24"/>
              </w:rPr>
            </w:pPr>
            <w:r>
              <w:rPr>
                <w:rFonts w:ascii="宋体" w:hAnsi="宋体" w:cs="宋体" w:eastAsia="宋体" w:hint="default"/>
                <w:sz w:val="24"/>
                <w:szCs w:val="24"/>
              </w:rPr>
              <w:t>校云智慧公司</w:t>
            </w:r>
          </w:p>
        </w:tc>
      </w:tr>
      <w:tr>
        <w:trPr>
          <w:trHeight w:val="464" w:hRule="exact"/>
        </w:trPr>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447"/>
              <w:jc w:val="right"/>
              <w:rPr>
                <w:rFonts w:ascii="宋体" w:hAnsi="宋体" w:cs="宋体" w:eastAsia="宋体" w:hint="default"/>
                <w:sz w:val="24"/>
                <w:szCs w:val="24"/>
              </w:rPr>
            </w:pPr>
            <w:r>
              <w:rPr>
                <w:rFonts w:ascii="宋体"/>
                <w:sz w:val="24"/>
              </w:rPr>
              <w:t>11</w:t>
            </w:r>
          </w:p>
        </w:tc>
        <w:tc>
          <w:tcPr>
            <w:tcW w:w="4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24"/>
                <w:szCs w:val="24"/>
              </w:rPr>
            </w:pPr>
            <w:r>
              <w:rPr>
                <w:rFonts w:ascii="宋体" w:hAnsi="宋体" w:cs="宋体" w:eastAsia="宋体" w:hint="default"/>
                <w:sz w:val="24"/>
                <w:szCs w:val="24"/>
              </w:rPr>
              <w:t>浙江小兰智慧科技有限公司</w:t>
            </w:r>
          </w:p>
        </w:tc>
        <w:tc>
          <w:tcPr>
            <w:tcW w:w="3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849"/>
              <w:jc w:val="right"/>
              <w:rPr>
                <w:rFonts w:ascii="宋体" w:hAnsi="宋体" w:cs="宋体" w:eastAsia="宋体" w:hint="default"/>
                <w:sz w:val="24"/>
                <w:szCs w:val="24"/>
              </w:rPr>
            </w:pPr>
            <w:r>
              <w:rPr>
                <w:rFonts w:ascii="宋体" w:hAnsi="宋体" w:cs="宋体" w:eastAsia="宋体" w:hint="default"/>
                <w:sz w:val="24"/>
                <w:szCs w:val="24"/>
              </w:rPr>
              <w:t>小兰智慧公司</w:t>
            </w:r>
          </w:p>
        </w:tc>
      </w:tr>
      <w:tr>
        <w:trPr>
          <w:trHeight w:val="464" w:hRule="exact"/>
        </w:trPr>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447"/>
              <w:jc w:val="right"/>
              <w:rPr>
                <w:rFonts w:ascii="宋体" w:hAnsi="宋体" w:cs="宋体" w:eastAsia="宋体" w:hint="default"/>
                <w:sz w:val="24"/>
                <w:szCs w:val="24"/>
              </w:rPr>
            </w:pPr>
            <w:r>
              <w:rPr>
                <w:rFonts w:ascii="宋体"/>
                <w:sz w:val="24"/>
              </w:rPr>
              <w:t>12</w:t>
            </w:r>
          </w:p>
        </w:tc>
        <w:tc>
          <w:tcPr>
            <w:tcW w:w="4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3" w:right="0"/>
              <w:jc w:val="left"/>
              <w:rPr>
                <w:rFonts w:ascii="宋体" w:hAnsi="宋体" w:cs="宋体" w:eastAsia="宋体" w:hint="default"/>
                <w:sz w:val="24"/>
                <w:szCs w:val="24"/>
              </w:rPr>
            </w:pPr>
            <w:r>
              <w:rPr>
                <w:rFonts w:ascii="宋体" w:hAnsi="宋体" w:cs="宋体" w:eastAsia="宋体" w:hint="default"/>
                <w:sz w:val="24"/>
                <w:szCs w:val="24"/>
              </w:rPr>
              <w:t>浙江坚果智慧科技有限公司</w:t>
            </w:r>
          </w:p>
        </w:tc>
        <w:tc>
          <w:tcPr>
            <w:tcW w:w="3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849"/>
              <w:jc w:val="right"/>
              <w:rPr>
                <w:rFonts w:ascii="宋体" w:hAnsi="宋体" w:cs="宋体" w:eastAsia="宋体" w:hint="default"/>
                <w:sz w:val="24"/>
                <w:szCs w:val="24"/>
              </w:rPr>
            </w:pPr>
            <w:r>
              <w:rPr>
                <w:rFonts w:ascii="宋体" w:hAnsi="宋体" w:cs="宋体" w:eastAsia="宋体" w:hint="default"/>
                <w:sz w:val="24"/>
                <w:szCs w:val="24"/>
              </w:rPr>
              <w:t>坚果智慧公司</w:t>
            </w:r>
          </w:p>
        </w:tc>
      </w:tr>
    </w:tbl>
    <w:p>
      <w:pPr>
        <w:pStyle w:val="BodyText"/>
        <w:spacing w:line="388" w:lineRule="auto" w:before="81"/>
        <w:ind w:left="694" w:right="468" w:hanging="60"/>
        <w:jc w:val="left"/>
      </w:pPr>
      <w:r>
        <w:rPr>
          <w:rFonts w:ascii="宋体" w:hAnsi="宋体" w:cs="宋体" w:eastAsia="宋体" w:hint="default"/>
        </w:rPr>
        <w:t>[</w:t>
      </w:r>
      <w:r>
        <w:rPr/>
        <w:t>注</w:t>
      </w:r>
      <w:r>
        <w:rPr>
          <w:rFonts w:ascii="宋体" w:hAnsi="宋体" w:cs="宋体" w:eastAsia="宋体" w:hint="default"/>
        </w:rPr>
        <w:t>]</w:t>
      </w:r>
      <w:r>
        <w:rPr/>
        <w:t>：杭州捷卡智慧科技有限公司于</w:t>
      </w:r>
      <w:r>
        <w:rPr>
          <w:spacing w:val="-60"/>
        </w:rPr>
        <w:t> </w:t>
      </w:r>
      <w:r>
        <w:rPr>
          <w:rFonts w:ascii="宋体" w:hAnsi="宋体" w:cs="宋体" w:eastAsia="宋体" w:hint="default"/>
        </w:rPr>
        <w:t>2018</w:t>
      </w:r>
      <w:r>
        <w:rPr>
          <w:rFonts w:ascii="宋体" w:hAnsi="宋体" w:cs="宋体" w:eastAsia="宋体" w:hint="default"/>
          <w:spacing w:val="-60"/>
        </w:rPr>
        <w:t> </w:t>
      </w:r>
      <w:r>
        <w:rPr/>
        <w:t>年</w:t>
      </w:r>
      <w:r>
        <w:rPr>
          <w:spacing w:val="-60"/>
        </w:rPr>
        <w:t> </w:t>
      </w:r>
      <w:r>
        <w:rPr>
          <w:rFonts w:ascii="宋体" w:hAnsi="宋体" w:cs="宋体" w:eastAsia="宋体" w:hint="default"/>
        </w:rPr>
        <w:t>1</w:t>
      </w:r>
      <w:r>
        <w:rPr>
          <w:rFonts w:ascii="宋体" w:hAnsi="宋体" w:cs="宋体" w:eastAsia="宋体" w:hint="default"/>
          <w:spacing w:val="-60"/>
        </w:rPr>
        <w:t> </w:t>
      </w:r>
      <w:r>
        <w:rPr/>
        <w:t>月更名为浙江云马智慧科技有限公司。 本期的合并财务报表范围及其变化情况详见本附注“八、合并范围的变更”、“本附注</w:t>
      </w:r>
    </w:p>
    <w:p>
      <w:pPr>
        <w:spacing w:line="506" w:lineRule="auto" w:before="5"/>
        <w:ind w:left="214" w:right="7632" w:firstLine="0"/>
        <w:jc w:val="left"/>
        <w:rPr>
          <w:rFonts w:ascii="宋体" w:hAnsi="宋体" w:cs="宋体" w:eastAsia="宋体" w:hint="default"/>
          <w:sz w:val="21"/>
          <w:szCs w:val="21"/>
        </w:rPr>
      </w:pPr>
      <w:r>
        <w:rPr>
          <w:rFonts w:ascii="宋体" w:hAnsi="宋体" w:cs="宋体" w:eastAsia="宋体" w:hint="default"/>
          <w:sz w:val="24"/>
          <w:szCs w:val="24"/>
        </w:rPr>
        <w:t>九、在其他主体中的权益”。 </w:t>
      </w:r>
      <w:bookmarkStart w:name="四、财务报表的编制基础" w:id="171"/>
      <w:bookmarkEnd w:id="171"/>
      <w:r>
        <w:rPr>
          <w:rFonts w:ascii="宋体" w:hAnsi="宋体" w:cs="宋体" w:eastAsia="宋体" w:hint="default"/>
          <w:sz w:val="24"/>
          <w:szCs w:val="24"/>
        </w:rPr>
      </w:r>
      <w:r>
        <w:rPr>
          <w:rFonts w:ascii="宋体" w:hAnsi="宋体" w:cs="宋体" w:eastAsia="宋体" w:hint="default"/>
          <w:b/>
          <w:bCs/>
          <w:sz w:val="24"/>
          <w:szCs w:val="24"/>
        </w:rPr>
        <w:t>四、财务报表的编制基础</w:t>
      </w:r>
      <w:r>
        <w:rPr>
          <w:rFonts w:ascii="宋体" w:hAnsi="宋体" w:cs="宋体" w:eastAsia="宋体" w:hint="default"/>
          <w:b/>
          <w:bCs/>
          <w:w w:val="99"/>
          <w:sz w:val="24"/>
          <w:szCs w:val="24"/>
        </w:rPr>
        <w:t> </w:t>
      </w:r>
      <w:bookmarkStart w:name="1、编制基础" w:id="172"/>
      <w:bookmarkEnd w:id="172"/>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、编制基础</w:t>
      </w:r>
      <w:r>
        <w:rPr>
          <w:rFonts w:ascii="宋体" w:hAnsi="宋体" w:cs="宋体" w:eastAsia="宋体" w:hint="default"/>
          <w:sz w:val="21"/>
          <w:szCs w:val="21"/>
        </w:rPr>
      </w:r>
    </w:p>
    <w:p>
      <w:pPr>
        <w:pStyle w:val="BodyText"/>
        <w:spacing w:line="240" w:lineRule="auto" w:before="39"/>
        <w:ind w:left="694" w:right="468"/>
        <w:jc w:val="left"/>
      </w:pPr>
      <w:r>
        <w:rPr/>
        <w:t>本公司财务报表以持续经营为编制基础。</w:t>
      </w:r>
    </w:p>
    <w:p>
      <w:pPr>
        <w:spacing w:line="240" w:lineRule="auto" w:before="10"/>
        <w:rPr>
          <w:rFonts w:ascii="宋体" w:hAnsi="宋体" w:cs="宋体" w:eastAsia="宋体" w:hint="default"/>
          <w:sz w:val="24"/>
          <w:szCs w:val="24"/>
        </w:rPr>
      </w:pPr>
    </w:p>
    <w:p>
      <w:pPr>
        <w:spacing w:before="0"/>
        <w:ind w:left="214" w:right="468" w:firstLine="0"/>
        <w:jc w:val="left"/>
        <w:rPr>
          <w:rFonts w:ascii="宋体" w:hAnsi="宋体" w:cs="宋体" w:eastAsia="宋体" w:hint="default"/>
          <w:sz w:val="21"/>
          <w:szCs w:val="21"/>
        </w:rPr>
      </w:pPr>
      <w:bookmarkStart w:name="2、持续经营" w:id="173"/>
      <w:bookmarkEnd w:id="173"/>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、持续经营</w:t>
      </w:r>
      <w:r>
        <w:rPr>
          <w:rFonts w:ascii="宋体" w:hAnsi="宋体" w:cs="宋体" w:eastAsia="宋体" w:hint="default"/>
          <w:sz w:val="21"/>
          <w:szCs w:val="21"/>
        </w:rPr>
      </w:r>
    </w:p>
    <w:p>
      <w:pPr>
        <w:spacing w:line="240" w:lineRule="auto" w:before="9"/>
        <w:rPr>
          <w:rFonts w:ascii="宋体" w:hAnsi="宋体" w:cs="宋体" w:eastAsia="宋体" w:hint="default"/>
          <w:b/>
          <w:bCs/>
          <w:sz w:val="22"/>
          <w:szCs w:val="22"/>
        </w:rPr>
      </w:pPr>
    </w:p>
    <w:p>
      <w:pPr>
        <w:spacing w:line="470" w:lineRule="auto" w:before="0"/>
        <w:ind w:left="214" w:right="1152" w:firstLine="480"/>
        <w:jc w:val="left"/>
        <w:rPr>
          <w:rFonts w:ascii="宋体" w:hAnsi="宋体" w:cs="宋体" w:eastAsia="宋体" w:hint="default"/>
          <w:sz w:val="24"/>
          <w:szCs w:val="24"/>
        </w:rPr>
      </w:pPr>
      <w:r>
        <w:rPr>
          <w:rFonts w:ascii="宋体" w:hAnsi="宋体" w:cs="宋体" w:eastAsia="宋体" w:hint="default"/>
          <w:sz w:val="24"/>
          <w:szCs w:val="24"/>
        </w:rPr>
        <w:t>本公司不存在导致对报告期末起</w:t>
      </w:r>
      <w:r>
        <w:rPr>
          <w:rFonts w:ascii="宋体" w:hAnsi="宋体" w:cs="宋体" w:eastAsia="宋体" w:hint="default"/>
          <w:sz w:val="24"/>
          <w:szCs w:val="24"/>
        </w:rPr>
        <w:t>12</w:t>
      </w:r>
      <w:r>
        <w:rPr>
          <w:rFonts w:ascii="宋体" w:hAnsi="宋体" w:cs="宋体" w:eastAsia="宋体" w:hint="default"/>
          <w:sz w:val="24"/>
          <w:szCs w:val="24"/>
        </w:rPr>
        <w:t>个月内的持续经营能力产生重大疑虑的事项或情况。 </w:t>
      </w:r>
      <w:bookmarkStart w:name="五、重要会计政策及会计估计" w:id="174"/>
      <w:bookmarkEnd w:id="174"/>
      <w:r>
        <w:rPr>
          <w:rFonts w:ascii="宋体" w:hAnsi="宋体" w:cs="宋体" w:eastAsia="宋体" w:hint="default"/>
          <w:sz w:val="24"/>
          <w:szCs w:val="24"/>
        </w:rPr>
      </w:r>
      <w:r>
        <w:rPr>
          <w:rFonts w:ascii="宋体" w:hAnsi="宋体" w:cs="宋体" w:eastAsia="宋体" w:hint="default"/>
          <w:b/>
          <w:bCs/>
          <w:sz w:val="24"/>
          <w:szCs w:val="24"/>
        </w:rPr>
        <w:t>五、重要会计政策及会计估计</w:t>
      </w:r>
      <w:r>
        <w:rPr>
          <w:rFonts w:ascii="宋体" w:hAnsi="宋体" w:cs="宋体" w:eastAsia="宋体" w:hint="default"/>
          <w:sz w:val="24"/>
          <w:szCs w:val="24"/>
        </w:rPr>
      </w:r>
    </w:p>
    <w:p>
      <w:pPr>
        <w:spacing w:line="357" w:lineRule="auto" w:before="117"/>
        <w:ind w:left="214" w:right="7692"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是</w:t>
      </w:r>
    </w:p>
    <w:p>
      <w:pPr>
        <w:spacing w:line="357" w:lineRule="auto" w:before="29"/>
        <w:ind w:left="214" w:right="8232" w:firstLine="0"/>
        <w:jc w:val="left"/>
        <w:rPr>
          <w:rFonts w:ascii="宋体" w:hAnsi="宋体" w:cs="宋体" w:eastAsia="宋体" w:hint="default"/>
          <w:sz w:val="18"/>
          <w:szCs w:val="18"/>
        </w:rPr>
      </w:pPr>
      <w:r>
        <w:rPr>
          <w:rFonts w:ascii="宋体" w:hAnsi="宋体" w:cs="宋体" w:eastAsia="宋体" w:hint="default"/>
          <w:sz w:val="18"/>
          <w:szCs w:val="18"/>
        </w:rPr>
        <w:t>软件与信息技术服务业 具体会计政策和会计估计提示：</w:t>
      </w:r>
    </w:p>
    <w:p>
      <w:pPr>
        <w:pStyle w:val="BodyText"/>
        <w:spacing w:line="357" w:lineRule="auto" w:before="56"/>
        <w:ind w:left="214" w:right="468" w:firstLine="480"/>
        <w:jc w:val="left"/>
      </w:pPr>
      <w:r>
        <w:rPr/>
        <w:t>本公司根据实际生产经营特点针对应收款项坏账准备计提、固定资产折旧、无形资产摊 销、收入确认等交易或事项制定了具体会计政策和会计估计。</w:t>
      </w:r>
    </w:p>
    <w:p>
      <w:pPr>
        <w:spacing w:line="240" w:lineRule="auto" w:before="8"/>
        <w:rPr>
          <w:rFonts w:ascii="宋体" w:hAnsi="宋体" w:cs="宋体" w:eastAsia="宋体" w:hint="default"/>
          <w:sz w:val="21"/>
          <w:szCs w:val="21"/>
        </w:rPr>
      </w:pPr>
    </w:p>
    <w:p>
      <w:pPr>
        <w:spacing w:before="0"/>
        <w:ind w:left="214" w:right="468" w:firstLine="0"/>
        <w:jc w:val="left"/>
        <w:rPr>
          <w:rFonts w:ascii="宋体" w:hAnsi="宋体" w:cs="宋体" w:eastAsia="宋体" w:hint="default"/>
          <w:sz w:val="21"/>
          <w:szCs w:val="21"/>
        </w:rPr>
      </w:pPr>
      <w:bookmarkStart w:name="1、遵循企业会计准则的声明" w:id="175"/>
      <w:bookmarkEnd w:id="175"/>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、遵循企业会计准则的声明</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357" w:lineRule="auto" w:before="0"/>
        <w:ind w:left="214" w:right="468" w:firstLine="480"/>
        <w:jc w:val="left"/>
      </w:pPr>
      <w:r>
        <w:rPr/>
        <w:t>本公司所编制的财务报表符合企业会计准则的要求，真实、完整地反映了公司的财务状 况、经营成果和现金流量等有关信息。</w:t>
      </w:r>
    </w:p>
    <w:p>
      <w:pPr>
        <w:spacing w:after="0" w:line="357" w:lineRule="auto"/>
        <w:jc w:val="left"/>
        <w:sectPr>
          <w:pgSz w:w="11910" w:h="16840"/>
          <w:pgMar w:header="747" w:footer="979" w:top="1060" w:bottom="1160" w:left="920" w:right="0"/>
        </w:sectPr>
      </w:pPr>
    </w:p>
    <w:p>
      <w:pPr>
        <w:spacing w:line="240" w:lineRule="auto" w:before="10"/>
        <w:rPr>
          <w:rFonts w:ascii="宋体" w:hAnsi="宋体" w:cs="宋体" w:eastAsia="宋体" w:hint="default"/>
          <w:sz w:val="24"/>
          <w:szCs w:val="24"/>
        </w:rPr>
      </w:pPr>
    </w:p>
    <w:p>
      <w:pPr>
        <w:spacing w:before="35"/>
        <w:ind w:left="154" w:right="0" w:firstLine="0"/>
        <w:jc w:val="both"/>
        <w:rPr>
          <w:rFonts w:ascii="宋体" w:hAnsi="宋体" w:cs="宋体" w:eastAsia="宋体" w:hint="default"/>
          <w:sz w:val="21"/>
          <w:szCs w:val="21"/>
        </w:rPr>
      </w:pPr>
      <w:bookmarkStart w:name="2、会计期间" w:id="176"/>
      <w:bookmarkEnd w:id="176"/>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、会计期间</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240" w:lineRule="auto" w:before="0"/>
        <w:ind w:left="634" w:right="0"/>
        <w:jc w:val="left"/>
      </w:pPr>
      <w:r>
        <w:rPr/>
        <w:t>会计年度自公历</w:t>
      </w:r>
      <w:r>
        <w:rPr>
          <w:rFonts w:ascii="宋体" w:hAnsi="宋体" w:cs="宋体" w:eastAsia="宋体" w:hint="default"/>
        </w:rPr>
        <w:t>1</w:t>
      </w:r>
      <w:r>
        <w:rPr/>
        <w:t>月</w:t>
      </w:r>
      <w:r>
        <w:rPr>
          <w:rFonts w:ascii="宋体" w:hAnsi="宋体" w:cs="宋体" w:eastAsia="宋体" w:hint="default"/>
        </w:rPr>
        <w:t>1</w:t>
      </w:r>
      <w:r>
        <w:rPr/>
        <w:t>日起至</w:t>
      </w:r>
      <w:r>
        <w:rPr>
          <w:rFonts w:ascii="宋体" w:hAnsi="宋体" w:cs="宋体" w:eastAsia="宋体" w:hint="default"/>
        </w:rPr>
        <w:t>12</w:t>
      </w:r>
      <w:r>
        <w:rPr/>
        <w:t>月</w:t>
      </w:r>
      <w:r>
        <w:rPr>
          <w:rFonts w:ascii="宋体" w:hAnsi="宋体" w:cs="宋体" w:eastAsia="宋体" w:hint="default"/>
        </w:rPr>
        <w:t>31</w:t>
      </w:r>
      <w:r>
        <w:rPr/>
        <w:t>日止。</w:t>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30"/>
          <w:szCs w:val="30"/>
        </w:rPr>
      </w:pPr>
    </w:p>
    <w:p>
      <w:pPr>
        <w:spacing w:before="0"/>
        <w:ind w:left="154" w:right="0" w:firstLine="0"/>
        <w:jc w:val="both"/>
        <w:rPr>
          <w:rFonts w:ascii="宋体" w:hAnsi="宋体" w:cs="宋体" w:eastAsia="宋体" w:hint="default"/>
          <w:sz w:val="21"/>
          <w:szCs w:val="21"/>
        </w:rPr>
      </w:pPr>
      <w:bookmarkStart w:name="3、营业周期" w:id="177"/>
      <w:bookmarkEnd w:id="177"/>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、营业周期</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240" w:lineRule="auto" w:before="0"/>
        <w:ind w:left="634" w:right="0"/>
        <w:jc w:val="left"/>
      </w:pPr>
      <w:r>
        <w:rPr/>
        <w:t>公司经营业务的营业周期较短，以</w:t>
      </w:r>
      <w:r>
        <w:rPr>
          <w:rFonts w:ascii="宋体" w:hAnsi="宋体" w:cs="宋体" w:eastAsia="宋体" w:hint="default"/>
        </w:rPr>
        <w:t>12</w:t>
      </w:r>
      <w:r>
        <w:rPr/>
        <w:t>个月作为资产和负债的流动性划分标准。</w:t>
      </w:r>
    </w:p>
    <w:p>
      <w:pPr>
        <w:spacing w:line="240" w:lineRule="auto" w:before="8"/>
        <w:rPr>
          <w:rFonts w:ascii="宋体" w:hAnsi="宋体" w:cs="宋体" w:eastAsia="宋体" w:hint="default"/>
          <w:sz w:val="30"/>
          <w:szCs w:val="30"/>
        </w:rPr>
      </w:pPr>
    </w:p>
    <w:p>
      <w:pPr>
        <w:spacing w:before="0"/>
        <w:ind w:left="154" w:right="0" w:firstLine="0"/>
        <w:jc w:val="both"/>
        <w:rPr>
          <w:rFonts w:ascii="宋体" w:hAnsi="宋体" w:cs="宋体" w:eastAsia="宋体" w:hint="default"/>
          <w:sz w:val="21"/>
          <w:szCs w:val="21"/>
        </w:rPr>
      </w:pPr>
      <w:bookmarkStart w:name="4、记账本位币" w:id="178"/>
      <w:bookmarkEnd w:id="178"/>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、记账本位币</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240" w:lineRule="auto" w:before="0"/>
        <w:ind w:left="634" w:right="0"/>
        <w:jc w:val="left"/>
      </w:pPr>
      <w:r>
        <w:rPr/>
        <w:t>采用人民币为记账本位币。</w:t>
      </w:r>
    </w:p>
    <w:p>
      <w:pPr>
        <w:spacing w:line="240" w:lineRule="auto" w:before="8"/>
        <w:rPr>
          <w:rFonts w:ascii="宋体" w:hAnsi="宋体" w:cs="宋体" w:eastAsia="宋体" w:hint="default"/>
          <w:sz w:val="30"/>
          <w:szCs w:val="30"/>
        </w:rPr>
      </w:pPr>
    </w:p>
    <w:p>
      <w:pPr>
        <w:spacing w:before="0"/>
        <w:ind w:left="154" w:right="0" w:firstLine="0"/>
        <w:jc w:val="both"/>
        <w:rPr>
          <w:rFonts w:ascii="宋体" w:hAnsi="宋体" w:cs="宋体" w:eastAsia="宋体" w:hint="default"/>
          <w:sz w:val="21"/>
          <w:szCs w:val="21"/>
        </w:rPr>
      </w:pPr>
      <w:bookmarkStart w:name="5、同一控制下和非同一控制下企业合并的会计处理方法" w:id="179"/>
      <w:bookmarkEnd w:id="179"/>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、同一控制下和非同一控制下企业合并的会计处理方法</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357" w:lineRule="auto" w:before="0"/>
        <w:ind w:left="634" w:right="0"/>
        <w:jc w:val="left"/>
      </w:pPr>
      <w:r>
        <w:rPr>
          <w:rFonts w:ascii="宋体" w:hAnsi="宋体" w:cs="宋体" w:eastAsia="宋体" w:hint="default"/>
        </w:rPr>
        <w:t>1. </w:t>
      </w:r>
      <w:r>
        <w:rPr/>
        <w:t>同一控制下企业合并的会计处理方法 公司在企业合并中取得的资产和负债，按照合并日被合并方在最终控制方合并财务报表</w:t>
      </w:r>
    </w:p>
    <w:p>
      <w:pPr>
        <w:pStyle w:val="BodyText"/>
        <w:spacing w:line="357" w:lineRule="auto"/>
        <w:ind w:right="1139"/>
        <w:jc w:val="both"/>
      </w:pPr>
      <w:r>
        <w:rPr/>
        <w:t>中的账面价值计量。公司按照被合并方所有者权益在最终控制方合并财务报表中的账面价值 份额与支付的合并对价账面价值或发行股份面值总额的差额，调整资本公积；资本公积不足 冲减的，调整留存收益。</w:t>
      </w:r>
    </w:p>
    <w:p>
      <w:pPr>
        <w:pStyle w:val="BodyText"/>
        <w:spacing w:line="357" w:lineRule="auto"/>
        <w:ind w:left="634" w:right="0"/>
        <w:jc w:val="left"/>
      </w:pPr>
      <w:r>
        <w:rPr>
          <w:rFonts w:ascii="宋体" w:hAnsi="宋体" w:cs="宋体" w:eastAsia="宋体" w:hint="default"/>
        </w:rPr>
        <w:t>2. </w:t>
      </w:r>
      <w:r>
        <w:rPr/>
        <w:t>非同一控制下企业合并的会计处理方法 </w:t>
      </w:r>
      <w:r>
        <w:rPr>
          <w:spacing w:val="6"/>
        </w:rPr>
        <w:t>公司在购买日对合并成本大于合并中取得的被购买方可辨认净资产公允价值份额的差</w:t>
      </w:r>
    </w:p>
    <w:p>
      <w:pPr>
        <w:pStyle w:val="BodyText"/>
        <w:spacing w:line="357" w:lineRule="auto"/>
        <w:ind w:right="1132"/>
        <w:jc w:val="both"/>
      </w:pPr>
      <w:r>
        <w:rPr/>
        <w:t>额，确认为商誉；如果合并成本小于合并中取得的被购买方可辨认净资产公允价值份额，首</w:t>
      </w:r>
      <w:r>
        <w:rPr>
          <w:spacing w:val="-112"/>
        </w:rPr>
        <w:t> </w:t>
      </w:r>
      <w:r>
        <w:rPr>
          <w:spacing w:val="-112"/>
        </w:rPr>
      </w:r>
      <w:r>
        <w:rPr/>
        <w:t>先对取得的被购买方各项可辨认资产、负债及或有负债的公允价值以及合并成本的计量进行 复核，经复核后合并成本仍小于合并中取得的被购买方可辨认净资产公允价值份额的，其差 额计入当期损益。</w:t>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21"/>
          <w:szCs w:val="21"/>
        </w:rPr>
      </w:pPr>
    </w:p>
    <w:p>
      <w:pPr>
        <w:spacing w:before="0"/>
        <w:ind w:left="154" w:right="0" w:firstLine="0"/>
        <w:jc w:val="both"/>
        <w:rPr>
          <w:rFonts w:ascii="宋体" w:hAnsi="宋体" w:cs="宋体" w:eastAsia="宋体" w:hint="default"/>
          <w:sz w:val="21"/>
          <w:szCs w:val="21"/>
        </w:rPr>
      </w:pPr>
      <w:bookmarkStart w:name="6、合并财务报表的编制方法" w:id="180"/>
      <w:bookmarkEnd w:id="180"/>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、合并财务报表的编制方法</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357" w:lineRule="auto" w:before="0"/>
        <w:ind w:right="1129" w:firstLine="480"/>
        <w:jc w:val="both"/>
      </w:pPr>
      <w:r>
        <w:rPr/>
        <w:t>母公司将其控制的所有子公司纳入合并财务报表的合并范围。合并财务报表以母公司及 其子公司的财务报表为基础，根据其他有关资料，由母公司按照《企业会计准则第</w:t>
      </w:r>
      <w:r>
        <w:rPr>
          <w:rFonts w:ascii="宋体" w:hAnsi="宋体" w:cs="宋体" w:eastAsia="宋体" w:hint="default"/>
        </w:rPr>
        <w:t>33</w:t>
      </w:r>
      <w:r>
        <w:rPr/>
        <w:t>号——</w:t>
      </w:r>
      <w:r>
        <w:rPr>
          <w:spacing w:val="-108"/>
        </w:rPr>
        <w:t> </w:t>
      </w:r>
      <w:r>
        <w:rPr/>
        <w:t>合并财务报表》编制。</w:t>
      </w:r>
    </w:p>
    <w:p>
      <w:pPr>
        <w:spacing w:after="0" w:line="357" w:lineRule="auto"/>
        <w:jc w:val="both"/>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spacing w:before="35"/>
        <w:ind w:left="154" w:right="0" w:firstLine="0"/>
        <w:jc w:val="both"/>
        <w:rPr>
          <w:rFonts w:ascii="宋体" w:hAnsi="宋体" w:cs="宋体" w:eastAsia="宋体" w:hint="default"/>
          <w:sz w:val="21"/>
          <w:szCs w:val="21"/>
        </w:rPr>
      </w:pPr>
      <w:bookmarkStart w:name="7、现金及现金等价物的确定标准" w:id="181"/>
      <w:bookmarkEnd w:id="181"/>
      <w:r>
        <w:rPr/>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、现金及现金等价物的确定标准</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357" w:lineRule="auto" w:before="0"/>
        <w:ind w:right="1140" w:firstLine="480"/>
        <w:jc w:val="both"/>
      </w:pPr>
      <w:r>
        <w:rPr/>
        <w:t>列示于现金流量表中的现金是指库存现金以及可以随时用于支付的存款。现金等价物是 指企业持有的期限短、流动性强、易于转换为已知金额现金、价值变动风险很小的投资。</w:t>
      </w:r>
    </w:p>
    <w:p>
      <w:pPr>
        <w:spacing w:line="240" w:lineRule="auto" w:before="8"/>
        <w:rPr>
          <w:rFonts w:ascii="宋体" w:hAnsi="宋体" w:cs="宋体" w:eastAsia="宋体" w:hint="default"/>
          <w:sz w:val="21"/>
          <w:szCs w:val="21"/>
        </w:rPr>
      </w:pPr>
    </w:p>
    <w:p>
      <w:pPr>
        <w:spacing w:before="0"/>
        <w:ind w:left="154" w:right="0" w:firstLine="0"/>
        <w:jc w:val="both"/>
        <w:rPr>
          <w:rFonts w:ascii="宋体" w:hAnsi="宋体" w:cs="宋体" w:eastAsia="宋体" w:hint="default"/>
          <w:sz w:val="21"/>
          <w:szCs w:val="21"/>
        </w:rPr>
      </w:pPr>
      <w:bookmarkStart w:name="8、外币业务和外币报表折算" w:id="182"/>
      <w:bookmarkEnd w:id="182"/>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、外币业务和外币报表折算</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357" w:lineRule="auto" w:before="0"/>
        <w:ind w:right="0" w:firstLine="480"/>
        <w:jc w:val="left"/>
      </w:pPr>
      <w:r>
        <w:rPr>
          <w:spacing w:val="-3"/>
        </w:rPr>
        <w:t>外币交易在初始确认时，采用交易发生日的近似汇率折算为人民币金额。资产负债表日，</w:t>
      </w:r>
      <w:r>
        <w:rPr/>
        <w:t> 外币货币性项目采用资产负债表日即期汇率折算，因汇率不同而产生的汇兑差额，除与购建 符合资本化条件资产有关的外币专门借款本金及利息的汇兑差额外，计入当期损益；以历史 成本计量的外币非货币性项目仍采用交易发生日的即期汇率折算，不改变其人民币金额；以 公允价值计量的外币非货币性项目，采用公允价值确定日的即期汇率折算，差额计入当期损 益或其他综合收益。</w:t>
      </w:r>
    </w:p>
    <w:p>
      <w:pPr>
        <w:spacing w:line="240" w:lineRule="auto" w:before="8"/>
        <w:rPr>
          <w:rFonts w:ascii="宋体" w:hAnsi="宋体" w:cs="宋体" w:eastAsia="宋体" w:hint="default"/>
          <w:sz w:val="21"/>
          <w:szCs w:val="21"/>
        </w:rPr>
      </w:pPr>
    </w:p>
    <w:p>
      <w:pPr>
        <w:spacing w:before="0"/>
        <w:ind w:left="154" w:right="0" w:firstLine="0"/>
        <w:jc w:val="both"/>
        <w:rPr>
          <w:rFonts w:ascii="宋体" w:hAnsi="宋体" w:cs="宋体" w:eastAsia="宋体" w:hint="default"/>
          <w:sz w:val="21"/>
          <w:szCs w:val="21"/>
        </w:rPr>
      </w:pPr>
      <w:bookmarkStart w:name="9、金融工具" w:id="183"/>
      <w:bookmarkEnd w:id="183"/>
      <w:r>
        <w:rPr/>
      </w: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、金融工具</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357" w:lineRule="auto" w:before="0"/>
        <w:ind w:left="634" w:right="0"/>
        <w:jc w:val="left"/>
      </w:pPr>
      <w:r>
        <w:rPr>
          <w:rFonts w:ascii="宋体" w:hAnsi="宋体" w:cs="宋体" w:eastAsia="宋体" w:hint="default"/>
        </w:rPr>
        <w:t>1. </w:t>
      </w:r>
      <w:r>
        <w:rPr/>
        <w:t>金融资产和金融负债的分类 金融资产在初始确认时划分为以下四类：以公允价值计量且其变动计入当期损益的金融</w:t>
      </w:r>
    </w:p>
    <w:p>
      <w:pPr>
        <w:pStyle w:val="BodyText"/>
        <w:spacing w:line="357" w:lineRule="auto"/>
        <w:ind w:right="1139"/>
        <w:jc w:val="both"/>
      </w:pPr>
      <w:r>
        <w:rPr/>
        <w:t>资产（包括交易性金融资产和在初始确认时指定为以公允价值计量且其变动计入当期损益的 金融资产）、持有至到期投资、贷款和应收款项、可供出售金融资产。</w:t>
      </w:r>
    </w:p>
    <w:p>
      <w:pPr>
        <w:pStyle w:val="BodyText"/>
        <w:spacing w:line="357" w:lineRule="auto"/>
        <w:ind w:right="1139" w:firstLine="480"/>
        <w:jc w:val="both"/>
      </w:pPr>
      <w:r>
        <w:rPr/>
        <w:t>金融负债在初始确认时划分为以下两类：以公允价值计量且其变动计入当期损益的金融 负债（包括交易性金融负债和在初始确认时指定为以公允价值计量且其变动计入当期损益的 金融负债）、其他金融负债。</w:t>
      </w:r>
    </w:p>
    <w:p>
      <w:pPr>
        <w:pStyle w:val="BodyText"/>
        <w:spacing w:line="357" w:lineRule="auto"/>
        <w:ind w:left="634" w:right="0"/>
        <w:jc w:val="left"/>
      </w:pPr>
      <w:r>
        <w:rPr>
          <w:rFonts w:ascii="宋体" w:hAnsi="宋体" w:cs="宋体" w:eastAsia="宋体" w:hint="default"/>
        </w:rPr>
        <w:t>2. </w:t>
      </w:r>
      <w:r>
        <w:rPr/>
        <w:t>金融资产和金融负债的确认依据、计量方法和终止确认条件 公司成为金融工具合同的一方时，确认一项金融资产或金融负债。初始确认金融资产或</w:t>
      </w:r>
    </w:p>
    <w:p>
      <w:pPr>
        <w:pStyle w:val="BodyText"/>
        <w:spacing w:line="357" w:lineRule="auto"/>
        <w:ind w:right="1139"/>
        <w:jc w:val="both"/>
      </w:pPr>
      <w:r>
        <w:rPr/>
        <w:t>金融负债时，按照公允价值计量；对于以公允价值计量且其变动计入当期损益的金融资产和 金融负债，相关交易费用直接计入当期损益；对于其他类别的金融资产或金融负债，相关交 易费用计入初始确认金额。</w:t>
      </w:r>
    </w:p>
    <w:p>
      <w:pPr>
        <w:pStyle w:val="BodyText"/>
        <w:spacing w:line="357" w:lineRule="auto"/>
        <w:ind w:right="1128" w:firstLine="480"/>
        <w:jc w:val="both"/>
      </w:pPr>
      <w:r>
        <w:rPr/>
        <w:t>公司按照公允价值对金融资产进行后续计量，且不扣除将来处置该金融资产时可能发生 的交易费用，但下列情况除外：</w:t>
      </w:r>
      <w:r>
        <w:rPr>
          <w:rFonts w:ascii="宋体" w:hAnsi="宋体" w:cs="宋体" w:eastAsia="宋体" w:hint="default"/>
        </w:rPr>
        <w:t>(1)</w:t>
      </w:r>
      <w:r>
        <w:rPr>
          <w:rFonts w:ascii="宋体" w:hAnsi="宋体" w:cs="宋体" w:eastAsia="宋体" w:hint="default"/>
          <w:spacing w:val="3"/>
        </w:rPr>
        <w:t> </w:t>
      </w:r>
      <w:r>
        <w:rPr/>
        <w:t>持有至到期投资以及贷款和应收款项采用实际利率法， 按摊余成本计量；</w:t>
      </w:r>
      <w:r>
        <w:rPr>
          <w:rFonts w:ascii="宋体" w:hAnsi="宋体" w:cs="宋体" w:eastAsia="宋体" w:hint="default"/>
        </w:rPr>
        <w:t>(2)</w:t>
      </w:r>
      <w:r>
        <w:rPr>
          <w:rFonts w:ascii="宋体" w:hAnsi="宋体" w:cs="宋体" w:eastAsia="宋体" w:hint="default"/>
          <w:spacing w:val="10"/>
        </w:rPr>
        <w:t> </w:t>
      </w:r>
      <w:r>
        <w:rPr/>
        <w:t>在活跃市场中没有报价且其公允价值不能可靠计量的权益工具投资，</w:t>
      </w:r>
      <w:r>
        <w:rPr>
          <w:spacing w:val="-117"/>
        </w:rPr>
        <w:t> </w:t>
      </w:r>
      <w:r>
        <w:rPr>
          <w:spacing w:val="-117"/>
        </w:rPr>
      </w:r>
      <w:r>
        <w:rPr/>
        <w:t>以及与该权益工具挂钩并须通过交付该权益工具结算的衍生金融资产，按照成本计量。</w:t>
      </w:r>
    </w:p>
    <w:p>
      <w:pPr>
        <w:spacing w:after="0" w:line="357" w:lineRule="auto"/>
        <w:jc w:val="both"/>
        <w:sectPr>
          <w:pgSz w:w="11910" w:h="16840"/>
          <w:pgMar w:header="747" w:footer="979" w:top="1060" w:bottom="1160" w:left="980" w:right="0"/>
        </w:sectPr>
      </w:pPr>
    </w:p>
    <w:p>
      <w:pPr>
        <w:spacing w:line="240" w:lineRule="auto" w:before="7"/>
        <w:rPr>
          <w:rFonts w:ascii="宋体" w:hAnsi="宋体" w:cs="宋体" w:eastAsia="宋体" w:hint="default"/>
          <w:sz w:val="29"/>
          <w:szCs w:val="29"/>
        </w:rPr>
      </w:pPr>
    </w:p>
    <w:p>
      <w:pPr>
        <w:pStyle w:val="BodyText"/>
        <w:spacing w:line="357" w:lineRule="auto" w:before="26"/>
        <w:ind w:right="1131" w:firstLine="480"/>
        <w:jc w:val="both"/>
      </w:pPr>
      <w:r>
        <w:rPr/>
        <w:t>公司采用实际利率法，按摊余成本对金融负债进行后续计量，但下列情况除外：</w:t>
      </w:r>
      <w:r>
        <w:rPr>
          <w:rFonts w:ascii="宋体" w:hAnsi="宋体" w:cs="宋体" w:eastAsia="宋体" w:hint="default"/>
        </w:rPr>
        <w:t>(1)</w:t>
      </w:r>
      <w:r>
        <w:rPr>
          <w:rFonts w:ascii="宋体" w:hAnsi="宋体" w:cs="宋体" w:eastAsia="宋体" w:hint="default"/>
          <w:spacing w:val="8"/>
        </w:rPr>
        <w:t> </w:t>
      </w:r>
      <w:r>
        <w:rPr/>
        <w:t>以 公允价值计量且其变动计入当期损益的金融负债，按照公允价值计量，且不扣除将来结清金 融负债时可能发生的交易费用；</w:t>
      </w:r>
      <w:r>
        <w:rPr>
          <w:rFonts w:ascii="宋体" w:hAnsi="宋体" w:cs="宋体" w:eastAsia="宋体" w:hint="default"/>
        </w:rPr>
        <w:t>(2)</w:t>
      </w:r>
      <w:r>
        <w:rPr>
          <w:rFonts w:ascii="宋体" w:hAnsi="宋体" w:cs="宋体" w:eastAsia="宋体" w:hint="default"/>
          <w:spacing w:val="4"/>
        </w:rPr>
        <w:t> </w:t>
      </w:r>
      <w:r>
        <w:rPr/>
        <w:t>与在活跃市场中没有报价、公允价值不能可靠计量的权 益工具挂钩并须通过交付该权益工具结算的衍生金融负债，按照成本计量；</w:t>
      </w:r>
      <w:r>
        <w:rPr>
          <w:rFonts w:ascii="宋体" w:hAnsi="宋体" w:cs="宋体" w:eastAsia="宋体" w:hint="default"/>
        </w:rPr>
        <w:t>(3)</w:t>
      </w:r>
      <w:r>
        <w:rPr>
          <w:rFonts w:ascii="宋体" w:hAnsi="宋体" w:cs="宋体" w:eastAsia="宋体" w:hint="default"/>
          <w:spacing w:val="7"/>
        </w:rPr>
        <w:t> </w:t>
      </w:r>
      <w:r>
        <w:rPr/>
        <w:t>不属于指定</w:t>
      </w:r>
      <w:r>
        <w:rPr>
          <w:spacing w:val="-118"/>
        </w:rPr>
        <w:t> </w:t>
      </w:r>
      <w:r>
        <w:rPr>
          <w:spacing w:val="-118"/>
        </w:rPr>
      </w:r>
      <w:r>
        <w:rPr/>
        <w:t>为以公允价值计量且其变动计入当期损益的金融负债的财务担保合同，或没有指定为以公允 价值计量且其变动计入当期损益并将以低于市场利率贷款的贷款承诺，在初始确认后按照下</w:t>
      </w:r>
      <w:r>
        <w:rPr>
          <w:spacing w:val="-117"/>
        </w:rPr>
        <w:t> </w:t>
      </w:r>
      <w:r>
        <w:rPr>
          <w:spacing w:val="-117"/>
        </w:rPr>
      </w:r>
      <w:r>
        <w:rPr/>
        <w:t>列两项金额之中的较高者进行后续计量：</w:t>
      </w:r>
      <w:r>
        <w:rPr>
          <w:rFonts w:ascii="宋体" w:hAnsi="宋体" w:cs="宋体" w:eastAsia="宋体" w:hint="default"/>
        </w:rPr>
        <w:t>1)</w:t>
      </w:r>
      <w:r>
        <w:rPr>
          <w:rFonts w:ascii="宋体" w:hAnsi="宋体" w:cs="宋体" w:eastAsia="宋体" w:hint="default"/>
          <w:spacing w:val="-16"/>
        </w:rPr>
        <w:t> </w:t>
      </w:r>
      <w:r>
        <w:rPr>
          <w:spacing w:val="-3"/>
        </w:rPr>
        <w:t>按照《企业会计准则第</w:t>
      </w:r>
      <w:r>
        <w:rPr>
          <w:rFonts w:ascii="宋体" w:hAnsi="宋体" w:cs="宋体" w:eastAsia="宋体" w:hint="default"/>
          <w:spacing w:val="-3"/>
        </w:rPr>
        <w:t>13</w:t>
      </w:r>
      <w:r>
        <w:rPr>
          <w:spacing w:val="-3"/>
        </w:rPr>
        <w:t>号——或有事项》确定</w:t>
      </w:r>
      <w:r>
        <w:rPr/>
        <w:t> </w:t>
      </w:r>
      <w:r>
        <w:rPr>
          <w:spacing w:val="-5"/>
        </w:rPr>
        <w:t>的金额；</w:t>
      </w:r>
      <w:r>
        <w:rPr>
          <w:rFonts w:ascii="宋体" w:hAnsi="宋体" w:cs="宋体" w:eastAsia="宋体" w:hint="default"/>
          <w:spacing w:val="-5"/>
        </w:rPr>
        <w:t>2)</w:t>
      </w:r>
      <w:r>
        <w:rPr>
          <w:rFonts w:ascii="宋体" w:hAnsi="宋体" w:cs="宋体" w:eastAsia="宋体" w:hint="default"/>
          <w:spacing w:val="-51"/>
        </w:rPr>
        <w:t> </w:t>
      </w:r>
      <w:r>
        <w:rPr/>
        <w:t>初始确认金额扣除按照《企业会计准则第</w:t>
      </w:r>
      <w:r>
        <w:rPr>
          <w:rFonts w:ascii="宋体" w:hAnsi="宋体" w:cs="宋体" w:eastAsia="宋体" w:hint="default"/>
        </w:rPr>
        <w:t>14</w:t>
      </w:r>
      <w:r>
        <w:rPr/>
        <w:t>号——收入》的原则确定的累积摊销 额后的余额。</w:t>
      </w:r>
    </w:p>
    <w:p>
      <w:pPr>
        <w:pStyle w:val="BodyText"/>
        <w:spacing w:line="357" w:lineRule="auto"/>
        <w:ind w:right="1136" w:firstLine="480"/>
        <w:jc w:val="both"/>
      </w:pPr>
      <w:r>
        <w:rPr/>
        <w:t>金融资产或金融负债公允价值变动形成的利得或损失，除与套期保值有关外，按照如下 方法处理：</w:t>
      </w:r>
      <w:r>
        <w:rPr>
          <w:rFonts w:ascii="宋体" w:hAnsi="宋体" w:cs="宋体" w:eastAsia="宋体" w:hint="default"/>
        </w:rPr>
        <w:t>(1)</w:t>
      </w:r>
      <w:r>
        <w:rPr>
          <w:rFonts w:ascii="宋体" w:hAnsi="宋体" w:cs="宋体" w:eastAsia="宋体" w:hint="default"/>
          <w:spacing w:val="5"/>
        </w:rPr>
        <w:t> </w:t>
      </w:r>
      <w:r>
        <w:rPr/>
        <w:t>以公允价值计量且其变动计入当期损益的金融资产或金融负债公允价值变动 形成的利得或损失，计入公允价值变动收益；在资产持有期间所取得的利息或现金股利，确 认为投资收益；处置时，将实际收到的金额与初始入账金额之间的差额确认为投资收益，同</w:t>
      </w:r>
      <w:r>
        <w:rPr>
          <w:spacing w:val="-116"/>
        </w:rPr>
        <w:t> </w:t>
      </w:r>
      <w:r>
        <w:rPr>
          <w:spacing w:val="-116"/>
        </w:rPr>
      </w:r>
      <w:r>
        <w:rPr/>
        <w:t>时调整公允价值变动收益。</w:t>
      </w:r>
      <w:r>
        <w:rPr>
          <w:rFonts w:ascii="宋体" w:hAnsi="宋体" w:cs="宋体" w:eastAsia="宋体" w:hint="default"/>
        </w:rPr>
        <w:t>(2)</w:t>
      </w:r>
      <w:r>
        <w:rPr>
          <w:rFonts w:ascii="宋体" w:hAnsi="宋体" w:cs="宋体" w:eastAsia="宋体" w:hint="default"/>
          <w:spacing w:val="4"/>
        </w:rPr>
        <w:t> </w:t>
      </w:r>
      <w:r>
        <w:rPr/>
        <w:t>可供出售金融资产的公允价值变动计入其他综合收益；持有 期间按实际利率法计算的利息，计入投资收益；可供出售权益工具投资的现金股利，于被投 资单位宣告发放股利时计入投资收益；处置时，将实际收到的金额与账面价值扣除原直接计 入其他综合收益的公允价值变动累计额之后的差额确认为投资收益。</w:t>
      </w:r>
    </w:p>
    <w:p>
      <w:pPr>
        <w:pStyle w:val="BodyText"/>
        <w:spacing w:line="357" w:lineRule="auto"/>
        <w:ind w:right="1130" w:firstLine="480"/>
        <w:jc w:val="both"/>
      </w:pPr>
      <w:r>
        <w:rPr/>
        <w:t>当收取某项金融资产现金流量的合同权利已终止或该金融资产所有权上几乎所有的风险 和报酬已转移时，终止确认该金融资产；当金融负债的现时义务全部或部分解除时，相应终</w:t>
      </w:r>
      <w:r>
        <w:rPr>
          <w:spacing w:val="-111"/>
        </w:rPr>
        <w:t> </w:t>
      </w:r>
      <w:r>
        <w:rPr>
          <w:spacing w:val="-111"/>
        </w:rPr>
      </w:r>
      <w:r>
        <w:rPr/>
        <w:t>止确认该金融负债或其一部分。</w:t>
      </w:r>
    </w:p>
    <w:p>
      <w:pPr>
        <w:pStyle w:val="BodyText"/>
        <w:spacing w:line="357" w:lineRule="auto"/>
        <w:ind w:left="634" w:right="0"/>
        <w:jc w:val="left"/>
      </w:pPr>
      <w:r>
        <w:rPr>
          <w:rFonts w:ascii="宋体" w:hAnsi="宋体" w:cs="宋体" w:eastAsia="宋体" w:hint="default"/>
        </w:rPr>
        <w:t>3. </w:t>
      </w:r>
      <w:r>
        <w:rPr/>
        <w:t>金融资产转移的确认依据和计量方法 公司已将金融资产所有权上几乎所有的风险和报酬转移给了转入方的，终止确认该金融</w:t>
      </w:r>
    </w:p>
    <w:p>
      <w:pPr>
        <w:pStyle w:val="BodyText"/>
        <w:spacing w:line="357" w:lineRule="auto"/>
        <w:ind w:right="1135"/>
        <w:jc w:val="both"/>
      </w:pPr>
      <w:r>
        <w:rPr/>
        <w:t>资产；保留了金融资产所有权上几乎所有的风险和报酬的，继续确认所转移的金融资产，并 将收到的对价确认为一项金融负债。公司既没有转移也没有保留金融资产所有权上几乎所有 的风险和报酬的，分别下列情况处理：</w:t>
      </w:r>
      <w:r>
        <w:rPr>
          <w:rFonts w:ascii="宋体" w:hAnsi="宋体" w:cs="宋体" w:eastAsia="宋体" w:hint="default"/>
        </w:rPr>
        <w:t>(1)</w:t>
      </w:r>
      <w:r>
        <w:rPr>
          <w:rFonts w:ascii="宋体" w:hAnsi="宋体" w:cs="宋体" w:eastAsia="宋体" w:hint="default"/>
          <w:spacing w:val="6"/>
        </w:rPr>
        <w:t> </w:t>
      </w:r>
      <w:r>
        <w:rPr/>
        <w:t>放弃了对该金融资产控制的，终止确认该金融资 产；</w:t>
      </w:r>
      <w:r>
        <w:rPr>
          <w:rFonts w:ascii="宋体" w:hAnsi="宋体" w:cs="宋体" w:eastAsia="宋体" w:hint="default"/>
        </w:rPr>
        <w:t>(2)</w:t>
      </w:r>
      <w:r>
        <w:rPr>
          <w:rFonts w:ascii="宋体" w:hAnsi="宋体" w:cs="宋体" w:eastAsia="宋体" w:hint="default"/>
          <w:spacing w:val="4"/>
        </w:rPr>
        <w:t> </w:t>
      </w:r>
      <w:r>
        <w:rPr/>
        <w:t>未放弃对该金融资产控制的，按照继续涉入所转移金融资产的程度确认有关金融资 产，并相应确认有关负债。</w:t>
      </w:r>
    </w:p>
    <w:p>
      <w:pPr>
        <w:pStyle w:val="BodyText"/>
        <w:spacing w:line="357" w:lineRule="auto"/>
        <w:ind w:right="1132" w:firstLine="480"/>
        <w:jc w:val="both"/>
      </w:pPr>
      <w:r>
        <w:rPr/>
        <w:t>金融资产整体转移满足终止确认条件的，将下列两项金额的差额计入当期损益：</w:t>
      </w:r>
      <w:r>
        <w:rPr>
          <w:rFonts w:ascii="宋体" w:hAnsi="宋体" w:cs="宋体" w:eastAsia="宋体" w:hint="default"/>
        </w:rPr>
        <w:t>(1)</w:t>
      </w:r>
      <w:r>
        <w:rPr>
          <w:rFonts w:ascii="宋体" w:hAnsi="宋体" w:cs="宋体" w:eastAsia="宋体" w:hint="default"/>
          <w:spacing w:val="10"/>
        </w:rPr>
        <w:t> </w:t>
      </w:r>
      <w:r>
        <w:rPr/>
        <w:t>所 转移金融资产的账面价值；</w:t>
      </w:r>
      <w:r>
        <w:rPr>
          <w:rFonts w:ascii="宋体" w:hAnsi="宋体" w:cs="宋体" w:eastAsia="宋体" w:hint="default"/>
        </w:rPr>
        <w:t>(2)</w:t>
      </w:r>
      <w:r>
        <w:rPr>
          <w:rFonts w:ascii="宋体" w:hAnsi="宋体" w:cs="宋体" w:eastAsia="宋体" w:hint="default"/>
          <w:spacing w:val="5"/>
        </w:rPr>
        <w:t> </w:t>
      </w:r>
      <w:r>
        <w:rPr/>
        <w:t>因转移而收到的对价，与原直接计入所有者权益的公允价值</w:t>
      </w:r>
    </w:p>
    <w:p>
      <w:pPr>
        <w:spacing w:after="0" w:line="357" w:lineRule="auto"/>
        <w:jc w:val="both"/>
        <w:sectPr>
          <w:pgSz w:w="11910" w:h="16840"/>
          <w:pgMar w:header="747" w:footer="979" w:top="1060" w:bottom="1160" w:left="980" w:right="0"/>
        </w:sectPr>
      </w:pPr>
    </w:p>
    <w:p>
      <w:pPr>
        <w:spacing w:line="240" w:lineRule="auto" w:before="7"/>
        <w:rPr>
          <w:rFonts w:ascii="宋体" w:hAnsi="宋体" w:cs="宋体" w:eastAsia="宋体" w:hint="default"/>
          <w:sz w:val="29"/>
          <w:szCs w:val="29"/>
        </w:rPr>
      </w:pPr>
    </w:p>
    <w:p>
      <w:pPr>
        <w:pStyle w:val="BodyText"/>
        <w:spacing w:line="357" w:lineRule="auto" w:before="26"/>
        <w:ind w:right="1132"/>
        <w:jc w:val="both"/>
      </w:pPr>
      <w:r>
        <w:rPr/>
        <w:t>变动累计额之和。金融资产部分转移满足终止确认条件的，将所转移金融资产整体的账面价 值，在终止确认部分和未终止确认部分之间，按照各自的相对公允价值进行分摊，并将下列 两项金额的差额计入当期损益：</w:t>
      </w:r>
      <w:r>
        <w:rPr>
          <w:rFonts w:ascii="宋体" w:hAnsi="宋体" w:cs="宋体" w:eastAsia="宋体" w:hint="default"/>
        </w:rPr>
        <w:t>(1) </w:t>
      </w:r>
      <w:r>
        <w:rPr/>
        <w:t>终止确认部分的账面价值；</w:t>
      </w:r>
      <w:r>
        <w:rPr>
          <w:rFonts w:ascii="宋体" w:hAnsi="宋体" w:cs="宋体" w:eastAsia="宋体" w:hint="default"/>
        </w:rPr>
        <w:t>(2)</w:t>
      </w:r>
      <w:r>
        <w:rPr>
          <w:rFonts w:ascii="宋体" w:hAnsi="宋体" w:cs="宋体" w:eastAsia="宋体" w:hint="default"/>
          <w:spacing w:val="8"/>
        </w:rPr>
        <w:t> </w:t>
      </w:r>
      <w:r>
        <w:rPr/>
        <w:t>终止确认部分的对价， 与原直接计入所有者权益的公允价值变动累计额中对应终止确认部分的金额之和。</w:t>
      </w:r>
    </w:p>
    <w:p>
      <w:pPr>
        <w:pStyle w:val="BodyText"/>
        <w:spacing w:line="357" w:lineRule="auto"/>
        <w:ind w:left="634" w:right="0"/>
        <w:jc w:val="left"/>
      </w:pPr>
      <w:r>
        <w:rPr>
          <w:rFonts w:ascii="宋体" w:hAnsi="宋体" w:cs="宋体" w:eastAsia="宋体" w:hint="default"/>
        </w:rPr>
        <w:t>4. </w:t>
      </w:r>
      <w:r>
        <w:rPr/>
        <w:t>金融资产和金融负债的公允价值确定方法 公司采用在当前情况下适用并且有足够可利用数据和其他信息支持的估值技术确定相关</w:t>
      </w:r>
    </w:p>
    <w:p>
      <w:pPr>
        <w:pStyle w:val="BodyText"/>
        <w:spacing w:line="357" w:lineRule="auto"/>
        <w:ind w:left="634" w:right="1118" w:hanging="480"/>
        <w:jc w:val="left"/>
      </w:pPr>
      <w:r>
        <w:rPr/>
        <w:t>金融资产和金融负债的公允价值。公司将估值技术使用的输入值分以下层级，并依次使用： </w:t>
      </w:r>
      <w:r>
        <w:rPr>
          <w:rFonts w:ascii="宋体" w:hAnsi="宋体" w:cs="宋体" w:eastAsia="宋体" w:hint="default"/>
        </w:rPr>
        <w:t>(1)</w:t>
      </w:r>
      <w:r>
        <w:rPr>
          <w:rFonts w:ascii="宋体" w:hAnsi="宋体" w:cs="宋体" w:eastAsia="宋体" w:hint="default"/>
          <w:spacing w:val="5"/>
        </w:rPr>
        <w:t> </w:t>
      </w:r>
      <w:r>
        <w:rPr/>
        <w:t>第一层次输入值是在计量日能够取得的相同资产或负债在活跃市场上未经调整的报</w:t>
      </w:r>
    </w:p>
    <w:p>
      <w:pPr>
        <w:pStyle w:val="BodyText"/>
        <w:spacing w:line="240" w:lineRule="auto"/>
        <w:ind w:right="0"/>
        <w:jc w:val="both"/>
      </w:pPr>
      <w:r>
        <w:rPr/>
        <w:t>价；</w:t>
      </w:r>
    </w:p>
    <w:p>
      <w:pPr>
        <w:pStyle w:val="BodyText"/>
        <w:spacing w:line="357" w:lineRule="auto" w:before="154"/>
        <w:ind w:right="0" w:firstLine="480"/>
        <w:jc w:val="left"/>
      </w:pPr>
      <w:r>
        <w:rPr>
          <w:rFonts w:ascii="宋体" w:hAnsi="宋体" w:cs="宋体" w:eastAsia="宋体" w:hint="default"/>
        </w:rPr>
        <w:t>(2)</w:t>
      </w:r>
      <w:r>
        <w:rPr>
          <w:rFonts w:ascii="宋体" w:hAnsi="宋体" w:cs="宋体" w:eastAsia="宋体" w:hint="default"/>
          <w:spacing w:val="22"/>
        </w:rPr>
        <w:t> </w:t>
      </w:r>
      <w:r>
        <w:rPr>
          <w:spacing w:val="6"/>
        </w:rPr>
        <w:t>第二层次输入值是除第一层次输入值外相关资产或负债直接或间接可观察的输入</w:t>
      </w:r>
      <w:r>
        <w:rPr/>
        <w:t> </w:t>
      </w:r>
      <w:r>
        <w:rPr>
          <w:spacing w:val="-3"/>
        </w:rPr>
        <w:t>值，包括：活跃市场中类似资产或负债的报价；非活跃市场中相同或类似资产或负债的报价；</w:t>
      </w:r>
      <w:r>
        <w:rPr>
          <w:spacing w:val="-81"/>
        </w:rPr>
        <w:t> </w:t>
      </w:r>
      <w:r>
        <w:rPr>
          <w:spacing w:val="-81"/>
        </w:rPr>
      </w:r>
      <w:r>
        <w:rPr/>
        <w:t>除报价以外的其他可观察输入值，如在正常报价间隔期间可观察的利率和收益率曲线等；市 场验证的输入值等；</w:t>
      </w:r>
    </w:p>
    <w:p>
      <w:pPr>
        <w:pStyle w:val="BodyText"/>
        <w:spacing w:line="357" w:lineRule="auto"/>
        <w:ind w:right="1139" w:firstLine="480"/>
        <w:jc w:val="both"/>
      </w:pPr>
      <w:r>
        <w:rPr>
          <w:rFonts w:ascii="宋体" w:hAnsi="宋体" w:cs="宋体" w:eastAsia="宋体" w:hint="default"/>
        </w:rPr>
        <w:t>(3)</w:t>
      </w:r>
      <w:r>
        <w:rPr>
          <w:rFonts w:ascii="宋体" w:hAnsi="宋体" w:cs="宋体" w:eastAsia="宋体" w:hint="default"/>
          <w:spacing w:val="4"/>
        </w:rPr>
        <w:t> </w:t>
      </w:r>
      <w:r>
        <w:rPr/>
        <w:t>第三层次输入值是相关资产或负债的不可观察输入值，包括不能直接观察或无法由 可观察市场数据验证的利率、股票波动率、企业合并中承担的弃置义务的未来现金流量、使 用自身数据作出的财务预测等。</w:t>
      </w:r>
    </w:p>
    <w:p>
      <w:pPr>
        <w:pStyle w:val="BodyText"/>
        <w:spacing w:line="240" w:lineRule="auto"/>
        <w:ind w:left="634" w:right="0"/>
        <w:jc w:val="left"/>
      </w:pPr>
      <w:r>
        <w:rPr>
          <w:rFonts w:ascii="宋体" w:hAnsi="宋体" w:cs="宋体" w:eastAsia="宋体" w:hint="default"/>
        </w:rPr>
        <w:t>5. </w:t>
      </w:r>
      <w:r>
        <w:rPr/>
        <w:t>金融资产的减值测试和减值准备计提方法</w:t>
      </w:r>
    </w:p>
    <w:p>
      <w:pPr>
        <w:pStyle w:val="BodyText"/>
        <w:spacing w:line="357" w:lineRule="auto" w:before="154"/>
        <w:ind w:right="0" w:firstLine="480"/>
        <w:jc w:val="left"/>
      </w:pPr>
      <w:r>
        <w:rPr>
          <w:rFonts w:ascii="宋体" w:hAnsi="宋体" w:cs="宋体" w:eastAsia="宋体" w:hint="default"/>
        </w:rPr>
        <w:t>(1)</w:t>
      </w:r>
      <w:r>
        <w:rPr>
          <w:rFonts w:ascii="宋体" w:hAnsi="宋体" w:cs="宋体" w:eastAsia="宋体" w:hint="default"/>
          <w:spacing w:val="4"/>
        </w:rPr>
        <w:t> </w:t>
      </w:r>
      <w:r>
        <w:rPr/>
        <w:t>资产负债表日对以公允价值计量且其变动计入当期损益的金融资产以外的金融资产 的账面价值进行检查，如有客观证据表明该金融资产发生减值的，计提减值准备。</w:t>
      </w:r>
    </w:p>
    <w:p>
      <w:pPr>
        <w:pStyle w:val="BodyText"/>
        <w:spacing w:line="357" w:lineRule="auto"/>
        <w:ind w:right="1134" w:firstLine="480"/>
        <w:jc w:val="both"/>
      </w:pPr>
      <w:r>
        <w:rPr>
          <w:rFonts w:ascii="宋体" w:hAnsi="宋体" w:cs="宋体" w:eastAsia="宋体" w:hint="default"/>
        </w:rPr>
        <w:t>(2)</w:t>
      </w:r>
      <w:r>
        <w:rPr>
          <w:rFonts w:ascii="宋体" w:hAnsi="宋体" w:cs="宋体" w:eastAsia="宋体" w:hint="default"/>
          <w:spacing w:val="4"/>
        </w:rPr>
        <w:t> </w:t>
      </w:r>
      <w:r>
        <w:rPr/>
        <w:t>对于持有至到期投资、贷款和应收款，先将单项金额重大的金融资产区分开来，单 独进行减值测试；对单项金额不重大的金融资产，可以单独进行减值测试，或包括在具有类</w:t>
      </w:r>
      <w:r>
        <w:rPr>
          <w:spacing w:val="-114"/>
        </w:rPr>
        <w:t> </w:t>
      </w:r>
      <w:r>
        <w:rPr>
          <w:spacing w:val="-114"/>
        </w:rPr>
      </w:r>
      <w:r>
        <w:rPr/>
        <w:t>似信用风险特征的金融资产组合中进行减值测试；单独测试未发生减值的金融资产（包括单 项金额重大和不重大的金融资产），包括在具有类似信用风险特征的金融资产组合中再进行 减值测试。测试结果表明其发生了减值的，根据其账面价值高于预计未来现金流量现值的差 额确认减值损失。</w:t>
      </w:r>
    </w:p>
    <w:p>
      <w:pPr>
        <w:pStyle w:val="BodyText"/>
        <w:spacing w:line="240" w:lineRule="auto"/>
        <w:ind w:left="634" w:right="0"/>
        <w:jc w:val="left"/>
      </w:pPr>
      <w:r>
        <w:rPr>
          <w:rFonts w:ascii="宋体" w:hAnsi="宋体" w:cs="宋体" w:eastAsia="宋体" w:hint="default"/>
        </w:rPr>
        <w:t>(3) </w:t>
      </w:r>
      <w:r>
        <w:rPr/>
        <w:t>可供出售金融资产</w:t>
      </w:r>
    </w:p>
    <w:p>
      <w:pPr>
        <w:pStyle w:val="BodyText"/>
        <w:spacing w:line="240" w:lineRule="auto" w:before="154"/>
        <w:ind w:left="634" w:right="0"/>
        <w:jc w:val="left"/>
      </w:pPr>
      <w:r>
        <w:rPr>
          <w:rFonts w:ascii="宋体" w:hAnsi="宋体" w:cs="宋体" w:eastAsia="宋体" w:hint="default"/>
        </w:rPr>
        <w:t>1) </w:t>
      </w:r>
      <w:r>
        <w:rPr/>
        <w:t>表明可供出售债务工具投资发生减值的客观证据包括：</w:t>
      </w:r>
    </w:p>
    <w:p>
      <w:pPr>
        <w:pStyle w:val="BodyText"/>
        <w:spacing w:line="240" w:lineRule="auto" w:before="154"/>
        <w:ind w:left="634" w:right="0"/>
        <w:jc w:val="left"/>
      </w:pPr>
      <w:r>
        <w:rPr/>
        <w:t>① 债务人发生严重财务困难；</w:t>
      </w:r>
    </w:p>
    <w:p>
      <w:pPr>
        <w:pStyle w:val="BodyText"/>
        <w:spacing w:line="240" w:lineRule="auto" w:before="154"/>
        <w:ind w:left="634" w:right="0"/>
        <w:jc w:val="left"/>
      </w:pPr>
      <w:r>
        <w:rPr/>
        <w:t>② 债务人违反了合同条款，如偿付利息或本金发生违约或逾期；</w:t>
      </w:r>
    </w:p>
    <w:p>
      <w:pPr>
        <w:spacing w:after="0" w:line="240" w:lineRule="auto"/>
        <w:jc w:val="left"/>
        <w:sectPr>
          <w:pgSz w:w="11910" w:h="16840"/>
          <w:pgMar w:header="747" w:footer="979" w:top="1060" w:bottom="1160" w:left="980" w:right="0"/>
        </w:sectPr>
      </w:pPr>
    </w:p>
    <w:p>
      <w:pPr>
        <w:spacing w:line="240" w:lineRule="auto" w:before="7"/>
        <w:rPr>
          <w:rFonts w:ascii="宋体" w:hAnsi="宋体" w:cs="宋体" w:eastAsia="宋体" w:hint="default"/>
          <w:sz w:val="29"/>
          <w:szCs w:val="29"/>
        </w:rPr>
      </w:pPr>
    </w:p>
    <w:p>
      <w:pPr>
        <w:pStyle w:val="BodyText"/>
        <w:spacing w:line="240" w:lineRule="auto" w:before="26"/>
        <w:ind w:left="634" w:right="0"/>
        <w:jc w:val="left"/>
      </w:pPr>
      <w:r>
        <w:rPr/>
        <w:t>③ 公司出于经济或法律等方面因素的考虑，对发生财务困难的债务人作出让步；</w:t>
      </w:r>
    </w:p>
    <w:p>
      <w:pPr>
        <w:pStyle w:val="BodyText"/>
        <w:spacing w:line="240" w:lineRule="auto" w:before="154"/>
        <w:ind w:left="634" w:right="0"/>
        <w:jc w:val="left"/>
      </w:pPr>
      <w:r>
        <w:rPr/>
        <w:t>④ 债务人很可能倒闭或进行其他财务重组；</w:t>
      </w:r>
    </w:p>
    <w:p>
      <w:pPr>
        <w:pStyle w:val="BodyText"/>
        <w:spacing w:line="240" w:lineRule="auto" w:before="154"/>
        <w:ind w:left="634" w:right="0"/>
        <w:jc w:val="left"/>
      </w:pPr>
      <w:r>
        <w:rPr/>
        <w:t>⑤ 因债务人发生重大财务困难，该债务工具无法在活跃市场继续交易；</w:t>
      </w:r>
    </w:p>
    <w:p>
      <w:pPr>
        <w:pStyle w:val="BodyText"/>
        <w:spacing w:line="240" w:lineRule="auto" w:before="154"/>
        <w:ind w:left="634" w:right="0"/>
        <w:jc w:val="left"/>
      </w:pPr>
      <w:r>
        <w:rPr/>
        <w:t>⑥ 其他表明可供出售债务工具已经发生减值的情况。</w:t>
      </w:r>
    </w:p>
    <w:p>
      <w:pPr>
        <w:pStyle w:val="BodyText"/>
        <w:spacing w:line="357" w:lineRule="auto" w:before="154"/>
        <w:ind w:right="1139" w:firstLine="480"/>
        <w:jc w:val="both"/>
      </w:pPr>
      <w:r>
        <w:rPr>
          <w:rFonts w:ascii="宋体" w:hAnsi="宋体" w:cs="宋体" w:eastAsia="宋体" w:hint="default"/>
        </w:rPr>
        <w:t>2)</w:t>
      </w:r>
      <w:r>
        <w:rPr>
          <w:rFonts w:ascii="宋体" w:hAnsi="宋体" w:cs="宋体" w:eastAsia="宋体" w:hint="default"/>
          <w:spacing w:val="21"/>
        </w:rPr>
        <w:t> </w:t>
      </w:r>
      <w:r>
        <w:rPr>
          <w:spacing w:val="3"/>
        </w:rPr>
        <w:t>表明可供出售权益工具投资发生减值的客观证据包括权益工具投资的公允价值发生</w:t>
      </w:r>
      <w:r>
        <w:rPr/>
        <w:t> 严重或非暂时性下跌，以及被投资单位经营所处的技术、市场、经济或法律环境等发生重大 不利变化使公司可能无法收回投资成本。</w:t>
      </w:r>
    </w:p>
    <w:p>
      <w:pPr>
        <w:pStyle w:val="BodyText"/>
        <w:spacing w:line="357" w:lineRule="auto"/>
        <w:ind w:right="1130" w:firstLine="480"/>
        <w:jc w:val="both"/>
      </w:pPr>
      <w:r>
        <w:rPr/>
        <w:t>本公司于资产负债表日对各项可供出售权益工具投资单独进行检查。对于以公允价值计 量的权益工具投资，若其于资产负债表日的公允价值低于其成本超过</w:t>
      </w:r>
      <w:r>
        <w:rPr>
          <w:rFonts w:ascii="宋体" w:hAnsi="宋体" w:cs="宋体" w:eastAsia="宋体" w:hint="default"/>
        </w:rPr>
        <w:t>50%</w:t>
      </w:r>
      <w:r>
        <w:rPr/>
        <w:t>（含</w:t>
      </w:r>
      <w:r>
        <w:rPr>
          <w:rFonts w:ascii="宋体" w:hAnsi="宋体" w:cs="宋体" w:eastAsia="宋体" w:hint="default"/>
        </w:rPr>
        <w:t>50%</w:t>
      </w:r>
      <w:r>
        <w:rPr/>
        <w:t>）或低于其</w:t>
      </w:r>
      <w:r>
        <w:rPr>
          <w:spacing w:val="-107"/>
        </w:rPr>
        <w:t> </w:t>
      </w:r>
      <w:r>
        <w:rPr>
          <w:spacing w:val="-107"/>
        </w:rPr>
      </w:r>
      <w:r>
        <w:rPr/>
        <w:t>成本持续时间超过</w:t>
      </w:r>
      <w:r>
        <w:rPr>
          <w:rFonts w:ascii="宋体" w:hAnsi="宋体" w:cs="宋体" w:eastAsia="宋体" w:hint="default"/>
        </w:rPr>
        <w:t>12</w:t>
      </w:r>
      <w:r>
        <w:rPr/>
        <w:t>个月（含</w:t>
      </w:r>
      <w:r>
        <w:rPr>
          <w:rFonts w:ascii="宋体" w:hAnsi="宋体" w:cs="宋体" w:eastAsia="宋体" w:hint="default"/>
        </w:rPr>
        <w:t>12</w:t>
      </w:r>
      <w:r>
        <w:rPr/>
        <w:t>个月）的，则表明其发生减值；若其于资产负债表日的公允</w:t>
      </w:r>
      <w:r>
        <w:rPr>
          <w:spacing w:val="-115"/>
        </w:rPr>
        <w:t> </w:t>
      </w:r>
      <w:r>
        <w:rPr>
          <w:spacing w:val="-2"/>
        </w:rPr>
        <w:t>价值低于其成本超过</w:t>
      </w:r>
      <w:r>
        <w:rPr>
          <w:rFonts w:ascii="宋体" w:hAnsi="宋体" w:cs="宋体" w:eastAsia="宋体" w:hint="default"/>
          <w:spacing w:val="-2"/>
        </w:rPr>
        <w:t>20%</w:t>
      </w:r>
      <w:r>
        <w:rPr>
          <w:spacing w:val="-2"/>
        </w:rPr>
        <w:t>（含</w:t>
      </w:r>
      <w:r>
        <w:rPr>
          <w:rFonts w:ascii="宋体" w:hAnsi="宋体" w:cs="宋体" w:eastAsia="宋体" w:hint="default"/>
          <w:spacing w:val="-2"/>
        </w:rPr>
        <w:t>20%</w:t>
      </w:r>
      <w:r>
        <w:rPr>
          <w:spacing w:val="-2"/>
        </w:rPr>
        <w:t>）但尚未达到</w:t>
      </w:r>
      <w:r>
        <w:rPr>
          <w:rFonts w:ascii="宋体" w:hAnsi="宋体" w:cs="宋体" w:eastAsia="宋体" w:hint="default"/>
          <w:spacing w:val="-2"/>
        </w:rPr>
        <w:t>50%</w:t>
      </w:r>
      <w:r>
        <w:rPr>
          <w:spacing w:val="-2"/>
        </w:rPr>
        <w:t>的，或低于其成本持续时间超过</w:t>
      </w:r>
      <w:r>
        <w:rPr>
          <w:rFonts w:ascii="宋体" w:hAnsi="宋体" w:cs="宋体" w:eastAsia="宋体" w:hint="default"/>
          <w:spacing w:val="-2"/>
        </w:rPr>
        <w:t>6</w:t>
      </w:r>
      <w:r>
        <w:rPr>
          <w:spacing w:val="-2"/>
        </w:rPr>
        <w:t>个月（含</w:t>
      </w:r>
      <w:r>
        <w:rPr>
          <w:rFonts w:ascii="宋体" w:hAnsi="宋体" w:cs="宋体" w:eastAsia="宋体" w:hint="default"/>
          <w:spacing w:val="-2"/>
        </w:rPr>
        <w:t>6</w:t>
      </w:r>
      <w:r>
        <w:rPr>
          <w:rFonts w:ascii="宋体" w:hAnsi="宋体" w:cs="宋体" w:eastAsia="宋体" w:hint="default"/>
          <w:spacing w:val="-112"/>
        </w:rPr>
        <w:t> </w:t>
      </w:r>
      <w:r>
        <w:rPr/>
        <w:t>个月）但未超过</w:t>
      </w:r>
      <w:r>
        <w:rPr>
          <w:rFonts w:ascii="宋体" w:hAnsi="宋体" w:cs="宋体" w:eastAsia="宋体" w:hint="default"/>
        </w:rPr>
        <w:t>12</w:t>
      </w:r>
      <w:r>
        <w:rPr/>
        <w:t>个月的，本公司会综合考虑其他相关因素，诸如价格波动率等，判断该权</w:t>
      </w:r>
      <w:r>
        <w:rPr>
          <w:spacing w:val="-117"/>
        </w:rPr>
        <w:t> </w:t>
      </w:r>
      <w:r>
        <w:rPr/>
        <w:t>益工具投资是否发生减值。对于以成本计量的权益工具投资，公司综合考虑被投资单位经营 所处的技术、市场、经济或法律环境等是否发生重大不利变化，判断该权益工具是否发生减 值。</w:t>
      </w:r>
    </w:p>
    <w:p>
      <w:pPr>
        <w:pStyle w:val="BodyText"/>
        <w:spacing w:line="357" w:lineRule="auto"/>
        <w:ind w:right="1133" w:firstLine="480"/>
        <w:jc w:val="both"/>
      </w:pPr>
      <w:r>
        <w:rPr/>
        <w:t>以公允价值计量的可供出售金融资产发生减值时，原直接计入其他综合收益的因公允价 值下降形成的累计损失予以转出并计入减值损失。对已确认减值损失的可供出售债务工具投 资，在期后公允价值回升且客观上与确认原减值损失后发生的事项有关的，原确认的减值损 失予以转回并计入当期损益。对已确认减值损失的可供出售权益工具投资，期后公允价值回 升直接计入其他综合收益。</w:t>
      </w:r>
    </w:p>
    <w:p>
      <w:pPr>
        <w:pStyle w:val="BodyText"/>
        <w:spacing w:line="357" w:lineRule="auto"/>
        <w:ind w:right="1139" w:firstLine="480"/>
        <w:jc w:val="both"/>
      </w:pPr>
      <w:r>
        <w:rPr/>
        <w:t>以成本计量的可供出售权益工具发生减值时，将该权益工具投资的账面价值，与按照类 似金融资产当时市场收益率对未来现金流量折现确定的现值之间的差额，确认为减值损失， 计入当期损益，发生的减值损失一经确认，不予转回。</w:t>
      </w:r>
    </w:p>
    <w:p>
      <w:pPr>
        <w:spacing w:line="240" w:lineRule="auto" w:before="8"/>
        <w:rPr>
          <w:rFonts w:ascii="宋体" w:hAnsi="宋体" w:cs="宋体" w:eastAsia="宋体" w:hint="default"/>
          <w:sz w:val="21"/>
          <w:szCs w:val="21"/>
        </w:rPr>
      </w:pPr>
    </w:p>
    <w:p>
      <w:pPr>
        <w:spacing w:before="0"/>
        <w:ind w:left="154" w:right="0" w:firstLine="0"/>
        <w:jc w:val="left"/>
        <w:rPr>
          <w:rFonts w:ascii="宋体" w:hAnsi="宋体" w:cs="宋体" w:eastAsia="宋体" w:hint="default"/>
          <w:sz w:val="21"/>
          <w:szCs w:val="21"/>
        </w:rPr>
      </w:pPr>
      <w:bookmarkStart w:name="10、应收票据及应收账款" w:id="184"/>
      <w:bookmarkEnd w:id="184"/>
      <w:r>
        <w:rPr/>
      </w: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、应收票据及应收账款</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bookmarkStart w:name="（1）单项金额重大并单独计提坏账准备的应收款项" w:id="185"/>
      <w:bookmarkEnd w:id="18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）单项金额重大并单独计提坏账准备的应收款项</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3" w:right="54"/>
              <w:jc w:val="left"/>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万元以上（含）且占应收款项账面余额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 款项</w:t>
            </w:r>
          </w:p>
        </w:tc>
      </w:tr>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9"/>
              <w:jc w:val="left"/>
              <w:rPr>
                <w:rFonts w:ascii="宋体" w:hAnsi="宋体" w:cs="宋体" w:eastAsia="宋体" w:hint="default"/>
                <w:sz w:val="18"/>
                <w:szCs w:val="18"/>
              </w:rPr>
            </w:pPr>
            <w:r>
              <w:rPr>
                <w:rFonts w:ascii="宋体" w:hAnsi="宋体" w:cs="宋体" w:eastAsia="宋体" w:hint="default"/>
                <w:sz w:val="18"/>
                <w:szCs w:val="18"/>
              </w:rPr>
              <w:t>单独进行减值测试，根据其未来现金流量现值低于其账面价 值的差额计提坏账准备</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b/>
          <w:bCs/>
          <w:sz w:val="24"/>
          <w:szCs w:val="24"/>
        </w:rPr>
      </w:pPr>
    </w:p>
    <w:p>
      <w:pPr>
        <w:spacing w:before="35"/>
        <w:ind w:left="154" w:right="0" w:firstLine="0"/>
        <w:jc w:val="left"/>
        <w:rPr>
          <w:rFonts w:ascii="宋体" w:hAnsi="宋体" w:cs="宋体" w:eastAsia="宋体" w:hint="default"/>
          <w:sz w:val="21"/>
          <w:szCs w:val="21"/>
        </w:rPr>
      </w:pPr>
      <w:bookmarkStart w:name="（2）按信用风险特征组合计提坏账准备的应收款项" w:id="186"/>
      <w:bookmarkEnd w:id="18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）按信用风险特征组合计提坏账准备的应收款项</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合并范围内关联往来组合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其他方法</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组合中，采用账龄分析法计提坏账准备的：</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82"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80.00%</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w:t>
      </w:r>
    </w:p>
    <w:p>
      <w:pPr>
        <w:spacing w:line="340" w:lineRule="auto" w:before="116"/>
        <w:ind w:left="154" w:right="75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w:t>
      </w:r>
    </w:p>
    <w:p>
      <w:pPr>
        <w:spacing w:before="4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229"/>
              <w:jc w:val="right"/>
              <w:rPr>
                <w:rFonts w:ascii="宋体" w:hAnsi="宋体" w:cs="宋体" w:eastAsia="宋体" w:hint="default"/>
                <w:sz w:val="18"/>
                <w:szCs w:val="18"/>
              </w:rPr>
            </w:pPr>
            <w:r>
              <w:rPr>
                <w:rFonts w:ascii="宋体" w:hAnsi="宋体" w:cs="宋体" w:eastAsia="宋体" w:hint="default"/>
                <w:sz w:val="18"/>
                <w:szCs w:val="18"/>
              </w:rPr>
              <w:t>组合名称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70"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175"/>
              <w:jc w:val="right"/>
              <w:rPr>
                <w:rFonts w:ascii="宋体" w:hAnsi="宋体" w:cs="宋体" w:eastAsia="宋体" w:hint="default"/>
                <w:sz w:val="18"/>
                <w:szCs w:val="18"/>
              </w:rPr>
            </w:pPr>
            <w:r>
              <w:rPr>
                <w:rFonts w:ascii="宋体" w:hAnsi="宋体" w:cs="宋体" w:eastAsia="宋体" w:hint="default"/>
                <w:sz w:val="18"/>
                <w:szCs w:val="18"/>
              </w:rPr>
              <w:t>合并范围内关联往来组合</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spacing w:before="35"/>
        <w:ind w:left="154" w:right="0" w:firstLine="0"/>
        <w:jc w:val="left"/>
        <w:rPr>
          <w:rFonts w:ascii="宋体" w:hAnsi="宋体" w:cs="宋体" w:eastAsia="宋体" w:hint="default"/>
          <w:sz w:val="21"/>
          <w:szCs w:val="21"/>
        </w:rPr>
      </w:pPr>
      <w:bookmarkStart w:name="（3）单项金额不重大但单独计提坏账准备的应收款项" w:id="187"/>
      <w:bookmarkEnd w:id="18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）单项金额不重大但单独计提坏账准备的应收款项</w:t>
      </w:r>
      <w:r>
        <w:rPr>
          <w:rFonts w:ascii="宋体" w:hAnsi="宋体" w:cs="宋体" w:eastAsia="宋体" w:hint="default"/>
          <w:sz w:val="21"/>
          <w:szCs w:val="21"/>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9"/>
              <w:jc w:val="left"/>
              <w:rPr>
                <w:rFonts w:ascii="宋体" w:hAnsi="宋体" w:cs="宋体" w:eastAsia="宋体" w:hint="default"/>
                <w:sz w:val="18"/>
                <w:szCs w:val="18"/>
              </w:rPr>
            </w:pPr>
            <w:r>
              <w:rPr>
                <w:rFonts w:ascii="宋体" w:hAnsi="宋体" w:cs="宋体" w:eastAsia="宋体" w:hint="default"/>
                <w:sz w:val="18"/>
                <w:szCs w:val="18"/>
              </w:rPr>
              <w:t>应收款项的未来现金流量现值与以账龄为信用风险特征的应 收款项组合中的未来现金流量现值存在显著差异</w:t>
            </w:r>
          </w:p>
        </w:tc>
      </w:tr>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9"/>
              <w:jc w:val="left"/>
              <w:rPr>
                <w:rFonts w:ascii="宋体" w:hAnsi="宋体" w:cs="宋体" w:eastAsia="宋体" w:hint="default"/>
                <w:sz w:val="18"/>
                <w:szCs w:val="18"/>
              </w:rPr>
            </w:pPr>
            <w:r>
              <w:rPr>
                <w:rFonts w:ascii="宋体" w:hAnsi="宋体" w:cs="宋体" w:eastAsia="宋体" w:hint="default"/>
                <w:sz w:val="18"/>
                <w:szCs w:val="18"/>
              </w:rPr>
              <w:t>单独进行减值测试，根据其未来现金流量现值低于其账面价 值的差额计提坏账准备</w:t>
            </w:r>
          </w:p>
        </w:tc>
      </w:tr>
    </w:tbl>
    <w:p>
      <w:pPr>
        <w:spacing w:line="240" w:lineRule="auto" w:before="2"/>
        <w:rPr>
          <w:rFonts w:ascii="宋体" w:hAnsi="宋体" w:cs="宋体" w:eastAsia="宋体" w:hint="default"/>
          <w:b/>
          <w:bCs/>
          <w:sz w:val="19"/>
          <w:szCs w:val="19"/>
        </w:rPr>
      </w:pPr>
    </w:p>
    <w:p>
      <w:pPr>
        <w:spacing w:before="35"/>
        <w:ind w:left="154" w:right="0" w:firstLine="0"/>
        <w:jc w:val="left"/>
        <w:rPr>
          <w:rFonts w:ascii="宋体" w:hAnsi="宋体" w:cs="宋体" w:eastAsia="宋体" w:hint="default"/>
          <w:sz w:val="21"/>
          <w:szCs w:val="21"/>
        </w:rPr>
      </w:pPr>
      <w:bookmarkStart w:name="11、存货" w:id="188"/>
      <w:bookmarkEnd w:id="188"/>
      <w:r>
        <w:rPr/>
      </w:r>
      <w:r>
        <w:rPr>
          <w:rFonts w:ascii="Times New Roman" w:hAnsi="Times New Roman" w:cs="Times New Roman" w:eastAsia="Times New Roman" w:hint="default"/>
          <w:b/>
          <w:bCs/>
          <w:sz w:val="21"/>
          <w:szCs w:val="21"/>
        </w:rPr>
        <w:t>11</w:t>
      </w:r>
      <w:r>
        <w:rPr>
          <w:rFonts w:ascii="宋体" w:hAnsi="宋体" w:cs="宋体" w:eastAsia="宋体" w:hint="default"/>
          <w:b/>
          <w:bCs/>
          <w:sz w:val="21"/>
          <w:szCs w:val="21"/>
        </w:rPr>
        <w:t>、存货</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line="357" w:lineRule="auto" w:before="0"/>
        <w:ind w:left="154" w:right="7692"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是</w:t>
      </w:r>
    </w:p>
    <w:p>
      <w:pPr>
        <w:spacing w:before="28"/>
        <w:ind w:left="154" w:right="0" w:firstLine="0"/>
        <w:jc w:val="left"/>
        <w:rPr>
          <w:rFonts w:ascii="宋体" w:hAnsi="宋体" w:cs="宋体" w:eastAsia="宋体" w:hint="default"/>
          <w:sz w:val="18"/>
          <w:szCs w:val="18"/>
        </w:rPr>
      </w:pPr>
      <w:r>
        <w:rPr>
          <w:rFonts w:ascii="宋体" w:hAnsi="宋体" w:cs="宋体" w:eastAsia="宋体" w:hint="default"/>
          <w:sz w:val="18"/>
          <w:szCs w:val="18"/>
        </w:rPr>
        <w:t>软件与信息技术服务业</w:t>
      </w:r>
    </w:p>
    <w:p>
      <w:pPr>
        <w:pStyle w:val="BodyText"/>
        <w:spacing w:line="357" w:lineRule="auto" w:before="146"/>
        <w:ind w:left="634" w:right="0"/>
        <w:jc w:val="left"/>
      </w:pPr>
      <w:r>
        <w:rPr>
          <w:rFonts w:ascii="宋体" w:hAnsi="宋体" w:cs="宋体" w:eastAsia="宋体" w:hint="default"/>
        </w:rPr>
        <w:t>1. </w:t>
      </w:r>
      <w:r>
        <w:rPr/>
        <w:t>存货的分类 存货包括在日常活动中持有以备出售的产成品或商品、处在生产过程中的在产品、在生</w:t>
      </w:r>
    </w:p>
    <w:p>
      <w:pPr>
        <w:pStyle w:val="BodyText"/>
        <w:spacing w:line="240" w:lineRule="auto" w:before="35"/>
        <w:ind w:right="0"/>
        <w:jc w:val="left"/>
      </w:pPr>
      <w:r>
        <w:rPr/>
        <w:t>产过程或提供劳务过程中耗用的材料和物料等。</w:t>
      </w:r>
    </w:p>
    <w:p>
      <w:pPr>
        <w:spacing w:after="0" w:line="240" w:lineRule="auto"/>
        <w:jc w:val="left"/>
        <w:sectPr>
          <w:pgSz w:w="11910" w:h="16840"/>
          <w:pgMar w:header="747" w:footer="979" w:top="1060" w:bottom="1160" w:left="980" w:right="0"/>
        </w:sectPr>
      </w:pPr>
    </w:p>
    <w:p>
      <w:pPr>
        <w:spacing w:line="240" w:lineRule="auto" w:before="7"/>
        <w:rPr>
          <w:rFonts w:ascii="宋体" w:hAnsi="宋体" w:cs="宋体" w:eastAsia="宋体" w:hint="default"/>
          <w:sz w:val="29"/>
          <w:szCs w:val="29"/>
        </w:rPr>
      </w:pPr>
    </w:p>
    <w:p>
      <w:pPr>
        <w:pStyle w:val="BodyText"/>
        <w:spacing w:line="357" w:lineRule="auto" w:before="26"/>
        <w:ind w:left="634" w:right="4992"/>
        <w:jc w:val="left"/>
      </w:pPr>
      <w:r>
        <w:rPr>
          <w:rFonts w:ascii="宋体" w:hAnsi="宋体" w:cs="宋体" w:eastAsia="宋体" w:hint="default"/>
        </w:rPr>
        <w:t>2. </w:t>
      </w:r>
      <w:r>
        <w:rPr/>
        <w:t>发出存货的计价方法 发出存货采用月末一次加权平均法与个别计价法。 </w:t>
      </w:r>
      <w:r>
        <w:rPr>
          <w:rFonts w:ascii="宋体" w:hAnsi="宋体" w:cs="宋体" w:eastAsia="宋体" w:hint="default"/>
        </w:rPr>
        <w:t>3. </w:t>
      </w:r>
      <w:r>
        <w:rPr/>
        <w:t>存货可变现净值的确定依据</w:t>
      </w:r>
    </w:p>
    <w:p>
      <w:pPr>
        <w:pStyle w:val="BodyText"/>
        <w:spacing w:line="357" w:lineRule="auto"/>
        <w:ind w:right="1129" w:firstLine="480"/>
        <w:jc w:val="both"/>
      </w:pPr>
      <w:r>
        <w:rPr/>
        <w:t>资产负债表日，存货采用成本与可变现净值孰低计量，按照单个存货成本高于可变现净 值的差额计提存货跌价准备。直接用于出售的存货，在正常生产经营过程中以该存货的估计 售价减去估计的销售费用和相关税费后的金额确定其可变现净值；需要经过加工的存货，在 正常生产经营过程中以所生产的产成品的估计售价减去至完工时估计将要发生的成本、估计 的销售费用和相关税费后的金额确定其可变现净值；资产负债表日，同一项存货中一部分有 合同价格约定、其他部分不存在合同价格的，分别确定其可变现净值，并与其对应的成本进</w:t>
      </w:r>
      <w:r>
        <w:rPr>
          <w:spacing w:val="-109"/>
        </w:rPr>
        <w:t> </w:t>
      </w:r>
      <w:r>
        <w:rPr>
          <w:spacing w:val="-109"/>
        </w:rPr>
      </w:r>
      <w:r>
        <w:rPr/>
        <w:t>行比较，分别确定存货跌价准备的计提或转回的金额。</w:t>
      </w:r>
    </w:p>
    <w:p>
      <w:pPr>
        <w:pStyle w:val="BodyText"/>
        <w:spacing w:line="357" w:lineRule="auto"/>
        <w:ind w:left="634" w:right="6912"/>
        <w:jc w:val="left"/>
      </w:pPr>
      <w:r>
        <w:rPr>
          <w:rFonts w:ascii="宋体" w:hAnsi="宋体" w:cs="宋体" w:eastAsia="宋体" w:hint="default"/>
        </w:rPr>
        <w:t>4. </w:t>
      </w:r>
      <w:r>
        <w:rPr/>
        <w:t>存货的盘存制度 存货的盘存制度为永续盘存制。</w:t>
      </w:r>
    </w:p>
    <w:p>
      <w:pPr>
        <w:pStyle w:val="BodyText"/>
        <w:spacing w:line="357" w:lineRule="auto"/>
        <w:ind w:left="634" w:right="6552"/>
        <w:jc w:val="left"/>
      </w:pPr>
      <w:r>
        <w:rPr>
          <w:rFonts w:ascii="宋体" w:hAnsi="宋体" w:cs="宋体" w:eastAsia="宋体" w:hint="default"/>
        </w:rPr>
        <w:t>5. </w:t>
      </w:r>
      <w:r>
        <w:rPr/>
        <w:t>低值易耗品和包装物的摊销方法 按照一次转销法进行摊销。</w:t>
      </w:r>
    </w:p>
    <w:p>
      <w:pPr>
        <w:spacing w:line="240" w:lineRule="auto" w:before="8"/>
        <w:rPr>
          <w:rFonts w:ascii="宋体" w:hAnsi="宋体" w:cs="宋体" w:eastAsia="宋体" w:hint="default"/>
          <w:sz w:val="21"/>
          <w:szCs w:val="21"/>
        </w:rPr>
      </w:pPr>
    </w:p>
    <w:p>
      <w:pPr>
        <w:spacing w:before="0"/>
        <w:ind w:left="154" w:right="0" w:firstLine="0"/>
        <w:jc w:val="left"/>
        <w:rPr>
          <w:rFonts w:ascii="宋体" w:hAnsi="宋体" w:cs="宋体" w:eastAsia="宋体" w:hint="default"/>
          <w:sz w:val="21"/>
          <w:szCs w:val="21"/>
        </w:rPr>
      </w:pPr>
      <w:bookmarkStart w:name="12、长期股权投资" w:id="189"/>
      <w:bookmarkEnd w:id="189"/>
      <w:r>
        <w:rPr/>
      </w:r>
      <w:r>
        <w:rPr>
          <w:rFonts w:ascii="Times New Roman" w:hAnsi="Times New Roman" w:cs="Times New Roman" w:eastAsia="Times New Roman" w:hint="default"/>
          <w:b/>
          <w:bCs/>
          <w:sz w:val="21"/>
          <w:szCs w:val="21"/>
        </w:rPr>
        <w:t>12</w:t>
      </w:r>
      <w:r>
        <w:rPr>
          <w:rFonts w:ascii="宋体" w:hAnsi="宋体" w:cs="宋体" w:eastAsia="宋体" w:hint="default"/>
          <w:b/>
          <w:bCs/>
          <w:sz w:val="21"/>
          <w:szCs w:val="21"/>
        </w:rPr>
        <w:t>、长期股权投资</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357" w:lineRule="auto" w:before="0"/>
        <w:ind w:left="634" w:right="0"/>
        <w:jc w:val="left"/>
      </w:pPr>
      <w:r>
        <w:rPr>
          <w:rFonts w:ascii="宋体" w:hAnsi="宋体" w:cs="宋体" w:eastAsia="宋体" w:hint="default"/>
        </w:rPr>
        <w:t>1. </w:t>
      </w:r>
      <w:r>
        <w:rPr/>
        <w:t>共同控制、重要影响的判断 按照相关约定对某项安排存在共有的控制，并且该安排的相关活动必须经过分享控制权</w:t>
      </w:r>
    </w:p>
    <w:p>
      <w:pPr>
        <w:pStyle w:val="BodyText"/>
        <w:spacing w:line="357" w:lineRule="auto"/>
        <w:ind w:right="0"/>
        <w:jc w:val="left"/>
      </w:pPr>
      <w:r>
        <w:rPr/>
        <w:t>的参与方一致同意后才能决策，认定为共同控制。对被投资单位的财务和经营政策有参与决 策的权力，但并不能够控制或者与其他方一起共同控制这些政策的制定，认定为重大影响。</w:t>
      </w:r>
    </w:p>
    <w:p>
      <w:pPr>
        <w:pStyle w:val="BodyText"/>
        <w:spacing w:line="240" w:lineRule="auto"/>
        <w:ind w:left="634" w:right="0"/>
        <w:jc w:val="left"/>
      </w:pPr>
      <w:r>
        <w:rPr>
          <w:rFonts w:ascii="宋体" w:hAnsi="宋体" w:cs="宋体" w:eastAsia="宋体" w:hint="default"/>
        </w:rPr>
        <w:t>2. </w:t>
      </w:r>
      <w:r>
        <w:rPr/>
        <w:t>投资成本的确定</w:t>
      </w:r>
    </w:p>
    <w:p>
      <w:pPr>
        <w:pStyle w:val="BodyText"/>
        <w:spacing w:line="357" w:lineRule="auto" w:before="154"/>
        <w:ind w:right="1137" w:firstLine="480"/>
        <w:jc w:val="both"/>
      </w:pPr>
      <w:r>
        <w:rPr>
          <w:rFonts w:ascii="宋体" w:hAnsi="宋体" w:cs="宋体" w:eastAsia="宋体" w:hint="default"/>
        </w:rPr>
        <w:t>(1)</w:t>
      </w:r>
      <w:r>
        <w:rPr>
          <w:rFonts w:ascii="宋体" w:hAnsi="宋体" w:cs="宋体" w:eastAsia="宋体" w:hint="default"/>
          <w:spacing w:val="5"/>
        </w:rPr>
        <w:t> </w:t>
      </w:r>
      <w:r>
        <w:rPr/>
        <w:t>同一控制下的企业合并形成的，合并方以支付现金、转让非现金资产、承担债务或 发行权益性证券作为合并对价的，在合并日按照取得被合并方所有者权益在最终控制方合并 财务报表中的账面价值的份额作为其初始投资成本。长期股权投资初始投资成本与支付的合 并对价的账面价值或发行股份的面值总额之间的差额调整资本公积；资本公积不足冲减的， 调整留存收益。</w:t>
      </w:r>
    </w:p>
    <w:p>
      <w:pPr>
        <w:pStyle w:val="BodyText"/>
        <w:spacing w:line="357" w:lineRule="auto"/>
        <w:ind w:right="0" w:firstLine="480"/>
        <w:jc w:val="left"/>
      </w:pPr>
      <w:r>
        <w:rPr>
          <w:spacing w:val="-6"/>
        </w:rPr>
        <w:t>公司通过多次交易分步实现同一控制下企业合并形成的长期股权投资，判断是否属于“一</w:t>
      </w:r>
      <w:r>
        <w:rPr/>
        <w:t> </w:t>
      </w:r>
      <w:r>
        <w:rPr>
          <w:spacing w:val="-3"/>
        </w:rPr>
        <w:t>揽子交易”。属于“一揽子交易”的，把各项交易作为一项取得控制权的交易进行会计处理。</w:t>
      </w:r>
      <w:r>
        <w:rPr>
          <w:spacing w:val="-82"/>
        </w:rPr>
        <w:t> </w:t>
      </w:r>
      <w:r>
        <w:rPr>
          <w:spacing w:val="-82"/>
        </w:rPr>
      </w:r>
      <w:r>
        <w:rPr/>
        <w:t>不属于“一揽子交易”的，在合并日，根据合并后应享有被合并方净资产在最终控制方合并</w:t>
      </w:r>
      <w:r>
        <w:rPr>
          <w:spacing w:val="-113"/>
        </w:rPr>
        <w:t> </w:t>
      </w:r>
      <w:r>
        <w:rPr>
          <w:spacing w:val="-113"/>
        </w:rPr>
      </w:r>
      <w:r>
        <w:rPr/>
        <w:t>财务报表中的账面价值的份额确定初始投资成本。合并日长期股权投资的初始投资成本，与</w:t>
      </w:r>
    </w:p>
    <w:p>
      <w:pPr>
        <w:spacing w:after="0" w:line="357" w:lineRule="auto"/>
        <w:jc w:val="left"/>
        <w:sectPr>
          <w:pgSz w:w="11910" w:h="16840"/>
          <w:pgMar w:header="747" w:footer="979" w:top="1060" w:bottom="1160" w:left="980" w:right="0"/>
        </w:sectPr>
      </w:pPr>
    </w:p>
    <w:p>
      <w:pPr>
        <w:spacing w:line="240" w:lineRule="auto" w:before="7"/>
        <w:rPr>
          <w:rFonts w:ascii="宋体" w:hAnsi="宋体" w:cs="宋体" w:eastAsia="宋体" w:hint="default"/>
          <w:sz w:val="29"/>
          <w:szCs w:val="29"/>
        </w:rPr>
      </w:pPr>
    </w:p>
    <w:p>
      <w:pPr>
        <w:pStyle w:val="BodyText"/>
        <w:spacing w:line="357" w:lineRule="auto" w:before="26"/>
        <w:ind w:right="1139"/>
        <w:jc w:val="both"/>
      </w:pPr>
      <w:r>
        <w:rPr/>
        <w:t>达到合并前的长期股权投资账面价值加上合并日进一步取得股份新支付对价的账面价值之和 的差额，调整资本公积；资本公积不足冲减的，调整留存收益。</w:t>
      </w:r>
    </w:p>
    <w:p>
      <w:pPr>
        <w:pStyle w:val="BodyText"/>
        <w:spacing w:line="357" w:lineRule="auto"/>
        <w:ind w:right="0" w:firstLine="480"/>
        <w:jc w:val="left"/>
      </w:pPr>
      <w:r>
        <w:rPr>
          <w:rFonts w:ascii="宋体" w:hAnsi="宋体" w:cs="宋体" w:eastAsia="宋体" w:hint="default"/>
        </w:rPr>
        <w:t>(2)</w:t>
      </w:r>
      <w:r>
        <w:rPr>
          <w:rFonts w:ascii="宋体" w:hAnsi="宋体" w:cs="宋体" w:eastAsia="宋体" w:hint="default"/>
          <w:spacing w:val="4"/>
        </w:rPr>
        <w:t> </w:t>
      </w:r>
      <w:r>
        <w:rPr/>
        <w:t>非同一控制下的企业合并形成的，在购买日按照支付的合并对价的公允价值作为其 初始投资成本。</w:t>
      </w:r>
    </w:p>
    <w:p>
      <w:pPr>
        <w:pStyle w:val="BodyText"/>
        <w:spacing w:line="357" w:lineRule="auto"/>
        <w:ind w:right="0" w:firstLine="480"/>
        <w:jc w:val="left"/>
      </w:pPr>
      <w:r>
        <w:rPr/>
        <w:t>公司通过多次交易分步实现非同一控制下企业合并形成的长期股权投资，区分个别财务 报表和合并财务报表进行相关会计处理：</w:t>
      </w:r>
    </w:p>
    <w:p>
      <w:pPr>
        <w:pStyle w:val="BodyText"/>
        <w:spacing w:line="357" w:lineRule="auto"/>
        <w:ind w:right="1116" w:firstLine="480"/>
        <w:jc w:val="left"/>
      </w:pPr>
      <w:r>
        <w:rPr>
          <w:rFonts w:ascii="宋体" w:hAnsi="宋体" w:cs="宋体" w:eastAsia="宋体" w:hint="default"/>
        </w:rPr>
        <w:t>1)</w:t>
      </w:r>
      <w:r>
        <w:rPr>
          <w:rFonts w:ascii="宋体" w:hAnsi="宋体" w:cs="宋体" w:eastAsia="宋体" w:hint="default"/>
          <w:spacing w:val="27"/>
        </w:rPr>
        <w:t> </w:t>
      </w:r>
      <w:r>
        <w:rPr>
          <w:spacing w:val="-3"/>
        </w:rPr>
        <w:t>在个别财务报表中，按照原持有的股权投资的账面价值加上新增投资成本之和，作为</w:t>
      </w:r>
      <w:r>
        <w:rPr/>
        <w:t> 改按成本法核算的初始投资成本。</w:t>
      </w:r>
    </w:p>
    <w:p>
      <w:pPr>
        <w:pStyle w:val="BodyText"/>
        <w:spacing w:line="357" w:lineRule="auto"/>
        <w:ind w:right="1132" w:firstLine="480"/>
        <w:jc w:val="both"/>
      </w:pPr>
      <w:r>
        <w:rPr>
          <w:rFonts w:ascii="宋体" w:hAnsi="宋体" w:cs="宋体" w:eastAsia="宋体" w:hint="default"/>
        </w:rPr>
        <w:t>2)</w:t>
      </w:r>
      <w:r>
        <w:rPr>
          <w:rFonts w:ascii="宋体" w:hAnsi="宋体" w:cs="宋体" w:eastAsia="宋体" w:hint="default"/>
          <w:spacing w:val="25"/>
        </w:rPr>
        <w:t> </w:t>
      </w:r>
      <w:r>
        <w:rPr>
          <w:spacing w:val="-3"/>
        </w:rPr>
        <w:t>在合并财务报表中，判断是否属于“一揽子交易”。属于“一揽子交易”的，把各项</w:t>
      </w:r>
      <w:r>
        <w:rPr/>
        <w:t> 交易作为一项取得控制权的交易进行会计处理。不属于“一揽子交易”的，对于购买日之前</w:t>
      </w:r>
      <w:r>
        <w:rPr>
          <w:spacing w:val="-110"/>
        </w:rPr>
        <w:t> </w:t>
      </w:r>
      <w:r>
        <w:rPr>
          <w:spacing w:val="-110"/>
        </w:rPr>
      </w:r>
      <w:r>
        <w:rPr/>
        <w:t>持有的被购买方的股权，按照该股权在购买日的公允价值进行重新计量，公允价值与其账面 价值的差额计入当期投资收益；购买日之前持有的被购买方的股权涉及权益法核算下的其他 综合收益等的，与其相关的其他综合收益等转为购买日所属当期收益。但由于被投资方重新 计量设定受益计划净负债或净资产变动而产生的其他综合收益除外。</w:t>
      </w:r>
    </w:p>
    <w:p>
      <w:pPr>
        <w:pStyle w:val="BodyText"/>
        <w:spacing w:line="357" w:lineRule="auto"/>
        <w:ind w:right="994" w:firstLine="480"/>
        <w:jc w:val="left"/>
      </w:pPr>
      <w:r>
        <w:rPr>
          <w:rFonts w:ascii="宋体" w:hAnsi="宋体" w:cs="宋体" w:eastAsia="宋体" w:hint="default"/>
        </w:rPr>
        <w:t>(3)</w:t>
      </w:r>
      <w:r>
        <w:rPr>
          <w:rFonts w:ascii="宋体" w:hAnsi="宋体" w:cs="宋体" w:eastAsia="宋体" w:hint="default"/>
          <w:spacing w:val="2"/>
        </w:rPr>
        <w:t> </w:t>
      </w:r>
      <w:r>
        <w:rPr/>
        <w:t>除企业合并形成以外的：以支付现金取得的，按照实际支付的购买价款作为其初始 </w:t>
      </w:r>
      <w:r>
        <w:rPr>
          <w:spacing w:val="-2"/>
        </w:rPr>
        <w:t>投资成本；以发行权益性证券取得的，按照发行权益性证券的公允价值作为其初始投资成本；</w:t>
      </w:r>
      <w:r>
        <w:rPr/>
        <w:t> 以债务重组方式取得的，按《企业会计准则第</w:t>
      </w:r>
      <w:r>
        <w:rPr>
          <w:rFonts w:ascii="宋体" w:hAnsi="宋体" w:cs="宋体" w:eastAsia="宋体" w:hint="default"/>
        </w:rPr>
        <w:t>12</w:t>
      </w:r>
      <w:r>
        <w:rPr/>
        <w:t>号——债务重组》确定其初始投资成本；以</w:t>
      </w:r>
      <w:r>
        <w:rPr>
          <w:spacing w:val="-112"/>
        </w:rPr>
        <w:t> </w:t>
      </w:r>
      <w:r>
        <w:rPr>
          <w:spacing w:val="-112"/>
        </w:rPr>
      </w:r>
      <w:r>
        <w:rPr>
          <w:spacing w:val="-3"/>
        </w:rPr>
        <w:t>非货币性资产交换取得的，按《企业会计准则第</w:t>
      </w:r>
      <w:r>
        <w:rPr>
          <w:rFonts w:ascii="宋体" w:hAnsi="宋体" w:cs="宋体" w:eastAsia="宋体" w:hint="default"/>
          <w:spacing w:val="-3"/>
        </w:rPr>
        <w:t>7</w:t>
      </w:r>
      <w:r>
        <w:rPr>
          <w:spacing w:val="-3"/>
        </w:rPr>
        <w:t>号——非货币性资产交换》确定其初始投资</w:t>
      </w:r>
      <w:r>
        <w:rPr>
          <w:spacing w:val="-81"/>
        </w:rPr>
        <w:t> </w:t>
      </w:r>
      <w:r>
        <w:rPr>
          <w:spacing w:val="-81"/>
        </w:rPr>
      </w:r>
      <w:r>
        <w:rPr/>
        <w:t>成本。</w:t>
      </w:r>
    </w:p>
    <w:p>
      <w:pPr>
        <w:pStyle w:val="BodyText"/>
        <w:spacing w:line="357" w:lineRule="auto"/>
        <w:ind w:left="634" w:right="0"/>
        <w:jc w:val="left"/>
      </w:pPr>
      <w:r>
        <w:rPr>
          <w:rFonts w:ascii="宋体" w:hAnsi="宋体" w:cs="宋体" w:eastAsia="宋体" w:hint="default"/>
        </w:rPr>
        <w:t>3. </w:t>
      </w:r>
      <w:r>
        <w:rPr/>
        <w:t>后续计量及损益确认方法 对被投资单位实施控制的长期股权投资采用成本法核算；对联营企业和合营企业的长期</w:t>
      </w:r>
    </w:p>
    <w:p>
      <w:pPr>
        <w:pStyle w:val="BodyText"/>
        <w:spacing w:line="240" w:lineRule="auto"/>
        <w:ind w:right="0"/>
        <w:jc w:val="both"/>
      </w:pPr>
      <w:r>
        <w:rPr/>
        <w:t>股权投资，采用权益法核算。</w:t>
      </w:r>
    </w:p>
    <w:p>
      <w:pPr>
        <w:pStyle w:val="BodyText"/>
        <w:spacing w:line="240" w:lineRule="auto" w:before="154"/>
        <w:ind w:left="634" w:right="0"/>
        <w:jc w:val="left"/>
      </w:pPr>
      <w:r>
        <w:rPr>
          <w:rFonts w:ascii="宋体" w:hAnsi="宋体" w:cs="宋体" w:eastAsia="宋体" w:hint="default"/>
        </w:rPr>
        <w:t>4. </w:t>
      </w:r>
      <w:r>
        <w:rPr/>
        <w:t>通过多次交易分步处置对子公司投资至丧失控制权的处理方法</w:t>
      </w:r>
    </w:p>
    <w:p>
      <w:pPr>
        <w:pStyle w:val="BodyText"/>
        <w:spacing w:line="357" w:lineRule="auto" w:before="154"/>
        <w:ind w:left="634" w:right="0"/>
        <w:jc w:val="left"/>
      </w:pPr>
      <w:r>
        <w:rPr>
          <w:rFonts w:ascii="宋体" w:hAnsi="宋体" w:cs="宋体" w:eastAsia="宋体" w:hint="default"/>
        </w:rPr>
        <w:t>(1) </w:t>
      </w:r>
      <w:r>
        <w:rPr/>
        <w:t>个别财务报表 </w:t>
      </w:r>
      <w:r>
        <w:rPr>
          <w:spacing w:val="-3"/>
        </w:rPr>
        <w:t>对处置的股权，其账面价值与实际取得价款之间的差额，计入当期损益。对于剩余股权，</w:t>
      </w:r>
    </w:p>
    <w:p>
      <w:pPr>
        <w:pStyle w:val="BodyText"/>
        <w:spacing w:line="357" w:lineRule="auto"/>
        <w:ind w:right="1139"/>
        <w:jc w:val="both"/>
      </w:pPr>
      <w:r>
        <w:rPr/>
        <w:t>对被投资单位仍具有重大影响或者与其他方一起实施共同控制的，转为权益法核算；不能再 对被投资单位实施控制、共同控制或重大影响的，确认为金融资产，按照《企业会计准则第 </w:t>
      </w:r>
      <w:r>
        <w:rPr>
          <w:rFonts w:ascii="宋体" w:hAnsi="宋体" w:cs="宋体" w:eastAsia="宋体" w:hint="default"/>
        </w:rPr>
        <w:t>22</w:t>
      </w:r>
      <w:r>
        <w:rPr/>
        <w:t>号——金融工具确认和计量》的相关规定进行核算。</w:t>
      </w:r>
    </w:p>
    <w:p>
      <w:pPr>
        <w:pStyle w:val="BodyText"/>
        <w:spacing w:line="240" w:lineRule="auto"/>
        <w:ind w:left="634" w:right="0"/>
        <w:jc w:val="left"/>
      </w:pPr>
      <w:r>
        <w:rPr>
          <w:rFonts w:ascii="宋体" w:hAnsi="宋体" w:cs="宋体" w:eastAsia="宋体" w:hint="default"/>
        </w:rPr>
        <w:t>(2) </w:t>
      </w:r>
      <w:r>
        <w:rPr/>
        <w:t>合并财务报表</w:t>
      </w:r>
    </w:p>
    <w:p>
      <w:pPr>
        <w:spacing w:after="0" w:line="240" w:lineRule="auto"/>
        <w:jc w:val="left"/>
        <w:sectPr>
          <w:pgSz w:w="11910" w:h="16840"/>
          <w:pgMar w:header="747" w:footer="979" w:top="1060" w:bottom="1160" w:left="980" w:right="0"/>
        </w:sectPr>
      </w:pPr>
    </w:p>
    <w:p>
      <w:pPr>
        <w:spacing w:line="240" w:lineRule="auto" w:before="7"/>
        <w:rPr>
          <w:rFonts w:ascii="宋体" w:hAnsi="宋体" w:cs="宋体" w:eastAsia="宋体" w:hint="default"/>
          <w:sz w:val="29"/>
          <w:szCs w:val="29"/>
        </w:rPr>
      </w:pPr>
    </w:p>
    <w:p>
      <w:pPr>
        <w:pStyle w:val="BodyText"/>
        <w:spacing w:line="357" w:lineRule="auto" w:before="26"/>
        <w:ind w:left="634" w:right="0"/>
        <w:jc w:val="left"/>
      </w:pPr>
      <w:r>
        <w:rPr>
          <w:rFonts w:ascii="宋体" w:hAnsi="宋体" w:cs="宋体" w:eastAsia="宋体" w:hint="default"/>
        </w:rPr>
        <w:t>1) </w:t>
      </w:r>
      <w:r>
        <w:rPr/>
        <w:t>通过多次交易分步处置对子公司投资至丧失控制权，且不属于“一揽子交易”的 在丧失控制权之前，处置价款与处置长期股权投资相对应享有子公司自购买日或合并日</w:t>
      </w:r>
    </w:p>
    <w:p>
      <w:pPr>
        <w:pStyle w:val="BodyText"/>
        <w:spacing w:line="357" w:lineRule="auto"/>
        <w:ind w:right="0"/>
        <w:jc w:val="left"/>
      </w:pPr>
      <w:r>
        <w:rPr>
          <w:spacing w:val="-3"/>
        </w:rPr>
        <w:t>开始持续计算的净资产份额之间的差额，调整资本公积（资本溢价），资本溢价不足冲减的，</w:t>
      </w:r>
      <w:r>
        <w:rPr>
          <w:spacing w:val="-81"/>
        </w:rPr>
        <w:t> </w:t>
      </w:r>
      <w:r>
        <w:rPr>
          <w:spacing w:val="-81"/>
        </w:rPr>
      </w:r>
      <w:r>
        <w:rPr/>
        <w:t>冲减留存收益。</w:t>
      </w:r>
    </w:p>
    <w:p>
      <w:pPr>
        <w:pStyle w:val="BodyText"/>
        <w:spacing w:line="357" w:lineRule="auto"/>
        <w:ind w:right="1139" w:firstLine="480"/>
        <w:jc w:val="both"/>
      </w:pPr>
      <w:r>
        <w:rPr/>
        <w:t>丧失对原子公司控制权时，对于剩余股权，按照其在丧失控制权日的公允价值进行重新 计量。处置股权取得的对价与剩余股权公允价值之和，减去按原持股比例计算应享有原有子 公司自购买日或合并日开始持续计算的净资产的份额之间的差额，计入丧失控制权当期的投 资收益，同时冲减商誉。与原有子公司股权投资相关的其他综合收益等，应当在丧失控制权 时转为当期投资收益。</w:t>
      </w:r>
    </w:p>
    <w:p>
      <w:pPr>
        <w:pStyle w:val="BodyText"/>
        <w:spacing w:line="357" w:lineRule="auto"/>
        <w:ind w:left="634" w:right="0"/>
        <w:jc w:val="left"/>
      </w:pPr>
      <w:r>
        <w:rPr>
          <w:rFonts w:ascii="宋体" w:hAnsi="宋体" w:cs="宋体" w:eastAsia="宋体" w:hint="default"/>
        </w:rPr>
        <w:t>2) </w:t>
      </w:r>
      <w:r>
        <w:rPr/>
        <w:t>通过多次交易分步处置对子公司投资至丧失控制权，且属于“一揽子交易”的 将各项交易作为一项处置子公司并丧失控制权的交易进行会计处理。但是，在丧失控制</w:t>
      </w:r>
    </w:p>
    <w:p>
      <w:pPr>
        <w:pStyle w:val="BodyText"/>
        <w:spacing w:line="357" w:lineRule="auto"/>
        <w:ind w:right="0"/>
        <w:jc w:val="left"/>
      </w:pPr>
      <w:r>
        <w:rPr/>
        <w:t>权之前每一次处置价款与处置投资对应的享有该子公司净资产份额的差额，在合并财务报表 中确认为其他综合收益，在丧失控制权时一并转入丧失控制权当期的损益。</w:t>
      </w:r>
    </w:p>
    <w:p>
      <w:pPr>
        <w:spacing w:line="240" w:lineRule="auto" w:before="8"/>
        <w:rPr>
          <w:rFonts w:ascii="宋体" w:hAnsi="宋体" w:cs="宋体" w:eastAsia="宋体" w:hint="default"/>
          <w:sz w:val="21"/>
          <w:szCs w:val="21"/>
        </w:rPr>
      </w:pPr>
    </w:p>
    <w:p>
      <w:pPr>
        <w:spacing w:before="0"/>
        <w:ind w:left="154" w:right="0" w:firstLine="0"/>
        <w:jc w:val="left"/>
        <w:rPr>
          <w:rFonts w:ascii="宋体" w:hAnsi="宋体" w:cs="宋体" w:eastAsia="宋体" w:hint="default"/>
          <w:sz w:val="21"/>
          <w:szCs w:val="21"/>
        </w:rPr>
      </w:pPr>
      <w:bookmarkStart w:name="13、固定资产" w:id="190"/>
      <w:bookmarkEnd w:id="190"/>
      <w:r>
        <w:rPr/>
      </w:r>
      <w:r>
        <w:rPr>
          <w:rFonts w:ascii="Times New Roman" w:hAnsi="Times New Roman" w:cs="Times New Roman" w:eastAsia="Times New Roman" w:hint="default"/>
          <w:b/>
          <w:bCs/>
          <w:sz w:val="21"/>
          <w:szCs w:val="21"/>
        </w:rPr>
        <w:t>13</w:t>
      </w:r>
      <w:r>
        <w:rPr>
          <w:rFonts w:ascii="宋体" w:hAnsi="宋体" w:cs="宋体" w:eastAsia="宋体" w:hint="default"/>
          <w:b/>
          <w:bCs/>
          <w:sz w:val="21"/>
          <w:szCs w:val="21"/>
        </w:rPr>
        <w:t>、固定资产</w:t>
      </w:r>
      <w:r>
        <w:rPr>
          <w:rFonts w:ascii="宋体" w:hAnsi="宋体" w:cs="宋体" w:eastAsia="宋体" w:hint="default"/>
          <w:sz w:val="21"/>
          <w:szCs w:val="21"/>
        </w:rPr>
      </w:r>
    </w:p>
    <w:p>
      <w:pPr>
        <w:spacing w:line="240" w:lineRule="auto" w:before="9"/>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bookmarkStart w:name="（1）确认条件" w:id="191"/>
      <w:bookmarkEnd w:id="19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）确认条件</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357" w:lineRule="auto" w:before="0"/>
        <w:ind w:right="1139" w:firstLine="480"/>
        <w:jc w:val="both"/>
      </w:pPr>
      <w:r>
        <w:rPr/>
        <w:t>固定资产是指为生产商品、提供劳务、出租或经营管理而持有的，使用年限超过一个会 计年度的有形资产。固定资产在同时满足经济利益很可能流入、成本能够可靠计量时予以确 认。</w:t>
      </w:r>
    </w:p>
    <w:p>
      <w:pPr>
        <w:spacing w:line="240" w:lineRule="auto" w:before="8"/>
        <w:rPr>
          <w:rFonts w:ascii="宋体" w:hAnsi="宋体" w:cs="宋体" w:eastAsia="宋体" w:hint="default"/>
          <w:sz w:val="21"/>
          <w:szCs w:val="21"/>
        </w:rPr>
      </w:pPr>
    </w:p>
    <w:p>
      <w:pPr>
        <w:spacing w:before="0"/>
        <w:ind w:left="154" w:right="0" w:firstLine="0"/>
        <w:jc w:val="left"/>
        <w:rPr>
          <w:rFonts w:ascii="宋体" w:hAnsi="宋体" w:cs="宋体" w:eastAsia="宋体" w:hint="default"/>
          <w:sz w:val="21"/>
          <w:szCs w:val="21"/>
        </w:rPr>
      </w:pPr>
      <w:bookmarkStart w:name="（2）折旧方法" w:id="192"/>
      <w:bookmarkEnd w:id="19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）折旧方法</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4.75%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通用设备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19.00%-31.67%</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专用设备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19.00%-31.67%</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19.00%</w:t>
            </w:r>
          </w:p>
        </w:tc>
      </w:tr>
    </w:tbl>
    <w:p>
      <w:pPr>
        <w:spacing w:line="240" w:lineRule="auto" w:before="2"/>
        <w:rPr>
          <w:rFonts w:ascii="宋体" w:hAnsi="宋体" w:cs="宋体" w:eastAsia="宋体" w:hint="default"/>
          <w:b/>
          <w:bCs/>
          <w:sz w:val="19"/>
          <w:szCs w:val="19"/>
        </w:rPr>
      </w:pPr>
    </w:p>
    <w:p>
      <w:pPr>
        <w:spacing w:before="35"/>
        <w:ind w:left="154" w:right="0" w:firstLine="0"/>
        <w:jc w:val="left"/>
        <w:rPr>
          <w:rFonts w:ascii="宋体" w:hAnsi="宋体" w:cs="宋体" w:eastAsia="宋体" w:hint="default"/>
          <w:sz w:val="21"/>
          <w:szCs w:val="21"/>
        </w:rPr>
      </w:pPr>
      <w:bookmarkStart w:name="14、在建工程" w:id="193"/>
      <w:bookmarkEnd w:id="193"/>
      <w:r>
        <w:rPr/>
      </w:r>
      <w:r>
        <w:rPr>
          <w:rFonts w:ascii="Times New Roman" w:hAnsi="Times New Roman" w:cs="Times New Roman" w:eastAsia="Times New Roman" w:hint="default"/>
          <w:b/>
          <w:bCs/>
          <w:sz w:val="21"/>
          <w:szCs w:val="21"/>
        </w:rPr>
        <w:t>14</w:t>
      </w:r>
      <w:r>
        <w:rPr>
          <w:rFonts w:ascii="宋体" w:hAnsi="宋体" w:cs="宋体" w:eastAsia="宋体" w:hint="default"/>
          <w:b/>
          <w:bCs/>
          <w:sz w:val="21"/>
          <w:szCs w:val="21"/>
        </w:rPr>
        <w:t>、在建工程</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line="357" w:lineRule="auto" w:before="0"/>
        <w:ind w:left="154" w:right="7692"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是</w:t>
      </w:r>
    </w:p>
    <w:p>
      <w:pPr>
        <w:spacing w:before="28"/>
        <w:ind w:left="154" w:right="0" w:firstLine="0"/>
        <w:jc w:val="left"/>
        <w:rPr>
          <w:rFonts w:ascii="宋体" w:hAnsi="宋体" w:cs="宋体" w:eastAsia="宋体" w:hint="default"/>
          <w:sz w:val="18"/>
          <w:szCs w:val="18"/>
        </w:rPr>
      </w:pPr>
      <w:r>
        <w:rPr>
          <w:rFonts w:ascii="宋体" w:hAnsi="宋体" w:cs="宋体" w:eastAsia="宋体" w:hint="default"/>
          <w:sz w:val="18"/>
          <w:szCs w:val="18"/>
        </w:rPr>
        <w:t>软件与信息技术服务业</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7"/>
        <w:rPr>
          <w:rFonts w:ascii="宋体" w:hAnsi="宋体" w:cs="宋体" w:eastAsia="宋体" w:hint="default"/>
          <w:sz w:val="29"/>
          <w:szCs w:val="29"/>
        </w:rPr>
      </w:pPr>
    </w:p>
    <w:p>
      <w:pPr>
        <w:pStyle w:val="BodyText"/>
        <w:spacing w:line="357" w:lineRule="auto" w:before="26"/>
        <w:ind w:right="1131" w:firstLine="480"/>
        <w:jc w:val="both"/>
      </w:pPr>
      <w:r>
        <w:rPr>
          <w:rFonts w:ascii="宋体" w:hAnsi="宋体" w:cs="宋体" w:eastAsia="宋体" w:hint="default"/>
        </w:rPr>
        <w:t>1.</w:t>
      </w:r>
      <w:r>
        <w:rPr>
          <w:rFonts w:ascii="宋体" w:hAnsi="宋体" w:cs="宋体" w:eastAsia="宋体" w:hint="default"/>
          <w:spacing w:val="27"/>
        </w:rPr>
        <w:t> </w:t>
      </w:r>
      <w:r>
        <w:rPr>
          <w:spacing w:val="-3"/>
        </w:rPr>
        <w:t>在建工程同时满足经济利益很可能流入、成本能够可靠计量则予以确认。在建工程按</w:t>
      </w:r>
      <w:r>
        <w:rPr/>
        <w:t> 建造该项资产达到预定可使用状态前所发生的实际成本计量。</w:t>
      </w:r>
    </w:p>
    <w:p>
      <w:pPr>
        <w:pStyle w:val="BodyText"/>
        <w:spacing w:line="357" w:lineRule="auto"/>
        <w:ind w:right="1131" w:firstLine="480"/>
        <w:jc w:val="both"/>
      </w:pPr>
      <w:r>
        <w:rPr>
          <w:rFonts w:ascii="宋体" w:hAnsi="宋体" w:cs="宋体" w:eastAsia="宋体" w:hint="default"/>
        </w:rPr>
        <w:t>2.</w:t>
      </w:r>
      <w:r>
        <w:rPr>
          <w:rFonts w:ascii="宋体" w:hAnsi="宋体" w:cs="宋体" w:eastAsia="宋体" w:hint="default"/>
          <w:spacing w:val="27"/>
        </w:rPr>
        <w:t> </w:t>
      </w:r>
      <w:r>
        <w:rPr>
          <w:spacing w:val="-3"/>
        </w:rPr>
        <w:t>在建工程达到预定可使用状态时，按工程实际成本转入固定资产。已达到预定可使用</w:t>
      </w:r>
      <w:r>
        <w:rPr/>
        <w:t> 状态但尚未办理竣工决算的，先按估计价值转入固定资产，待办理竣工决算后再按实际成本</w:t>
      </w:r>
      <w:r>
        <w:rPr>
          <w:spacing w:val="-116"/>
        </w:rPr>
        <w:t> </w:t>
      </w:r>
      <w:r>
        <w:rPr>
          <w:spacing w:val="-116"/>
        </w:rPr>
      </w:r>
      <w:r>
        <w:rPr/>
        <w:t>调整原暂估价值，但不再调整原已计提的折旧。</w:t>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21"/>
          <w:szCs w:val="21"/>
        </w:rPr>
      </w:pPr>
    </w:p>
    <w:p>
      <w:pPr>
        <w:spacing w:before="0"/>
        <w:ind w:left="154" w:right="0" w:firstLine="0"/>
        <w:jc w:val="both"/>
        <w:rPr>
          <w:rFonts w:ascii="宋体" w:hAnsi="宋体" w:cs="宋体" w:eastAsia="宋体" w:hint="default"/>
          <w:sz w:val="21"/>
          <w:szCs w:val="21"/>
        </w:rPr>
      </w:pPr>
      <w:bookmarkStart w:name="15、借款费用" w:id="194"/>
      <w:bookmarkEnd w:id="194"/>
      <w:r>
        <w:rPr/>
      </w:r>
      <w:r>
        <w:rPr>
          <w:rFonts w:ascii="Times New Roman" w:hAnsi="Times New Roman" w:cs="Times New Roman" w:eastAsia="Times New Roman" w:hint="default"/>
          <w:b/>
          <w:bCs/>
          <w:sz w:val="21"/>
          <w:szCs w:val="21"/>
        </w:rPr>
        <w:t>15</w:t>
      </w:r>
      <w:r>
        <w:rPr>
          <w:rFonts w:ascii="宋体" w:hAnsi="宋体" w:cs="宋体" w:eastAsia="宋体" w:hint="default"/>
          <w:b/>
          <w:bCs/>
          <w:sz w:val="21"/>
          <w:szCs w:val="21"/>
        </w:rPr>
        <w:t>、借款费用</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357" w:lineRule="auto" w:before="0"/>
        <w:ind w:left="634" w:right="0"/>
        <w:jc w:val="left"/>
      </w:pPr>
      <w:r>
        <w:rPr>
          <w:rFonts w:ascii="宋体" w:hAnsi="宋体" w:cs="宋体" w:eastAsia="宋体" w:hint="default"/>
        </w:rPr>
        <w:t>1. </w:t>
      </w:r>
      <w:r>
        <w:rPr/>
        <w:t>借款费用资本化的确认原则 公司发生的借款费用，可直接归属于符合资本化条件的资产的购建或者生产的，予以资</w:t>
      </w:r>
    </w:p>
    <w:p>
      <w:pPr>
        <w:pStyle w:val="BodyText"/>
        <w:spacing w:line="357" w:lineRule="auto"/>
        <w:ind w:left="634" w:right="2112" w:hanging="480"/>
        <w:jc w:val="left"/>
      </w:pPr>
      <w:r>
        <w:rPr/>
        <w:t>本化，计入相关资产成本；其他借款费用，在发生时确认为费用，计入当期损益。 </w:t>
      </w:r>
      <w:r>
        <w:rPr>
          <w:rFonts w:ascii="宋体" w:hAnsi="宋体" w:cs="宋体" w:eastAsia="宋体" w:hint="default"/>
        </w:rPr>
        <w:t>2. </w:t>
      </w:r>
      <w:r>
        <w:rPr/>
        <w:t>借款费用资本化期间</w:t>
      </w:r>
    </w:p>
    <w:p>
      <w:pPr>
        <w:pStyle w:val="BodyText"/>
        <w:spacing w:line="357" w:lineRule="auto"/>
        <w:ind w:right="1130" w:firstLine="480"/>
        <w:jc w:val="both"/>
      </w:pPr>
      <w:r>
        <w:rPr>
          <w:rFonts w:ascii="宋体" w:hAnsi="宋体" w:cs="宋体" w:eastAsia="宋体" w:hint="default"/>
        </w:rPr>
        <w:t>(1) </w:t>
      </w:r>
      <w:r>
        <w:rPr/>
        <w:t>当借款费用同时满足下列条件时，开始资本化：</w:t>
      </w:r>
      <w:r>
        <w:rPr>
          <w:rFonts w:ascii="宋体" w:hAnsi="宋体" w:cs="宋体" w:eastAsia="宋体" w:hint="default"/>
        </w:rPr>
        <w:t>1) </w:t>
      </w:r>
      <w:r>
        <w:rPr/>
        <w:t>资产支出已经发生；</w:t>
      </w:r>
      <w:r>
        <w:rPr>
          <w:rFonts w:ascii="宋体" w:hAnsi="宋体" w:cs="宋体" w:eastAsia="宋体" w:hint="default"/>
        </w:rPr>
        <w:t>2)</w:t>
      </w:r>
      <w:r>
        <w:rPr>
          <w:rFonts w:ascii="宋体" w:hAnsi="宋体" w:cs="宋体" w:eastAsia="宋体" w:hint="default"/>
          <w:spacing w:val="25"/>
        </w:rPr>
        <w:t> </w:t>
      </w:r>
      <w:r>
        <w:rPr/>
        <w:t>借款费</w:t>
      </w:r>
      <w:r>
        <w:rPr>
          <w:spacing w:val="1"/>
        </w:rPr>
        <w:t> </w:t>
      </w:r>
      <w:r>
        <w:rPr>
          <w:spacing w:val="2"/>
        </w:rPr>
        <w:t>用已经发生；</w:t>
      </w:r>
      <w:r>
        <w:rPr>
          <w:rFonts w:ascii="宋体" w:hAnsi="宋体" w:cs="宋体" w:eastAsia="宋体" w:hint="default"/>
          <w:spacing w:val="2"/>
        </w:rPr>
        <w:t>3)</w:t>
      </w:r>
      <w:r>
        <w:rPr>
          <w:rFonts w:ascii="宋体" w:hAnsi="宋体" w:cs="宋体" w:eastAsia="宋体" w:hint="default"/>
          <w:spacing w:val="15"/>
        </w:rPr>
        <w:t> </w:t>
      </w:r>
      <w:r>
        <w:rPr>
          <w:spacing w:val="3"/>
        </w:rPr>
        <w:t>为使资产达到预定可使用或可销售状态所必要的购建或者生产活动已经开</w:t>
      </w:r>
      <w:r>
        <w:rPr>
          <w:spacing w:val="-117"/>
        </w:rPr>
        <w:t> </w:t>
      </w:r>
      <w:r>
        <w:rPr>
          <w:spacing w:val="-117"/>
        </w:rPr>
      </w:r>
      <w:r>
        <w:rPr/>
        <w:t>始。</w:t>
      </w:r>
    </w:p>
    <w:p>
      <w:pPr>
        <w:pStyle w:val="BodyText"/>
        <w:spacing w:line="357" w:lineRule="auto"/>
        <w:ind w:right="1132" w:firstLine="480"/>
        <w:jc w:val="both"/>
      </w:pPr>
      <w:r>
        <w:rPr>
          <w:rFonts w:ascii="宋体" w:hAnsi="宋体" w:cs="宋体" w:eastAsia="宋体" w:hint="default"/>
        </w:rPr>
        <w:t>(2)</w:t>
      </w:r>
      <w:r>
        <w:rPr>
          <w:rFonts w:ascii="宋体" w:hAnsi="宋体" w:cs="宋体" w:eastAsia="宋体" w:hint="default"/>
          <w:spacing w:val="4"/>
        </w:rPr>
        <w:t> </w:t>
      </w:r>
      <w:r>
        <w:rPr/>
        <w:t>若符合资本化条件的资产在购建或者生产过程中发生非正常中断，并且中断时间连 </w:t>
      </w:r>
      <w:r>
        <w:rPr>
          <w:spacing w:val="-3"/>
        </w:rPr>
        <w:t>续超过</w:t>
      </w:r>
      <w:r>
        <w:rPr>
          <w:rFonts w:ascii="宋体" w:hAnsi="宋体" w:cs="宋体" w:eastAsia="宋体" w:hint="default"/>
          <w:spacing w:val="-3"/>
        </w:rPr>
        <w:t>3</w:t>
      </w:r>
      <w:r>
        <w:rPr>
          <w:spacing w:val="-3"/>
        </w:rPr>
        <w:t>个月，暂停借款费用的资本化；中断期间发生的借款费用确认为当期费用，直至资产</w:t>
      </w:r>
      <w:r>
        <w:rPr>
          <w:spacing w:val="-81"/>
        </w:rPr>
        <w:t> </w:t>
      </w:r>
      <w:r>
        <w:rPr>
          <w:spacing w:val="-81"/>
        </w:rPr>
      </w:r>
      <w:r>
        <w:rPr/>
        <w:t>的购建或者生产活动重新开始。</w:t>
      </w:r>
    </w:p>
    <w:p>
      <w:pPr>
        <w:pStyle w:val="BodyText"/>
        <w:spacing w:line="357" w:lineRule="auto"/>
        <w:ind w:right="1139" w:firstLine="480"/>
        <w:jc w:val="both"/>
      </w:pPr>
      <w:r>
        <w:rPr>
          <w:rFonts w:ascii="宋体" w:hAnsi="宋体" w:cs="宋体" w:eastAsia="宋体" w:hint="default"/>
        </w:rPr>
        <w:t>(3)</w:t>
      </w:r>
      <w:r>
        <w:rPr>
          <w:rFonts w:ascii="宋体" w:hAnsi="宋体" w:cs="宋体" w:eastAsia="宋体" w:hint="default"/>
          <w:spacing w:val="4"/>
        </w:rPr>
        <w:t> </w:t>
      </w:r>
      <w:r>
        <w:rPr/>
        <w:t>当所购建或者生产符合资本化条件的资产达到预定可使用或可销售状态时，借款费 用停止资本化。</w:t>
      </w:r>
    </w:p>
    <w:p>
      <w:pPr>
        <w:pStyle w:val="BodyText"/>
        <w:spacing w:line="357" w:lineRule="auto"/>
        <w:ind w:left="634" w:right="0"/>
        <w:jc w:val="left"/>
      </w:pPr>
      <w:r>
        <w:rPr>
          <w:rFonts w:ascii="宋体" w:hAnsi="宋体" w:cs="宋体" w:eastAsia="宋体" w:hint="default"/>
        </w:rPr>
        <w:t>3. </w:t>
      </w:r>
      <w:r>
        <w:rPr/>
        <w:t>借款费用资本化率以及资本化金额 为购建或者生产符合资本化条件的资产而借入专门借款的，以专门借款当期实际发生的</w:t>
      </w:r>
    </w:p>
    <w:p>
      <w:pPr>
        <w:pStyle w:val="BodyText"/>
        <w:spacing w:line="357" w:lineRule="auto"/>
        <w:ind w:right="1136"/>
        <w:jc w:val="both"/>
      </w:pPr>
      <w:r>
        <w:rPr/>
        <w:t>利息费用（包括按照实际利率法确定的折价或溢价的摊销），减去将尚未动用的借款资金存 入银行取得的利息收入或进行暂时性投资取得的投资收益后的金额，确定应予资本化的利息</w:t>
      </w:r>
      <w:r>
        <w:rPr>
          <w:spacing w:val="-116"/>
        </w:rPr>
        <w:t> </w:t>
      </w:r>
      <w:r>
        <w:rPr>
          <w:spacing w:val="-116"/>
        </w:rPr>
      </w:r>
      <w:r>
        <w:rPr/>
        <w:t>金额；为购建或者生产符合资本化条件的资产占用了一般借款的，根据累计资产支出超过专 门借款的资产支出加权平均数乘以占用一般借款的资本化率，计算确定一般借款应予资本化 的利息金额。</w:t>
      </w:r>
    </w:p>
    <w:p>
      <w:pPr>
        <w:spacing w:after="0" w:line="357" w:lineRule="auto"/>
        <w:jc w:val="both"/>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spacing w:before="35"/>
        <w:ind w:left="214" w:right="468" w:firstLine="0"/>
        <w:jc w:val="left"/>
        <w:rPr>
          <w:rFonts w:ascii="宋体" w:hAnsi="宋体" w:cs="宋体" w:eastAsia="宋体" w:hint="default"/>
          <w:sz w:val="21"/>
          <w:szCs w:val="21"/>
        </w:rPr>
      </w:pPr>
      <w:bookmarkStart w:name="16、无形资产" w:id="195"/>
      <w:bookmarkEnd w:id="195"/>
      <w:r>
        <w:rPr/>
      </w:r>
      <w:r>
        <w:rPr>
          <w:rFonts w:ascii="Times New Roman" w:hAnsi="Times New Roman" w:cs="Times New Roman" w:eastAsia="Times New Roman" w:hint="default"/>
          <w:b/>
          <w:bCs/>
          <w:sz w:val="21"/>
          <w:szCs w:val="21"/>
        </w:rPr>
        <w:t>16</w:t>
      </w:r>
      <w:r>
        <w:rPr>
          <w:rFonts w:ascii="宋体" w:hAnsi="宋体" w:cs="宋体" w:eastAsia="宋体" w:hint="default"/>
          <w:b/>
          <w:bCs/>
          <w:sz w:val="21"/>
          <w:szCs w:val="21"/>
        </w:rPr>
        <w:t>、无形资产</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214" w:right="468" w:firstLine="0"/>
        <w:jc w:val="left"/>
        <w:rPr>
          <w:rFonts w:ascii="宋体" w:hAnsi="宋体" w:cs="宋体" w:eastAsia="宋体" w:hint="default"/>
          <w:sz w:val="21"/>
          <w:szCs w:val="21"/>
        </w:rPr>
      </w:pPr>
      <w:bookmarkStart w:name="（1）计价方法、使用寿命、减值测试" w:id="196"/>
      <w:bookmarkEnd w:id="19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）计价方法、使用寿命、减值测试</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line="357" w:lineRule="auto" w:before="0"/>
        <w:ind w:left="214" w:right="7692"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是</w:t>
      </w:r>
    </w:p>
    <w:p>
      <w:pPr>
        <w:spacing w:before="29"/>
        <w:ind w:left="214" w:right="468" w:firstLine="0"/>
        <w:jc w:val="left"/>
        <w:rPr>
          <w:rFonts w:ascii="宋体" w:hAnsi="宋体" w:cs="宋体" w:eastAsia="宋体" w:hint="default"/>
          <w:sz w:val="18"/>
          <w:szCs w:val="18"/>
        </w:rPr>
      </w:pPr>
      <w:r>
        <w:rPr>
          <w:rFonts w:ascii="宋体" w:hAnsi="宋体" w:cs="宋体" w:eastAsia="宋体" w:hint="default"/>
          <w:sz w:val="18"/>
          <w:szCs w:val="18"/>
        </w:rPr>
        <w:t>软件与信息技术服务业</w:t>
      </w:r>
    </w:p>
    <w:p>
      <w:pPr>
        <w:pStyle w:val="BodyText"/>
        <w:spacing w:line="240" w:lineRule="auto" w:before="144"/>
        <w:ind w:left="694" w:right="468"/>
        <w:jc w:val="left"/>
      </w:pPr>
      <w:r>
        <w:rPr>
          <w:rFonts w:ascii="宋体" w:hAnsi="宋体" w:cs="宋体" w:eastAsia="宋体" w:hint="default"/>
        </w:rPr>
        <w:t>1. </w:t>
      </w:r>
      <w:r>
        <w:rPr/>
        <w:t>无形资产包括土地使用权、专利权及非专利技术等，按成本进行初始计量。</w:t>
      </w:r>
    </w:p>
    <w:p>
      <w:pPr>
        <w:pStyle w:val="BodyText"/>
        <w:spacing w:line="357" w:lineRule="auto" w:before="154"/>
        <w:ind w:left="214" w:right="468" w:firstLine="480"/>
        <w:jc w:val="left"/>
      </w:pPr>
      <w:r>
        <w:rPr>
          <w:rFonts w:ascii="宋体" w:hAnsi="宋体" w:cs="宋体" w:eastAsia="宋体" w:hint="default"/>
        </w:rPr>
        <w:t>2.</w:t>
      </w:r>
      <w:r>
        <w:rPr>
          <w:rFonts w:ascii="宋体" w:hAnsi="宋体" w:cs="宋体" w:eastAsia="宋体" w:hint="default"/>
          <w:spacing w:val="14"/>
        </w:rPr>
        <w:t> </w:t>
      </w:r>
      <w:r>
        <w:rPr>
          <w:spacing w:val="-3"/>
        </w:rPr>
        <w:t>使用寿命有限的无形资产，在使用寿命内按照与该项无形资产有关的经济利益的预期</w:t>
      </w:r>
      <w:r>
        <w:rPr/>
        <w:t> </w:t>
      </w:r>
      <w:r>
        <w:rPr>
          <w:spacing w:val="-3"/>
        </w:rPr>
        <w:t>实现方式系统合理地摊销，无法可靠确定预期实现方式的，采用直线法摊销。具体年限如下：</w:t>
      </w:r>
    </w:p>
    <w:tbl>
      <w:tblPr>
        <w:tblW w:w="0" w:type="auto"/>
        <w:jc w:val="left"/>
        <w:tblInd w:w="101" w:type="dxa"/>
        <w:tblLayout w:type="fixed"/>
        <w:tblCellMar>
          <w:top w:w="0" w:type="dxa"/>
          <w:left w:w="0" w:type="dxa"/>
          <w:bottom w:w="0" w:type="dxa"/>
          <w:right w:w="0" w:type="dxa"/>
        </w:tblCellMar>
        <w:tblLook w:val="01E0"/>
      </w:tblPr>
      <w:tblGrid>
        <w:gridCol w:w="2160"/>
        <w:gridCol w:w="2160"/>
      </w:tblGrid>
      <w:tr>
        <w:trPr>
          <w:trHeight w:val="322"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886" w:right="0"/>
              <w:jc w:val="left"/>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63"/>
                <w:sz w:val="21"/>
                <w:szCs w:val="21"/>
              </w:rPr>
              <w:t> </w:t>
            </w:r>
            <w:r>
              <w:rPr>
                <w:rFonts w:ascii="宋体" w:hAnsi="宋体" w:cs="宋体" w:eastAsia="宋体" w:hint="default"/>
                <w:sz w:val="21"/>
                <w:szCs w:val="21"/>
              </w:rPr>
              <w:t>目</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1"/>
              <w:jc w:val="center"/>
              <w:rPr>
                <w:rFonts w:ascii="Times New Roman" w:hAnsi="Times New Roman" w:cs="Times New Roman" w:eastAsia="Times New Roman" w:hint="default"/>
                <w:sz w:val="21"/>
                <w:szCs w:val="21"/>
              </w:rPr>
            </w:pPr>
            <w:r>
              <w:rPr>
                <w:rFonts w:ascii="宋体" w:hAnsi="宋体" w:cs="宋体" w:eastAsia="宋体" w:hint="default"/>
                <w:sz w:val="21"/>
                <w:szCs w:val="21"/>
              </w:rPr>
              <w:t>摊销年限</w:t>
            </w:r>
            <w:r>
              <w:rPr>
                <w:rFonts w:ascii="Times New Roman" w:hAnsi="Times New Roman" w:cs="Times New Roman" w:eastAsia="Times New Roman" w:hint="default"/>
                <w:sz w:val="21"/>
                <w:szCs w:val="21"/>
              </w:rPr>
              <w:t>(</w:t>
            </w:r>
            <w:r>
              <w:rPr>
                <w:rFonts w:ascii="宋体" w:hAnsi="宋体" w:cs="宋体" w:eastAsia="宋体" w:hint="default"/>
                <w:sz w:val="21"/>
                <w:szCs w:val="21"/>
              </w:rPr>
              <w:t>年</w:t>
            </w:r>
            <w:r>
              <w:rPr>
                <w:rFonts w:ascii="Times New Roman" w:hAnsi="Times New Roman" w:cs="Times New Roman" w:eastAsia="Times New Roman" w:hint="default"/>
                <w:sz w:val="21"/>
                <w:szCs w:val="21"/>
              </w:rPr>
              <w:t>)</w:t>
            </w:r>
          </w:p>
        </w:tc>
      </w:tr>
      <w:tr>
        <w:trPr>
          <w:trHeight w:val="323"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865"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Times New Roman" w:hAnsi="Times New Roman" w:cs="Times New Roman" w:eastAsia="Times New Roman" w:hint="default"/>
                <w:sz w:val="21"/>
                <w:szCs w:val="21"/>
              </w:rPr>
            </w:pPr>
            <w:r>
              <w:rPr>
                <w:rFonts w:ascii="Times New Roman"/>
                <w:sz w:val="21"/>
              </w:rPr>
              <w:t>5-10</w:t>
            </w:r>
          </w:p>
        </w:tc>
      </w:tr>
      <w:tr>
        <w:trPr>
          <w:trHeight w:val="322"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865" w:right="0"/>
              <w:jc w:val="left"/>
              <w:rPr>
                <w:rFonts w:ascii="宋体" w:hAnsi="宋体" w:cs="宋体" w:eastAsia="宋体" w:hint="default"/>
                <w:sz w:val="21"/>
                <w:szCs w:val="21"/>
              </w:rPr>
            </w:pPr>
            <w:r>
              <w:rPr>
                <w:rFonts w:ascii="宋体" w:hAnsi="宋体" w:cs="宋体" w:eastAsia="宋体" w:hint="default"/>
                <w:sz w:val="21"/>
                <w:szCs w:val="21"/>
              </w:rPr>
              <w:t>商标</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Times New Roman" w:hAnsi="Times New Roman" w:cs="Times New Roman" w:eastAsia="Times New Roman" w:hint="default"/>
                <w:sz w:val="21"/>
                <w:szCs w:val="21"/>
              </w:rPr>
            </w:pPr>
            <w:r>
              <w:rPr>
                <w:rFonts w:ascii="Times New Roman"/>
                <w:sz w:val="21"/>
              </w:rPr>
              <w:t>10</w:t>
            </w:r>
          </w:p>
        </w:tc>
      </w:tr>
    </w:tbl>
    <w:p>
      <w:pPr>
        <w:pStyle w:val="BodyText"/>
        <w:spacing w:line="357" w:lineRule="auto"/>
        <w:ind w:left="694" w:right="468"/>
        <w:jc w:val="left"/>
      </w:pPr>
      <w:r>
        <w:rPr>
          <w:rFonts w:ascii="宋体" w:hAnsi="宋体" w:cs="宋体" w:eastAsia="宋体" w:hint="default"/>
        </w:rPr>
        <w:t>3. </w:t>
      </w:r>
      <w:r>
        <w:rPr/>
        <w:t>无形资产减值 在资产负债表日有迹象表明发生减值的，估计其可收回金额。对因企业合并所形成的商</w:t>
      </w:r>
    </w:p>
    <w:p>
      <w:pPr>
        <w:pStyle w:val="BodyText"/>
        <w:spacing w:line="357" w:lineRule="auto"/>
        <w:ind w:left="214" w:right="468"/>
        <w:jc w:val="left"/>
      </w:pPr>
      <w:r>
        <w:rPr/>
        <w:t>誉和使用寿命不确定的无形资产，无论是否存在减值迹象，每年都进行减值测试。商誉结合 与其相关的资产组或者资产组组合进行减值测试。</w:t>
      </w:r>
    </w:p>
    <w:p>
      <w:pPr>
        <w:pStyle w:val="BodyText"/>
        <w:spacing w:line="357" w:lineRule="auto"/>
        <w:ind w:left="214" w:right="1140" w:firstLine="480"/>
        <w:jc w:val="both"/>
      </w:pPr>
      <w:r>
        <w:rPr/>
        <w:t>若无形资产的可收回金额低于其账面价值的，按其差额确认资产减值准备并计入当期损 益。</w:t>
      </w:r>
    </w:p>
    <w:p>
      <w:pPr>
        <w:spacing w:line="240" w:lineRule="auto" w:before="8"/>
        <w:rPr>
          <w:rFonts w:ascii="宋体" w:hAnsi="宋体" w:cs="宋体" w:eastAsia="宋体" w:hint="default"/>
          <w:sz w:val="21"/>
          <w:szCs w:val="21"/>
        </w:rPr>
      </w:pPr>
    </w:p>
    <w:p>
      <w:pPr>
        <w:spacing w:before="0"/>
        <w:ind w:left="214" w:right="468" w:firstLine="0"/>
        <w:jc w:val="left"/>
        <w:rPr>
          <w:rFonts w:ascii="宋体" w:hAnsi="宋体" w:cs="宋体" w:eastAsia="宋体" w:hint="default"/>
          <w:sz w:val="21"/>
          <w:szCs w:val="21"/>
        </w:rPr>
      </w:pPr>
      <w:bookmarkStart w:name="（2）内部研究开发支出会计政策" w:id="197"/>
      <w:bookmarkEnd w:id="19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）内部研究开发支出会计政策</w:t>
      </w:r>
      <w:r>
        <w:rPr>
          <w:rFonts w:ascii="宋体" w:hAnsi="宋体" w:cs="宋体" w:eastAsia="宋体" w:hint="default"/>
          <w:sz w:val="21"/>
          <w:szCs w:val="21"/>
        </w:rPr>
      </w:r>
    </w:p>
    <w:p>
      <w:pPr>
        <w:spacing w:line="240" w:lineRule="auto" w:before="11"/>
        <w:rPr>
          <w:rFonts w:ascii="宋体" w:hAnsi="宋体" w:cs="宋体" w:eastAsia="宋体" w:hint="default"/>
          <w:b/>
          <w:bCs/>
          <w:sz w:val="28"/>
          <w:szCs w:val="28"/>
        </w:rPr>
      </w:pPr>
    </w:p>
    <w:p>
      <w:pPr>
        <w:pStyle w:val="BodyText"/>
        <w:spacing w:line="357" w:lineRule="auto" w:before="0"/>
        <w:ind w:left="214" w:right="1131" w:firstLine="480"/>
        <w:jc w:val="both"/>
      </w:pPr>
      <w:r>
        <w:rPr/>
        <w:t>内部研究开发项目研究阶段的支出，于发生时计入当期损益。内部研究开发项目开发阶 段的支出，同时满足下列条件的，确认为无形资产：</w:t>
      </w:r>
      <w:r>
        <w:rPr>
          <w:rFonts w:ascii="宋体" w:hAnsi="宋体" w:cs="宋体" w:eastAsia="宋体" w:hint="default"/>
        </w:rPr>
        <w:t>(1)</w:t>
      </w:r>
      <w:r>
        <w:rPr>
          <w:rFonts w:ascii="宋体" w:hAnsi="宋体" w:cs="宋体" w:eastAsia="宋体" w:hint="default"/>
          <w:spacing w:val="6"/>
        </w:rPr>
        <w:t> </w:t>
      </w:r>
      <w:r>
        <w:rPr/>
        <w:t>完成该无形资产以使其能够使用或 出售在技术上具有可行性；</w:t>
      </w:r>
      <w:r>
        <w:rPr>
          <w:rFonts w:ascii="宋体" w:hAnsi="宋体" w:cs="宋体" w:eastAsia="宋体" w:hint="default"/>
        </w:rPr>
        <w:t>(2) </w:t>
      </w:r>
      <w:r>
        <w:rPr/>
        <w:t>具有完成该无形资产并使用或出售的意图；</w:t>
      </w:r>
      <w:r>
        <w:rPr>
          <w:rFonts w:ascii="宋体" w:hAnsi="宋体" w:cs="宋体" w:eastAsia="宋体" w:hint="default"/>
        </w:rPr>
        <w:t>(3)</w:t>
      </w:r>
      <w:r>
        <w:rPr>
          <w:rFonts w:ascii="宋体" w:hAnsi="宋体" w:cs="宋体" w:eastAsia="宋体" w:hint="default"/>
          <w:spacing w:val="11"/>
        </w:rPr>
        <w:t> </w:t>
      </w:r>
      <w:r>
        <w:rPr/>
        <w:t>无形资产产 生经济利益的方式，包括能够证明运用该无形资产生产的产品存在市场或无形资产自身存在 市场，无形资产将在内部使用的，能证明其有用性；</w:t>
      </w:r>
      <w:r>
        <w:rPr>
          <w:rFonts w:ascii="宋体" w:hAnsi="宋体" w:cs="宋体" w:eastAsia="宋体" w:hint="default"/>
        </w:rPr>
        <w:t>(4)</w:t>
      </w:r>
      <w:r>
        <w:rPr>
          <w:rFonts w:ascii="宋体" w:hAnsi="宋体" w:cs="宋体" w:eastAsia="宋体" w:hint="default"/>
          <w:spacing w:val="6"/>
        </w:rPr>
        <w:t> </w:t>
      </w:r>
      <w:r>
        <w:rPr/>
        <w:t>有足够的技术、财务资源和其他资 源支持，以完成该无形资产的开发，并有能力使用或出售该无形资产；</w:t>
      </w:r>
      <w:r>
        <w:rPr>
          <w:rFonts w:ascii="宋体" w:hAnsi="宋体" w:cs="宋体" w:eastAsia="宋体" w:hint="default"/>
        </w:rPr>
        <w:t>(5)</w:t>
      </w:r>
      <w:r>
        <w:rPr>
          <w:rFonts w:ascii="宋体" w:hAnsi="宋体" w:cs="宋体" w:eastAsia="宋体" w:hint="default"/>
          <w:spacing w:val="8"/>
        </w:rPr>
        <w:t> </w:t>
      </w:r>
      <w:r>
        <w:rPr/>
        <w:t>归属于该无形资</w:t>
      </w:r>
      <w:r>
        <w:rPr>
          <w:spacing w:val="-118"/>
        </w:rPr>
        <w:t> </w:t>
      </w:r>
      <w:r>
        <w:rPr>
          <w:spacing w:val="-118"/>
        </w:rPr>
      </w:r>
      <w:r>
        <w:rPr/>
        <w:t>产开发阶段的支出能够可靠地计量。</w:t>
      </w:r>
    </w:p>
    <w:p>
      <w:pPr>
        <w:spacing w:line="240" w:lineRule="auto" w:before="8"/>
        <w:rPr>
          <w:rFonts w:ascii="宋体" w:hAnsi="宋体" w:cs="宋体" w:eastAsia="宋体" w:hint="default"/>
          <w:sz w:val="21"/>
          <w:szCs w:val="21"/>
        </w:rPr>
      </w:pPr>
    </w:p>
    <w:p>
      <w:pPr>
        <w:spacing w:before="0"/>
        <w:ind w:left="214" w:right="468" w:firstLine="0"/>
        <w:jc w:val="left"/>
        <w:rPr>
          <w:rFonts w:ascii="宋体" w:hAnsi="宋体" w:cs="宋体" w:eastAsia="宋体" w:hint="default"/>
          <w:sz w:val="21"/>
          <w:szCs w:val="21"/>
        </w:rPr>
      </w:pPr>
      <w:bookmarkStart w:name="17、长期资产减值" w:id="198"/>
      <w:bookmarkEnd w:id="198"/>
      <w:r>
        <w:rPr/>
      </w:r>
      <w:r>
        <w:rPr>
          <w:rFonts w:ascii="Times New Roman" w:hAnsi="Times New Roman" w:cs="Times New Roman" w:eastAsia="Times New Roman" w:hint="default"/>
          <w:b/>
          <w:bCs/>
          <w:sz w:val="21"/>
          <w:szCs w:val="21"/>
        </w:rPr>
        <w:t>17</w:t>
      </w:r>
      <w:r>
        <w:rPr>
          <w:rFonts w:ascii="宋体" w:hAnsi="宋体" w:cs="宋体" w:eastAsia="宋体" w:hint="default"/>
          <w:b/>
          <w:bCs/>
          <w:sz w:val="21"/>
          <w:szCs w:val="21"/>
        </w:rPr>
        <w:t>、长期资产减值</w:t>
      </w:r>
      <w:r>
        <w:rPr>
          <w:rFonts w:ascii="宋体" w:hAnsi="宋体" w:cs="宋体" w:eastAsia="宋体" w:hint="default"/>
          <w:sz w:val="21"/>
          <w:szCs w:val="21"/>
        </w:rPr>
      </w:r>
    </w:p>
    <w:p>
      <w:pPr>
        <w:spacing w:line="240" w:lineRule="auto" w:before="11"/>
        <w:rPr>
          <w:rFonts w:ascii="宋体" w:hAnsi="宋体" w:cs="宋体" w:eastAsia="宋体" w:hint="default"/>
          <w:b/>
          <w:bCs/>
          <w:sz w:val="28"/>
          <w:szCs w:val="28"/>
        </w:rPr>
      </w:pPr>
    </w:p>
    <w:p>
      <w:pPr>
        <w:pStyle w:val="BodyText"/>
        <w:spacing w:line="357" w:lineRule="auto" w:before="0"/>
        <w:ind w:left="214" w:right="1132" w:firstLine="480"/>
        <w:jc w:val="both"/>
      </w:pPr>
      <w:r>
        <w:rPr>
          <w:spacing w:val="-3"/>
        </w:rPr>
        <w:t>对长期股权投资、固定资产、在建工程、使用寿命有限的无形资产等长期资产</w:t>
      </w:r>
      <w:r>
        <w:rPr>
          <w:rFonts w:ascii="宋体" w:hAnsi="宋体" w:cs="宋体" w:eastAsia="宋体" w:hint="default"/>
          <w:spacing w:val="-3"/>
        </w:rPr>
        <w:t>,</w:t>
      </w:r>
      <w:r>
        <w:rPr>
          <w:spacing w:val="-3"/>
        </w:rPr>
        <w:t>在资产负</w:t>
      </w:r>
      <w:r>
        <w:rPr/>
        <w:t> 债表日有迹象表明发生减值的，估计其可收回金额。对因企业合并所形成的商誉和使用寿命 不确定的无形资产，无论是否存在减值迹象，每年都进行减值测试。商誉结合与其相关的资</w:t>
      </w:r>
    </w:p>
    <w:p>
      <w:pPr>
        <w:spacing w:after="0" w:line="357" w:lineRule="auto"/>
        <w:jc w:val="both"/>
        <w:sectPr>
          <w:pgSz w:w="11910" w:h="16840"/>
          <w:pgMar w:header="747" w:footer="979" w:top="1060" w:bottom="1160" w:left="920" w:right="0"/>
        </w:sectPr>
      </w:pPr>
    </w:p>
    <w:p>
      <w:pPr>
        <w:spacing w:line="240" w:lineRule="auto" w:before="7"/>
        <w:rPr>
          <w:rFonts w:ascii="宋体" w:hAnsi="宋体" w:cs="宋体" w:eastAsia="宋体" w:hint="default"/>
          <w:sz w:val="29"/>
          <w:szCs w:val="29"/>
        </w:rPr>
      </w:pPr>
    </w:p>
    <w:p>
      <w:pPr>
        <w:pStyle w:val="BodyText"/>
        <w:spacing w:line="357" w:lineRule="auto" w:before="26"/>
        <w:ind w:left="634" w:right="0" w:hanging="480"/>
        <w:jc w:val="left"/>
      </w:pPr>
      <w:r>
        <w:rPr/>
        <w:t>产组或者资产组组合进行减值测试。 若上述长期资产的可收回金额低于其账面价值的，按其差额确认资产减值准备并计入当</w:t>
      </w:r>
    </w:p>
    <w:p>
      <w:pPr>
        <w:pStyle w:val="BodyText"/>
        <w:spacing w:line="240" w:lineRule="auto"/>
        <w:ind w:right="0"/>
        <w:jc w:val="left"/>
      </w:pPr>
      <w:r>
        <w:rPr/>
        <w:t>期损益。</w:t>
      </w:r>
    </w:p>
    <w:p>
      <w:pPr>
        <w:spacing w:line="240" w:lineRule="auto" w:before="8"/>
        <w:rPr>
          <w:rFonts w:ascii="宋体" w:hAnsi="宋体" w:cs="宋体" w:eastAsia="宋体" w:hint="default"/>
          <w:sz w:val="30"/>
          <w:szCs w:val="30"/>
        </w:rPr>
      </w:pPr>
    </w:p>
    <w:p>
      <w:pPr>
        <w:spacing w:before="0"/>
        <w:ind w:left="154" w:right="0" w:firstLine="0"/>
        <w:jc w:val="left"/>
        <w:rPr>
          <w:rFonts w:ascii="宋体" w:hAnsi="宋体" w:cs="宋体" w:eastAsia="宋体" w:hint="default"/>
          <w:sz w:val="21"/>
          <w:szCs w:val="21"/>
        </w:rPr>
      </w:pPr>
      <w:bookmarkStart w:name="18、长期待摊费用" w:id="199"/>
      <w:bookmarkEnd w:id="199"/>
      <w:r>
        <w:rPr/>
      </w:r>
      <w:r>
        <w:rPr>
          <w:rFonts w:ascii="Times New Roman" w:hAnsi="Times New Roman" w:cs="Times New Roman" w:eastAsia="Times New Roman" w:hint="default"/>
          <w:b/>
          <w:bCs/>
          <w:sz w:val="21"/>
          <w:szCs w:val="21"/>
        </w:rPr>
        <w:t>18</w:t>
      </w:r>
      <w:r>
        <w:rPr>
          <w:rFonts w:ascii="宋体" w:hAnsi="宋体" w:cs="宋体" w:eastAsia="宋体" w:hint="default"/>
          <w:b/>
          <w:bCs/>
          <w:sz w:val="21"/>
          <w:szCs w:val="21"/>
        </w:rPr>
        <w:t>、长期待摊费用</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357" w:lineRule="auto" w:before="0"/>
        <w:ind w:right="1131" w:firstLine="480"/>
        <w:jc w:val="both"/>
      </w:pPr>
      <w:r>
        <w:rPr/>
        <w:t>长期待摊费用核算已经支出，摊销期限在</w:t>
      </w:r>
      <w:r>
        <w:rPr>
          <w:rFonts w:ascii="宋体" w:hAnsi="宋体" w:cs="宋体" w:eastAsia="宋体" w:hint="default"/>
        </w:rPr>
        <w:t>1</w:t>
      </w:r>
      <w:r>
        <w:rPr/>
        <w:t>年以上（不含</w:t>
      </w:r>
      <w:r>
        <w:rPr>
          <w:rFonts w:ascii="宋体" w:hAnsi="宋体" w:cs="宋体" w:eastAsia="宋体" w:hint="default"/>
        </w:rPr>
        <w:t>1</w:t>
      </w:r>
      <w:r>
        <w:rPr/>
        <w:t>年）的各项费用。长期待摊费 用按实际发生额入账，在受益期或规定的期限内分期平均摊销。如果长期待摊的费用项目不</w:t>
      </w:r>
      <w:r>
        <w:rPr>
          <w:spacing w:val="-112"/>
        </w:rPr>
        <w:t> </w:t>
      </w:r>
      <w:r>
        <w:rPr>
          <w:spacing w:val="-112"/>
        </w:rPr>
      </w:r>
      <w:r>
        <w:rPr/>
        <w:t>能使以后会计期间受益则将尚未摊销的该项目的摊余价值全部转入当期损益。</w:t>
      </w:r>
    </w:p>
    <w:p>
      <w:pPr>
        <w:spacing w:line="240" w:lineRule="auto" w:before="8"/>
        <w:rPr>
          <w:rFonts w:ascii="宋体" w:hAnsi="宋体" w:cs="宋体" w:eastAsia="宋体" w:hint="default"/>
          <w:sz w:val="21"/>
          <w:szCs w:val="21"/>
        </w:rPr>
      </w:pPr>
    </w:p>
    <w:p>
      <w:pPr>
        <w:spacing w:before="0"/>
        <w:ind w:left="154" w:right="0" w:firstLine="0"/>
        <w:jc w:val="left"/>
        <w:rPr>
          <w:rFonts w:ascii="宋体" w:hAnsi="宋体" w:cs="宋体" w:eastAsia="宋体" w:hint="default"/>
          <w:sz w:val="21"/>
          <w:szCs w:val="21"/>
        </w:rPr>
      </w:pPr>
      <w:bookmarkStart w:name="19、职工薪酬" w:id="200"/>
      <w:bookmarkEnd w:id="200"/>
      <w:r>
        <w:rPr/>
      </w:r>
      <w:r>
        <w:rPr>
          <w:rFonts w:ascii="Times New Roman" w:hAnsi="Times New Roman" w:cs="Times New Roman" w:eastAsia="Times New Roman" w:hint="default"/>
          <w:b/>
          <w:bCs/>
          <w:sz w:val="21"/>
          <w:szCs w:val="21"/>
        </w:rPr>
        <w:t>19</w:t>
      </w:r>
      <w:r>
        <w:rPr>
          <w:rFonts w:ascii="宋体" w:hAnsi="宋体" w:cs="宋体" w:eastAsia="宋体" w:hint="default"/>
          <w:b/>
          <w:bCs/>
          <w:sz w:val="21"/>
          <w:szCs w:val="21"/>
        </w:rPr>
        <w:t>、职工薪酬</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bookmarkStart w:name="（1）短期薪酬的会计处理方法" w:id="201"/>
      <w:bookmarkEnd w:id="20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）短期薪酬的会计处理方法</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357" w:lineRule="auto" w:before="0"/>
        <w:ind w:left="634" w:right="0"/>
        <w:jc w:val="left"/>
      </w:pPr>
      <w:r>
        <w:rPr/>
        <w:t>职工薪酬包括短期薪酬、离职后福利、辞退福利和其他长期职工福利。 在职工为公司提供服务的会计期间，将实际发生的短期薪酬确认为负债，并计入当期损</w:t>
      </w:r>
    </w:p>
    <w:p>
      <w:pPr>
        <w:pStyle w:val="BodyText"/>
        <w:spacing w:line="240" w:lineRule="auto"/>
        <w:ind w:right="0"/>
        <w:jc w:val="left"/>
      </w:pPr>
      <w:r>
        <w:rPr/>
        <w:t>益或相关资产成本。</w:t>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30"/>
          <w:szCs w:val="30"/>
        </w:rPr>
      </w:pPr>
    </w:p>
    <w:p>
      <w:pPr>
        <w:spacing w:before="0"/>
        <w:ind w:left="154" w:right="0" w:firstLine="0"/>
        <w:jc w:val="left"/>
        <w:rPr>
          <w:rFonts w:ascii="宋体" w:hAnsi="宋体" w:cs="宋体" w:eastAsia="宋体" w:hint="default"/>
          <w:sz w:val="21"/>
          <w:szCs w:val="21"/>
        </w:rPr>
      </w:pPr>
      <w:bookmarkStart w:name="（2）离职后福利的会计处理方法" w:id="202"/>
      <w:bookmarkEnd w:id="20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）离职后福利的会计处理方法</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240" w:lineRule="auto" w:before="0"/>
        <w:ind w:left="634" w:right="0"/>
        <w:jc w:val="left"/>
      </w:pPr>
      <w:r>
        <w:rPr/>
        <w:t>离职后福利分为设定提存计划和设定受益计划。</w:t>
      </w:r>
    </w:p>
    <w:p>
      <w:pPr>
        <w:pStyle w:val="BodyText"/>
        <w:spacing w:line="357" w:lineRule="auto" w:before="154"/>
        <w:ind w:right="1139" w:firstLine="480"/>
        <w:jc w:val="both"/>
      </w:pPr>
      <w:r>
        <w:rPr>
          <w:rFonts w:ascii="宋体" w:hAnsi="宋体" w:cs="宋体" w:eastAsia="宋体" w:hint="default"/>
        </w:rPr>
        <w:t>(1)</w:t>
      </w:r>
      <w:r>
        <w:rPr>
          <w:rFonts w:ascii="宋体" w:hAnsi="宋体" w:cs="宋体" w:eastAsia="宋体" w:hint="default"/>
          <w:spacing w:val="4"/>
        </w:rPr>
        <w:t> </w:t>
      </w:r>
      <w:r>
        <w:rPr/>
        <w:t>在职工为公司提供服务的会计期间，根据设定提存计划计算的应缴存金额确认为负 债，并计入当期损益或相关资产成本。</w:t>
      </w:r>
    </w:p>
    <w:p>
      <w:pPr>
        <w:pStyle w:val="BodyText"/>
        <w:spacing w:line="240" w:lineRule="auto"/>
        <w:ind w:left="634" w:right="0"/>
        <w:jc w:val="left"/>
      </w:pPr>
      <w:r>
        <w:rPr>
          <w:rFonts w:ascii="宋体" w:hAnsi="宋体" w:cs="宋体" w:eastAsia="宋体" w:hint="default"/>
        </w:rPr>
        <w:t>(2) </w:t>
      </w:r>
      <w:r>
        <w:rPr/>
        <w:t>对设定受益计划的会计处理通常包括下列步骤：</w:t>
      </w:r>
    </w:p>
    <w:p>
      <w:pPr>
        <w:pStyle w:val="BodyText"/>
        <w:spacing w:line="357" w:lineRule="auto" w:before="154"/>
        <w:ind w:right="1131" w:firstLine="480"/>
        <w:jc w:val="right"/>
      </w:pPr>
      <w:r>
        <w:rPr>
          <w:rFonts w:ascii="宋体" w:hAnsi="宋体" w:cs="宋体" w:eastAsia="宋体" w:hint="default"/>
        </w:rPr>
        <w:t>1)</w:t>
      </w:r>
      <w:r>
        <w:rPr>
          <w:rFonts w:ascii="宋体" w:hAnsi="宋体" w:cs="宋体" w:eastAsia="宋体" w:hint="default"/>
          <w:spacing w:val="29"/>
        </w:rPr>
        <w:t> </w:t>
      </w:r>
      <w:r>
        <w:rPr>
          <w:spacing w:val="-3"/>
        </w:rPr>
        <w:t>根据预期累计福利单位法，采用无偏且相互一致的精算假设对有关人口统计变量和财</w:t>
      </w:r>
      <w:r>
        <w:rPr/>
        <w:t> 务变量等作出估计，计量设定受益计划所产生的义务，并确定相关义务的所属期间。同时， 对设定受益计划所产生的义务予以折现，以确定设定受益计划义务的现值和当期服务成本； </w:t>
      </w:r>
      <w:r>
        <w:rPr>
          <w:rFonts w:ascii="宋体" w:hAnsi="宋体" w:cs="宋体" w:eastAsia="宋体" w:hint="default"/>
        </w:rPr>
        <w:t>2)</w:t>
      </w:r>
      <w:r>
        <w:rPr>
          <w:rFonts w:ascii="宋体" w:hAnsi="宋体" w:cs="宋体" w:eastAsia="宋体" w:hint="default"/>
          <w:spacing w:val="29"/>
        </w:rPr>
        <w:t> </w:t>
      </w:r>
      <w:r>
        <w:rPr>
          <w:spacing w:val="-3"/>
        </w:rPr>
        <w:t>设定受益计划存在资产的，将设定受益计划义务现值减去设定受益计划资产公允价值</w:t>
      </w:r>
      <w:r>
        <w:rPr/>
        <w:t> 所形成的赤字或盈余确认为一项设定受益计划净负债或净资产。设定受益计划存在盈余的，</w:t>
      </w:r>
    </w:p>
    <w:p>
      <w:pPr>
        <w:pStyle w:val="BodyText"/>
        <w:spacing w:line="240" w:lineRule="auto"/>
        <w:ind w:right="0"/>
        <w:jc w:val="left"/>
      </w:pPr>
      <w:r>
        <w:rPr/>
        <w:t>以设定受益计划的盈余和资产上限两项的孰低者计量设定受益计划净资产；</w:t>
      </w:r>
    </w:p>
    <w:p>
      <w:pPr>
        <w:pStyle w:val="BodyText"/>
        <w:spacing w:line="357" w:lineRule="auto" w:before="154"/>
        <w:ind w:right="1131" w:firstLine="480"/>
        <w:jc w:val="both"/>
      </w:pPr>
      <w:r>
        <w:rPr>
          <w:rFonts w:ascii="宋体" w:hAnsi="宋体" w:cs="宋体" w:eastAsia="宋体" w:hint="default"/>
        </w:rPr>
        <w:t>3)</w:t>
      </w:r>
      <w:r>
        <w:rPr>
          <w:rFonts w:ascii="宋体" w:hAnsi="宋体" w:cs="宋体" w:eastAsia="宋体" w:hint="default"/>
          <w:spacing w:val="27"/>
        </w:rPr>
        <w:t> </w:t>
      </w:r>
      <w:r>
        <w:rPr>
          <w:spacing w:val="-3"/>
        </w:rPr>
        <w:t>期末，将设定受益计划产生的职工薪酬成本确认为服务成本、设定受益计划净负债或</w:t>
      </w:r>
      <w:r>
        <w:rPr/>
        <w:t> 净资产的利息净额以及重新计量设定受益计划净负债或净资产所产生的变动等三部分，其中 服务成本和设定受益计划净负债或净资产的利息净额计入当期损益或相关资产成本，重新计</w:t>
      </w:r>
    </w:p>
    <w:p>
      <w:pPr>
        <w:spacing w:after="0" w:line="357" w:lineRule="auto"/>
        <w:jc w:val="both"/>
        <w:sectPr>
          <w:pgSz w:w="11910" w:h="16840"/>
          <w:pgMar w:header="747" w:footer="979" w:top="1060" w:bottom="1160" w:left="980" w:right="0"/>
        </w:sectPr>
      </w:pPr>
    </w:p>
    <w:p>
      <w:pPr>
        <w:spacing w:line="240" w:lineRule="auto" w:before="7"/>
        <w:rPr>
          <w:rFonts w:ascii="宋体" w:hAnsi="宋体" w:cs="宋体" w:eastAsia="宋体" w:hint="default"/>
          <w:sz w:val="29"/>
          <w:szCs w:val="29"/>
        </w:rPr>
      </w:pPr>
    </w:p>
    <w:p>
      <w:pPr>
        <w:pStyle w:val="BodyText"/>
        <w:spacing w:line="357" w:lineRule="auto" w:before="26"/>
        <w:ind w:right="0"/>
        <w:jc w:val="left"/>
      </w:pPr>
      <w:r>
        <w:rPr/>
        <w:t>量设定受益计划净负债或净资产所产生的变动计入其他综合收益，并且在后续会计期间不允 许转回至损益，但可以在权益范围内转移这些在其他综合收益确认的金额。</w:t>
      </w:r>
    </w:p>
    <w:p>
      <w:pPr>
        <w:spacing w:line="240" w:lineRule="auto" w:before="8"/>
        <w:rPr>
          <w:rFonts w:ascii="宋体" w:hAnsi="宋体" w:cs="宋体" w:eastAsia="宋体" w:hint="default"/>
          <w:sz w:val="21"/>
          <w:szCs w:val="21"/>
        </w:rPr>
      </w:pPr>
    </w:p>
    <w:p>
      <w:pPr>
        <w:spacing w:before="0"/>
        <w:ind w:left="154" w:right="0" w:firstLine="0"/>
        <w:jc w:val="left"/>
        <w:rPr>
          <w:rFonts w:ascii="宋体" w:hAnsi="宋体" w:cs="宋体" w:eastAsia="宋体" w:hint="default"/>
          <w:sz w:val="21"/>
          <w:szCs w:val="21"/>
        </w:rPr>
      </w:pPr>
      <w:bookmarkStart w:name="（3）辞退福利的会计处理方法" w:id="203"/>
      <w:bookmarkEnd w:id="20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）辞退福利的会计处理方法</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357" w:lineRule="auto" w:before="0"/>
        <w:ind w:right="1135" w:firstLine="480"/>
        <w:jc w:val="both"/>
      </w:pPr>
      <w:r>
        <w:rPr/>
        <w:t>向职工提供的辞退福利，在下列两者孰早日确认辞退福利产生的职工薪酬负债，并计入 当期损益：</w:t>
      </w:r>
      <w:r>
        <w:rPr>
          <w:rFonts w:ascii="宋体" w:hAnsi="宋体" w:cs="宋体" w:eastAsia="宋体" w:hint="default"/>
        </w:rPr>
        <w:t>(1)</w:t>
      </w:r>
      <w:r>
        <w:rPr>
          <w:rFonts w:ascii="宋体" w:hAnsi="宋体" w:cs="宋体" w:eastAsia="宋体" w:hint="default"/>
          <w:spacing w:val="8"/>
        </w:rPr>
        <w:t> </w:t>
      </w:r>
      <w:r>
        <w:rPr/>
        <w:t>公司不能单方面撤回因解除劳动关系计划或裁减建议所提供的辞退福利时； </w:t>
      </w:r>
      <w:r>
        <w:rPr>
          <w:rFonts w:ascii="宋体" w:hAnsi="宋体" w:cs="宋体" w:eastAsia="宋体" w:hint="default"/>
        </w:rPr>
        <w:t>(2) </w:t>
      </w:r>
      <w:r>
        <w:rPr/>
        <w:t>公司确认与涉及支付辞退福利的重组相关的成本或费用时。</w:t>
      </w:r>
    </w:p>
    <w:p>
      <w:pPr>
        <w:spacing w:line="240" w:lineRule="auto" w:before="8"/>
        <w:rPr>
          <w:rFonts w:ascii="宋体" w:hAnsi="宋体" w:cs="宋体" w:eastAsia="宋体" w:hint="default"/>
          <w:sz w:val="21"/>
          <w:szCs w:val="21"/>
        </w:rPr>
      </w:pPr>
    </w:p>
    <w:p>
      <w:pPr>
        <w:spacing w:before="0"/>
        <w:ind w:left="154" w:right="0" w:firstLine="0"/>
        <w:jc w:val="left"/>
        <w:rPr>
          <w:rFonts w:ascii="宋体" w:hAnsi="宋体" w:cs="宋体" w:eastAsia="宋体" w:hint="default"/>
          <w:sz w:val="21"/>
          <w:szCs w:val="21"/>
        </w:rPr>
      </w:pPr>
      <w:bookmarkStart w:name="（4）其他长期职工福利的会计处理方法" w:id="204"/>
      <w:bookmarkEnd w:id="20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）其他长期职工福利的会计处理方法</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357" w:lineRule="auto" w:before="0"/>
        <w:ind w:right="1139" w:firstLine="480"/>
        <w:jc w:val="both"/>
      </w:pPr>
      <w:r>
        <w:rPr/>
        <w:t>向职工提供的其他长期福利，符合设定提存计划条件的，按照设定提存计划的有关规定 进行会计处理；除此之外的其他长期福利，按照设定受益计划的有关规定进行会计处理，为 简化相关会计处理，将其产生的职工薪酬成本确认为服务成本、其他长期职工福利净负债或 净资产的利息净额以及重新计量其他长期职工福利净负债或净资产所产生的变动等组成项目 的总净额计入当期损益或相关资产成本。</w:t>
      </w:r>
    </w:p>
    <w:p>
      <w:pPr>
        <w:spacing w:line="240" w:lineRule="auto" w:before="8"/>
        <w:rPr>
          <w:rFonts w:ascii="宋体" w:hAnsi="宋体" w:cs="宋体" w:eastAsia="宋体" w:hint="default"/>
          <w:sz w:val="21"/>
          <w:szCs w:val="21"/>
        </w:rPr>
      </w:pPr>
    </w:p>
    <w:p>
      <w:pPr>
        <w:spacing w:before="0"/>
        <w:ind w:left="154" w:right="0" w:firstLine="0"/>
        <w:jc w:val="left"/>
        <w:rPr>
          <w:rFonts w:ascii="宋体" w:hAnsi="宋体" w:cs="宋体" w:eastAsia="宋体" w:hint="default"/>
          <w:sz w:val="21"/>
          <w:szCs w:val="21"/>
        </w:rPr>
      </w:pPr>
      <w:bookmarkStart w:name="20、预计负债" w:id="205"/>
      <w:bookmarkEnd w:id="205"/>
      <w:r>
        <w:rPr/>
      </w:r>
      <w:r>
        <w:rPr>
          <w:rFonts w:ascii="Times New Roman" w:hAnsi="Times New Roman" w:cs="Times New Roman" w:eastAsia="Times New Roman" w:hint="default"/>
          <w:b/>
          <w:bCs/>
          <w:sz w:val="21"/>
          <w:szCs w:val="21"/>
        </w:rPr>
        <w:t>20</w:t>
      </w:r>
      <w:r>
        <w:rPr>
          <w:rFonts w:ascii="宋体" w:hAnsi="宋体" w:cs="宋体" w:eastAsia="宋体" w:hint="default"/>
          <w:b/>
          <w:bCs/>
          <w:sz w:val="21"/>
          <w:szCs w:val="21"/>
        </w:rPr>
        <w:t>、预计负债</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357" w:lineRule="auto" w:before="0"/>
        <w:ind w:right="1132" w:firstLine="480"/>
        <w:jc w:val="both"/>
      </w:pPr>
      <w:r>
        <w:rPr>
          <w:rFonts w:ascii="宋体" w:hAnsi="宋体" w:cs="宋体" w:eastAsia="宋体" w:hint="default"/>
        </w:rPr>
        <w:t>1.</w:t>
      </w:r>
      <w:r>
        <w:rPr>
          <w:rFonts w:ascii="宋体" w:hAnsi="宋体" w:cs="宋体" w:eastAsia="宋体" w:hint="default"/>
          <w:spacing w:val="25"/>
        </w:rPr>
        <w:t> </w:t>
      </w:r>
      <w:r>
        <w:rPr>
          <w:spacing w:val="-3"/>
        </w:rPr>
        <w:t>因对外提供担保、诉讼事项、产品质量保证、亏损合同等或有事项形成的义务成为公</w:t>
      </w:r>
      <w:r>
        <w:rPr/>
        <w:t> 司承担的现时义务，履行该义务很可能导致经济利益流出公司，且该义务的金额能够可靠的 计量时，公司将该项义务确认为预计负债。</w:t>
      </w:r>
    </w:p>
    <w:p>
      <w:pPr>
        <w:pStyle w:val="BodyText"/>
        <w:spacing w:line="357" w:lineRule="auto"/>
        <w:ind w:right="1131" w:firstLine="480"/>
        <w:jc w:val="both"/>
      </w:pPr>
      <w:r>
        <w:rPr>
          <w:rFonts w:ascii="宋体" w:hAnsi="宋体" w:cs="宋体" w:eastAsia="宋体" w:hint="default"/>
        </w:rPr>
        <w:t>2.</w:t>
      </w:r>
      <w:r>
        <w:rPr>
          <w:rFonts w:ascii="宋体" w:hAnsi="宋体" w:cs="宋体" w:eastAsia="宋体" w:hint="default"/>
          <w:spacing w:val="27"/>
        </w:rPr>
        <w:t> </w:t>
      </w:r>
      <w:r>
        <w:rPr>
          <w:spacing w:val="-3"/>
        </w:rPr>
        <w:t>公司按照履行相关现时义务所需支出的最佳估计数对预计负债进行初始计量，并在资</w:t>
      </w:r>
      <w:r>
        <w:rPr/>
        <w:t> 产负债表日对预计负债的账面价值进行复核。</w:t>
      </w:r>
    </w:p>
    <w:p>
      <w:pPr>
        <w:spacing w:line="240" w:lineRule="auto" w:before="8"/>
        <w:rPr>
          <w:rFonts w:ascii="宋体" w:hAnsi="宋体" w:cs="宋体" w:eastAsia="宋体" w:hint="default"/>
          <w:sz w:val="21"/>
          <w:szCs w:val="21"/>
        </w:rPr>
      </w:pPr>
    </w:p>
    <w:p>
      <w:pPr>
        <w:spacing w:before="0"/>
        <w:ind w:left="154" w:right="0" w:firstLine="0"/>
        <w:jc w:val="left"/>
        <w:rPr>
          <w:rFonts w:ascii="宋体" w:hAnsi="宋体" w:cs="宋体" w:eastAsia="宋体" w:hint="default"/>
          <w:sz w:val="21"/>
          <w:szCs w:val="21"/>
        </w:rPr>
      </w:pPr>
      <w:bookmarkStart w:name="21、股份支付" w:id="206"/>
      <w:bookmarkEnd w:id="206"/>
      <w:r>
        <w:rPr/>
      </w:r>
      <w:r>
        <w:rPr>
          <w:rFonts w:ascii="Times New Roman" w:hAnsi="Times New Roman" w:cs="Times New Roman" w:eastAsia="Times New Roman" w:hint="default"/>
          <w:b/>
          <w:bCs/>
          <w:sz w:val="21"/>
          <w:szCs w:val="21"/>
        </w:rPr>
        <w:t>21</w:t>
      </w:r>
      <w:r>
        <w:rPr>
          <w:rFonts w:ascii="宋体" w:hAnsi="宋体" w:cs="宋体" w:eastAsia="宋体" w:hint="default"/>
          <w:b/>
          <w:bCs/>
          <w:sz w:val="21"/>
          <w:szCs w:val="21"/>
        </w:rPr>
        <w:t>、股份支付</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357" w:lineRule="auto" w:before="0"/>
        <w:ind w:left="634" w:right="4512"/>
        <w:jc w:val="left"/>
      </w:pPr>
      <w:r>
        <w:rPr>
          <w:rFonts w:ascii="宋体" w:hAnsi="宋体" w:cs="宋体" w:eastAsia="宋体" w:hint="default"/>
        </w:rPr>
        <w:t>1. </w:t>
      </w:r>
      <w:r>
        <w:rPr/>
        <w:t>股份支付的种类 包括以权益结算的股份支付和以现金结算的股份支付。 </w:t>
      </w:r>
      <w:r>
        <w:rPr>
          <w:rFonts w:ascii="宋体" w:hAnsi="宋体" w:cs="宋体" w:eastAsia="宋体" w:hint="default"/>
        </w:rPr>
        <w:t>2. </w:t>
      </w:r>
      <w:r>
        <w:rPr/>
        <w:t>实施、修改、终止股份支付计划的相关会计处理</w:t>
      </w:r>
    </w:p>
    <w:p>
      <w:pPr>
        <w:pStyle w:val="BodyText"/>
        <w:spacing w:line="357" w:lineRule="auto"/>
        <w:ind w:left="634" w:right="0"/>
        <w:jc w:val="left"/>
      </w:pPr>
      <w:r>
        <w:rPr>
          <w:rFonts w:ascii="宋体" w:hAnsi="宋体" w:cs="宋体" w:eastAsia="宋体" w:hint="default"/>
        </w:rPr>
        <w:t>(1) </w:t>
      </w:r>
      <w:r>
        <w:rPr/>
        <w:t>以权益结算的股份支付 授予后立即可行权的换取职工服务的以权益结算的股份支付，在授予日按照权益工具的</w:t>
      </w:r>
    </w:p>
    <w:p>
      <w:pPr>
        <w:pStyle w:val="BodyText"/>
        <w:spacing w:line="357" w:lineRule="auto"/>
        <w:ind w:right="0"/>
        <w:jc w:val="left"/>
      </w:pPr>
      <w:r>
        <w:rPr/>
        <w:t>公允价值计入相关成本或费用，相应调整资本公积。完成等待期内的服务或达到规定业绩条 件才可行权的换取职工服务的以权益结算的股份支付，在等待期内的每个资产负债表日，以</w:t>
      </w:r>
    </w:p>
    <w:p>
      <w:pPr>
        <w:spacing w:after="0" w:line="357" w:lineRule="auto"/>
        <w:jc w:val="left"/>
        <w:sectPr>
          <w:pgSz w:w="11910" w:h="16840"/>
          <w:pgMar w:header="747" w:footer="979" w:top="1060" w:bottom="1160" w:left="980" w:right="0"/>
        </w:sectPr>
      </w:pPr>
    </w:p>
    <w:p>
      <w:pPr>
        <w:spacing w:line="240" w:lineRule="auto" w:before="7"/>
        <w:rPr>
          <w:rFonts w:ascii="宋体" w:hAnsi="宋体" w:cs="宋体" w:eastAsia="宋体" w:hint="default"/>
          <w:sz w:val="29"/>
          <w:szCs w:val="29"/>
        </w:rPr>
      </w:pPr>
    </w:p>
    <w:p>
      <w:pPr>
        <w:pStyle w:val="BodyText"/>
        <w:spacing w:line="357" w:lineRule="auto" w:before="26"/>
        <w:ind w:right="0"/>
        <w:jc w:val="left"/>
      </w:pPr>
      <w:r>
        <w:rPr/>
        <w:t>对可行权权益工具数量的最佳估计为基础，按权益工具授予日的公允价值，将当期取得的服 务计入相关成本或费用，相应调整资本公积。</w:t>
      </w:r>
    </w:p>
    <w:p>
      <w:pPr>
        <w:pStyle w:val="BodyText"/>
        <w:spacing w:line="357" w:lineRule="auto"/>
        <w:ind w:right="1137" w:firstLine="480"/>
        <w:jc w:val="both"/>
      </w:pPr>
      <w:r>
        <w:rPr/>
        <w:t>换取其他方服务的权益结算的股份支付，如果其他方服务的公允价值能够可靠计量的， 按照其他方服务在取得日的公允价值计量；如果其他方服务的公允价值不能可靠计量，但权 益工具的公允价值能够可靠计量的，按照权益工具在服务取得日的公允价值计量，计入相关</w:t>
      </w:r>
      <w:r>
        <w:rPr>
          <w:spacing w:val="-117"/>
        </w:rPr>
        <w:t> </w:t>
      </w:r>
      <w:r>
        <w:rPr>
          <w:spacing w:val="-117"/>
        </w:rPr>
      </w:r>
      <w:r>
        <w:rPr/>
        <w:t>成本或费用，相应增加所有者权益。</w:t>
      </w:r>
    </w:p>
    <w:p>
      <w:pPr>
        <w:pStyle w:val="BodyText"/>
        <w:spacing w:line="357" w:lineRule="auto"/>
        <w:ind w:left="634" w:right="0"/>
        <w:jc w:val="left"/>
      </w:pPr>
      <w:r>
        <w:rPr>
          <w:rFonts w:ascii="宋体" w:hAnsi="宋体" w:cs="宋体" w:eastAsia="宋体" w:hint="default"/>
        </w:rPr>
        <w:t>(2) </w:t>
      </w:r>
      <w:r>
        <w:rPr/>
        <w:t>以现金结算的股份支付 授予后立即可行权的换取职工服务的以现金结算的股份支付，在授予日按公司承担负债</w:t>
      </w:r>
    </w:p>
    <w:p>
      <w:pPr>
        <w:pStyle w:val="BodyText"/>
        <w:spacing w:line="357" w:lineRule="auto"/>
        <w:ind w:right="1139"/>
        <w:jc w:val="both"/>
      </w:pPr>
      <w:r>
        <w:rPr/>
        <w:t>的公允价值计入相关成本或费用，相应增加负债。完成等待期内的服务或达到规定业绩条件 才可行权的换取职工服务的以现金结算的股份支付，在等待期内的每个资产负债表日，以对 可行权情况的最佳估计为基础，按公司承担负债的公允价值，将当期取得的服务计入相关成 本或费用和相应的负债。</w:t>
      </w:r>
    </w:p>
    <w:p>
      <w:pPr>
        <w:pStyle w:val="BodyText"/>
        <w:spacing w:line="357" w:lineRule="auto"/>
        <w:ind w:left="634" w:right="0"/>
        <w:jc w:val="left"/>
      </w:pPr>
      <w:r>
        <w:rPr>
          <w:rFonts w:ascii="宋体" w:hAnsi="宋体" w:cs="宋体" w:eastAsia="宋体" w:hint="default"/>
        </w:rPr>
        <w:t>(3) </w:t>
      </w:r>
      <w:r>
        <w:rPr/>
        <w:t>修改、终止股份支付计划 如果修改增加了所授予的权益工具的公允价值，公司按照权益工具公允价值的增加相应</w:t>
      </w:r>
    </w:p>
    <w:p>
      <w:pPr>
        <w:pStyle w:val="BodyText"/>
        <w:spacing w:line="357" w:lineRule="auto"/>
        <w:ind w:right="994"/>
        <w:jc w:val="left"/>
      </w:pPr>
      <w:r>
        <w:rPr/>
        <w:t>地确认取得服务的增加；如果修改增加了所授予的权益工具的数量，公司将增加的权益工具 </w:t>
      </w:r>
      <w:r>
        <w:rPr>
          <w:spacing w:val="-2"/>
        </w:rPr>
        <w:t>的公允价值相应地确认为取得服务的增加；如果公司按照有利于职工的方式修改可行权条件，</w:t>
      </w:r>
      <w:r>
        <w:rPr/>
        <w:t> 公司在处理可行权条件时，考虑修改后的可行权条件。</w:t>
      </w:r>
    </w:p>
    <w:p>
      <w:pPr>
        <w:pStyle w:val="BodyText"/>
        <w:spacing w:line="357" w:lineRule="auto"/>
        <w:ind w:right="1139" w:firstLine="480"/>
        <w:jc w:val="both"/>
      </w:pPr>
      <w:r>
        <w:rPr/>
        <w:t>如果修改减少了授予的权益工具的公允价值，公司继续以权益工具在授予日的公允价值 为基础，确认取得服务的金额，而不考虑权益工具公允价值的减少；如果修改减少了授予的 权益工具的数量，公司将减少部分作为已授予的权益工具的取消来进行处理；如果以不利于 职工的方式修改了可行权条件，在处理可行权条件时，不考虑修改后的可行权条件。</w:t>
      </w:r>
    </w:p>
    <w:p>
      <w:pPr>
        <w:pStyle w:val="BodyText"/>
        <w:spacing w:line="357" w:lineRule="auto"/>
        <w:ind w:right="1139" w:firstLine="480"/>
        <w:jc w:val="both"/>
      </w:pPr>
      <w:r>
        <w:rPr/>
        <w:t>如果公司在等待期内取消了所授予的权益工具或结算了所授予的权益工具（因未满足可 行权条件而被取消的除外），则将取消或结算作为加速可行权处理，立即确认原本在剩余等 待期内确认的金额。</w:t>
      </w:r>
    </w:p>
    <w:p>
      <w:pPr>
        <w:spacing w:line="240" w:lineRule="auto" w:before="8"/>
        <w:rPr>
          <w:rFonts w:ascii="宋体" w:hAnsi="宋体" w:cs="宋体" w:eastAsia="宋体" w:hint="default"/>
          <w:sz w:val="21"/>
          <w:szCs w:val="21"/>
        </w:rPr>
      </w:pPr>
    </w:p>
    <w:p>
      <w:pPr>
        <w:spacing w:before="0"/>
        <w:ind w:left="154" w:right="0" w:firstLine="0"/>
        <w:jc w:val="left"/>
        <w:rPr>
          <w:rFonts w:ascii="宋体" w:hAnsi="宋体" w:cs="宋体" w:eastAsia="宋体" w:hint="default"/>
          <w:sz w:val="21"/>
          <w:szCs w:val="21"/>
        </w:rPr>
      </w:pPr>
      <w:bookmarkStart w:name="22、收入" w:id="207"/>
      <w:bookmarkEnd w:id="207"/>
      <w:r>
        <w:rPr/>
      </w:r>
      <w:r>
        <w:rPr>
          <w:rFonts w:ascii="Times New Roman" w:hAnsi="Times New Roman" w:cs="Times New Roman" w:eastAsia="Times New Roman" w:hint="default"/>
          <w:b/>
          <w:bCs/>
          <w:sz w:val="21"/>
          <w:szCs w:val="21"/>
        </w:rPr>
        <w:t>22</w:t>
      </w:r>
      <w:r>
        <w:rPr>
          <w:rFonts w:ascii="宋体" w:hAnsi="宋体" w:cs="宋体" w:eastAsia="宋体" w:hint="default"/>
          <w:b/>
          <w:bCs/>
          <w:sz w:val="21"/>
          <w:szCs w:val="21"/>
        </w:rPr>
        <w:t>、收入</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line="357" w:lineRule="auto" w:before="0"/>
        <w:ind w:left="154" w:right="7692"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是</w:t>
      </w:r>
    </w:p>
    <w:p>
      <w:pPr>
        <w:spacing w:before="29"/>
        <w:ind w:left="154" w:right="0" w:firstLine="0"/>
        <w:jc w:val="left"/>
        <w:rPr>
          <w:rFonts w:ascii="宋体" w:hAnsi="宋体" w:cs="宋体" w:eastAsia="宋体" w:hint="default"/>
          <w:sz w:val="18"/>
          <w:szCs w:val="18"/>
        </w:rPr>
      </w:pPr>
      <w:r>
        <w:rPr>
          <w:rFonts w:ascii="宋体" w:hAnsi="宋体" w:cs="宋体" w:eastAsia="宋体" w:hint="default"/>
          <w:sz w:val="18"/>
          <w:szCs w:val="18"/>
        </w:rPr>
        <w:t>软件与信息技术服务业</w:t>
      </w:r>
    </w:p>
    <w:p>
      <w:pPr>
        <w:spacing w:before="116"/>
        <w:ind w:left="154" w:right="0" w:firstLine="0"/>
        <w:jc w:val="left"/>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上市公司从事软件与信息技术服务业务》的披露要求</w:t>
      </w:r>
    </w:p>
    <w:p>
      <w:pPr>
        <w:pStyle w:val="BodyText"/>
        <w:spacing w:line="240" w:lineRule="auto" w:before="130"/>
        <w:ind w:left="514" w:right="0"/>
        <w:jc w:val="left"/>
      </w:pPr>
      <w:r>
        <w:rPr>
          <w:rFonts w:ascii="Times New Roman" w:hAnsi="Times New Roman" w:cs="Times New Roman" w:eastAsia="Times New Roman" w:hint="default"/>
          <w:sz w:val="18"/>
          <w:szCs w:val="18"/>
        </w:rPr>
        <w:t>1</w:t>
      </w:r>
      <w:r>
        <w:rPr>
          <w:rFonts w:ascii="宋体" w:hAnsi="宋体" w:cs="宋体" w:eastAsia="宋体" w:hint="default"/>
        </w:rPr>
        <w:t>. </w:t>
      </w:r>
      <w:r>
        <w:rPr/>
        <w:t>收入确认原则</w:t>
      </w:r>
    </w:p>
    <w:p>
      <w:pPr>
        <w:spacing w:after="0" w:line="240" w:lineRule="auto"/>
        <w:jc w:val="left"/>
        <w:sectPr>
          <w:pgSz w:w="11910" w:h="16840"/>
          <w:pgMar w:header="747" w:footer="979" w:top="1060" w:bottom="1160" w:left="980" w:right="0"/>
        </w:sectPr>
      </w:pPr>
    </w:p>
    <w:p>
      <w:pPr>
        <w:spacing w:line="240" w:lineRule="auto" w:before="7"/>
        <w:rPr>
          <w:rFonts w:ascii="宋体" w:hAnsi="宋体" w:cs="宋体" w:eastAsia="宋体" w:hint="default"/>
          <w:sz w:val="29"/>
          <w:szCs w:val="29"/>
        </w:rPr>
      </w:pPr>
    </w:p>
    <w:p>
      <w:pPr>
        <w:pStyle w:val="BodyText"/>
        <w:spacing w:line="240" w:lineRule="auto" w:before="26"/>
        <w:ind w:left="634" w:right="0"/>
        <w:jc w:val="left"/>
      </w:pPr>
      <w:r>
        <w:rPr>
          <w:rFonts w:ascii="宋体" w:hAnsi="宋体" w:cs="宋体" w:eastAsia="宋体" w:hint="default"/>
        </w:rPr>
        <w:t>(1) </w:t>
      </w:r>
      <w:r>
        <w:rPr/>
        <w:t>销售商品</w:t>
      </w:r>
    </w:p>
    <w:p>
      <w:pPr>
        <w:pStyle w:val="BodyText"/>
        <w:spacing w:line="357" w:lineRule="auto" w:before="154"/>
        <w:ind w:right="1131" w:firstLine="480"/>
        <w:jc w:val="both"/>
      </w:pPr>
      <w:r>
        <w:rPr>
          <w:spacing w:val="-4"/>
        </w:rPr>
        <w:t>销售商品收入在同时满足下列条件时予以确认：</w:t>
      </w:r>
      <w:r>
        <w:rPr>
          <w:rFonts w:ascii="宋体" w:hAnsi="宋体" w:cs="宋体" w:eastAsia="宋体" w:hint="default"/>
          <w:spacing w:val="-4"/>
        </w:rPr>
        <w:t>1)</w:t>
      </w:r>
      <w:r>
        <w:rPr>
          <w:rFonts w:ascii="宋体" w:hAnsi="宋体" w:cs="宋体" w:eastAsia="宋体" w:hint="default"/>
          <w:spacing w:val="10"/>
        </w:rPr>
        <w:t> </w:t>
      </w:r>
      <w:r>
        <w:rPr/>
        <w:t>将商品所有权上的主要风险和报酬转 </w:t>
      </w:r>
      <w:r>
        <w:rPr>
          <w:spacing w:val="-6"/>
        </w:rPr>
        <w:t>移给购货方；</w:t>
      </w:r>
      <w:r>
        <w:rPr>
          <w:rFonts w:ascii="宋体" w:hAnsi="宋体" w:cs="宋体" w:eastAsia="宋体" w:hint="default"/>
          <w:spacing w:val="-6"/>
        </w:rPr>
        <w:t>2)</w:t>
      </w:r>
      <w:r>
        <w:rPr>
          <w:rFonts w:ascii="宋体" w:hAnsi="宋体" w:cs="宋体" w:eastAsia="宋体" w:hint="default"/>
          <w:spacing w:val="-33"/>
        </w:rPr>
        <w:t> </w:t>
      </w:r>
      <w:r>
        <w:rPr/>
        <w:t>公司不再保留通常与所有权相联系的继续管理权，也不再对已售出的商品实 </w:t>
      </w:r>
      <w:r>
        <w:rPr>
          <w:spacing w:val="-4"/>
        </w:rPr>
        <w:t>施有效控制；</w:t>
      </w:r>
      <w:r>
        <w:rPr>
          <w:rFonts w:ascii="宋体" w:hAnsi="宋体" w:cs="宋体" w:eastAsia="宋体" w:hint="default"/>
          <w:spacing w:val="-4"/>
        </w:rPr>
        <w:t>3) </w:t>
      </w:r>
      <w:r>
        <w:rPr/>
        <w:t>收入的金额能够可靠地计量；</w:t>
      </w:r>
      <w:r>
        <w:rPr>
          <w:rFonts w:ascii="宋体" w:hAnsi="宋体" w:cs="宋体" w:eastAsia="宋体" w:hint="default"/>
        </w:rPr>
        <w:t>4) </w:t>
      </w:r>
      <w:r>
        <w:rPr/>
        <w:t>相关的经济利益很可能流入；</w:t>
      </w:r>
      <w:r>
        <w:rPr>
          <w:rFonts w:ascii="宋体" w:hAnsi="宋体" w:cs="宋体" w:eastAsia="宋体" w:hint="default"/>
        </w:rPr>
        <w:t>5)</w:t>
      </w:r>
      <w:r>
        <w:rPr>
          <w:rFonts w:ascii="宋体" w:hAnsi="宋体" w:cs="宋体" w:eastAsia="宋体" w:hint="default"/>
          <w:spacing w:val="-47"/>
        </w:rPr>
        <w:t> </w:t>
      </w:r>
      <w:r>
        <w:rPr/>
        <w:t>相关的已 发生或将发生的成本能够可靠地计量。</w:t>
      </w:r>
    </w:p>
    <w:p>
      <w:pPr>
        <w:pStyle w:val="BodyText"/>
        <w:spacing w:line="357" w:lineRule="auto"/>
        <w:ind w:left="634" w:right="0"/>
        <w:jc w:val="left"/>
      </w:pPr>
      <w:r>
        <w:rPr>
          <w:rFonts w:ascii="宋体" w:hAnsi="宋体" w:cs="宋体" w:eastAsia="宋体" w:hint="default"/>
        </w:rPr>
        <w:t>(2) </w:t>
      </w:r>
      <w:r>
        <w:rPr/>
        <w:t>提供劳务 提供劳务交易的结果在资产负债表日能够可靠估计的（同时满足收入的金额能够可靠地</w:t>
      </w:r>
    </w:p>
    <w:p>
      <w:pPr>
        <w:pStyle w:val="BodyText"/>
        <w:spacing w:line="357" w:lineRule="auto"/>
        <w:ind w:right="1137"/>
        <w:jc w:val="both"/>
      </w:pPr>
      <w:r>
        <w:rPr/>
        <w:t>计量、相关经济利益很可能流入、交易的完工进度能够可靠地确定、交易中已发生和将发生 的成本能够可靠地计量），采用完工百分比法确认提供劳务的收入，并按已经发生的成本占 估计总成本的比例确定提供劳务交易的完工进度。提供劳务交易的结果在资产负债表日不能 够可靠估计的，若已经发生的劳务成本预计能够得到补偿，按已经发生的劳务成本金额确认 提供劳务收入，并按相同金额结转劳务成本；若已经发生的劳务成本预计不能够得到补偿， 将已经发生的劳务成本计入当期损益，不确认劳务收入。</w:t>
      </w:r>
    </w:p>
    <w:p>
      <w:pPr>
        <w:pStyle w:val="BodyText"/>
        <w:spacing w:line="357" w:lineRule="auto"/>
        <w:ind w:left="634" w:right="0"/>
        <w:jc w:val="left"/>
      </w:pPr>
      <w:r>
        <w:rPr>
          <w:rFonts w:ascii="宋体" w:hAnsi="宋体" w:cs="宋体" w:eastAsia="宋体" w:hint="default"/>
        </w:rPr>
        <w:t>(3) </w:t>
      </w:r>
      <w:r>
        <w:rPr/>
        <w:t>让渡资产使用权 让渡资产使用权在同时满足相关的经济利益很可能流入、收入金额能够可靠计量时，确</w:t>
      </w:r>
    </w:p>
    <w:p>
      <w:pPr>
        <w:pStyle w:val="BodyText"/>
        <w:spacing w:line="357" w:lineRule="auto"/>
        <w:ind w:right="1139"/>
        <w:jc w:val="both"/>
      </w:pPr>
      <w:r>
        <w:rPr/>
        <w:t>认让渡资产使用权的收入。利息收入按照他人使用本公司货币资金的时间和实际利率计算确 定；使用费收入按有关合同或协议约定的收费时间和方法计算确定。</w:t>
      </w:r>
    </w:p>
    <w:p>
      <w:pPr>
        <w:pStyle w:val="BodyText"/>
        <w:spacing w:line="357" w:lineRule="auto"/>
        <w:ind w:left="634" w:right="0"/>
        <w:jc w:val="left"/>
      </w:pPr>
      <w:r>
        <w:rPr>
          <w:rFonts w:ascii="宋体" w:hAnsi="宋体" w:cs="宋体" w:eastAsia="宋体" w:hint="default"/>
        </w:rPr>
        <w:t>2. </w:t>
      </w:r>
      <w:r>
        <w:rPr/>
        <w:t>收入确认的具体方法 公司业务主要包括智慧一卡通相关业务的系统建设、运营和维护服务、智能管控等，各</w:t>
      </w:r>
    </w:p>
    <w:p>
      <w:pPr>
        <w:pStyle w:val="BodyText"/>
        <w:spacing w:line="240" w:lineRule="auto"/>
        <w:ind w:right="0"/>
        <w:jc w:val="both"/>
      </w:pPr>
      <w:r>
        <w:rPr/>
        <w:t>类业务确认的具体方法如下：</w:t>
      </w:r>
    </w:p>
    <w:p>
      <w:pPr>
        <w:pStyle w:val="BodyText"/>
        <w:spacing w:line="357" w:lineRule="auto" w:before="154"/>
        <w:ind w:left="634" w:right="0"/>
        <w:jc w:val="left"/>
      </w:pPr>
      <w:r>
        <w:rPr>
          <w:rFonts w:ascii="宋体" w:hAnsi="宋体" w:cs="宋体" w:eastAsia="宋体" w:hint="default"/>
        </w:rPr>
        <w:t>(1) </w:t>
      </w:r>
      <w:r>
        <w:rPr/>
        <w:t>系统建设：一卡通项目设备安装及调试工作。 系统建设分为通过系统集成业务需要安装的产品销售以及单独的产品销售两种方式。通</w:t>
      </w:r>
    </w:p>
    <w:p>
      <w:pPr>
        <w:pStyle w:val="BodyText"/>
        <w:spacing w:line="357" w:lineRule="auto"/>
        <w:ind w:right="1133"/>
        <w:jc w:val="both"/>
      </w:pPr>
      <w:r>
        <w:rPr>
          <w:spacing w:val="6"/>
        </w:rPr>
        <w:t>过系统集成业务需要安装的产品销售在项目已实际完工并取得项目调试验收报告时确认收</w:t>
      </w:r>
      <w:r>
        <w:rPr>
          <w:spacing w:val="-86"/>
        </w:rPr>
        <w:t> </w:t>
      </w:r>
      <w:r>
        <w:rPr>
          <w:spacing w:val="-86"/>
        </w:rPr>
      </w:r>
      <w:r>
        <w:rPr/>
        <w:t>入；单独的产品销售，一般不需安装，在完成产品交付时确认收入。</w:t>
      </w:r>
    </w:p>
    <w:p>
      <w:pPr>
        <w:pStyle w:val="BodyText"/>
        <w:spacing w:line="240" w:lineRule="auto"/>
        <w:ind w:left="634" w:right="0"/>
        <w:jc w:val="left"/>
      </w:pPr>
      <w:r>
        <w:rPr>
          <w:rFonts w:ascii="宋体" w:hAnsi="宋体" w:cs="宋体" w:eastAsia="宋体" w:hint="default"/>
        </w:rPr>
        <w:t>(2) </w:t>
      </w:r>
      <w:r>
        <w:rPr/>
        <w:t>运营与维护</w:t>
      </w:r>
    </w:p>
    <w:p>
      <w:pPr>
        <w:pStyle w:val="BodyText"/>
        <w:spacing w:line="357" w:lineRule="auto" w:before="154"/>
        <w:ind w:right="996" w:firstLine="480"/>
        <w:jc w:val="left"/>
      </w:pPr>
      <w:r>
        <w:rPr>
          <w:rFonts w:ascii="宋体" w:hAnsi="宋体" w:cs="宋体" w:eastAsia="宋体" w:hint="default"/>
        </w:rPr>
        <w:t>1)</w:t>
      </w:r>
      <w:r>
        <w:rPr>
          <w:rFonts w:ascii="宋体" w:hAnsi="宋体" w:cs="宋体" w:eastAsia="宋体" w:hint="default"/>
          <w:spacing w:val="24"/>
        </w:rPr>
        <w:t> </w:t>
      </w:r>
      <w:r>
        <w:rPr>
          <w:spacing w:val="-6"/>
        </w:rPr>
        <w:t>维护服务：公司在一卡通系统项目建设完毕后，在非质保期内或非质保范围内发生的、</w:t>
      </w:r>
      <w:r>
        <w:rPr/>
        <w:t> 为保证系统的正常运行而提供的维护服务，根据与客户签署的服务协议，按照规定的服务期</w:t>
      </w:r>
      <w:r>
        <w:rPr>
          <w:spacing w:val="-117"/>
        </w:rPr>
        <w:t> </w:t>
      </w:r>
      <w:r>
        <w:rPr>
          <w:spacing w:val="-117"/>
        </w:rPr>
      </w:r>
      <w:r>
        <w:rPr/>
        <w:t>限分摊确认收入。</w:t>
      </w:r>
    </w:p>
    <w:p>
      <w:pPr>
        <w:pStyle w:val="BodyText"/>
        <w:spacing w:line="240" w:lineRule="auto"/>
        <w:ind w:left="634" w:right="0"/>
        <w:jc w:val="left"/>
      </w:pPr>
      <w:r>
        <w:rPr>
          <w:rFonts w:ascii="宋体" w:hAnsi="宋体" w:cs="宋体" w:eastAsia="宋体" w:hint="default"/>
        </w:rPr>
        <w:t>2) </w:t>
      </w:r>
      <w:r>
        <w:rPr/>
        <w:t>运营增值</w:t>
      </w:r>
      <w:r>
        <w:rPr>
          <w:spacing w:val="-101"/>
        </w:rPr>
        <w:t>：</w:t>
      </w:r>
      <w:r>
        <w:rPr/>
        <w:t>公司与基础运营商等签订运营增值业务合作协议</w:t>
      </w:r>
      <w:r>
        <w:rPr>
          <w:spacing w:val="-101"/>
        </w:rPr>
        <w:t>，</w:t>
      </w:r>
      <w:r>
        <w:rPr/>
        <w:t>根据运营商等使用数据，</w:t>
      </w:r>
    </w:p>
    <w:p>
      <w:pPr>
        <w:spacing w:after="0" w:line="240" w:lineRule="auto"/>
        <w:jc w:val="left"/>
        <w:sectPr>
          <w:pgSz w:w="11910" w:h="16840"/>
          <w:pgMar w:header="747" w:footer="979" w:top="1060" w:bottom="1160" w:left="980" w:right="0"/>
        </w:sectPr>
      </w:pPr>
    </w:p>
    <w:p>
      <w:pPr>
        <w:spacing w:line="240" w:lineRule="auto" w:before="7"/>
        <w:rPr>
          <w:rFonts w:ascii="宋体" w:hAnsi="宋体" w:cs="宋体" w:eastAsia="宋体" w:hint="default"/>
          <w:sz w:val="29"/>
          <w:szCs w:val="29"/>
        </w:rPr>
      </w:pPr>
    </w:p>
    <w:p>
      <w:pPr>
        <w:pStyle w:val="BodyText"/>
        <w:spacing w:line="240" w:lineRule="auto" w:before="26"/>
        <w:ind w:right="0"/>
        <w:jc w:val="both"/>
      </w:pPr>
      <w:r>
        <w:rPr/>
        <w:t>以及事先确定的结算方式确认收入。</w:t>
      </w:r>
    </w:p>
    <w:p>
      <w:pPr>
        <w:pStyle w:val="BodyText"/>
        <w:spacing w:line="357" w:lineRule="auto" w:before="154"/>
        <w:ind w:right="0" w:firstLine="480"/>
        <w:jc w:val="left"/>
      </w:pPr>
      <w:r>
        <w:rPr>
          <w:rFonts w:ascii="宋体" w:hAnsi="宋体" w:cs="宋体" w:eastAsia="宋体" w:hint="default"/>
        </w:rPr>
        <w:t>(3)</w:t>
      </w:r>
      <w:r>
        <w:rPr>
          <w:rFonts w:ascii="宋体" w:hAnsi="宋体" w:cs="宋体" w:eastAsia="宋体" w:hint="default"/>
          <w:spacing w:val="4"/>
        </w:rPr>
        <w:t> </w:t>
      </w:r>
      <w:r>
        <w:rPr/>
        <w:t>智能管控：公司在一卡通系统建设中进行与之相关的弱电工程业务，在项目已实际 完工并取得项目调试验收报告时确认收入。</w:t>
      </w:r>
    </w:p>
    <w:p>
      <w:pPr>
        <w:spacing w:line="240" w:lineRule="auto" w:before="8"/>
        <w:rPr>
          <w:rFonts w:ascii="宋体" w:hAnsi="宋体" w:cs="宋体" w:eastAsia="宋体" w:hint="default"/>
          <w:sz w:val="21"/>
          <w:szCs w:val="21"/>
        </w:rPr>
      </w:pPr>
    </w:p>
    <w:p>
      <w:pPr>
        <w:spacing w:before="0"/>
        <w:ind w:left="154" w:right="0" w:firstLine="0"/>
        <w:jc w:val="both"/>
        <w:rPr>
          <w:rFonts w:ascii="宋体" w:hAnsi="宋体" w:cs="宋体" w:eastAsia="宋体" w:hint="default"/>
          <w:sz w:val="21"/>
          <w:szCs w:val="21"/>
        </w:rPr>
      </w:pPr>
      <w:bookmarkStart w:name="23、政府补助" w:id="208"/>
      <w:bookmarkEnd w:id="208"/>
      <w:r>
        <w:rPr/>
      </w:r>
      <w:r>
        <w:rPr>
          <w:rFonts w:ascii="Times New Roman" w:hAnsi="Times New Roman" w:cs="Times New Roman" w:eastAsia="Times New Roman" w:hint="default"/>
          <w:b/>
          <w:bCs/>
          <w:sz w:val="21"/>
          <w:szCs w:val="21"/>
        </w:rPr>
        <w:t>23</w:t>
      </w:r>
      <w:r>
        <w:rPr>
          <w:rFonts w:ascii="宋体" w:hAnsi="宋体" w:cs="宋体" w:eastAsia="宋体" w:hint="default"/>
          <w:b/>
          <w:bCs/>
          <w:sz w:val="21"/>
          <w:szCs w:val="21"/>
        </w:rPr>
        <w:t>、政府补助</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240" w:lineRule="auto" w:before="0"/>
        <w:ind w:left="634" w:right="0"/>
        <w:jc w:val="left"/>
      </w:pPr>
      <w:r>
        <w:rPr>
          <w:rFonts w:ascii="宋体" w:hAnsi="宋体" w:cs="宋体" w:eastAsia="宋体" w:hint="default"/>
        </w:rPr>
        <w:t>1. </w:t>
      </w:r>
      <w:r>
        <w:rPr/>
        <w:t>政府补助在同时满足下列条件时予以确认：</w:t>
      </w:r>
      <w:r>
        <w:rPr>
          <w:rFonts w:ascii="宋体" w:hAnsi="宋体" w:cs="宋体" w:eastAsia="宋体" w:hint="default"/>
        </w:rPr>
        <w:t>(1) </w:t>
      </w:r>
      <w:r>
        <w:rPr/>
        <w:t>公司能够满足政府补助所附的条件；</w:t>
      </w:r>
    </w:p>
    <w:p>
      <w:pPr>
        <w:pStyle w:val="BodyText"/>
        <w:spacing w:line="357" w:lineRule="auto" w:before="154"/>
        <w:ind w:right="0"/>
        <w:jc w:val="left"/>
      </w:pPr>
      <w:r>
        <w:rPr>
          <w:rFonts w:ascii="宋体" w:hAnsi="宋体" w:cs="宋体" w:eastAsia="宋体" w:hint="default"/>
        </w:rPr>
        <w:t>(2)</w:t>
      </w:r>
      <w:r>
        <w:rPr>
          <w:rFonts w:ascii="宋体" w:hAnsi="宋体" w:cs="宋体" w:eastAsia="宋体" w:hint="default"/>
          <w:spacing w:val="1"/>
        </w:rPr>
        <w:t> </w:t>
      </w:r>
      <w:r>
        <w:rPr/>
        <w:t>公司能够收到政府补助。政府补助为货币性资产的，按照收到或应收的金额计量。政府 </w:t>
      </w:r>
      <w:r>
        <w:rPr>
          <w:spacing w:val="-3"/>
        </w:rPr>
        <w:t>补助为非货币性资产的，按照公允价值计量；公允价值不能可靠取得的，按照名义金额计量。</w:t>
      </w:r>
    </w:p>
    <w:p>
      <w:pPr>
        <w:pStyle w:val="BodyText"/>
        <w:spacing w:line="357" w:lineRule="auto"/>
        <w:ind w:left="634" w:right="0"/>
        <w:jc w:val="left"/>
      </w:pPr>
      <w:r>
        <w:rPr>
          <w:rFonts w:ascii="宋体" w:hAnsi="宋体" w:cs="宋体" w:eastAsia="宋体" w:hint="default"/>
        </w:rPr>
        <w:t>2. </w:t>
      </w:r>
      <w:r>
        <w:rPr/>
        <w:t>与资产相关的政府补助判断依据及会计处理方法 政府文件规定用于购建或以其他方式形成长期资产的政府补助划分为与资产相关的政府</w:t>
      </w:r>
    </w:p>
    <w:p>
      <w:pPr>
        <w:pStyle w:val="BodyText"/>
        <w:spacing w:line="357" w:lineRule="auto"/>
        <w:ind w:right="1132"/>
        <w:jc w:val="both"/>
      </w:pPr>
      <w:r>
        <w:rPr/>
        <w:t>补助。政府文件不明确的，以取得该补助必须具备的基本条件为基础进行判断，以购建或其 他方式形成长期资产为基本条件的作为与资产相关的政府补助。与资产相关的政府补助，冲 减相关资产的账面价值或确认为递延收益。与资产相关的政府补助确认为递延收益的，在相 关资产使用寿命内按照合理、系统的方法分期计入损益。按照名义金额计量的政府补助，直</w:t>
      </w:r>
      <w:r>
        <w:rPr>
          <w:spacing w:val="-112"/>
        </w:rPr>
        <w:t> </w:t>
      </w:r>
      <w:r>
        <w:rPr>
          <w:spacing w:val="-112"/>
        </w:rPr>
      </w:r>
      <w:r>
        <w:rPr/>
        <w:t>接计入当期损益。相关资产在使用寿命结束前被出售、转让、报废或发生毁损的，将尚未分 配的相关递延收益余额转入资产处置当期的损益。</w:t>
      </w:r>
    </w:p>
    <w:p>
      <w:pPr>
        <w:pStyle w:val="BodyText"/>
        <w:spacing w:line="357" w:lineRule="auto"/>
        <w:ind w:left="634" w:right="0"/>
        <w:jc w:val="left"/>
      </w:pPr>
      <w:r>
        <w:rPr>
          <w:rFonts w:ascii="宋体" w:hAnsi="宋体" w:cs="宋体" w:eastAsia="宋体" w:hint="default"/>
        </w:rPr>
        <w:t>3. </w:t>
      </w:r>
      <w:r>
        <w:rPr/>
        <w:t>与收益相关的政府补助判断依据及会计处理方法 除与资产相关的政府补助之外的政府补助划分为与收益相关的政府补助。对于同时包含</w:t>
      </w:r>
    </w:p>
    <w:p>
      <w:pPr>
        <w:pStyle w:val="BodyText"/>
        <w:spacing w:line="357" w:lineRule="auto"/>
        <w:ind w:right="1139"/>
        <w:jc w:val="both"/>
      </w:pPr>
      <w:r>
        <w:rPr/>
        <w:t>与资产相关部分和与收益相关部分的政府补助，难以区分与资产相关或与收益相关的，整体 归类为与收益相关的政府补助。与收益相关的政府补助，用于补偿以后期间的相关成本费用 或损失的，确认为递延收益，在确认相关成本费用或损失的期间，计入当期损益或冲减相关 成本；用于补偿已发生的相关成本费用或损失的，直接计入当期损益或冲减相关成本。</w:t>
      </w:r>
    </w:p>
    <w:p>
      <w:pPr>
        <w:pStyle w:val="BodyText"/>
        <w:spacing w:line="357" w:lineRule="auto"/>
        <w:ind w:right="1116" w:firstLine="480"/>
        <w:jc w:val="left"/>
      </w:pPr>
      <w:r>
        <w:rPr>
          <w:rFonts w:ascii="宋体" w:hAnsi="宋体" w:cs="宋体" w:eastAsia="宋体" w:hint="default"/>
        </w:rPr>
        <w:t>4.</w:t>
      </w:r>
      <w:r>
        <w:rPr>
          <w:rFonts w:ascii="宋体" w:hAnsi="宋体" w:cs="宋体" w:eastAsia="宋体" w:hint="default"/>
          <w:spacing w:val="27"/>
        </w:rPr>
        <w:t> </w:t>
      </w:r>
      <w:r>
        <w:rPr>
          <w:spacing w:val="-3"/>
        </w:rPr>
        <w:t>与公司日常经营活动相关的政府补助，按照经济业务实质，计入其他收益或冲减相关</w:t>
      </w:r>
      <w:r>
        <w:rPr/>
        <w:t> 成本费用。与公司日常活动无关的政府补助，计入营业外收支。</w:t>
      </w:r>
    </w:p>
    <w:p>
      <w:pPr>
        <w:pStyle w:val="BodyText"/>
        <w:spacing w:line="240" w:lineRule="auto"/>
        <w:ind w:left="634" w:right="0"/>
        <w:jc w:val="left"/>
      </w:pPr>
      <w:r>
        <w:rPr>
          <w:rFonts w:ascii="宋体" w:hAnsi="宋体" w:cs="宋体" w:eastAsia="宋体" w:hint="default"/>
        </w:rPr>
        <w:t>5. </w:t>
      </w:r>
      <w:r>
        <w:rPr/>
        <w:t>政策性优惠贷款贴息的会计处理方法</w:t>
      </w:r>
    </w:p>
    <w:p>
      <w:pPr>
        <w:pStyle w:val="BodyText"/>
        <w:spacing w:line="357" w:lineRule="auto" w:before="154"/>
        <w:ind w:right="996" w:firstLine="480"/>
        <w:jc w:val="left"/>
      </w:pPr>
      <w:r>
        <w:rPr>
          <w:rFonts w:ascii="宋体" w:hAnsi="宋体" w:cs="宋体" w:eastAsia="宋体" w:hint="default"/>
        </w:rPr>
        <w:t>(1)</w:t>
      </w:r>
      <w:r>
        <w:rPr>
          <w:rFonts w:ascii="宋体" w:hAnsi="宋体" w:cs="宋体" w:eastAsia="宋体" w:hint="default"/>
          <w:spacing w:val="27"/>
        </w:rPr>
        <w:t> </w:t>
      </w:r>
      <w:r>
        <w:rPr>
          <w:spacing w:val="-3"/>
        </w:rPr>
        <w:t>财政将贴息资金拨付给贷款银行，由贷款银行以政策性优惠利率向公司提供贷款的，</w:t>
      </w:r>
      <w:r>
        <w:rPr/>
        <w:t> 以实际收到的借款金额作为借款的入账价值，按照借款本金和该政策性优惠利率计算相关借 款费用。</w:t>
      </w:r>
    </w:p>
    <w:p>
      <w:pPr>
        <w:pStyle w:val="BodyText"/>
        <w:spacing w:line="240" w:lineRule="auto"/>
        <w:ind w:left="634" w:right="0"/>
        <w:jc w:val="left"/>
      </w:pPr>
      <w:r>
        <w:rPr>
          <w:rFonts w:ascii="宋体" w:hAnsi="宋体" w:cs="宋体" w:eastAsia="宋体" w:hint="default"/>
        </w:rPr>
        <w:t>(2) </w:t>
      </w:r>
      <w:r>
        <w:rPr/>
        <w:t>财政将贴息资金直接拨付给公司的，将对应的贴息冲减相关借款费用。</w:t>
      </w:r>
    </w:p>
    <w:p>
      <w:pPr>
        <w:spacing w:after="0" w:line="240"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spacing w:before="35"/>
        <w:ind w:left="154" w:right="0" w:firstLine="0"/>
        <w:jc w:val="left"/>
        <w:rPr>
          <w:rFonts w:ascii="宋体" w:hAnsi="宋体" w:cs="宋体" w:eastAsia="宋体" w:hint="default"/>
          <w:sz w:val="21"/>
          <w:szCs w:val="21"/>
        </w:rPr>
      </w:pPr>
      <w:bookmarkStart w:name="24、递延所得税资产/递延所得税负债" w:id="209"/>
      <w:bookmarkEnd w:id="209"/>
      <w:r>
        <w:rPr/>
      </w:r>
      <w:r>
        <w:rPr>
          <w:rFonts w:ascii="Times New Roman" w:hAnsi="Times New Roman" w:cs="Times New Roman" w:eastAsia="Times New Roman" w:hint="default"/>
          <w:b/>
          <w:bCs/>
          <w:sz w:val="21"/>
          <w:szCs w:val="21"/>
        </w:rPr>
        <w:t>24</w:t>
      </w:r>
      <w:r>
        <w:rPr>
          <w:rFonts w:ascii="宋体" w:hAnsi="宋体" w:cs="宋体" w:eastAsia="宋体" w:hint="default"/>
          <w:b/>
          <w:bCs/>
          <w:sz w:val="21"/>
          <w:szCs w:val="21"/>
        </w:rPr>
        <w:t>、递延所得税资产</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递延所得税负债</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357" w:lineRule="auto" w:before="0"/>
        <w:ind w:right="1131" w:firstLine="480"/>
        <w:jc w:val="both"/>
      </w:pPr>
      <w:r>
        <w:rPr>
          <w:rFonts w:ascii="宋体" w:hAnsi="宋体" w:cs="宋体" w:eastAsia="宋体" w:hint="default"/>
        </w:rPr>
        <w:t>1.</w:t>
      </w:r>
      <w:r>
        <w:rPr>
          <w:rFonts w:ascii="宋体" w:hAnsi="宋体" w:cs="宋体" w:eastAsia="宋体" w:hint="default"/>
          <w:spacing w:val="27"/>
        </w:rPr>
        <w:t> </w:t>
      </w:r>
      <w:r>
        <w:rPr>
          <w:spacing w:val="-3"/>
        </w:rPr>
        <w:t>根据资产、负债的账面价值与其计税基础之间的差额（未作为资产和负债确认的项目</w:t>
      </w:r>
      <w:r>
        <w:rPr/>
        <w:t> 按照税法规定可以确定其计税基础的，该计税基础与其账面数之间的差额），按照预期收回 该资产或清偿该负债期间的适用税率计算确认递延所得税资产或递延所得税负债。</w:t>
      </w:r>
    </w:p>
    <w:p>
      <w:pPr>
        <w:pStyle w:val="BodyText"/>
        <w:spacing w:line="357" w:lineRule="auto"/>
        <w:ind w:right="1032" w:firstLine="480"/>
        <w:jc w:val="left"/>
      </w:pPr>
      <w:r>
        <w:rPr>
          <w:rFonts w:ascii="宋体" w:hAnsi="宋体" w:cs="宋体" w:eastAsia="宋体" w:hint="default"/>
        </w:rPr>
        <w:t>2. </w:t>
      </w:r>
      <w:r>
        <w:rPr/>
        <w:t>确认递延所得税资产以很可能取得用来抵扣可抵扣暂时性差异的应纳税所得额为限。 资产负债表日，有确凿证据表明未来期间很可能获得足够的应纳税所得额用来抵扣可抵扣暂 时性差异的，确认以前会计期间未确认的递延所得税资产。</w:t>
      </w:r>
    </w:p>
    <w:p>
      <w:pPr>
        <w:pStyle w:val="BodyText"/>
        <w:spacing w:line="357" w:lineRule="auto"/>
        <w:ind w:right="994" w:firstLine="480"/>
        <w:jc w:val="left"/>
      </w:pPr>
      <w:r>
        <w:rPr>
          <w:rFonts w:ascii="宋体" w:hAnsi="宋体" w:cs="宋体" w:eastAsia="宋体" w:hint="default"/>
        </w:rPr>
        <w:t>3.</w:t>
      </w:r>
      <w:r>
        <w:rPr>
          <w:rFonts w:ascii="宋体" w:hAnsi="宋体" w:cs="宋体" w:eastAsia="宋体" w:hint="default"/>
          <w:spacing w:val="14"/>
        </w:rPr>
        <w:t> </w:t>
      </w:r>
      <w:r>
        <w:rPr>
          <w:spacing w:val="-3"/>
        </w:rPr>
        <w:t>资产负债表日，对递延所得税资产的账面价值进行复核，如果未来期间很可能无法获</w:t>
      </w:r>
      <w:r>
        <w:rPr/>
        <w:t> </w:t>
      </w:r>
      <w:r>
        <w:rPr>
          <w:spacing w:val="-2"/>
        </w:rPr>
        <w:t>得足够的应纳税所得额用以抵扣递延所得税资产的利益，则减记递延所得税资产的账面价值。</w:t>
      </w:r>
      <w:r>
        <w:rPr/>
        <w:t> 在很可能获得足够的应纳税所得额时，转回减记的金额。</w:t>
      </w:r>
    </w:p>
    <w:p>
      <w:pPr>
        <w:pStyle w:val="BodyText"/>
        <w:spacing w:line="357" w:lineRule="auto"/>
        <w:ind w:right="1116" w:firstLine="480"/>
        <w:jc w:val="left"/>
      </w:pPr>
      <w:r>
        <w:rPr>
          <w:rFonts w:ascii="宋体" w:hAnsi="宋体" w:cs="宋体" w:eastAsia="宋体" w:hint="default"/>
        </w:rPr>
        <w:t>4.</w:t>
      </w:r>
      <w:r>
        <w:rPr>
          <w:rFonts w:ascii="宋体" w:hAnsi="宋体" w:cs="宋体" w:eastAsia="宋体" w:hint="default"/>
          <w:spacing w:val="27"/>
        </w:rPr>
        <w:t> </w:t>
      </w:r>
      <w:r>
        <w:rPr>
          <w:spacing w:val="-3"/>
        </w:rPr>
        <w:t>公司当期所得税和递延所得税作为所得税费用或收益计入当期损益，但不包括下列情</w:t>
      </w:r>
      <w:r>
        <w:rPr/>
        <w:t> 况产生的所得税：</w:t>
      </w:r>
      <w:r>
        <w:rPr>
          <w:rFonts w:ascii="宋体" w:hAnsi="宋体" w:cs="宋体" w:eastAsia="宋体" w:hint="default"/>
        </w:rPr>
        <w:t>(1) </w:t>
      </w:r>
      <w:r>
        <w:rPr/>
        <w:t>企业合并；</w:t>
      </w:r>
      <w:r>
        <w:rPr>
          <w:rFonts w:ascii="宋体" w:hAnsi="宋体" w:cs="宋体" w:eastAsia="宋体" w:hint="default"/>
        </w:rPr>
        <w:t>(2) </w:t>
      </w:r>
      <w:r>
        <w:rPr/>
        <w:t>直接在所有者权益中确认的交易或者事项。</w:t>
      </w:r>
    </w:p>
    <w:p>
      <w:pPr>
        <w:spacing w:line="240" w:lineRule="auto" w:before="8"/>
        <w:rPr>
          <w:rFonts w:ascii="宋体" w:hAnsi="宋体" w:cs="宋体" w:eastAsia="宋体" w:hint="default"/>
          <w:sz w:val="21"/>
          <w:szCs w:val="21"/>
        </w:rPr>
      </w:pPr>
    </w:p>
    <w:p>
      <w:pPr>
        <w:spacing w:before="0"/>
        <w:ind w:left="154" w:right="0" w:firstLine="0"/>
        <w:jc w:val="left"/>
        <w:rPr>
          <w:rFonts w:ascii="宋体" w:hAnsi="宋体" w:cs="宋体" w:eastAsia="宋体" w:hint="default"/>
          <w:sz w:val="21"/>
          <w:szCs w:val="21"/>
        </w:rPr>
      </w:pPr>
      <w:bookmarkStart w:name="25、租赁" w:id="210"/>
      <w:bookmarkEnd w:id="210"/>
      <w:r>
        <w:rPr/>
      </w:r>
      <w:r>
        <w:rPr>
          <w:rFonts w:ascii="Times New Roman" w:hAnsi="Times New Roman" w:cs="Times New Roman" w:eastAsia="Times New Roman" w:hint="default"/>
          <w:b/>
          <w:bCs/>
          <w:sz w:val="21"/>
          <w:szCs w:val="21"/>
        </w:rPr>
        <w:t>25</w:t>
      </w:r>
      <w:r>
        <w:rPr>
          <w:rFonts w:ascii="宋体" w:hAnsi="宋体" w:cs="宋体" w:eastAsia="宋体" w:hint="default"/>
          <w:b/>
          <w:bCs/>
          <w:sz w:val="21"/>
          <w:szCs w:val="21"/>
        </w:rPr>
        <w:t>、租赁</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bookmarkStart w:name="（1）经营租赁的会计处理方法" w:id="211"/>
      <w:bookmarkEnd w:id="21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）经营租赁的会计处理方法</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357" w:lineRule="auto" w:before="0"/>
        <w:ind w:right="1139" w:firstLine="480"/>
        <w:jc w:val="right"/>
      </w:pPr>
      <w:r>
        <w:rPr/>
        <w:t>公司为承租人时，在租赁期内各个期间按照直线法将租金计入相关资产成本或确认为当 期损益，发生的初始直接费用，直接计入当期损益。或有租金在实际发生时计入当期损益。 公司为出租人时，在租赁期内各个期间按照直线法将租金确认为当期损益，发生的初始 直接费用，除金额较大的予以资本化并分期计入损益外，均直接计入当期损益。或有租金在</w:t>
      </w:r>
    </w:p>
    <w:p>
      <w:pPr>
        <w:pStyle w:val="BodyText"/>
        <w:spacing w:line="240" w:lineRule="auto"/>
        <w:ind w:right="0"/>
        <w:jc w:val="left"/>
      </w:pPr>
      <w:r>
        <w:rPr/>
        <w:t>实际发生时计入当期损益。</w:t>
      </w:r>
    </w:p>
    <w:p>
      <w:pPr>
        <w:spacing w:line="240" w:lineRule="auto" w:before="8"/>
        <w:rPr>
          <w:rFonts w:ascii="宋体" w:hAnsi="宋体" w:cs="宋体" w:eastAsia="宋体" w:hint="default"/>
          <w:sz w:val="30"/>
          <w:szCs w:val="30"/>
        </w:rPr>
      </w:pPr>
    </w:p>
    <w:p>
      <w:pPr>
        <w:spacing w:before="0"/>
        <w:ind w:left="154" w:right="0" w:firstLine="0"/>
        <w:jc w:val="left"/>
        <w:rPr>
          <w:rFonts w:ascii="宋体" w:hAnsi="宋体" w:cs="宋体" w:eastAsia="宋体" w:hint="default"/>
          <w:sz w:val="21"/>
          <w:szCs w:val="21"/>
        </w:rPr>
      </w:pPr>
      <w:bookmarkStart w:name="26、 分部报告" w:id="212"/>
      <w:bookmarkEnd w:id="212"/>
      <w:r>
        <w:rPr/>
      </w:r>
      <w:r>
        <w:rPr>
          <w:rFonts w:ascii="Times New Roman" w:hAnsi="Times New Roman" w:cs="Times New Roman" w:eastAsia="Times New Roman" w:hint="default"/>
          <w:b/>
          <w:bCs/>
          <w:sz w:val="21"/>
          <w:szCs w:val="21"/>
        </w:rPr>
        <w:t>26</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分部报告</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357" w:lineRule="auto" w:before="0"/>
        <w:ind w:right="0" w:firstLine="480"/>
        <w:jc w:val="left"/>
      </w:pPr>
      <w:r>
        <w:rPr/>
        <w:t>公司以内部组织结构、管理要求、内部报告制度等为依据确定经营分部。公司的经营分 部是指同时满足下列条件的组成部分：</w:t>
      </w:r>
    </w:p>
    <w:p>
      <w:pPr>
        <w:pStyle w:val="BodyText"/>
        <w:spacing w:line="240" w:lineRule="auto"/>
        <w:ind w:left="634" w:right="0"/>
        <w:jc w:val="left"/>
      </w:pPr>
      <w:r>
        <w:rPr>
          <w:rFonts w:ascii="宋体" w:hAnsi="宋体" w:cs="宋体" w:eastAsia="宋体" w:hint="default"/>
        </w:rPr>
        <w:t>1.</w:t>
      </w:r>
      <w:r>
        <w:rPr/>
        <w:t>该组成部分能够在日常活动中产生收入、发生费用；</w:t>
      </w:r>
    </w:p>
    <w:p>
      <w:pPr>
        <w:pStyle w:val="BodyText"/>
        <w:spacing w:line="240" w:lineRule="auto" w:before="154"/>
        <w:ind w:left="634" w:right="0"/>
        <w:jc w:val="left"/>
      </w:pPr>
      <w:r>
        <w:rPr>
          <w:rFonts w:ascii="宋体" w:hAnsi="宋体" w:cs="宋体" w:eastAsia="宋体" w:hint="default"/>
        </w:rPr>
        <w:t>2.</w:t>
      </w:r>
      <w:r>
        <w:rPr/>
        <w:t>管理层能够定期评价该组成部分的经营成果，以决定向其配置资源、评价其业绩；</w:t>
      </w:r>
    </w:p>
    <w:p>
      <w:pPr>
        <w:pStyle w:val="BodyText"/>
        <w:spacing w:line="240" w:lineRule="auto" w:before="154"/>
        <w:ind w:left="634" w:right="0"/>
        <w:jc w:val="left"/>
      </w:pPr>
      <w:r>
        <w:rPr>
          <w:rFonts w:ascii="宋体" w:hAnsi="宋体" w:cs="宋体" w:eastAsia="宋体" w:hint="default"/>
        </w:rPr>
        <w:t>3.</w:t>
      </w:r>
      <w:r>
        <w:rPr/>
        <w:t>能够通过分析取得该组成部分的财务状况、经营成果和现金流量等有关会计信息。</w:t>
      </w:r>
    </w:p>
    <w:p>
      <w:pPr>
        <w:spacing w:after="0" w:line="240"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spacing w:before="35"/>
        <w:ind w:left="194" w:right="472" w:firstLine="0"/>
        <w:jc w:val="left"/>
        <w:rPr>
          <w:rFonts w:ascii="宋体" w:hAnsi="宋体" w:cs="宋体" w:eastAsia="宋体" w:hint="default"/>
          <w:sz w:val="21"/>
          <w:szCs w:val="21"/>
        </w:rPr>
      </w:pPr>
      <w:bookmarkStart w:name="27、重要会计政策和会计估计变更" w:id="213"/>
      <w:bookmarkEnd w:id="213"/>
      <w:r>
        <w:rPr/>
      </w:r>
      <w:r>
        <w:rPr>
          <w:rFonts w:ascii="Times New Roman" w:hAnsi="Times New Roman" w:cs="Times New Roman" w:eastAsia="Times New Roman" w:hint="default"/>
          <w:b/>
          <w:bCs/>
          <w:sz w:val="21"/>
          <w:szCs w:val="21"/>
        </w:rPr>
        <w:t>27</w:t>
      </w:r>
      <w:r>
        <w:rPr>
          <w:rFonts w:ascii="宋体" w:hAnsi="宋体" w:cs="宋体" w:eastAsia="宋体" w:hint="default"/>
          <w:b/>
          <w:bCs/>
          <w:sz w:val="21"/>
          <w:szCs w:val="21"/>
        </w:rPr>
        <w:t>、重要会计政策和会计估计变更</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94" w:right="472" w:firstLine="0"/>
        <w:jc w:val="left"/>
        <w:rPr>
          <w:rFonts w:ascii="宋体" w:hAnsi="宋体" w:cs="宋体" w:eastAsia="宋体" w:hint="default"/>
          <w:sz w:val="21"/>
          <w:szCs w:val="21"/>
        </w:rPr>
      </w:pPr>
      <w:bookmarkStart w:name="（1）重要会计政策变更" w:id="214"/>
      <w:bookmarkEnd w:id="21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）重要会计政策变更</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94" w:right="4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89" w:type="dxa"/>
        <w:tblLayout w:type="fixed"/>
        <w:tblCellMar>
          <w:top w:w="0" w:type="dxa"/>
          <w:left w:w="0" w:type="dxa"/>
          <w:bottom w:w="0" w:type="dxa"/>
          <w:right w:w="0" w:type="dxa"/>
        </w:tblCellMar>
        <w:tblLook w:val="01E0"/>
      </w:tblPr>
      <w:tblGrid>
        <w:gridCol w:w="3191"/>
        <w:gridCol w:w="3190"/>
        <w:gridCol w:w="3189"/>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0"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1650"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20"/>
              <w:jc w:val="both"/>
              <w:rPr>
                <w:rFonts w:ascii="宋体" w:hAnsi="宋体" w:cs="宋体" w:eastAsia="宋体" w:hint="default"/>
                <w:sz w:val="18"/>
                <w:szCs w:val="18"/>
              </w:rPr>
            </w:pPr>
            <w:r>
              <w:rPr>
                <w:rFonts w:ascii="宋体" w:hAnsi="宋体" w:cs="宋体" w:eastAsia="宋体" w:hint="default"/>
                <w:sz w:val="18"/>
                <w:szCs w:val="18"/>
              </w:rPr>
              <w:t>本公司根据《财政部关于修订印发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年度一般企业财务报表格式的通知》</w:t>
            </w:r>
            <w:r>
              <w:rPr>
                <w:rFonts w:ascii="Times New Roman" w:hAnsi="Times New Roman" w:cs="Times New Roman" w:eastAsia="Times New Roman" w:hint="default"/>
                <w:sz w:val="18"/>
                <w:szCs w:val="18"/>
              </w:rPr>
              <w:t>(</w:t>
            </w:r>
            <w:r>
              <w:rPr>
                <w:rFonts w:ascii="宋体" w:hAnsi="宋体" w:cs="宋体" w:eastAsia="宋体" w:hint="default"/>
                <w:sz w:val="18"/>
                <w:szCs w:val="18"/>
              </w:rPr>
              <w:t>财 </w:t>
            </w:r>
            <w:r>
              <w:rPr>
                <w:rFonts w:ascii="宋体" w:hAnsi="宋体" w:cs="宋体" w:eastAsia="宋体" w:hint="default"/>
                <w:spacing w:val="-4"/>
                <w:sz w:val="18"/>
                <w:szCs w:val="18"/>
              </w:rPr>
              <w:t>会〔</w:t>
            </w:r>
            <w:r>
              <w:rPr>
                <w:rFonts w:ascii="Times New Roman" w:hAnsi="Times New Roman" w:cs="Times New Roman" w:eastAsia="Times New Roman" w:hint="default"/>
                <w:spacing w:val="-4"/>
                <w:sz w:val="18"/>
                <w:szCs w:val="18"/>
              </w:rPr>
              <w:t>2018</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及其解读和企业会计准 则的要求编制</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年度财务报表，此项 会计政策变更采用追溯调整法。</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2" w:right="95"/>
              <w:jc w:val="left"/>
              <w:rPr>
                <w:rFonts w:ascii="宋体" w:hAnsi="宋体" w:cs="宋体" w:eastAsia="宋体" w:hint="default"/>
                <w:sz w:val="18"/>
                <w:szCs w:val="18"/>
              </w:rPr>
            </w:pPr>
            <w:r>
              <w:rPr>
                <w:rFonts w:ascii="宋体" w:hAnsi="宋体" w:cs="宋体" w:eastAsia="宋体" w:hint="default"/>
                <w:sz w:val="18"/>
                <w:szCs w:val="18"/>
              </w:rPr>
              <w:t>本次会计政策变更业经公司第二届董事 会第二十六次会议审议通过</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00" w:lineRule="auto"/>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年度财务报表受重要影响的报表项 目和金额列表如下。</w:t>
            </w:r>
          </w:p>
        </w:tc>
      </w:tr>
      <w:tr>
        <w:trPr>
          <w:trHeight w:val="321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财政部于</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年度颁布了《企业会计准</w:t>
            </w:r>
          </w:p>
          <w:p>
            <w:pPr>
              <w:pStyle w:val="TableParagraph"/>
              <w:spacing w:line="309" w:lineRule="auto" w:before="61"/>
              <w:ind w:left="22" w:right="23"/>
              <w:jc w:val="left"/>
              <w:rPr>
                <w:rFonts w:ascii="宋体" w:hAnsi="宋体" w:cs="宋体" w:eastAsia="宋体" w:hint="default"/>
                <w:sz w:val="18"/>
                <w:szCs w:val="18"/>
              </w:rPr>
            </w:pPr>
            <w:r>
              <w:rPr>
                <w:rFonts w:ascii="宋体" w:hAnsi="宋体" w:cs="宋体" w:eastAsia="宋体" w:hint="default"/>
                <w:sz w:val="18"/>
                <w:szCs w:val="18"/>
              </w:rPr>
              <w:t>则解释第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关于权益法下投资净 </w:t>
            </w:r>
            <w:r>
              <w:rPr>
                <w:rFonts w:ascii="宋体" w:hAnsi="宋体" w:cs="宋体" w:eastAsia="宋体" w:hint="default"/>
                <w:spacing w:val="-6"/>
                <w:sz w:val="18"/>
                <w:szCs w:val="18"/>
              </w:rPr>
              <w:t>损失的会计处理》《企业会计准则解释第</w:t>
            </w:r>
            <w:r>
              <w:rPr>
                <w:rFonts w:ascii="宋体" w:hAnsi="宋体" w:cs="宋体" w:eastAsia="宋体" w:hint="default"/>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关于以使用固定资产产生的收 </w:t>
            </w:r>
            <w:r>
              <w:rPr>
                <w:rFonts w:ascii="宋体" w:hAnsi="宋体" w:cs="宋体" w:eastAsia="宋体" w:hint="default"/>
                <w:spacing w:val="-6"/>
                <w:sz w:val="18"/>
                <w:szCs w:val="18"/>
              </w:rPr>
              <w:t>入为基础的折旧方法》《企业会计准则解</w:t>
            </w:r>
            <w:r>
              <w:rPr>
                <w:rFonts w:ascii="宋体" w:hAnsi="宋体" w:cs="宋体" w:eastAsia="宋体" w:hint="default"/>
                <w:sz w:val="18"/>
                <w:szCs w:val="18"/>
              </w:rPr>
              <w:t> 释第</w:t>
            </w:r>
            <w:r>
              <w:rPr>
                <w:rFonts w:ascii="宋体" w:hAnsi="宋体" w:cs="宋体" w:eastAsia="宋体" w:hint="default"/>
                <w:spacing w:val="-50"/>
                <w:sz w:val="18"/>
                <w:szCs w:val="18"/>
              </w:rPr>
              <w:t> </w:t>
            </w: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关于以使用无形资产产生 的收入为基础的摊销方法》及《企业会 计准则解释第</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关于关键管理人 员服务的提供方与接受方是否为关联 </w:t>
            </w:r>
            <w:r>
              <w:rPr>
                <w:rFonts w:ascii="宋体" w:hAnsi="宋体" w:cs="宋体" w:eastAsia="宋体" w:hint="default"/>
                <w:spacing w:val="-30"/>
                <w:sz w:val="18"/>
                <w:szCs w:val="18"/>
              </w:rPr>
              <w:t>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3"/>
              <w:ind w:left="22" w:right="95"/>
              <w:jc w:val="left"/>
              <w:rPr>
                <w:rFonts w:ascii="宋体" w:hAnsi="宋体" w:cs="宋体" w:eastAsia="宋体" w:hint="default"/>
                <w:sz w:val="18"/>
                <w:szCs w:val="18"/>
              </w:rPr>
            </w:pPr>
            <w:r>
              <w:rPr>
                <w:rFonts w:ascii="宋体" w:hAnsi="宋体" w:cs="宋体" w:eastAsia="宋体" w:hint="default"/>
                <w:sz w:val="18"/>
                <w:szCs w:val="18"/>
              </w:rPr>
              <w:t>本次会计政策变更业经公司第三届董事 会第二次会议审议通过</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09" w:lineRule="auto"/>
              <w:ind w:left="22" w:right="23"/>
              <w:jc w:val="left"/>
              <w:rPr>
                <w:rFonts w:ascii="宋体" w:hAnsi="宋体" w:cs="宋体" w:eastAsia="宋体" w:hint="default"/>
                <w:sz w:val="18"/>
                <w:szCs w:val="18"/>
              </w:rPr>
            </w:pPr>
            <w:r>
              <w:rPr>
                <w:rFonts w:ascii="宋体" w:hAnsi="宋体" w:cs="宋体" w:eastAsia="宋体" w:hint="default"/>
                <w:sz w:val="18"/>
                <w:szCs w:val="18"/>
              </w:rPr>
              <w:t>公司自</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日起执行上述企业 会计准则解释，执行上述解释对公司期 初财务数据无影响。</w:t>
            </w:r>
          </w:p>
        </w:tc>
      </w:tr>
    </w:tbl>
    <w:p>
      <w:pPr>
        <w:pStyle w:val="BodyText"/>
        <w:spacing w:line="240" w:lineRule="auto" w:before="40"/>
        <w:ind w:left="674" w:right="472"/>
        <w:jc w:val="left"/>
      </w:pPr>
      <w:r>
        <w:rPr>
          <w:rFonts w:ascii="宋体" w:hAnsi="宋体" w:cs="宋体" w:eastAsia="宋体" w:hint="default"/>
        </w:rPr>
        <w:t>2018</w:t>
      </w:r>
      <w:r>
        <w:rPr/>
        <w:t>年度财务报表可比数据受重要影响的报表项目和金额如下：</w:t>
      </w:r>
    </w:p>
    <w:p>
      <w:pPr>
        <w:spacing w:line="240" w:lineRule="auto" w:before="9"/>
        <w:rPr>
          <w:rFonts w:ascii="宋体" w:hAnsi="宋体" w:cs="宋体" w:eastAsia="宋体" w:hint="default"/>
          <w:sz w:val="8"/>
          <w:szCs w:val="8"/>
        </w:rPr>
      </w:pPr>
    </w:p>
    <w:tbl>
      <w:tblPr>
        <w:tblW w:w="0" w:type="auto"/>
        <w:jc w:val="left"/>
        <w:tblInd w:w="103" w:type="dxa"/>
        <w:tblLayout w:type="fixed"/>
        <w:tblCellMar>
          <w:top w:w="0" w:type="dxa"/>
          <w:left w:w="0" w:type="dxa"/>
          <w:bottom w:w="0" w:type="dxa"/>
          <w:right w:w="0" w:type="dxa"/>
        </w:tblCellMar>
        <w:tblLook w:val="01E0"/>
      </w:tblPr>
      <w:tblGrid>
        <w:gridCol w:w="2268"/>
        <w:gridCol w:w="2428"/>
        <w:gridCol w:w="1968"/>
        <w:gridCol w:w="2003"/>
      </w:tblGrid>
      <w:tr>
        <w:trPr>
          <w:trHeight w:val="322" w:hRule="exact"/>
        </w:trPr>
        <w:tc>
          <w:tcPr>
            <w:tcW w:w="46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292" w:right="0"/>
              <w:jc w:val="left"/>
              <w:rPr>
                <w:rFonts w:ascii="宋体" w:hAnsi="宋体" w:cs="宋体" w:eastAsia="宋体" w:hint="default"/>
                <w:sz w:val="21"/>
                <w:szCs w:val="21"/>
              </w:rPr>
            </w:pPr>
            <w:r>
              <w:rPr>
                <w:rFonts w:ascii="宋体" w:hAnsi="宋体" w:cs="宋体" w:eastAsia="宋体" w:hint="default"/>
                <w:sz w:val="21"/>
                <w:szCs w:val="21"/>
              </w:rPr>
              <w:t>原列报报表项目及金额</w:t>
            </w:r>
          </w:p>
        </w:tc>
        <w:tc>
          <w:tcPr>
            <w:tcW w:w="39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929" w:right="0"/>
              <w:jc w:val="left"/>
              <w:rPr>
                <w:rFonts w:ascii="宋体" w:hAnsi="宋体" w:cs="宋体" w:eastAsia="宋体" w:hint="default"/>
                <w:sz w:val="21"/>
                <w:szCs w:val="21"/>
              </w:rPr>
            </w:pPr>
            <w:r>
              <w:rPr>
                <w:rFonts w:ascii="宋体" w:hAnsi="宋体" w:cs="宋体" w:eastAsia="宋体" w:hint="default"/>
                <w:sz w:val="21"/>
                <w:szCs w:val="21"/>
              </w:rPr>
              <w:t>新列报报表项目及金额</w:t>
            </w:r>
          </w:p>
        </w:tc>
      </w:tr>
      <w:tr>
        <w:trPr>
          <w:trHeight w:val="32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80"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2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79"/>
              <w:jc w:val="right"/>
              <w:rPr>
                <w:rFonts w:ascii="Times New Roman" w:hAnsi="Times New Roman" w:cs="Times New Roman" w:eastAsia="Times New Roman" w:hint="default"/>
                <w:sz w:val="21"/>
                <w:szCs w:val="21"/>
              </w:rPr>
            </w:pPr>
            <w:r>
              <w:rPr>
                <w:rFonts w:ascii="Times New Roman"/>
                <w:spacing w:val="-1"/>
                <w:sz w:val="21"/>
              </w:rPr>
              <w:t>3,307,836.32</w:t>
            </w:r>
          </w:p>
        </w:tc>
        <w:tc>
          <w:tcPr>
            <w:tcW w:w="1968" w:type="dxa"/>
            <w:vMerge w:val="restart"/>
            <w:tcBorders>
              <w:top w:val="single" w:sz="4" w:space="0" w:color="000000"/>
              <w:left w:val="single" w:sz="4" w:space="0" w:color="000000"/>
              <w:right w:val="single" w:sz="4" w:space="0" w:color="000000"/>
            </w:tcBorders>
          </w:tcPr>
          <w:p>
            <w:pPr>
              <w:pStyle w:val="TableParagraph"/>
              <w:spacing w:line="273" w:lineRule="auto"/>
              <w:ind w:left="79" w:right="62"/>
              <w:jc w:val="left"/>
              <w:rPr>
                <w:rFonts w:ascii="宋体" w:hAnsi="宋体" w:cs="宋体" w:eastAsia="宋体" w:hint="default"/>
                <w:sz w:val="21"/>
                <w:szCs w:val="21"/>
              </w:rPr>
            </w:pPr>
            <w:r>
              <w:rPr>
                <w:rFonts w:ascii="宋体" w:hAnsi="宋体" w:cs="宋体" w:eastAsia="宋体" w:hint="default"/>
                <w:spacing w:val="16"/>
                <w:sz w:val="21"/>
                <w:szCs w:val="21"/>
              </w:rPr>
              <w:t>应收票据及应收账 </w:t>
            </w:r>
            <w:r>
              <w:rPr>
                <w:rFonts w:ascii="宋体" w:hAnsi="宋体" w:cs="宋体" w:eastAsia="宋体" w:hint="default"/>
                <w:sz w:val="21"/>
                <w:szCs w:val="21"/>
              </w:rPr>
              <w:t>款</w:t>
            </w:r>
          </w:p>
        </w:tc>
        <w:tc>
          <w:tcPr>
            <w:tcW w:w="200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600" w:right="0"/>
              <w:jc w:val="left"/>
              <w:rPr>
                <w:rFonts w:ascii="Times New Roman" w:hAnsi="Times New Roman" w:cs="Times New Roman" w:eastAsia="Times New Roman" w:hint="default"/>
                <w:sz w:val="21"/>
                <w:szCs w:val="21"/>
              </w:rPr>
            </w:pPr>
            <w:r>
              <w:rPr>
                <w:rFonts w:ascii="Times New Roman"/>
                <w:sz w:val="21"/>
              </w:rPr>
              <w:t>277,242,401.43</w:t>
            </w:r>
          </w:p>
        </w:tc>
      </w:tr>
      <w:tr>
        <w:trPr>
          <w:trHeight w:val="323"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8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77"/>
              <w:jc w:val="right"/>
              <w:rPr>
                <w:rFonts w:ascii="Times New Roman" w:hAnsi="Times New Roman" w:cs="Times New Roman" w:eastAsia="Times New Roman" w:hint="default"/>
                <w:sz w:val="21"/>
                <w:szCs w:val="21"/>
              </w:rPr>
            </w:pPr>
            <w:r>
              <w:rPr>
                <w:rFonts w:ascii="Times New Roman"/>
                <w:spacing w:val="-1"/>
                <w:sz w:val="21"/>
              </w:rPr>
              <w:t>273,934,565.11</w:t>
            </w:r>
          </w:p>
        </w:tc>
        <w:tc>
          <w:tcPr>
            <w:tcW w:w="1968" w:type="dxa"/>
            <w:vMerge/>
            <w:tcBorders>
              <w:left w:val="single" w:sz="4" w:space="0" w:color="000000"/>
              <w:bottom w:val="single" w:sz="4" w:space="0" w:color="000000"/>
              <w:right w:val="single" w:sz="4" w:space="0" w:color="000000"/>
            </w:tcBorders>
          </w:tcPr>
          <w:p>
            <w:pPr/>
          </w:p>
        </w:tc>
        <w:tc>
          <w:tcPr>
            <w:tcW w:w="2003" w:type="dxa"/>
            <w:vMerge/>
            <w:tcBorders>
              <w:left w:val="single" w:sz="4" w:space="0" w:color="000000"/>
              <w:bottom w:val="single" w:sz="4" w:space="0" w:color="000000"/>
              <w:right w:val="single" w:sz="4" w:space="0" w:color="000000"/>
            </w:tcBorders>
          </w:tcPr>
          <w:p>
            <w:pPr/>
          </w:p>
        </w:tc>
      </w:tr>
      <w:tr>
        <w:trPr>
          <w:trHeight w:val="32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80"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2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79"/>
              <w:jc w:val="right"/>
              <w:rPr>
                <w:rFonts w:ascii="Times New Roman" w:hAnsi="Times New Roman" w:cs="Times New Roman" w:eastAsia="Times New Roman" w:hint="default"/>
                <w:sz w:val="21"/>
                <w:szCs w:val="21"/>
              </w:rPr>
            </w:pPr>
            <w:r>
              <w:rPr>
                <w:rFonts w:ascii="Times New Roman"/>
                <w:spacing w:val="-1"/>
                <w:sz w:val="21"/>
              </w:rPr>
              <w:t>3,714,760.27</w:t>
            </w:r>
          </w:p>
        </w:tc>
        <w:tc>
          <w:tcPr>
            <w:tcW w:w="1968" w:type="dxa"/>
            <w:vMerge w:val="restart"/>
            <w:tcBorders>
              <w:top w:val="single" w:sz="4" w:space="0" w:color="000000"/>
              <w:left w:val="single" w:sz="4" w:space="0" w:color="000000"/>
              <w:right w:val="single" w:sz="4" w:space="0" w:color="000000"/>
            </w:tcBorders>
          </w:tcPr>
          <w:p>
            <w:pPr>
              <w:pStyle w:val="TableParagraph"/>
              <w:spacing w:line="240" w:lineRule="auto" w:before="146"/>
              <w:ind w:left="79"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00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704" w:right="0"/>
              <w:jc w:val="left"/>
              <w:rPr>
                <w:rFonts w:ascii="Times New Roman" w:hAnsi="Times New Roman" w:cs="Times New Roman" w:eastAsia="Times New Roman" w:hint="default"/>
                <w:sz w:val="21"/>
                <w:szCs w:val="21"/>
              </w:rPr>
            </w:pPr>
            <w:r>
              <w:rPr>
                <w:rFonts w:ascii="Times New Roman"/>
                <w:sz w:val="21"/>
              </w:rPr>
              <w:t>35,510,883.54</w:t>
            </w:r>
          </w:p>
        </w:tc>
      </w:tr>
      <w:tr>
        <w:trPr>
          <w:trHeight w:val="32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8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78"/>
              <w:jc w:val="right"/>
              <w:rPr>
                <w:rFonts w:ascii="Times New Roman" w:hAnsi="Times New Roman" w:cs="Times New Roman" w:eastAsia="Times New Roman" w:hint="default"/>
                <w:sz w:val="21"/>
                <w:szCs w:val="21"/>
              </w:rPr>
            </w:pPr>
            <w:r>
              <w:rPr>
                <w:rFonts w:ascii="Times New Roman"/>
                <w:sz w:val="21"/>
              </w:rPr>
              <w:t>31,796,123.27</w:t>
            </w:r>
          </w:p>
        </w:tc>
        <w:tc>
          <w:tcPr>
            <w:tcW w:w="1968" w:type="dxa"/>
            <w:vMerge/>
            <w:tcBorders>
              <w:left w:val="single" w:sz="4" w:space="0" w:color="000000"/>
              <w:bottom w:val="single" w:sz="4" w:space="0" w:color="000000"/>
              <w:right w:val="single" w:sz="4" w:space="0" w:color="000000"/>
            </w:tcBorders>
          </w:tcPr>
          <w:p>
            <w:pPr/>
          </w:p>
        </w:tc>
        <w:tc>
          <w:tcPr>
            <w:tcW w:w="2003" w:type="dxa"/>
            <w:vMerge/>
            <w:tcBorders>
              <w:left w:val="single" w:sz="4" w:space="0" w:color="000000"/>
              <w:bottom w:val="single" w:sz="4" w:space="0" w:color="000000"/>
              <w:right w:val="single" w:sz="4" w:space="0" w:color="000000"/>
            </w:tcBorders>
          </w:tcPr>
          <w:p>
            <w:pPr/>
          </w:p>
        </w:tc>
      </w:tr>
      <w:tr>
        <w:trPr>
          <w:trHeight w:val="323"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80"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2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78"/>
              <w:jc w:val="right"/>
              <w:rPr>
                <w:rFonts w:ascii="Times New Roman" w:hAnsi="Times New Roman" w:cs="Times New Roman" w:eastAsia="Times New Roman" w:hint="default"/>
                <w:sz w:val="21"/>
                <w:szCs w:val="21"/>
              </w:rPr>
            </w:pPr>
            <w:r>
              <w:rPr>
                <w:rFonts w:ascii="Times New Roman"/>
                <w:sz w:val="21"/>
              </w:rPr>
              <w:t>25,672,417.96</w:t>
            </w:r>
          </w:p>
        </w:tc>
        <w:tc>
          <w:tcPr>
            <w:tcW w:w="1968" w:type="dxa"/>
            <w:vMerge w:val="restart"/>
            <w:tcBorders>
              <w:top w:val="single" w:sz="4" w:space="0" w:color="000000"/>
              <w:left w:val="single" w:sz="4" w:space="0" w:color="000000"/>
              <w:right w:val="single" w:sz="4" w:space="0" w:color="000000"/>
            </w:tcBorders>
          </w:tcPr>
          <w:p>
            <w:pPr>
              <w:pStyle w:val="TableParagraph"/>
              <w:spacing w:line="273" w:lineRule="auto"/>
              <w:ind w:left="79" w:right="62"/>
              <w:jc w:val="left"/>
              <w:rPr>
                <w:rFonts w:ascii="宋体" w:hAnsi="宋体" w:cs="宋体" w:eastAsia="宋体" w:hint="default"/>
                <w:sz w:val="21"/>
                <w:szCs w:val="21"/>
              </w:rPr>
            </w:pPr>
            <w:r>
              <w:rPr>
                <w:rFonts w:ascii="宋体" w:hAnsi="宋体" w:cs="宋体" w:eastAsia="宋体" w:hint="default"/>
                <w:spacing w:val="16"/>
                <w:sz w:val="21"/>
                <w:szCs w:val="21"/>
              </w:rPr>
              <w:t>应付票据及应付账 </w:t>
            </w:r>
            <w:r>
              <w:rPr>
                <w:rFonts w:ascii="宋体" w:hAnsi="宋体" w:cs="宋体" w:eastAsia="宋体" w:hint="default"/>
                <w:sz w:val="21"/>
                <w:szCs w:val="21"/>
              </w:rPr>
              <w:t>款</w:t>
            </w:r>
          </w:p>
        </w:tc>
        <w:tc>
          <w:tcPr>
            <w:tcW w:w="200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600" w:right="0"/>
              <w:jc w:val="left"/>
              <w:rPr>
                <w:rFonts w:ascii="Times New Roman" w:hAnsi="Times New Roman" w:cs="Times New Roman" w:eastAsia="Times New Roman" w:hint="default"/>
                <w:sz w:val="21"/>
                <w:szCs w:val="21"/>
              </w:rPr>
            </w:pPr>
            <w:r>
              <w:rPr>
                <w:rFonts w:ascii="Times New Roman"/>
                <w:sz w:val="21"/>
              </w:rPr>
              <w:t>113,822,855.13</w:t>
            </w:r>
          </w:p>
        </w:tc>
      </w:tr>
      <w:tr>
        <w:trPr>
          <w:trHeight w:val="32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80"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78"/>
              <w:jc w:val="right"/>
              <w:rPr>
                <w:rFonts w:ascii="Times New Roman" w:hAnsi="Times New Roman" w:cs="Times New Roman" w:eastAsia="Times New Roman" w:hint="default"/>
                <w:sz w:val="21"/>
                <w:szCs w:val="21"/>
              </w:rPr>
            </w:pPr>
            <w:r>
              <w:rPr>
                <w:rFonts w:ascii="Times New Roman"/>
                <w:sz w:val="21"/>
              </w:rPr>
              <w:t>88,150,437.17</w:t>
            </w:r>
          </w:p>
        </w:tc>
        <w:tc>
          <w:tcPr>
            <w:tcW w:w="1968" w:type="dxa"/>
            <w:vMerge/>
            <w:tcBorders>
              <w:left w:val="single" w:sz="4" w:space="0" w:color="000000"/>
              <w:bottom w:val="single" w:sz="4" w:space="0" w:color="000000"/>
              <w:right w:val="single" w:sz="4" w:space="0" w:color="000000"/>
            </w:tcBorders>
          </w:tcPr>
          <w:p>
            <w:pPr/>
          </w:p>
        </w:tc>
        <w:tc>
          <w:tcPr>
            <w:tcW w:w="2003" w:type="dxa"/>
            <w:vMerge/>
            <w:tcBorders>
              <w:left w:val="single" w:sz="4" w:space="0" w:color="000000"/>
              <w:bottom w:val="single" w:sz="4" w:space="0" w:color="000000"/>
              <w:right w:val="single" w:sz="4" w:space="0" w:color="000000"/>
            </w:tcBorders>
          </w:tcPr>
          <w:p>
            <w:pPr/>
          </w:p>
        </w:tc>
      </w:tr>
      <w:tr>
        <w:trPr>
          <w:trHeight w:val="32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80"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2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78"/>
              <w:jc w:val="right"/>
              <w:rPr>
                <w:rFonts w:ascii="Times New Roman" w:hAnsi="Times New Roman" w:cs="Times New Roman" w:eastAsia="Times New Roman" w:hint="default"/>
                <w:sz w:val="21"/>
                <w:szCs w:val="21"/>
              </w:rPr>
            </w:pPr>
            <w:r>
              <w:rPr>
                <w:rFonts w:ascii="Times New Roman"/>
                <w:sz w:val="21"/>
              </w:rPr>
              <w:t>81,420.33</w:t>
            </w:r>
          </w:p>
        </w:tc>
        <w:tc>
          <w:tcPr>
            <w:tcW w:w="1968" w:type="dxa"/>
            <w:vMerge w:val="restart"/>
            <w:tcBorders>
              <w:top w:val="single" w:sz="4" w:space="0" w:color="000000"/>
              <w:left w:val="single" w:sz="4" w:space="0" w:color="000000"/>
              <w:right w:val="single" w:sz="4" w:space="0" w:color="000000"/>
            </w:tcBorders>
          </w:tcPr>
          <w:p>
            <w:pPr>
              <w:pStyle w:val="TableParagraph"/>
              <w:spacing w:line="240" w:lineRule="auto" w:before="147"/>
              <w:ind w:left="79"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00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809" w:right="0"/>
              <w:jc w:val="left"/>
              <w:rPr>
                <w:rFonts w:ascii="Times New Roman" w:hAnsi="Times New Roman" w:cs="Times New Roman" w:eastAsia="Times New Roman" w:hint="default"/>
                <w:sz w:val="21"/>
                <w:szCs w:val="21"/>
              </w:rPr>
            </w:pPr>
            <w:r>
              <w:rPr>
                <w:rFonts w:ascii="Times New Roman"/>
                <w:sz w:val="21"/>
              </w:rPr>
              <w:t>3,912,948.40</w:t>
            </w:r>
          </w:p>
        </w:tc>
      </w:tr>
      <w:tr>
        <w:trPr>
          <w:trHeight w:val="323"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80"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78"/>
              <w:jc w:val="right"/>
              <w:rPr>
                <w:rFonts w:ascii="Times New Roman" w:hAnsi="Times New Roman" w:cs="Times New Roman" w:eastAsia="Times New Roman" w:hint="default"/>
                <w:sz w:val="21"/>
                <w:szCs w:val="21"/>
              </w:rPr>
            </w:pPr>
            <w:r>
              <w:rPr>
                <w:rFonts w:ascii="Times New Roman"/>
                <w:sz w:val="21"/>
              </w:rPr>
              <w:t>3,831,528.07</w:t>
            </w:r>
          </w:p>
        </w:tc>
        <w:tc>
          <w:tcPr>
            <w:tcW w:w="1968" w:type="dxa"/>
            <w:vMerge/>
            <w:tcBorders>
              <w:left w:val="single" w:sz="4" w:space="0" w:color="000000"/>
              <w:bottom w:val="single" w:sz="4" w:space="0" w:color="000000"/>
              <w:right w:val="single" w:sz="4" w:space="0" w:color="000000"/>
            </w:tcBorders>
          </w:tcPr>
          <w:p>
            <w:pPr/>
          </w:p>
        </w:tc>
        <w:tc>
          <w:tcPr>
            <w:tcW w:w="2003" w:type="dxa"/>
            <w:vMerge/>
            <w:tcBorders>
              <w:left w:val="single" w:sz="4" w:space="0" w:color="000000"/>
              <w:bottom w:val="single" w:sz="4" w:space="0" w:color="000000"/>
              <w:right w:val="single" w:sz="4" w:space="0" w:color="000000"/>
            </w:tcBorders>
          </w:tcPr>
          <w:p>
            <w:pPr/>
          </w:p>
        </w:tc>
      </w:tr>
      <w:tr>
        <w:trPr>
          <w:trHeight w:val="322" w:hRule="exact"/>
        </w:trPr>
        <w:tc>
          <w:tcPr>
            <w:tcW w:w="2268" w:type="dxa"/>
            <w:vMerge w:val="restart"/>
            <w:tcBorders>
              <w:top w:val="single" w:sz="4" w:space="0" w:color="000000"/>
              <w:left w:val="single" w:sz="4" w:space="0" w:color="000000"/>
              <w:right w:val="single" w:sz="4" w:space="0" w:color="000000"/>
            </w:tcBorders>
          </w:tcPr>
          <w:p>
            <w:pPr>
              <w:pStyle w:val="TableParagraph"/>
              <w:spacing w:line="240" w:lineRule="auto" w:before="146"/>
              <w:ind w:left="80"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242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130" w:right="0"/>
              <w:jc w:val="left"/>
              <w:rPr>
                <w:rFonts w:ascii="Times New Roman" w:hAnsi="Times New Roman" w:cs="Times New Roman" w:eastAsia="Times New Roman" w:hint="default"/>
                <w:sz w:val="21"/>
                <w:szCs w:val="21"/>
              </w:rPr>
            </w:pPr>
            <w:r>
              <w:rPr>
                <w:rFonts w:ascii="Times New Roman"/>
                <w:sz w:val="21"/>
              </w:rPr>
              <w:t>97,797,494.87</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79"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79"/>
              <w:jc w:val="right"/>
              <w:rPr>
                <w:rFonts w:ascii="Times New Roman" w:hAnsi="Times New Roman" w:cs="Times New Roman" w:eastAsia="Times New Roman" w:hint="default"/>
                <w:sz w:val="21"/>
                <w:szCs w:val="21"/>
              </w:rPr>
            </w:pPr>
            <w:r>
              <w:rPr>
                <w:rFonts w:ascii="Times New Roman"/>
                <w:sz w:val="21"/>
              </w:rPr>
              <w:t>42,391,798.06</w:t>
            </w:r>
          </w:p>
        </w:tc>
      </w:tr>
      <w:tr>
        <w:trPr>
          <w:trHeight w:val="323" w:hRule="exact"/>
        </w:trPr>
        <w:tc>
          <w:tcPr>
            <w:tcW w:w="2268" w:type="dxa"/>
            <w:vMerge/>
            <w:tcBorders>
              <w:left w:val="single" w:sz="4" w:space="0" w:color="000000"/>
              <w:bottom w:val="single" w:sz="4" w:space="0" w:color="000000"/>
              <w:right w:val="single" w:sz="4" w:space="0" w:color="000000"/>
            </w:tcBorders>
          </w:tcPr>
          <w:p>
            <w:pPr/>
          </w:p>
        </w:tc>
        <w:tc>
          <w:tcPr>
            <w:tcW w:w="2428" w:type="dxa"/>
            <w:vMerge/>
            <w:tcBorders>
              <w:left w:val="single" w:sz="4" w:space="0" w:color="000000"/>
              <w:bottom w:val="single" w:sz="4" w:space="0" w:color="000000"/>
              <w:right w:val="single" w:sz="4" w:space="0" w:color="000000"/>
            </w:tcBorders>
          </w:tcPr>
          <w:p>
            <w:pP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79" w:right="0"/>
              <w:jc w:val="left"/>
              <w:rPr>
                <w:rFonts w:ascii="宋体" w:hAnsi="宋体" w:cs="宋体" w:eastAsia="宋体" w:hint="default"/>
                <w:sz w:val="21"/>
                <w:szCs w:val="21"/>
              </w:rPr>
            </w:pPr>
            <w:r>
              <w:rPr>
                <w:rFonts w:ascii="宋体" w:hAnsi="宋体" w:cs="宋体" w:eastAsia="宋体" w:hint="default"/>
                <w:sz w:val="21"/>
                <w:szCs w:val="21"/>
              </w:rPr>
              <w:t>研发费用</w:t>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79"/>
              <w:jc w:val="right"/>
              <w:rPr>
                <w:rFonts w:ascii="Times New Roman" w:hAnsi="Times New Roman" w:cs="Times New Roman" w:eastAsia="Times New Roman" w:hint="default"/>
                <w:sz w:val="21"/>
                <w:szCs w:val="21"/>
              </w:rPr>
            </w:pPr>
            <w:r>
              <w:rPr>
                <w:rFonts w:ascii="Times New Roman"/>
                <w:sz w:val="21"/>
              </w:rPr>
              <w:t>55,405,696.81</w:t>
            </w:r>
          </w:p>
        </w:tc>
      </w:tr>
    </w:tbl>
    <w:p>
      <w:pPr>
        <w:spacing w:line="240" w:lineRule="auto" w:before="2"/>
        <w:rPr>
          <w:rFonts w:ascii="宋体" w:hAnsi="宋体" w:cs="宋体" w:eastAsia="宋体" w:hint="default"/>
          <w:sz w:val="19"/>
          <w:szCs w:val="19"/>
        </w:rPr>
      </w:pPr>
    </w:p>
    <w:p>
      <w:pPr>
        <w:spacing w:before="35"/>
        <w:ind w:left="194" w:right="472" w:firstLine="0"/>
        <w:jc w:val="left"/>
        <w:rPr>
          <w:rFonts w:ascii="宋体" w:hAnsi="宋体" w:cs="宋体" w:eastAsia="宋体" w:hint="default"/>
          <w:sz w:val="21"/>
          <w:szCs w:val="21"/>
        </w:rPr>
      </w:pPr>
      <w:bookmarkStart w:name="（2）重要会计估计变更" w:id="215"/>
      <w:bookmarkEnd w:id="21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）重要会计估计变更</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94" w:right="4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40" w:right="0"/>
        </w:sectPr>
      </w:pPr>
    </w:p>
    <w:p>
      <w:pPr>
        <w:spacing w:line="240" w:lineRule="auto" w:before="8"/>
        <w:rPr>
          <w:rFonts w:ascii="宋体" w:hAnsi="宋体" w:cs="宋体" w:eastAsia="宋体" w:hint="default"/>
          <w:sz w:val="23"/>
          <w:szCs w:val="23"/>
        </w:rPr>
      </w:pPr>
    </w:p>
    <w:p>
      <w:pPr>
        <w:pStyle w:val="Heading2"/>
        <w:spacing w:line="240" w:lineRule="auto" w:before="26"/>
        <w:ind w:left="214" w:right="468"/>
        <w:jc w:val="left"/>
        <w:rPr>
          <w:b w:val="0"/>
          <w:bCs w:val="0"/>
        </w:rPr>
      </w:pPr>
      <w:bookmarkStart w:name="六、税项" w:id="216"/>
      <w:bookmarkEnd w:id="216"/>
      <w:r>
        <w:rPr>
          <w:b w:val="0"/>
          <w:bCs w:val="0"/>
        </w:rPr>
      </w:r>
      <w:r>
        <w:rPr/>
        <w:t>六、税项</w:t>
      </w:r>
      <w:r>
        <w:rPr>
          <w:b w:val="0"/>
          <w:bCs w:val="0"/>
        </w:rPr>
      </w:r>
    </w:p>
    <w:p>
      <w:pPr>
        <w:spacing w:line="240" w:lineRule="auto" w:before="9"/>
        <w:rPr>
          <w:rFonts w:ascii="宋体" w:hAnsi="宋体" w:cs="宋体" w:eastAsia="宋体" w:hint="default"/>
          <w:b/>
          <w:bCs/>
          <w:sz w:val="24"/>
          <w:szCs w:val="24"/>
        </w:rPr>
      </w:pPr>
    </w:p>
    <w:p>
      <w:pPr>
        <w:spacing w:before="0"/>
        <w:ind w:left="214" w:right="468" w:firstLine="0"/>
        <w:jc w:val="left"/>
        <w:rPr>
          <w:rFonts w:ascii="宋体" w:hAnsi="宋体" w:cs="宋体" w:eastAsia="宋体" w:hint="default"/>
          <w:sz w:val="21"/>
          <w:szCs w:val="21"/>
        </w:rPr>
      </w:pPr>
      <w:bookmarkStart w:name="1、主要税种及税率" w:id="217"/>
      <w:bookmarkEnd w:id="217"/>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、主要税种及税率</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22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销售货物或提供应税劳务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11%</w:t>
            </w:r>
            <w:r>
              <w:rPr>
                <w:rFonts w:ascii="宋体" w:hAnsi="宋体" w:cs="宋体" w:eastAsia="宋体" w:hint="default"/>
                <w:sz w:val="18"/>
                <w:szCs w:val="18"/>
              </w:rPr>
              <w:t>、</w:t>
            </w:r>
            <w:r>
              <w:rPr>
                <w:rFonts w:ascii="Times New Roman" w:hAnsi="Times New Roman" w:cs="Times New Roman" w:eastAsia="Times New Roman" w:hint="default"/>
                <w:sz w:val="18"/>
                <w:szCs w:val="18"/>
              </w:rPr>
              <w:t>16%</w:t>
            </w:r>
            <w:r>
              <w:rPr>
                <w:rFonts w:ascii="宋体" w:hAnsi="宋体" w:cs="宋体" w:eastAsia="宋体" w:hint="default"/>
                <w:sz w:val="18"/>
                <w:szCs w:val="18"/>
              </w:rPr>
              <w:t>、</w:t>
            </w:r>
            <w:r>
              <w:rPr>
                <w:rFonts w:ascii="Times New Roman" w:hAnsi="Times New Roman" w:cs="Times New Roman" w:eastAsia="Times New Roman" w:hint="default"/>
                <w:sz w:val="18"/>
                <w:szCs w:val="18"/>
              </w:rPr>
              <w:t>17%</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4"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4"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w:t>
            </w:r>
          </w:p>
        </w:tc>
      </w:tr>
    </w:tbl>
    <w:p>
      <w:pPr>
        <w:spacing w:before="51"/>
        <w:ind w:left="214" w:right="468" w:firstLine="0"/>
        <w:jc w:val="left"/>
        <w:rPr>
          <w:rFonts w:ascii="宋体" w:hAnsi="宋体" w:cs="宋体" w:eastAsia="宋体" w:hint="default"/>
          <w:sz w:val="18"/>
          <w:szCs w:val="18"/>
        </w:rPr>
      </w:pPr>
      <w:r>
        <w:rPr>
          <w:rFonts w:ascii="宋体" w:hAnsi="宋体" w:cs="宋体" w:eastAsia="宋体" w:hint="default"/>
          <w:sz w:val="18"/>
          <w:szCs w:val="18"/>
        </w:rPr>
        <w:t>存在不同企业所得税税率纳税主体的，披露情况说明</w:t>
      </w:r>
    </w:p>
    <w:p>
      <w:pPr>
        <w:spacing w:line="240" w:lineRule="auto" w:before="1"/>
        <w:rPr>
          <w:rFonts w:ascii="宋体" w:hAnsi="宋体" w:cs="宋体" w:eastAsia="宋体" w:hint="default"/>
          <w:sz w:val="8"/>
          <w:szCs w:val="8"/>
        </w:rPr>
      </w:pPr>
    </w:p>
    <w:tbl>
      <w:tblPr>
        <w:tblW w:w="0" w:type="auto"/>
        <w:jc w:val="left"/>
        <w:tblInd w:w="20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广西筑波公司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青岛天高公司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福建正元公司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南昌正元公司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杭州容博公司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除上述以外的其他纳税主体</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bl>
    <w:p>
      <w:pPr>
        <w:spacing w:line="240" w:lineRule="auto" w:before="2"/>
        <w:rPr>
          <w:rFonts w:ascii="宋体" w:hAnsi="宋体" w:cs="宋体" w:eastAsia="宋体" w:hint="default"/>
          <w:sz w:val="19"/>
          <w:szCs w:val="19"/>
        </w:rPr>
      </w:pPr>
    </w:p>
    <w:p>
      <w:pPr>
        <w:spacing w:before="35"/>
        <w:ind w:left="214" w:right="468" w:firstLine="0"/>
        <w:jc w:val="left"/>
        <w:rPr>
          <w:rFonts w:ascii="宋体" w:hAnsi="宋体" w:cs="宋体" w:eastAsia="宋体" w:hint="default"/>
          <w:sz w:val="21"/>
          <w:szCs w:val="21"/>
        </w:rPr>
      </w:pPr>
      <w:bookmarkStart w:name="2、税收优惠" w:id="218"/>
      <w:bookmarkEnd w:id="218"/>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、税收优惠</w:t>
      </w:r>
      <w:r>
        <w:rPr>
          <w:rFonts w:ascii="宋体" w:hAnsi="宋体" w:cs="宋体" w:eastAsia="宋体" w:hint="default"/>
          <w:sz w:val="21"/>
          <w:szCs w:val="21"/>
        </w:rPr>
      </w:r>
    </w:p>
    <w:p>
      <w:pPr>
        <w:spacing w:line="240" w:lineRule="auto" w:before="11"/>
        <w:rPr>
          <w:rFonts w:ascii="宋体" w:hAnsi="宋体" w:cs="宋体" w:eastAsia="宋体" w:hint="default"/>
          <w:b/>
          <w:bCs/>
          <w:sz w:val="28"/>
          <w:szCs w:val="28"/>
        </w:rPr>
      </w:pPr>
    </w:p>
    <w:p>
      <w:pPr>
        <w:pStyle w:val="BodyText"/>
        <w:spacing w:line="357" w:lineRule="auto" w:before="0"/>
        <w:ind w:left="694" w:right="468"/>
        <w:jc w:val="left"/>
      </w:pPr>
      <w:r>
        <w:rPr>
          <w:rFonts w:ascii="宋体" w:hAnsi="宋体" w:cs="宋体" w:eastAsia="宋体" w:hint="default"/>
        </w:rPr>
        <w:t>1</w:t>
      </w:r>
      <w:r>
        <w:rPr/>
        <w:t>．增值税 本公司及子公司青岛天高公司、广西筑波公司、杭州容博公司根据财政部、国家税务总</w:t>
      </w:r>
    </w:p>
    <w:p>
      <w:pPr>
        <w:pStyle w:val="BodyText"/>
        <w:spacing w:line="357" w:lineRule="auto"/>
        <w:ind w:left="214" w:right="1114"/>
        <w:jc w:val="left"/>
      </w:pPr>
      <w:r>
        <w:rPr/>
        <w:t>局《关于软件产品增值税政策的通知》</w:t>
      </w:r>
      <w:r>
        <w:rPr>
          <w:rFonts w:ascii="宋体" w:hAnsi="宋体" w:cs="宋体" w:eastAsia="宋体" w:hint="default"/>
        </w:rPr>
        <w:t>(</w:t>
      </w:r>
      <w:r>
        <w:rPr/>
        <w:t>财税〔</w:t>
      </w:r>
      <w:r>
        <w:rPr>
          <w:rFonts w:ascii="宋体" w:hAnsi="宋体" w:cs="宋体" w:eastAsia="宋体" w:hint="default"/>
        </w:rPr>
        <w:t>2011</w:t>
      </w:r>
      <w:r>
        <w:rPr/>
        <w:t>〕第 </w:t>
      </w:r>
      <w:r>
        <w:rPr>
          <w:rFonts w:ascii="宋体" w:hAnsi="宋体" w:cs="宋体" w:eastAsia="宋体" w:hint="default"/>
        </w:rPr>
        <w:t>100</w:t>
      </w:r>
      <w:r>
        <w:rPr>
          <w:rFonts w:ascii="宋体" w:hAnsi="宋体" w:cs="宋体" w:eastAsia="宋体" w:hint="default"/>
          <w:spacing w:val="-82"/>
        </w:rPr>
        <w:t> </w:t>
      </w:r>
      <w:r>
        <w:rPr/>
        <w:t>号</w:t>
      </w:r>
      <w:r>
        <w:rPr>
          <w:rFonts w:ascii="宋体" w:hAnsi="宋体" w:cs="宋体" w:eastAsia="宋体" w:hint="default"/>
        </w:rPr>
        <w:t>)</w:t>
      </w:r>
      <w:r>
        <w:rPr/>
        <w:t>，销售自行开发生产的软件 产品，对增值税实际税负超过</w:t>
      </w:r>
      <w:r>
        <w:rPr>
          <w:spacing w:val="-60"/>
        </w:rPr>
        <w:t> </w:t>
      </w:r>
      <w:r>
        <w:rPr>
          <w:rFonts w:ascii="宋体" w:hAnsi="宋体" w:cs="宋体" w:eastAsia="宋体" w:hint="default"/>
        </w:rPr>
        <w:t>3%</w:t>
      </w:r>
      <w:r>
        <w:rPr/>
        <w:t>的部分实行即征即退政策。</w:t>
      </w:r>
    </w:p>
    <w:p>
      <w:pPr>
        <w:pStyle w:val="BodyText"/>
        <w:spacing w:line="240" w:lineRule="auto"/>
        <w:ind w:left="694" w:right="468"/>
        <w:jc w:val="left"/>
      </w:pPr>
      <w:r>
        <w:rPr>
          <w:rFonts w:ascii="宋体" w:hAnsi="宋体" w:cs="宋体" w:eastAsia="宋体" w:hint="default"/>
        </w:rPr>
        <w:t>2</w:t>
      </w:r>
      <w:r>
        <w:rPr/>
        <w:t>．企业所得税</w:t>
      </w:r>
    </w:p>
    <w:p>
      <w:pPr>
        <w:spacing w:line="240" w:lineRule="auto" w:before="9"/>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1384"/>
        <w:gridCol w:w="4112"/>
        <w:gridCol w:w="1599"/>
        <w:gridCol w:w="1429"/>
      </w:tblGrid>
      <w:tr>
        <w:trPr>
          <w:trHeight w:val="478" w:hRule="exact"/>
        </w:trPr>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21"/>
                <w:szCs w:val="21"/>
              </w:rPr>
            </w:pPr>
            <w:r>
              <w:rPr>
                <w:rFonts w:ascii="宋体" w:hAnsi="宋体" w:cs="宋体" w:eastAsia="宋体" w:hint="default"/>
                <w:sz w:val="21"/>
                <w:szCs w:val="21"/>
              </w:rPr>
              <w:t>公司</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21"/>
                <w:szCs w:val="21"/>
              </w:rPr>
            </w:pPr>
            <w:r>
              <w:rPr>
                <w:rFonts w:ascii="宋体" w:hAnsi="宋体" w:cs="宋体" w:eastAsia="宋体" w:hint="default"/>
                <w:sz w:val="21"/>
                <w:szCs w:val="21"/>
              </w:rPr>
              <w:t>文件名</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21"/>
                <w:szCs w:val="21"/>
              </w:rPr>
            </w:pPr>
            <w:r>
              <w:rPr>
                <w:rFonts w:ascii="宋体" w:hAnsi="宋体" w:cs="宋体" w:eastAsia="宋体" w:hint="default"/>
                <w:sz w:val="21"/>
                <w:szCs w:val="21"/>
              </w:rPr>
              <w:t>有效期</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21"/>
                <w:szCs w:val="21"/>
              </w:rPr>
            </w:pPr>
            <w:r>
              <w:rPr>
                <w:rFonts w:ascii="宋体" w:hAnsi="宋体" w:cs="宋体" w:eastAsia="宋体" w:hint="default"/>
                <w:sz w:val="21"/>
                <w:szCs w:val="21"/>
              </w:rPr>
              <w:t>税率</w:t>
            </w:r>
          </w:p>
        </w:tc>
      </w:tr>
      <w:tr>
        <w:trPr>
          <w:trHeight w:val="1026" w:hRule="exact"/>
        </w:trPr>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03"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103" w:right="102"/>
              <w:jc w:val="both"/>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日浙江省发改委高技术处《国家规 </w:t>
            </w:r>
            <w:r>
              <w:rPr>
                <w:rFonts w:ascii="宋体" w:hAnsi="宋体" w:cs="宋体" w:eastAsia="宋体" w:hint="default"/>
                <w:spacing w:val="4"/>
                <w:sz w:val="18"/>
                <w:szCs w:val="18"/>
              </w:rPr>
              <w:t>划布局内重点软件和集成电路企业所得税优惠核</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查结果公示》</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sz w:val="18"/>
              </w:rPr>
              <w:t>10%</w:t>
            </w:r>
          </w:p>
        </w:tc>
      </w:tr>
      <w:tr>
        <w:trPr>
          <w:trHeight w:val="634" w:hRule="exact"/>
        </w:trPr>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青岛天高公司</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1"/>
              <w:jc w:val="left"/>
              <w:rPr>
                <w:rFonts w:ascii="宋体" w:hAnsi="宋体" w:cs="宋体" w:eastAsia="宋体" w:hint="default"/>
                <w:sz w:val="18"/>
                <w:szCs w:val="18"/>
              </w:rPr>
            </w:pPr>
            <w:r>
              <w:rPr>
                <w:rFonts w:ascii="宋体" w:hAnsi="宋体" w:cs="宋体" w:eastAsia="宋体" w:hint="default"/>
                <w:sz w:val="18"/>
                <w:szCs w:val="18"/>
              </w:rPr>
              <w:t>《关于青岛市 </w:t>
            </w:r>
            <w:r>
              <w:rPr>
                <w:rFonts w:ascii="宋体" w:hAnsi="宋体" w:cs="宋体" w:eastAsia="宋体" w:hint="default"/>
                <w:sz w:val="18"/>
                <w:szCs w:val="18"/>
              </w:rPr>
              <w:t>2016</w:t>
            </w:r>
            <w:r>
              <w:rPr>
                <w:rFonts w:ascii="宋体" w:hAnsi="宋体" w:cs="宋体" w:eastAsia="宋体" w:hint="default"/>
                <w:spacing w:val="-66"/>
                <w:sz w:val="18"/>
                <w:szCs w:val="18"/>
              </w:rPr>
              <w:t> </w:t>
            </w:r>
            <w:r>
              <w:rPr>
                <w:rFonts w:ascii="宋体" w:hAnsi="宋体" w:cs="宋体" w:eastAsia="宋体" w:hint="default"/>
                <w:sz w:val="18"/>
                <w:szCs w:val="18"/>
              </w:rPr>
              <w:t>年第一批高新技术企业备案的 复函》</w:t>
            </w:r>
            <w:r>
              <w:rPr>
                <w:rFonts w:ascii="宋体" w:hAnsi="宋体" w:cs="宋体" w:eastAsia="宋体" w:hint="default"/>
                <w:sz w:val="18"/>
                <w:szCs w:val="18"/>
              </w:rPr>
              <w:t>(</w:t>
            </w:r>
            <w:r>
              <w:rPr>
                <w:rFonts w:ascii="宋体" w:hAnsi="宋体" w:cs="宋体" w:eastAsia="宋体" w:hint="default"/>
                <w:sz w:val="18"/>
                <w:szCs w:val="18"/>
              </w:rPr>
              <w:t>国科火字〔</w:t>
            </w:r>
            <w:r>
              <w:rPr>
                <w:rFonts w:ascii="宋体" w:hAnsi="宋体" w:cs="宋体" w:eastAsia="宋体" w:hint="default"/>
                <w:sz w:val="18"/>
                <w:szCs w:val="18"/>
              </w:rPr>
              <w:t>2016</w:t>
            </w:r>
            <w:r>
              <w:rPr>
                <w:rFonts w:ascii="宋体" w:hAnsi="宋体" w:cs="宋体" w:eastAsia="宋体" w:hint="default"/>
                <w:sz w:val="18"/>
                <w:szCs w:val="18"/>
              </w:rPr>
              <w:t>〕</w:t>
            </w:r>
            <w:r>
              <w:rPr>
                <w:rFonts w:ascii="宋体" w:hAnsi="宋体" w:cs="宋体" w:eastAsia="宋体" w:hint="default"/>
                <w:sz w:val="18"/>
                <w:szCs w:val="18"/>
              </w:rPr>
              <w:t>158</w:t>
            </w:r>
            <w:r>
              <w:rPr>
                <w:rFonts w:ascii="宋体" w:hAnsi="宋体" w:cs="宋体" w:eastAsia="宋体" w:hint="default"/>
                <w:spacing w:val="-46"/>
                <w:sz w:val="18"/>
                <w:szCs w:val="18"/>
              </w:rPr>
              <w:t> </w:t>
            </w:r>
            <w:r>
              <w:rPr>
                <w:rFonts w:ascii="宋体" w:hAnsi="宋体" w:cs="宋体" w:eastAsia="宋体" w:hint="default"/>
                <w:sz w:val="18"/>
                <w:szCs w:val="18"/>
              </w:rPr>
              <w:t>号</w:t>
            </w:r>
            <w:r>
              <w:rPr>
                <w:rFonts w:ascii="宋体" w:hAnsi="宋体" w:cs="宋体" w:eastAsia="宋体" w:hint="default"/>
                <w:sz w:val="18"/>
                <w:szCs w:val="18"/>
              </w:rPr>
              <w:t>)</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2016-2018</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15%</w:t>
            </w:r>
          </w:p>
        </w:tc>
      </w:tr>
      <w:tr>
        <w:trPr>
          <w:trHeight w:val="634" w:hRule="exact"/>
        </w:trPr>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广西筑波公司</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1"/>
              <w:jc w:val="left"/>
              <w:rPr>
                <w:rFonts w:ascii="宋体" w:hAnsi="宋体" w:cs="宋体" w:eastAsia="宋体" w:hint="default"/>
                <w:sz w:val="18"/>
                <w:szCs w:val="18"/>
              </w:rPr>
            </w:pPr>
            <w:r>
              <w:rPr>
                <w:rFonts w:ascii="宋体" w:hAnsi="宋体" w:cs="宋体" w:eastAsia="宋体" w:hint="default"/>
                <w:sz w:val="18"/>
                <w:szCs w:val="18"/>
              </w:rPr>
              <w:t>《关于广西壮族自治区 </w:t>
            </w:r>
            <w:r>
              <w:rPr>
                <w:rFonts w:ascii="宋体" w:hAnsi="宋体" w:cs="宋体" w:eastAsia="宋体" w:hint="default"/>
                <w:sz w:val="18"/>
                <w:szCs w:val="18"/>
              </w:rPr>
              <w:t>2016</w:t>
            </w:r>
            <w:r>
              <w:rPr>
                <w:rFonts w:ascii="宋体" w:hAnsi="宋体" w:cs="宋体" w:eastAsia="宋体" w:hint="default"/>
                <w:spacing w:val="-66"/>
                <w:sz w:val="18"/>
                <w:szCs w:val="18"/>
              </w:rPr>
              <w:t> </w:t>
            </w:r>
            <w:r>
              <w:rPr>
                <w:rFonts w:ascii="宋体" w:hAnsi="宋体" w:cs="宋体" w:eastAsia="宋体" w:hint="default"/>
                <w:sz w:val="18"/>
                <w:szCs w:val="18"/>
              </w:rPr>
              <w:t>年第一批高新技术企 业备案的复函》（国科火字〔</w:t>
            </w:r>
            <w:r>
              <w:rPr>
                <w:rFonts w:ascii="宋体" w:hAnsi="宋体" w:cs="宋体" w:eastAsia="宋体" w:hint="default"/>
                <w:sz w:val="18"/>
                <w:szCs w:val="18"/>
              </w:rPr>
              <w:t>2016</w:t>
            </w:r>
            <w:r>
              <w:rPr>
                <w:rFonts w:ascii="宋体" w:hAnsi="宋体" w:cs="宋体" w:eastAsia="宋体" w:hint="default"/>
                <w:sz w:val="18"/>
                <w:szCs w:val="18"/>
              </w:rPr>
              <w:t>〕</w:t>
            </w:r>
            <w:r>
              <w:rPr>
                <w:rFonts w:ascii="宋体" w:hAnsi="宋体" w:cs="宋体" w:eastAsia="宋体" w:hint="default"/>
                <w:sz w:val="18"/>
                <w:szCs w:val="18"/>
              </w:rPr>
              <w:t>155</w:t>
            </w:r>
            <w:r>
              <w:rPr>
                <w:rFonts w:ascii="宋体" w:hAnsi="宋体" w:cs="宋体" w:eastAsia="宋体" w:hint="default"/>
                <w:spacing w:val="-46"/>
                <w:sz w:val="18"/>
                <w:szCs w:val="18"/>
              </w:rPr>
              <w:t> </w:t>
            </w:r>
            <w:r>
              <w:rPr>
                <w:rFonts w:ascii="宋体" w:hAnsi="宋体" w:cs="宋体" w:eastAsia="宋体" w:hint="default"/>
                <w:sz w:val="18"/>
                <w:szCs w:val="18"/>
              </w:rPr>
              <w:t>号）</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2016-2018</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15%</w:t>
            </w:r>
          </w:p>
        </w:tc>
      </w:tr>
      <w:tr>
        <w:trPr>
          <w:trHeight w:val="635" w:hRule="exact"/>
        </w:trPr>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福建正元公司</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3" w:right="101"/>
              <w:jc w:val="left"/>
              <w:rPr>
                <w:rFonts w:ascii="宋体" w:hAnsi="宋体" w:cs="宋体" w:eastAsia="宋体" w:hint="default"/>
                <w:sz w:val="18"/>
                <w:szCs w:val="18"/>
              </w:rPr>
            </w:pPr>
            <w:r>
              <w:rPr>
                <w:rFonts w:ascii="宋体" w:hAnsi="宋体" w:cs="宋体" w:eastAsia="宋体" w:hint="default"/>
                <w:sz w:val="18"/>
                <w:szCs w:val="18"/>
              </w:rPr>
              <w:t>《关于福建省 </w:t>
            </w:r>
            <w:r>
              <w:rPr>
                <w:rFonts w:ascii="宋体" w:hAnsi="宋体" w:cs="宋体" w:eastAsia="宋体" w:hint="default"/>
                <w:sz w:val="18"/>
                <w:szCs w:val="18"/>
              </w:rPr>
              <w:t>2016</w:t>
            </w:r>
            <w:r>
              <w:rPr>
                <w:rFonts w:ascii="宋体" w:hAnsi="宋体" w:cs="宋体" w:eastAsia="宋体" w:hint="default"/>
                <w:spacing w:val="-66"/>
                <w:sz w:val="18"/>
                <w:szCs w:val="18"/>
              </w:rPr>
              <w:t> </w:t>
            </w:r>
            <w:r>
              <w:rPr>
                <w:rFonts w:ascii="宋体" w:hAnsi="宋体" w:cs="宋体" w:eastAsia="宋体" w:hint="default"/>
                <w:sz w:val="18"/>
                <w:szCs w:val="18"/>
              </w:rPr>
              <w:t>年第一批高新技术企业备案的 复函》</w:t>
            </w:r>
            <w:r>
              <w:rPr>
                <w:rFonts w:ascii="宋体" w:hAnsi="宋体" w:cs="宋体" w:eastAsia="宋体" w:hint="default"/>
                <w:sz w:val="18"/>
                <w:szCs w:val="18"/>
              </w:rPr>
              <w:t>(</w:t>
            </w:r>
            <w:r>
              <w:rPr>
                <w:rFonts w:ascii="宋体" w:hAnsi="宋体" w:cs="宋体" w:eastAsia="宋体" w:hint="default"/>
                <w:sz w:val="18"/>
                <w:szCs w:val="18"/>
              </w:rPr>
              <w:t>国科火字〔</w:t>
            </w:r>
            <w:r>
              <w:rPr>
                <w:rFonts w:ascii="宋体" w:hAnsi="宋体" w:cs="宋体" w:eastAsia="宋体" w:hint="default"/>
                <w:sz w:val="18"/>
                <w:szCs w:val="18"/>
              </w:rPr>
              <w:t>2016</w:t>
            </w:r>
            <w:r>
              <w:rPr>
                <w:rFonts w:ascii="宋体" w:hAnsi="宋体" w:cs="宋体" w:eastAsia="宋体" w:hint="default"/>
                <w:sz w:val="18"/>
                <w:szCs w:val="18"/>
              </w:rPr>
              <w:t>〕</w:t>
            </w:r>
            <w:r>
              <w:rPr>
                <w:rFonts w:ascii="宋体" w:hAnsi="宋体" w:cs="宋体" w:eastAsia="宋体" w:hint="default"/>
                <w:sz w:val="18"/>
                <w:szCs w:val="18"/>
              </w:rPr>
              <w:t>159</w:t>
            </w:r>
            <w:r>
              <w:rPr>
                <w:rFonts w:ascii="宋体" w:hAnsi="宋体" w:cs="宋体" w:eastAsia="宋体" w:hint="default"/>
                <w:spacing w:val="-46"/>
                <w:sz w:val="18"/>
                <w:szCs w:val="18"/>
              </w:rPr>
              <w:t> </w:t>
            </w:r>
            <w:r>
              <w:rPr>
                <w:rFonts w:ascii="宋体" w:hAnsi="宋体" w:cs="宋体" w:eastAsia="宋体" w:hint="default"/>
                <w:sz w:val="18"/>
                <w:szCs w:val="18"/>
              </w:rPr>
              <w:t>号</w:t>
            </w:r>
            <w:r>
              <w:rPr>
                <w:rFonts w:ascii="宋体" w:hAnsi="宋体" w:cs="宋体" w:eastAsia="宋体" w:hint="default"/>
                <w:sz w:val="18"/>
                <w:szCs w:val="18"/>
              </w:rPr>
              <w:t>)</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2016-2018</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15%</w:t>
            </w:r>
          </w:p>
        </w:tc>
      </w:tr>
    </w:tbl>
    <w:p>
      <w:pPr>
        <w:spacing w:after="0" w:line="240" w:lineRule="auto"/>
        <w:jc w:val="center"/>
        <w:rPr>
          <w:rFonts w:ascii="宋体" w:hAnsi="宋体" w:cs="宋体" w:eastAsia="宋体" w:hint="default"/>
          <w:sz w:val="18"/>
          <w:szCs w:val="18"/>
        </w:rPr>
        <w:sectPr>
          <w:pgSz w:w="11910" w:h="16840"/>
          <w:pgMar w:header="747" w:footer="979" w:top="1060" w:bottom="1160" w:left="920" w:right="0"/>
        </w:sectPr>
      </w:pPr>
    </w:p>
    <w:p>
      <w:pPr>
        <w:spacing w:line="240" w:lineRule="auto" w:before="6"/>
        <w:rPr>
          <w:rFonts w:ascii="宋体" w:hAnsi="宋体" w:cs="宋体" w:eastAsia="宋体" w:hint="default"/>
          <w:sz w:val="28"/>
          <w:szCs w:val="28"/>
        </w:rPr>
      </w:pPr>
    </w:p>
    <w:tbl>
      <w:tblPr>
        <w:tblW w:w="0" w:type="auto"/>
        <w:jc w:val="left"/>
        <w:tblInd w:w="101" w:type="dxa"/>
        <w:tblLayout w:type="fixed"/>
        <w:tblCellMar>
          <w:top w:w="0" w:type="dxa"/>
          <w:left w:w="0" w:type="dxa"/>
          <w:bottom w:w="0" w:type="dxa"/>
          <w:right w:w="0" w:type="dxa"/>
        </w:tblCellMar>
        <w:tblLook w:val="01E0"/>
      </w:tblPr>
      <w:tblGrid>
        <w:gridCol w:w="1384"/>
        <w:gridCol w:w="4112"/>
        <w:gridCol w:w="1599"/>
        <w:gridCol w:w="1429"/>
      </w:tblGrid>
      <w:tr>
        <w:trPr>
          <w:trHeight w:val="946" w:hRule="exact"/>
        </w:trPr>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南昌正元公司</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84"/>
              <w:jc w:val="left"/>
              <w:rPr>
                <w:rFonts w:ascii="宋体" w:hAnsi="宋体" w:cs="宋体" w:eastAsia="宋体" w:hint="default"/>
                <w:sz w:val="18"/>
                <w:szCs w:val="18"/>
              </w:rPr>
            </w:pPr>
            <w:r>
              <w:rPr>
                <w:rFonts w:ascii="宋体" w:hAnsi="宋体" w:cs="宋体" w:eastAsia="宋体" w:hint="default"/>
                <w:spacing w:val="15"/>
                <w:sz w:val="18"/>
                <w:szCs w:val="18"/>
              </w:rPr>
              <w:t>《江西省高企认定工作办公室关于公示江西省 </w:t>
            </w:r>
            <w:r>
              <w:rPr>
                <w:rFonts w:ascii="宋体" w:hAnsi="宋体" w:cs="宋体" w:eastAsia="宋体" w:hint="default"/>
                <w:sz w:val="18"/>
                <w:szCs w:val="18"/>
              </w:rPr>
              <w:t>2017</w:t>
            </w:r>
            <w:r>
              <w:rPr>
                <w:rFonts w:ascii="宋体" w:hAnsi="宋体" w:cs="宋体" w:eastAsia="宋体" w:hint="default"/>
                <w:spacing w:val="21"/>
                <w:sz w:val="18"/>
                <w:szCs w:val="18"/>
              </w:rPr>
              <w:t> </w:t>
            </w:r>
            <w:r>
              <w:rPr>
                <w:rFonts w:ascii="宋体" w:hAnsi="宋体" w:cs="宋体" w:eastAsia="宋体" w:hint="default"/>
                <w:sz w:val="18"/>
                <w:szCs w:val="18"/>
              </w:rPr>
              <w:t>年第一批拟报备高新技术企业名单的通知》</w:t>
            </w:r>
          </w:p>
          <w:p>
            <w:pPr>
              <w:pStyle w:val="TableParagraph"/>
              <w:spacing w:line="240" w:lineRule="auto" w:before="19"/>
              <w:ind w:left="103" w:right="0"/>
              <w:jc w:val="left"/>
              <w:rPr>
                <w:rFonts w:ascii="宋体" w:hAnsi="宋体" w:cs="宋体" w:eastAsia="宋体" w:hint="default"/>
                <w:sz w:val="18"/>
                <w:szCs w:val="18"/>
              </w:rPr>
            </w:pPr>
            <w:r>
              <w:rPr>
                <w:rFonts w:ascii="宋体" w:hAnsi="宋体" w:cs="宋体" w:eastAsia="宋体" w:hint="default"/>
                <w:sz w:val="18"/>
                <w:szCs w:val="18"/>
              </w:rPr>
              <w:t>（赣高企认办〔</w:t>
            </w:r>
            <w:r>
              <w:rPr>
                <w:rFonts w:ascii="宋体" w:hAnsi="宋体" w:cs="宋体" w:eastAsia="宋体" w:hint="default"/>
                <w:sz w:val="18"/>
                <w:szCs w:val="18"/>
              </w:rPr>
              <w:t>2017</w:t>
            </w: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号）</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77" w:right="0"/>
              <w:jc w:val="left"/>
              <w:rPr>
                <w:rFonts w:ascii="宋体" w:hAnsi="宋体" w:cs="宋体" w:eastAsia="宋体" w:hint="default"/>
                <w:sz w:val="18"/>
                <w:szCs w:val="18"/>
              </w:rPr>
            </w:pPr>
            <w:r>
              <w:rPr>
                <w:rFonts w:ascii="宋体" w:hAnsi="宋体" w:cs="宋体" w:eastAsia="宋体" w:hint="default"/>
                <w:sz w:val="18"/>
                <w:szCs w:val="18"/>
              </w:rPr>
              <w:t>2017-2019</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sz w:val="18"/>
              </w:rPr>
              <w:t>15%</w:t>
            </w:r>
          </w:p>
        </w:tc>
      </w:tr>
      <w:tr>
        <w:trPr>
          <w:trHeight w:val="635" w:hRule="exact"/>
        </w:trPr>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杭州容博公司</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《关于浙江省 </w:t>
            </w:r>
            <w:r>
              <w:rPr>
                <w:rFonts w:ascii="宋体" w:hAnsi="宋体" w:cs="宋体" w:eastAsia="宋体" w:hint="default"/>
                <w:sz w:val="18"/>
                <w:szCs w:val="18"/>
              </w:rPr>
              <w:t>2018</w:t>
            </w:r>
            <w:r>
              <w:rPr>
                <w:rFonts w:ascii="宋体" w:hAnsi="宋体" w:cs="宋体" w:eastAsia="宋体" w:hint="default"/>
                <w:spacing w:val="-66"/>
                <w:sz w:val="18"/>
                <w:szCs w:val="18"/>
              </w:rPr>
              <w:t> </w:t>
            </w:r>
            <w:r>
              <w:rPr>
                <w:rFonts w:ascii="宋体" w:hAnsi="宋体" w:cs="宋体" w:eastAsia="宋体" w:hint="default"/>
                <w:sz w:val="18"/>
                <w:szCs w:val="18"/>
              </w:rPr>
              <w:t>年高新技术企业备案的复函》</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（国科火字〔</w:t>
            </w:r>
            <w:r>
              <w:rPr>
                <w:rFonts w:ascii="宋体" w:hAnsi="宋体" w:cs="宋体" w:eastAsia="宋体" w:hint="default"/>
                <w:sz w:val="18"/>
                <w:szCs w:val="18"/>
              </w:rPr>
              <w:t>2019</w:t>
            </w:r>
            <w:r>
              <w:rPr>
                <w:rFonts w:ascii="宋体" w:hAnsi="宋体" w:cs="宋体" w:eastAsia="宋体" w:hint="default"/>
                <w:sz w:val="18"/>
                <w:szCs w:val="18"/>
              </w:rPr>
              <w:t>〕</w:t>
            </w:r>
            <w:r>
              <w:rPr>
                <w:rFonts w:ascii="宋体" w:hAnsi="宋体" w:cs="宋体" w:eastAsia="宋体" w:hint="default"/>
                <w:sz w:val="18"/>
                <w:szCs w:val="18"/>
              </w:rPr>
              <w:t>70</w:t>
            </w:r>
            <w:r>
              <w:rPr>
                <w:rFonts w:ascii="宋体" w:hAnsi="宋体" w:cs="宋体" w:eastAsia="宋体" w:hint="default"/>
                <w:spacing w:val="-46"/>
                <w:sz w:val="18"/>
                <w:szCs w:val="18"/>
              </w:rPr>
              <w:t> </w:t>
            </w:r>
            <w:r>
              <w:rPr>
                <w:rFonts w:ascii="宋体" w:hAnsi="宋体" w:cs="宋体" w:eastAsia="宋体" w:hint="default"/>
                <w:sz w:val="18"/>
                <w:szCs w:val="18"/>
              </w:rPr>
              <w:t>号）</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77" w:right="0"/>
              <w:jc w:val="left"/>
              <w:rPr>
                <w:rFonts w:ascii="宋体" w:hAnsi="宋体" w:cs="宋体" w:eastAsia="宋体" w:hint="default"/>
                <w:sz w:val="18"/>
                <w:szCs w:val="18"/>
              </w:rPr>
            </w:pPr>
            <w:r>
              <w:rPr>
                <w:rFonts w:ascii="宋体" w:hAnsi="宋体" w:cs="宋体" w:eastAsia="宋体" w:hint="default"/>
                <w:sz w:val="18"/>
                <w:szCs w:val="18"/>
              </w:rPr>
              <w:t>2018-2020</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15%</w:t>
            </w:r>
          </w:p>
        </w:tc>
      </w:tr>
    </w:tbl>
    <w:p>
      <w:pPr>
        <w:spacing w:before="51"/>
        <w:ind w:left="214" w:right="468" w:firstLine="0"/>
        <w:jc w:val="left"/>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上市公司从事软件与信息技术服务业务》的披露要求</w:t>
      </w:r>
    </w:p>
    <w:p>
      <w:pPr>
        <w:spacing w:line="240" w:lineRule="auto" w:before="0"/>
        <w:rPr>
          <w:rFonts w:ascii="宋体" w:hAnsi="宋体" w:cs="宋体" w:eastAsia="宋体" w:hint="default"/>
          <w:sz w:val="24"/>
          <w:szCs w:val="24"/>
        </w:rPr>
      </w:pPr>
    </w:p>
    <w:p>
      <w:pPr>
        <w:pStyle w:val="Heading2"/>
        <w:spacing w:line="240" w:lineRule="auto"/>
        <w:ind w:left="214" w:right="468"/>
        <w:jc w:val="left"/>
        <w:rPr>
          <w:b w:val="0"/>
          <w:bCs w:val="0"/>
        </w:rPr>
      </w:pPr>
      <w:bookmarkStart w:name="七、合并财务报表项目注释" w:id="219"/>
      <w:bookmarkEnd w:id="219"/>
      <w:r>
        <w:rPr>
          <w:b w:val="0"/>
          <w:bCs w:val="0"/>
        </w:rPr>
      </w:r>
      <w:r>
        <w:rPr/>
        <w:t>七、合并财务报表项目注释</w:t>
      </w:r>
      <w:r>
        <w:rPr>
          <w:b w:val="0"/>
          <w:bCs w:val="0"/>
        </w:rPr>
      </w:r>
    </w:p>
    <w:p>
      <w:pPr>
        <w:spacing w:line="240" w:lineRule="auto" w:before="8"/>
        <w:rPr>
          <w:rFonts w:ascii="宋体" w:hAnsi="宋体" w:cs="宋体" w:eastAsia="宋体" w:hint="default"/>
          <w:b/>
          <w:bCs/>
          <w:sz w:val="24"/>
          <w:szCs w:val="24"/>
        </w:rPr>
      </w:pPr>
    </w:p>
    <w:p>
      <w:pPr>
        <w:spacing w:before="0"/>
        <w:ind w:left="214" w:right="468" w:firstLine="0"/>
        <w:jc w:val="left"/>
        <w:rPr>
          <w:rFonts w:ascii="宋体" w:hAnsi="宋体" w:cs="宋体" w:eastAsia="宋体" w:hint="default"/>
          <w:sz w:val="21"/>
          <w:szCs w:val="21"/>
        </w:rPr>
      </w:pPr>
      <w:bookmarkStart w:name="1、货币资金" w:id="220"/>
      <w:bookmarkEnd w:id="220"/>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22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98,075.86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36,592.94</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220,949,796.59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196,288,008.12</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3,209,216.10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10,867,590.73</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224,257,088.55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207,192,191.79</w:t>
            </w:r>
          </w:p>
        </w:tc>
      </w:tr>
    </w:tbl>
    <w:p>
      <w:pPr>
        <w:spacing w:before="51"/>
        <w:ind w:left="214" w:right="468"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145"/>
        <w:ind w:left="694" w:right="468"/>
        <w:jc w:val="left"/>
        <w:rPr>
          <w:rFonts w:ascii="宋体" w:hAnsi="宋体" w:cs="宋体" w:eastAsia="宋体" w:hint="default"/>
        </w:rPr>
      </w:pPr>
      <w:r>
        <w:rPr>
          <w:spacing w:val="-3"/>
        </w:rPr>
        <w:t>抵押、质押或冻结等对使用有限制、以及存放在境外且资金汇回受到限制的款项的说明</w:t>
      </w:r>
      <w:r>
        <w:rPr>
          <w:rFonts w:ascii="宋体" w:hAnsi="宋体" w:cs="宋体" w:eastAsia="宋体" w:hint="default"/>
          <w:spacing w:val="-3"/>
        </w:rPr>
        <w:t>:</w:t>
      </w:r>
    </w:p>
    <w:p>
      <w:pPr>
        <w:spacing w:line="240" w:lineRule="auto" w:before="9"/>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4250"/>
        <w:gridCol w:w="2136"/>
        <w:gridCol w:w="2138"/>
      </w:tblGrid>
      <w:tr>
        <w:trPr>
          <w:trHeight w:val="322" w:hRule="exact"/>
        </w:trPr>
        <w:tc>
          <w:tcPr>
            <w:tcW w:w="425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13" w:right="0"/>
              <w:jc w:val="left"/>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63"/>
                <w:sz w:val="21"/>
                <w:szCs w:val="21"/>
              </w:rPr>
              <w:t> </w:t>
            </w:r>
            <w:r>
              <w:rPr>
                <w:rFonts w:ascii="宋体" w:hAnsi="宋体" w:cs="宋体" w:eastAsia="宋体" w:hint="default"/>
                <w:sz w:val="21"/>
                <w:szCs w:val="21"/>
              </w:rPr>
              <w:t>目</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9"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22" w:hRule="exact"/>
        </w:trPr>
        <w:tc>
          <w:tcPr>
            <w:tcW w:w="425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1"/>
                <w:sz w:val="21"/>
                <w:szCs w:val="21"/>
              </w:rPr>
              <w:t> </w:t>
            </w:r>
            <w:r>
              <w:rPr>
                <w:rFonts w:ascii="宋体" w:hAnsi="宋体" w:cs="宋体" w:eastAsia="宋体" w:hint="default"/>
                <w:sz w:val="21"/>
                <w:szCs w:val="21"/>
              </w:rPr>
              <w:t>银行存款</w:t>
            </w:r>
          </w:p>
        </w:tc>
        <w:tc>
          <w:tcPr>
            <w:tcW w:w="2136" w:type="dxa"/>
            <w:tcBorders>
              <w:top w:val="single" w:sz="4" w:space="0" w:color="000000"/>
              <w:left w:val="single" w:sz="4" w:space="0" w:color="000000"/>
              <w:bottom w:val="single" w:sz="4" w:space="0" w:color="000000"/>
              <w:right w:val="single" w:sz="4" w:space="0" w:color="000000"/>
            </w:tcBorders>
          </w:tcPr>
          <w:p>
            <w:pPr/>
          </w:p>
        </w:tc>
        <w:tc>
          <w:tcPr>
            <w:tcW w:w="2138"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425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短期借款质押存款</w:t>
            </w:r>
          </w:p>
        </w:tc>
        <w:tc>
          <w:tcPr>
            <w:tcW w:w="2136" w:type="dxa"/>
            <w:tcBorders>
              <w:top w:val="single" w:sz="4" w:space="0" w:color="000000"/>
              <w:left w:val="single" w:sz="4" w:space="0" w:color="000000"/>
              <w:bottom w:val="single" w:sz="4" w:space="0" w:color="000000"/>
              <w:right w:val="single" w:sz="4" w:space="0" w:color="000000"/>
            </w:tcBorders>
          </w:tcPr>
          <w:p>
            <w:pP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z w:val="21"/>
              </w:rPr>
              <w:t>15,000,000.00</w:t>
            </w:r>
          </w:p>
        </w:tc>
      </w:tr>
      <w:tr>
        <w:trPr>
          <w:trHeight w:val="322" w:hRule="exact"/>
        </w:trPr>
        <w:tc>
          <w:tcPr>
            <w:tcW w:w="425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预收货款冻结</w:t>
            </w: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Times New Roman" w:hAnsi="Times New Roman" w:cs="Times New Roman" w:eastAsia="Times New Roman" w:hint="default"/>
                <w:sz w:val="21"/>
                <w:szCs w:val="21"/>
              </w:rPr>
              <w:t>]</w:t>
            </w:r>
          </w:p>
        </w:tc>
        <w:tc>
          <w:tcPr>
            <w:tcW w:w="2136" w:type="dxa"/>
            <w:tcBorders>
              <w:top w:val="single" w:sz="4" w:space="0" w:color="000000"/>
              <w:left w:val="single" w:sz="4" w:space="0" w:color="000000"/>
              <w:bottom w:val="single" w:sz="4" w:space="0" w:color="000000"/>
              <w:right w:val="single" w:sz="4" w:space="0" w:color="000000"/>
            </w:tcBorders>
          </w:tcPr>
          <w:p>
            <w:pP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5,761,896.01</w:t>
            </w:r>
          </w:p>
        </w:tc>
      </w:tr>
      <w:tr>
        <w:trPr>
          <w:trHeight w:val="322" w:hRule="exact"/>
        </w:trPr>
        <w:tc>
          <w:tcPr>
            <w:tcW w:w="425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其他货币资金</w:t>
            </w:r>
          </w:p>
        </w:tc>
        <w:tc>
          <w:tcPr>
            <w:tcW w:w="2136" w:type="dxa"/>
            <w:tcBorders>
              <w:top w:val="single" w:sz="4" w:space="0" w:color="000000"/>
              <w:left w:val="single" w:sz="4" w:space="0" w:color="000000"/>
              <w:bottom w:val="single" w:sz="4" w:space="0" w:color="000000"/>
              <w:right w:val="single" w:sz="4" w:space="0" w:color="000000"/>
            </w:tcBorders>
          </w:tcPr>
          <w:p>
            <w:pPr/>
          </w:p>
        </w:tc>
        <w:tc>
          <w:tcPr>
            <w:tcW w:w="2138"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425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银行承兑汇票保证金</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Times New Roman" w:hAnsi="Times New Roman" w:cs="Times New Roman" w:eastAsia="Times New Roman" w:hint="default"/>
                <w:sz w:val="21"/>
                <w:szCs w:val="21"/>
              </w:rPr>
            </w:pPr>
            <w:r>
              <w:rPr>
                <w:rFonts w:ascii="Times New Roman"/>
                <w:sz w:val="21"/>
              </w:rPr>
              <w:t>3,114,234.87</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z w:val="21"/>
              </w:rPr>
              <w:t>10,843,428.91</w:t>
            </w:r>
          </w:p>
        </w:tc>
      </w:tr>
      <w:tr>
        <w:trPr>
          <w:trHeight w:val="322" w:hRule="exact"/>
        </w:trPr>
        <w:tc>
          <w:tcPr>
            <w:tcW w:w="425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13" w:right="0"/>
              <w:jc w:val="left"/>
              <w:rPr>
                <w:rFonts w:ascii="宋体" w:hAnsi="宋体" w:cs="宋体" w:eastAsia="宋体" w:hint="default"/>
                <w:sz w:val="21"/>
                <w:szCs w:val="21"/>
              </w:rPr>
            </w:pPr>
            <w:r>
              <w:rPr>
                <w:rFonts w:ascii="宋体" w:hAnsi="宋体" w:cs="宋体" w:eastAsia="宋体" w:hint="default"/>
                <w:sz w:val="21"/>
                <w:szCs w:val="21"/>
              </w:rPr>
              <w:t>小</w:t>
            </w:r>
            <w:r>
              <w:rPr>
                <w:rFonts w:ascii="宋体" w:hAnsi="宋体" w:cs="宋体" w:eastAsia="宋体" w:hint="default"/>
                <w:spacing w:val="63"/>
                <w:sz w:val="21"/>
                <w:szCs w:val="21"/>
              </w:rPr>
              <w:t> </w:t>
            </w:r>
            <w:r>
              <w:rPr>
                <w:rFonts w:ascii="宋体" w:hAnsi="宋体" w:cs="宋体" w:eastAsia="宋体" w:hint="default"/>
                <w:sz w:val="21"/>
                <w:szCs w:val="21"/>
              </w:rPr>
              <w:t>计</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3,114,234.87</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z w:val="21"/>
              </w:rPr>
              <w:t>31,605,324.92</w:t>
            </w:r>
          </w:p>
        </w:tc>
      </w:tr>
    </w:tbl>
    <w:p>
      <w:pPr>
        <w:pStyle w:val="BodyText"/>
        <w:spacing w:line="357" w:lineRule="auto" w:before="40"/>
        <w:ind w:left="214" w:right="468" w:firstLine="480"/>
        <w:jc w:val="left"/>
      </w:pPr>
      <w:r>
        <w:rPr/>
        <w:t>注</w:t>
      </w:r>
      <w:r>
        <w:rPr>
          <w:rFonts w:ascii="宋体" w:hAnsi="宋体" w:cs="宋体" w:eastAsia="宋体" w:hint="default"/>
        </w:rPr>
        <w:t>:</w:t>
      </w:r>
      <w:r>
        <w:rPr/>
        <w:t>预收货款冻结系公司与客户开立的共管账户</w:t>
      </w:r>
      <w:r>
        <w:rPr>
          <w:rFonts w:ascii="宋体" w:hAnsi="宋体" w:cs="宋体" w:eastAsia="宋体" w:hint="default"/>
        </w:rPr>
        <w:t>,</w:t>
      </w:r>
      <w:r>
        <w:rPr/>
        <w:t>在项目完成前</w:t>
      </w:r>
      <w:r>
        <w:rPr>
          <w:rFonts w:ascii="宋体" w:hAnsi="宋体" w:cs="宋体" w:eastAsia="宋体" w:hint="default"/>
        </w:rPr>
        <w:t>,</w:t>
      </w:r>
      <w:r>
        <w:rPr/>
        <w:t>账户内资金被银行冻结</w:t>
      </w:r>
      <w:r>
        <w:rPr>
          <w:rFonts w:ascii="宋体" w:hAnsi="宋体" w:cs="宋体" w:eastAsia="宋体" w:hint="default"/>
        </w:rPr>
        <w:t>, </w:t>
      </w:r>
      <w:r>
        <w:rPr/>
        <w:t>无法随时支取。</w:t>
      </w:r>
    </w:p>
    <w:p>
      <w:pPr>
        <w:spacing w:line="240" w:lineRule="auto" w:before="8"/>
        <w:rPr>
          <w:rFonts w:ascii="宋体" w:hAnsi="宋体" w:cs="宋体" w:eastAsia="宋体" w:hint="default"/>
          <w:sz w:val="21"/>
          <w:szCs w:val="21"/>
        </w:rPr>
      </w:pPr>
    </w:p>
    <w:p>
      <w:pPr>
        <w:spacing w:before="0"/>
        <w:ind w:left="214" w:right="468" w:firstLine="0"/>
        <w:jc w:val="left"/>
        <w:rPr>
          <w:rFonts w:ascii="宋体" w:hAnsi="宋体" w:cs="宋体" w:eastAsia="宋体" w:hint="default"/>
          <w:sz w:val="21"/>
          <w:szCs w:val="21"/>
        </w:rPr>
      </w:pPr>
      <w:bookmarkStart w:name="2、应收票据及应收账款" w:id="221"/>
      <w:bookmarkEnd w:id="221"/>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、应收票据及应收账款</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22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1,942,145.00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3,307,836.32</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314,762,606.52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273,934,565.11</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316,704,751.52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277,242,401.43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20" w:right="0"/>
        </w:sectPr>
      </w:pPr>
    </w:p>
    <w:p>
      <w:pPr>
        <w:spacing w:line="240" w:lineRule="auto" w:before="10"/>
        <w:rPr>
          <w:rFonts w:ascii="宋体" w:hAnsi="宋体" w:cs="宋体" w:eastAsia="宋体" w:hint="default"/>
          <w:sz w:val="24"/>
          <w:szCs w:val="24"/>
        </w:rPr>
      </w:pPr>
    </w:p>
    <w:p>
      <w:pPr>
        <w:spacing w:before="35"/>
        <w:ind w:left="154" w:right="0" w:firstLine="0"/>
        <w:jc w:val="left"/>
        <w:rPr>
          <w:rFonts w:ascii="宋体" w:hAnsi="宋体" w:cs="宋体" w:eastAsia="宋体" w:hint="default"/>
          <w:sz w:val="21"/>
          <w:szCs w:val="21"/>
        </w:rPr>
      </w:pPr>
      <w:bookmarkStart w:name="（1）应收票据" w:id="222"/>
      <w:bookmarkEnd w:id="22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）应收票据</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应收票据分类列示</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1,942,145.00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750,305.10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2" w:type="dxa"/>
            <w:tcBorders>
              <w:top w:val="single" w:sz="4" w:space="0" w:color="000000"/>
              <w:left w:val="single" w:sz="13"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2,557,531.22</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1,942,145.00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3,307,836.32</w:t>
            </w:r>
          </w:p>
        </w:tc>
      </w:tr>
    </w:tbl>
    <w:p>
      <w:pPr>
        <w:spacing w:before="51"/>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期末公司已质押的应收票据</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62"/>
        <w:gridCol w:w="4796"/>
      </w:tblGrid>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before="51"/>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期末公司已背书或贴现且在资产负债表日尚未到期的应收票据</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82"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1,108,050.97</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1,108,050.97</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期末公司因出票人未履约而将其转应收账款的票据</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62"/>
        <w:gridCol w:w="4796"/>
      </w:tblGrid>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88"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357" w:lineRule="auto" w:before="145"/>
        <w:ind w:right="1139" w:firstLine="480"/>
        <w:jc w:val="both"/>
      </w:pPr>
      <w:r>
        <w:rPr/>
        <w:t>银行承兑汇票的承兑人是商业银行，由于商业银行具有较高的信用，银行承兑汇票到期 不获支付的可能性较低，故本公司将已背书或贴现的银行承兑汇票予以终止确认。但如果该 等票据到期不获支付，依据《票据法》之规定，公司仍将对持票人承担连带责任。</w:t>
      </w:r>
    </w:p>
    <w:p>
      <w:pPr>
        <w:spacing w:line="240" w:lineRule="auto" w:before="8"/>
        <w:rPr>
          <w:rFonts w:ascii="宋体" w:hAnsi="宋体" w:cs="宋体" w:eastAsia="宋体" w:hint="default"/>
          <w:sz w:val="21"/>
          <w:szCs w:val="21"/>
        </w:rPr>
      </w:pPr>
    </w:p>
    <w:p>
      <w:pPr>
        <w:spacing w:before="0"/>
        <w:ind w:left="154" w:right="0" w:firstLine="0"/>
        <w:jc w:val="left"/>
        <w:rPr>
          <w:rFonts w:ascii="宋体" w:hAnsi="宋体" w:cs="宋体" w:eastAsia="宋体" w:hint="default"/>
          <w:sz w:val="21"/>
          <w:szCs w:val="21"/>
        </w:rPr>
      </w:pPr>
      <w:bookmarkStart w:name="（2）应收账款" w:id="223"/>
      <w:bookmarkEnd w:id="22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）应收账款</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应收账款分类披露</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402"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5"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05" w:right="0"/>
              <w:jc w:val="left"/>
              <w:rPr>
                <w:rFonts w:ascii="宋体" w:hAnsi="宋体" w:cs="宋体" w:eastAsia="宋体" w:hint="default"/>
                <w:sz w:val="18"/>
                <w:szCs w:val="18"/>
              </w:rPr>
            </w:pPr>
            <w:r>
              <w:rPr>
                <w:rFonts w:ascii="宋体" w:hAnsi="宋体" w:cs="宋体" w:eastAsia="宋体" w:hint="default"/>
                <w:sz w:val="18"/>
                <w:szCs w:val="18"/>
              </w:rPr>
              <w:t>计提比</w:t>
            </w: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3"/>
        <w:gridCol w:w="932"/>
        <w:gridCol w:w="932"/>
      </w:tblGrid>
      <w:tr>
        <w:trPr>
          <w:trHeight w:val="362"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例</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364,430,</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590.25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99.75%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49,667,9</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83.73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3" w:right="0"/>
              <w:jc w:val="center"/>
              <w:rPr>
                <w:rFonts w:ascii="Times New Roman" w:hAnsi="Times New Roman" w:cs="Times New Roman" w:eastAsia="Times New Roman" w:hint="default"/>
                <w:sz w:val="18"/>
                <w:szCs w:val="18"/>
              </w:rPr>
            </w:pPr>
            <w:r>
              <w:rPr>
                <w:rFonts w:ascii="Times New Roman"/>
                <w:sz w:val="18"/>
              </w:rPr>
              <w:t>13.63%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314,762,6</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06.52</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2" w:right="0"/>
              <w:jc w:val="left"/>
              <w:rPr>
                <w:rFonts w:ascii="Times New Roman" w:hAnsi="Times New Roman" w:cs="Times New Roman" w:eastAsia="Times New Roman" w:hint="default"/>
                <w:sz w:val="18"/>
                <w:szCs w:val="18"/>
              </w:rPr>
            </w:pPr>
            <w:r>
              <w:rPr>
                <w:rFonts w:ascii="Times New Roman"/>
                <w:sz w:val="18"/>
              </w:rPr>
              <w:t>311,456</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,532.79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99.71%</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37,521,96</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7.68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12.05%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273,934,56</w:t>
            </w:r>
          </w:p>
          <w:p>
            <w:pPr>
              <w:pStyle w:val="TableParagraph"/>
              <w:spacing w:line="240" w:lineRule="auto" w:before="105"/>
              <w:ind w:left="590" w:right="0"/>
              <w:jc w:val="left"/>
              <w:rPr>
                <w:rFonts w:ascii="Times New Roman" w:hAnsi="Times New Roman" w:cs="Times New Roman" w:eastAsia="Times New Roman" w:hint="default"/>
                <w:sz w:val="18"/>
                <w:szCs w:val="18"/>
              </w:rPr>
            </w:pPr>
            <w:r>
              <w:rPr>
                <w:rFonts w:ascii="Times New Roman"/>
                <w:sz w:val="18"/>
              </w:rPr>
              <w:t>5.11</w:t>
            </w: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920,000.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0.25%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920,000.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920,000</w:t>
            </w:r>
          </w:p>
          <w:p>
            <w:pPr>
              <w:pStyle w:val="TableParagraph"/>
              <w:spacing w:line="240" w:lineRule="auto" w:before="105"/>
              <w:ind w:left="396" w:right="0"/>
              <w:jc w:val="left"/>
              <w:rPr>
                <w:rFonts w:ascii="Times New Roman" w:hAnsi="Times New Roman" w:cs="Times New Roman" w:eastAsia="Times New Roman" w:hint="default"/>
                <w:sz w:val="18"/>
                <w:szCs w:val="18"/>
              </w:rPr>
            </w:pPr>
            <w:r>
              <w:rPr>
                <w:rFonts w:ascii="Times New Roman"/>
                <w:sz w:val="18"/>
              </w:rPr>
              <w:t>.00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0.29%</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920,000.0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1"/>
              <w:ind w:left="81" w:right="0"/>
              <w:jc w:val="center"/>
              <w:rPr>
                <w:rFonts w:ascii="Times New Roman" w:hAnsi="Times New Roman" w:cs="Times New Roman" w:eastAsia="Times New Roman" w:hint="default"/>
                <w:sz w:val="18"/>
                <w:szCs w:val="18"/>
              </w:rPr>
            </w:pPr>
            <w:r>
              <w:rPr>
                <w:rFonts w:ascii="Times New Roman"/>
                <w:sz w:val="18"/>
              </w:rPr>
              <w:t>365,350,</w:t>
            </w:r>
          </w:p>
          <w:p>
            <w:pPr>
              <w:pStyle w:val="TableParagraph"/>
              <w:spacing w:line="240" w:lineRule="auto" w:before="105"/>
              <w:ind w:left="217" w:right="0"/>
              <w:jc w:val="center"/>
              <w:rPr>
                <w:rFonts w:ascii="Times New Roman" w:hAnsi="Times New Roman" w:cs="Times New Roman" w:eastAsia="Times New Roman" w:hint="default"/>
                <w:sz w:val="18"/>
                <w:szCs w:val="18"/>
              </w:rPr>
            </w:pPr>
            <w:r>
              <w:rPr>
                <w:rFonts w:ascii="Times New Roman"/>
                <w:sz w:val="18"/>
              </w:rPr>
              <w:t>590.25</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50,587,9</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83.73</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13.85%</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314,762,6</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06.52</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312,376</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,532.79</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38,441,96</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7.68</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12.31%</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273,934,56</w:t>
            </w:r>
          </w:p>
          <w:p>
            <w:pPr>
              <w:pStyle w:val="TableParagraph"/>
              <w:spacing w:line="240" w:lineRule="auto" w:before="105"/>
              <w:ind w:left="590" w:right="0"/>
              <w:jc w:val="left"/>
              <w:rPr>
                <w:rFonts w:ascii="Times New Roman" w:hAnsi="Times New Roman" w:cs="Times New Roman" w:eastAsia="Times New Roman" w:hint="default"/>
                <w:sz w:val="18"/>
                <w:szCs w:val="18"/>
              </w:rPr>
            </w:pPr>
            <w:r>
              <w:rPr>
                <w:rFonts w:ascii="Times New Roman"/>
                <w:sz w:val="18"/>
              </w:rPr>
              <w:t>5.11</w:t>
            </w:r>
          </w:p>
        </w:tc>
      </w:tr>
      <w:tr>
        <w:trPr>
          <w:trHeight w:val="392" w:hRule="exact"/>
        </w:trPr>
        <w:tc>
          <w:tcPr>
            <w:tcW w:w="1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11"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line="338" w:lineRule="auto" w:before="117"/>
        <w:ind w:left="154" w:right="1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组合中，按账龄分析法计提坏账准备的应收账款：</w:t>
      </w:r>
    </w:p>
    <w:p>
      <w:pPr>
        <w:spacing w:before="42"/>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295" w:space="4535"/>
            <w:col w:w="210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224,309,224.51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11,215,461.22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224,309,224.51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11,215,461.22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73,025,330.02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7,302,533.00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33,749,226.60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10,124,767.98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22,746,420.99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11,373,210.50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4,741,885.50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3,793,508.40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5,858,502.63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5,858,502.63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364,430,590.25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49,667,983.73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13.63%</w:t>
            </w:r>
          </w:p>
        </w:tc>
      </w:tr>
    </w:tbl>
    <w:p>
      <w:pPr>
        <w:spacing w:line="360" w:lineRule="auto" w:before="51"/>
        <w:ind w:left="154" w:right="6432"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组合中，采用余额百分比法计提坏账准备的应收账款：</w:t>
      </w:r>
    </w:p>
    <w:p>
      <w:pPr>
        <w:spacing w:line="340" w:lineRule="auto" w:before="26"/>
        <w:ind w:left="154" w:right="67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组合中，采用其他方法计提坏账准备的应收账款：</w:t>
      </w:r>
    </w:p>
    <w:p>
      <w:pPr>
        <w:spacing w:before="40"/>
        <w:ind w:left="154" w:right="0" w:firstLine="0"/>
        <w:jc w:val="left"/>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上市公司从事软件与信息技术服务业务》的披露要求</w:t>
      </w:r>
    </w:p>
    <w:p>
      <w:pPr>
        <w:spacing w:before="102"/>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本期计提、收回或转回的坏账准备情况</w:t>
      </w:r>
    </w:p>
    <w:p>
      <w:pPr>
        <w:spacing w:line="338" w:lineRule="auto" w:before="103"/>
        <w:ind w:left="154" w:right="4231"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6"/>
          <w:sz w:val="18"/>
          <w:szCs w:val="18"/>
        </w:rPr>
        <w:t> </w:t>
      </w:r>
      <w:r>
        <w:rPr>
          <w:rFonts w:ascii="宋体" w:hAnsi="宋体" w:cs="宋体" w:eastAsia="宋体" w:hint="default"/>
          <w:sz w:val="18"/>
          <w:szCs w:val="18"/>
        </w:rPr>
        <w:t>12,154,380.04</w:t>
      </w:r>
      <w:r>
        <w:rPr>
          <w:rFonts w:ascii="宋体" w:hAnsi="宋体" w:cs="宋体" w:eastAsia="宋体" w:hint="default"/>
          <w:spacing w:val="-46"/>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 其中本期坏账准备收回或转回金额重要的：</w:t>
      </w:r>
    </w:p>
    <w:p>
      <w:pPr>
        <w:spacing w:before="4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before="51"/>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本期实际核销的应收账款情况</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杭州恩连信息技术有限公司</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112.61</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温州市黄龙强制隔离戒毒所</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w w:val="95"/>
                <w:sz w:val="18"/>
              </w:rPr>
              <w:t>4,113.12</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青岛前湾集装箱码头有限责任公司</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4,138.26</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8,363.99</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其中重要的应收账款核销情况：</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23"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line="348" w:lineRule="auto" w:before="52"/>
        <w:ind w:left="154" w:right="6822" w:firstLine="0"/>
        <w:jc w:val="left"/>
        <w:rPr>
          <w:rFonts w:ascii="宋体" w:hAnsi="宋体" w:cs="宋体" w:eastAsia="宋体" w:hint="default"/>
          <w:sz w:val="18"/>
          <w:szCs w:val="18"/>
        </w:rPr>
      </w:pPr>
      <w:r>
        <w:rPr>
          <w:rFonts w:ascii="宋体" w:hAnsi="宋体" w:cs="宋体" w:eastAsia="宋体" w:hint="default"/>
          <w:sz w:val="18"/>
          <w:szCs w:val="18"/>
        </w:rPr>
        <w:t>应收账款核销说明： </w:t>
      </w:r>
      <w:r>
        <w:rPr>
          <w:rFonts w:ascii="Times New Roman" w:hAnsi="Times New Roman" w:cs="Times New Roman" w:eastAsia="Times New Roman" w:hint="default"/>
          <w:sz w:val="18"/>
          <w:szCs w:val="18"/>
        </w:rPr>
        <w:t>4)</w:t>
      </w:r>
      <w:r>
        <w:rPr>
          <w:rFonts w:ascii="宋体" w:hAnsi="宋体" w:cs="宋体" w:eastAsia="宋体" w:hint="default"/>
          <w:sz w:val="18"/>
          <w:szCs w:val="18"/>
        </w:rPr>
        <w:t>按欠款方归集的期末余额前五名的应收账款情况 公司是否需要遵守特殊行业的披露要求</w:t>
      </w:r>
    </w:p>
    <w:p>
      <w:pPr>
        <w:spacing w:line="357" w:lineRule="auto" w:before="35"/>
        <w:ind w:left="154" w:right="8952" w:firstLine="0"/>
        <w:jc w:val="left"/>
        <w:rPr>
          <w:rFonts w:ascii="宋体" w:hAnsi="宋体" w:cs="宋体" w:eastAsia="宋体" w:hint="default"/>
          <w:sz w:val="18"/>
          <w:szCs w:val="18"/>
        </w:rPr>
      </w:pPr>
      <w:r>
        <w:rPr>
          <w:rFonts w:ascii="宋体" w:hAnsi="宋体" w:cs="宋体" w:eastAsia="宋体" w:hint="default"/>
          <w:sz w:val="18"/>
          <w:szCs w:val="18"/>
        </w:rPr>
        <w:t>是 软件与信息技术服务业</w:t>
      </w:r>
    </w:p>
    <w:p>
      <w:pPr>
        <w:pStyle w:val="BodyText"/>
        <w:spacing w:line="357" w:lineRule="auto" w:before="57"/>
        <w:ind w:right="0" w:firstLine="480"/>
        <w:jc w:val="left"/>
      </w:pPr>
      <w:r>
        <w:rPr/>
        <w:t>期末余额前</w:t>
      </w:r>
      <w:r>
        <w:rPr>
          <w:rFonts w:ascii="宋体" w:hAnsi="宋体" w:cs="宋体" w:eastAsia="宋体" w:hint="default"/>
        </w:rPr>
        <w:t>5</w:t>
      </w:r>
      <w:r>
        <w:rPr/>
        <w:t>名的应收账款合计数为</w:t>
      </w:r>
      <w:r>
        <w:rPr>
          <w:rFonts w:ascii="宋体" w:hAnsi="宋体" w:cs="宋体" w:eastAsia="宋体" w:hint="default"/>
        </w:rPr>
        <w:t>78,976,643.61</w:t>
      </w:r>
      <w:r>
        <w:rPr/>
        <w:t>元，占应收账款期末余额合计数的比</w:t>
      </w:r>
      <w:r>
        <w:rPr>
          <w:spacing w:val="1"/>
        </w:rPr>
        <w:t> </w:t>
      </w:r>
      <w:r>
        <w:rPr/>
        <w:t>例为</w:t>
      </w:r>
      <w:r>
        <w:rPr>
          <w:rFonts w:ascii="宋体" w:hAnsi="宋体" w:cs="宋体" w:eastAsia="宋体" w:hint="default"/>
        </w:rPr>
        <w:t>21.62%</w:t>
      </w:r>
      <w:r>
        <w:rPr/>
        <w:t>，相应计提的坏账准备合计数为</w:t>
      </w:r>
      <w:r>
        <w:rPr>
          <w:rFonts w:ascii="宋体" w:hAnsi="宋体" w:cs="宋体" w:eastAsia="宋体" w:hint="default"/>
        </w:rPr>
        <w:t>8,286,217.30</w:t>
      </w:r>
      <w:r>
        <w:rPr/>
        <w:t>元。</w:t>
      </w:r>
    </w:p>
    <w:p>
      <w:pPr>
        <w:spacing w:line="240" w:lineRule="auto" w:before="8"/>
        <w:rPr>
          <w:rFonts w:ascii="宋体" w:hAnsi="宋体" w:cs="宋体" w:eastAsia="宋体" w:hint="default"/>
          <w:sz w:val="21"/>
          <w:szCs w:val="21"/>
        </w:rPr>
      </w:pPr>
    </w:p>
    <w:p>
      <w:pPr>
        <w:spacing w:before="0"/>
        <w:ind w:left="154" w:right="0" w:firstLine="0"/>
        <w:jc w:val="left"/>
        <w:rPr>
          <w:rFonts w:ascii="宋体" w:hAnsi="宋体" w:cs="宋体" w:eastAsia="宋体" w:hint="default"/>
          <w:sz w:val="21"/>
          <w:szCs w:val="21"/>
        </w:rPr>
      </w:pPr>
      <w:bookmarkStart w:name="3、预付款项" w:id="224"/>
      <w:bookmarkEnd w:id="224"/>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、预付款项</w:t>
      </w:r>
      <w:r>
        <w:rPr>
          <w:rFonts w:ascii="宋体" w:hAnsi="宋体" w:cs="宋体" w:eastAsia="宋体" w:hint="default"/>
          <w:sz w:val="21"/>
          <w:szCs w:val="21"/>
        </w:rPr>
      </w:r>
    </w:p>
    <w:p>
      <w:pPr>
        <w:spacing w:line="240" w:lineRule="auto" w:before="9"/>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bookmarkStart w:name="（1）预付款项按账龄列示" w:id="225"/>
      <w:bookmarkEnd w:id="22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）预付款项按账龄列示</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7"/>
        <w:gridCol w:w="1914"/>
        <w:gridCol w:w="1914"/>
        <w:gridCol w:w="1915"/>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0"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5"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10,853,462.79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12,279,703.98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84.34%</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6,316,844.69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1,852,697.29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12.72%</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850,261.19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330,773.93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2.27%</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123,189.90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98,062.18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0.67%</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18,143,758.57</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14,561,237.38</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账龄超过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年且金额重要的预付款项未及时结算原因的说明：</w:t>
      </w:r>
    </w:p>
    <w:p>
      <w:pPr>
        <w:spacing w:line="240" w:lineRule="auto" w:before="10"/>
        <w:rPr>
          <w:rFonts w:ascii="宋体" w:hAnsi="宋体" w:cs="宋体" w:eastAsia="宋体" w:hint="default"/>
          <w:sz w:val="25"/>
          <w:szCs w:val="25"/>
        </w:rPr>
      </w:pPr>
    </w:p>
    <w:p>
      <w:pPr>
        <w:spacing w:before="0"/>
        <w:ind w:left="154" w:right="0" w:firstLine="0"/>
        <w:jc w:val="left"/>
        <w:rPr>
          <w:rFonts w:ascii="宋体" w:hAnsi="宋体" w:cs="宋体" w:eastAsia="宋体" w:hint="default"/>
          <w:sz w:val="21"/>
          <w:szCs w:val="21"/>
        </w:rPr>
      </w:pPr>
      <w:bookmarkStart w:name="（2）按预付对象归集的期末余额前五名的预付款情况" w:id="226"/>
      <w:bookmarkEnd w:id="22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）按预付对象归集的期末余额前五名的预付款情况</w:t>
      </w:r>
      <w:r>
        <w:rPr>
          <w:rFonts w:ascii="宋体" w:hAnsi="宋体" w:cs="宋体" w:eastAsia="宋体" w:hint="default"/>
          <w:sz w:val="21"/>
          <w:szCs w:val="21"/>
        </w:rPr>
      </w:r>
    </w:p>
    <w:p>
      <w:pPr>
        <w:spacing w:line="240" w:lineRule="auto" w:before="11"/>
        <w:rPr>
          <w:rFonts w:ascii="宋体" w:hAnsi="宋体" w:cs="宋体" w:eastAsia="宋体" w:hint="default"/>
          <w:b/>
          <w:bCs/>
          <w:sz w:val="28"/>
          <w:szCs w:val="28"/>
        </w:rPr>
      </w:pPr>
    </w:p>
    <w:p>
      <w:pPr>
        <w:pStyle w:val="BodyText"/>
        <w:spacing w:line="357" w:lineRule="auto" w:before="0"/>
        <w:ind w:right="1122" w:firstLine="480"/>
        <w:jc w:val="left"/>
      </w:pPr>
      <w:r>
        <w:rPr>
          <w:spacing w:val="-2"/>
        </w:rPr>
        <w:t>期末余额前</w:t>
      </w:r>
      <w:r>
        <w:rPr>
          <w:rFonts w:ascii="宋体" w:hAnsi="宋体" w:cs="宋体" w:eastAsia="宋体" w:hint="default"/>
          <w:spacing w:val="-2"/>
        </w:rPr>
        <w:t>5</w:t>
      </w:r>
      <w:r>
        <w:rPr>
          <w:spacing w:val="-2"/>
        </w:rPr>
        <w:t>名的预付款项合计数为</w:t>
      </w:r>
      <w:r>
        <w:rPr>
          <w:rFonts w:ascii="宋体" w:hAnsi="宋体" w:cs="宋体" w:eastAsia="宋体" w:hint="default"/>
          <w:spacing w:val="-2"/>
        </w:rPr>
        <w:t>8,392,722.00</w:t>
      </w:r>
      <w:r>
        <w:rPr>
          <w:spacing w:val="-2"/>
        </w:rPr>
        <w:t>元，占预付款项期末余额合计数的比例</w:t>
      </w:r>
      <w:r>
        <w:rPr/>
        <w:t> 为</w:t>
      </w:r>
      <w:r>
        <w:rPr>
          <w:rFonts w:ascii="宋体" w:hAnsi="宋体" w:cs="宋体" w:eastAsia="宋体" w:hint="default"/>
        </w:rPr>
        <w:t>46.26%</w:t>
      </w:r>
      <w:r>
        <w:rPr/>
        <w:t>。</w:t>
      </w:r>
    </w:p>
    <w:p>
      <w:pPr>
        <w:spacing w:before="47"/>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spacing w:before="35"/>
        <w:ind w:left="154" w:right="0" w:firstLine="0"/>
        <w:jc w:val="left"/>
        <w:rPr>
          <w:rFonts w:ascii="宋体" w:hAnsi="宋体" w:cs="宋体" w:eastAsia="宋体" w:hint="default"/>
          <w:sz w:val="21"/>
          <w:szCs w:val="21"/>
        </w:rPr>
      </w:pPr>
      <w:bookmarkStart w:name="4、其他应收款" w:id="227"/>
      <w:bookmarkEnd w:id="227"/>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、其他应收款</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202" w:type="dxa"/>
            <w:tcBorders>
              <w:top w:val="single" w:sz="4" w:space="0" w:color="000000"/>
              <w:left w:val="single" w:sz="13"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3,714,760.27</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32,418,763.19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31,796,123.27</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32,418,763.19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35,510,883.54</w:t>
            </w: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bookmarkStart w:name="（1）应收利息" w:id="228"/>
      <w:bookmarkEnd w:id="22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）应收利息</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应收利息分类</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3"/>
        <w:gridCol w:w="3189"/>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203"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3,714,760.27</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3,714,760.27</w:t>
            </w: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bookmarkStart w:name="（2）其他应收款" w:id="229"/>
      <w:bookmarkEnd w:id="22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）其他应收款</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其他应收款分类披露</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397" w:hRule="exact"/>
        </w:trPr>
        <w:tc>
          <w:tcPr>
            <w:tcW w:w="1635"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35"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35"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35"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35"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37,700,7</w:t>
            </w:r>
          </w:p>
          <w:p>
            <w:pPr>
              <w:pStyle w:val="TableParagraph"/>
              <w:spacing w:line="240" w:lineRule="auto" w:before="105"/>
              <w:ind w:left="313" w:right="0"/>
              <w:jc w:val="left"/>
              <w:rPr>
                <w:rFonts w:ascii="Times New Roman" w:hAnsi="Times New Roman" w:cs="Times New Roman" w:eastAsia="Times New Roman" w:hint="default"/>
                <w:sz w:val="18"/>
                <w:szCs w:val="18"/>
              </w:rPr>
            </w:pPr>
            <w:r>
              <w:rPr>
                <w:rFonts w:ascii="Times New Roman"/>
                <w:sz w:val="18"/>
              </w:rPr>
              <w:t>47.68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5,281,98</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4.49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14.01%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32,418,76</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3.19</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35,437,</w:t>
            </w:r>
          </w:p>
          <w:p>
            <w:pPr>
              <w:pStyle w:val="TableParagraph"/>
              <w:spacing w:line="240" w:lineRule="auto" w:before="105"/>
              <w:ind w:left="126" w:right="0"/>
              <w:jc w:val="left"/>
              <w:rPr>
                <w:rFonts w:ascii="Times New Roman" w:hAnsi="Times New Roman" w:cs="Times New Roman" w:eastAsia="Times New Roman" w:hint="default"/>
                <w:sz w:val="18"/>
                <w:szCs w:val="18"/>
              </w:rPr>
            </w:pPr>
            <w:r>
              <w:rPr>
                <w:rFonts w:ascii="Times New Roman"/>
                <w:sz w:val="18"/>
              </w:rPr>
              <w:t>221.28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3,641,098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10.27%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31,796,123.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27</w:t>
            </w:r>
          </w:p>
        </w:tc>
      </w:tr>
      <w:tr>
        <w:trPr>
          <w:trHeight w:val="161" w:hRule="exact"/>
        </w:trPr>
        <w:tc>
          <w:tcPr>
            <w:tcW w:w="163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37,700,7</w:t>
            </w:r>
          </w:p>
          <w:p>
            <w:pPr>
              <w:pStyle w:val="TableParagraph"/>
              <w:spacing w:line="240" w:lineRule="auto" w:before="105"/>
              <w:ind w:left="318" w:right="0"/>
              <w:jc w:val="left"/>
              <w:rPr>
                <w:rFonts w:ascii="Times New Roman" w:hAnsi="Times New Roman" w:cs="Times New Roman" w:eastAsia="Times New Roman" w:hint="default"/>
                <w:sz w:val="18"/>
                <w:szCs w:val="18"/>
              </w:rPr>
            </w:pPr>
            <w:r>
              <w:rPr>
                <w:rFonts w:ascii="Times New Roman"/>
                <w:sz w:val="18"/>
              </w:rPr>
              <w:t>47.68</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5,281,98</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4.49</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14.01%</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32,418,76</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3.19</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35,437,</w:t>
            </w:r>
          </w:p>
          <w:p>
            <w:pPr>
              <w:pStyle w:val="TableParagraph"/>
              <w:spacing w:line="240" w:lineRule="auto" w:before="105"/>
              <w:ind w:left="126" w:right="0"/>
              <w:jc w:val="left"/>
              <w:rPr>
                <w:rFonts w:ascii="Times New Roman" w:hAnsi="Times New Roman" w:cs="Times New Roman" w:eastAsia="Times New Roman" w:hint="default"/>
                <w:sz w:val="18"/>
                <w:szCs w:val="18"/>
              </w:rPr>
            </w:pPr>
            <w:r>
              <w:rPr>
                <w:rFonts w:ascii="Times New Roman"/>
                <w:sz w:val="18"/>
              </w:rPr>
              <w:t>221.28</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3,641,098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.01</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10.27%</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31,796,123.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27</w:t>
            </w:r>
          </w:p>
        </w:tc>
      </w:tr>
      <w:tr>
        <w:trPr>
          <w:trHeight w:val="392" w:hRule="exact"/>
        </w:trPr>
        <w:tc>
          <w:tcPr>
            <w:tcW w:w="16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3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line="338" w:lineRule="auto" w:before="117"/>
        <w:ind w:left="154" w:right="1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组合中，按账龄分析法计提坏账准备的其他应收款：</w:t>
      </w:r>
    </w:p>
    <w:p>
      <w:pPr>
        <w:spacing w:before="42"/>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475" w:space="4355"/>
            <w:col w:w="210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25" w:right="0"/>
              <w:jc w:val="left"/>
              <w:rPr>
                <w:rFonts w:ascii="Times New Roman" w:hAnsi="Times New Roman" w:cs="Times New Roman" w:eastAsia="Times New Roman" w:hint="default"/>
                <w:sz w:val="18"/>
                <w:szCs w:val="18"/>
              </w:rPr>
            </w:pPr>
            <w:r>
              <w:rPr>
                <w:rFonts w:ascii="Times New Roman"/>
                <w:sz w:val="18"/>
              </w:rPr>
              <w:t>18,672,249.09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49" w:right="0"/>
              <w:jc w:val="left"/>
              <w:rPr>
                <w:rFonts w:ascii="Times New Roman" w:hAnsi="Times New Roman" w:cs="Times New Roman" w:eastAsia="Times New Roman" w:hint="default"/>
                <w:sz w:val="18"/>
                <w:szCs w:val="18"/>
              </w:rPr>
            </w:pPr>
            <w:r>
              <w:rPr>
                <w:rFonts w:ascii="Times New Roman"/>
                <w:sz w:val="18"/>
              </w:rPr>
              <w:t>933,612.47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1"/>
        <w:gridCol w:w="2394"/>
        <w:gridCol w:w="2392"/>
        <w:gridCol w:w="2392"/>
      </w:tblGrid>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18,672,249.09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933,612.47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13,267,683.54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1,326,768.36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2,558,029.10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767,408.73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1,169,260.80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584,630.40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1,819,803.10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1,455,842.48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213,722.05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213,722.05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37,700,747.68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5,281,984.49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14.01%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360" w:lineRule="auto" w:before="51"/>
        <w:ind w:left="154" w:right="1779"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组合中，采用余额百分比法计提坏账准备的其他应收款：</w:t>
      </w:r>
    </w:p>
    <w:p>
      <w:pPr>
        <w:spacing w:line="340" w:lineRule="auto" w:before="26"/>
        <w:ind w:left="154" w:right="213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组合中，采用其他方法计提坏账准备的其他应收款：</w:t>
      </w:r>
    </w:p>
    <w:p>
      <w:pPr>
        <w:spacing w:before="40"/>
        <w:ind w:left="154" w:right="177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154" w:right="177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本期计提、收回或转回的坏账准备情况</w:t>
      </w:r>
    </w:p>
    <w:p>
      <w:pPr>
        <w:spacing w:line="338" w:lineRule="auto" w:before="103"/>
        <w:ind w:left="154" w:right="-13"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1,640,886.48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6454" w:space="2375"/>
            <w:col w:w="210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before="51"/>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其他应收款按款项性质分类情况</w:t>
      </w:r>
    </w:p>
    <w:p>
      <w:pPr>
        <w:spacing w:before="10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24,266,179.06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26,233,159.84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6,047,213.66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6,328,985.59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应收软件增值税退税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4,675,118.49</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应收暂付款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2,022,523.24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1,849,088.81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689,713.23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1,025,987.04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37,700,747.68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35,437,221.28</w:t>
            </w:r>
          </w:p>
        </w:tc>
      </w:tr>
    </w:tbl>
    <w:p>
      <w:pPr>
        <w:spacing w:before="51"/>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按欠款方归集的期末余额前五名的其他应收款情况</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4" w:right="119"/>
              <w:jc w:val="left"/>
              <w:rPr>
                <w:rFonts w:ascii="宋体" w:hAnsi="宋体" w:cs="宋体" w:eastAsia="宋体" w:hint="default"/>
                <w:sz w:val="18"/>
                <w:szCs w:val="18"/>
              </w:rPr>
            </w:pPr>
            <w:r>
              <w:rPr>
                <w:rFonts w:ascii="宋体" w:hAnsi="宋体" w:cs="宋体" w:eastAsia="宋体" w:hint="default"/>
                <w:sz w:val="18"/>
                <w:szCs w:val="18"/>
              </w:rPr>
              <w:t>应收软件增值税退 税</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4,675,118.49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12.40%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233,755.92</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7.96%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300,000.00</w:t>
            </w:r>
          </w:p>
        </w:tc>
      </w:tr>
      <w:tr>
        <w:trPr>
          <w:trHeight w:val="402" w:hRule="exact"/>
        </w:trPr>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0.53%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10,000.00</w:t>
            </w:r>
          </w:p>
        </w:tc>
      </w:tr>
      <w:tr>
        <w:trPr>
          <w:trHeight w:val="402" w:hRule="exact"/>
        </w:trPr>
        <w:tc>
          <w:tcPr>
            <w:tcW w:w="1594" w:type="dxa"/>
            <w:vMerge/>
            <w:tcBorders>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1"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1,546,291.25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4.10%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154,629.13</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2.65%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100,000.00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704,000.00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11,301,409.74</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29.97%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1,502,385.05</w:t>
            </w:r>
          </w:p>
        </w:tc>
      </w:tr>
    </w:tbl>
    <w:p>
      <w:pPr>
        <w:spacing w:before="51"/>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涉及政府补助的应收款项</w:t>
      </w:r>
    </w:p>
    <w:p>
      <w:pPr>
        <w:spacing w:before="10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4"/>
        <w:gridCol w:w="1914"/>
        <w:gridCol w:w="1914"/>
        <w:gridCol w:w="1916"/>
      </w:tblGrid>
      <w:tr>
        <w:trPr>
          <w:trHeight w:val="71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1"/>
              <w:jc w:val="righ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83" w:right="50" w:hanging="630"/>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r>
        <w:trPr>
          <w:trHeight w:val="1651"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2" w:right="77"/>
              <w:jc w:val="left"/>
              <w:rPr>
                <w:rFonts w:ascii="宋体" w:hAnsi="宋体" w:cs="宋体" w:eastAsia="宋体" w:hint="default"/>
                <w:sz w:val="18"/>
                <w:szCs w:val="18"/>
              </w:rPr>
            </w:pPr>
            <w:r>
              <w:rPr>
                <w:rFonts w:ascii="宋体" w:hAnsi="宋体" w:cs="宋体" w:eastAsia="宋体" w:hint="default"/>
                <w:sz w:val="18"/>
                <w:szCs w:val="18"/>
              </w:rPr>
              <w:t>国家税务总局杭州市余 杭区税务局</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58"/>
              <w:jc w:val="right"/>
              <w:rPr>
                <w:rFonts w:ascii="宋体" w:hAnsi="宋体" w:cs="宋体" w:eastAsia="宋体" w:hint="default"/>
                <w:sz w:val="18"/>
                <w:szCs w:val="18"/>
              </w:rPr>
            </w:pPr>
            <w:r>
              <w:rPr>
                <w:rFonts w:ascii="宋体" w:hAnsi="宋体" w:cs="宋体" w:eastAsia="宋体" w:hint="default"/>
                <w:sz w:val="18"/>
                <w:szCs w:val="18"/>
              </w:rPr>
              <w:t>软件产品增值税退税</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943" w:right="0"/>
              <w:jc w:val="left"/>
              <w:rPr>
                <w:rFonts w:ascii="Times New Roman" w:hAnsi="Times New Roman" w:cs="Times New Roman" w:eastAsia="Times New Roman" w:hint="default"/>
                <w:sz w:val="18"/>
                <w:szCs w:val="18"/>
              </w:rPr>
            </w:pPr>
            <w:r>
              <w:rPr>
                <w:rFonts w:ascii="Times New Roman"/>
                <w:sz w:val="18"/>
              </w:rPr>
              <w:t>4,675,118.49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3" w:right="20"/>
              <w:jc w:val="both"/>
              <w:rPr>
                <w:rFonts w:ascii="Times New Roman" w:hAnsi="Times New Roman" w:cs="Times New Roman" w:eastAsia="Times New Roman" w:hint="default"/>
                <w:sz w:val="18"/>
                <w:szCs w:val="18"/>
              </w:rPr>
            </w:pPr>
            <w:r>
              <w:rPr>
                <w:rFonts w:ascii="宋体" w:hAnsi="宋体" w:cs="宋体" w:eastAsia="宋体" w:hint="default"/>
                <w:sz w:val="18"/>
                <w:szCs w:val="18"/>
              </w:rPr>
              <w:t>预计收取的时间：</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日；金额： </w:t>
            </w:r>
            <w:r>
              <w:rPr>
                <w:rFonts w:ascii="Times New Roman" w:hAnsi="Times New Roman" w:cs="Times New Roman" w:eastAsia="Times New Roman" w:hint="default"/>
                <w:spacing w:val="-5"/>
                <w:sz w:val="18"/>
                <w:szCs w:val="18"/>
              </w:rPr>
              <w:t>4675118.49</w:t>
            </w:r>
            <w:r>
              <w:rPr>
                <w:rFonts w:ascii="宋体" w:hAnsi="宋体" w:cs="宋体" w:eastAsia="宋体" w:hint="default"/>
                <w:spacing w:val="-5"/>
                <w:sz w:val="18"/>
                <w:szCs w:val="18"/>
              </w:rPr>
              <w:t>；依据：</w:t>
            </w:r>
            <w:r>
              <w:rPr>
                <w:rFonts w:ascii="Times New Roman" w:hAnsi="Times New Roman" w:cs="Times New Roman" w:eastAsia="Times New Roman" w:hint="default"/>
                <w:spacing w:val="-5"/>
                <w:sz w:val="18"/>
                <w:szCs w:val="18"/>
              </w:rPr>
              <w:t>2018</w:t>
            </w:r>
          </w:p>
          <w:p>
            <w:pPr>
              <w:pStyle w:val="TableParagraph"/>
              <w:spacing w:line="302" w:lineRule="auto" w:before="13"/>
              <w:ind w:left="23" w:right="118"/>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月软件产品增 </w:t>
            </w:r>
            <w:r>
              <w:rPr>
                <w:rFonts w:ascii="宋体" w:hAnsi="宋体" w:cs="宋体" w:eastAsia="宋体" w:hint="default"/>
                <w:spacing w:val="-15"/>
                <w:sz w:val="18"/>
                <w:szCs w:val="18"/>
              </w:rPr>
              <w:t>值税退税。。</w:t>
            </w:r>
          </w:p>
        </w:tc>
      </w:tr>
    </w:tbl>
    <w:p>
      <w:pPr>
        <w:spacing w:before="10"/>
        <w:ind w:left="154" w:right="0" w:firstLine="0"/>
        <w:jc w:val="left"/>
        <w:rPr>
          <w:rFonts w:ascii="宋体" w:hAnsi="宋体" w:cs="宋体" w:eastAsia="宋体" w:hint="default"/>
          <w:sz w:val="18"/>
          <w:szCs w:val="18"/>
        </w:rPr>
      </w:pPr>
      <w:r>
        <w:rPr>
          <w:rFonts w:ascii="宋体" w:hAnsi="宋体" w:cs="宋体" w:eastAsia="宋体" w:hint="default"/>
          <w:sz w:val="18"/>
          <w:szCs w:val="18"/>
        </w:rPr>
        <w:t>本公司已在</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01</w:t>
      </w:r>
      <w:r>
        <w:rPr>
          <w:rFonts w:ascii="宋体" w:hAnsi="宋体" w:cs="宋体" w:eastAsia="宋体" w:hint="default"/>
          <w:sz w:val="18"/>
          <w:szCs w:val="18"/>
        </w:rPr>
        <w:t>月</w:t>
      </w:r>
      <w:r>
        <w:rPr>
          <w:rFonts w:ascii="Times New Roman" w:hAnsi="Times New Roman" w:cs="Times New Roman" w:eastAsia="Times New Roman" w:hint="default"/>
          <w:sz w:val="18"/>
          <w:szCs w:val="18"/>
        </w:rPr>
        <w:t>04</w:t>
      </w:r>
      <w:r>
        <w:rPr>
          <w:rFonts w:ascii="宋体" w:hAnsi="宋体" w:cs="宋体" w:eastAsia="宋体" w:hint="default"/>
          <w:sz w:val="18"/>
          <w:szCs w:val="18"/>
        </w:rPr>
        <w:t>日收到款项。</w:t>
      </w:r>
    </w:p>
    <w:p>
      <w:pPr>
        <w:spacing w:line="240" w:lineRule="auto" w:before="11"/>
        <w:rPr>
          <w:rFonts w:ascii="宋体" w:hAnsi="宋体" w:cs="宋体" w:eastAsia="宋体" w:hint="default"/>
          <w:sz w:val="25"/>
          <w:szCs w:val="25"/>
        </w:rPr>
      </w:pPr>
    </w:p>
    <w:p>
      <w:pPr>
        <w:spacing w:before="0"/>
        <w:ind w:left="154" w:right="0" w:firstLine="0"/>
        <w:jc w:val="left"/>
        <w:rPr>
          <w:rFonts w:ascii="宋体" w:hAnsi="宋体" w:cs="宋体" w:eastAsia="宋体" w:hint="default"/>
          <w:sz w:val="21"/>
          <w:szCs w:val="21"/>
        </w:rPr>
      </w:pPr>
      <w:bookmarkStart w:name="5、存货" w:id="230"/>
      <w:bookmarkEnd w:id="230"/>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、存货</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line="357" w:lineRule="auto" w:before="0"/>
        <w:ind w:left="154" w:right="7512" w:firstLine="0"/>
        <w:jc w:val="left"/>
        <w:rPr>
          <w:rFonts w:ascii="宋体" w:hAnsi="宋体" w:cs="宋体" w:eastAsia="宋体" w:hint="default"/>
          <w:sz w:val="18"/>
          <w:szCs w:val="18"/>
        </w:rPr>
      </w:pPr>
      <w:r>
        <w:rPr>
          <w:rFonts w:ascii="宋体" w:hAnsi="宋体" w:cs="宋体" w:eastAsia="宋体" w:hint="default"/>
          <w:sz w:val="18"/>
          <w:szCs w:val="18"/>
        </w:rPr>
        <w:t>公司是否需要遵守房地产行业的披露要求 否</w:t>
      </w:r>
    </w:p>
    <w:p>
      <w:pPr>
        <w:spacing w:line="240" w:lineRule="auto" w:before="13"/>
        <w:rPr>
          <w:rFonts w:ascii="宋体" w:hAnsi="宋体" w:cs="宋体" w:eastAsia="宋体" w:hint="default"/>
          <w:sz w:val="19"/>
          <w:szCs w:val="19"/>
        </w:rPr>
      </w:pPr>
    </w:p>
    <w:p>
      <w:pPr>
        <w:spacing w:before="0"/>
        <w:ind w:left="154" w:right="0" w:firstLine="0"/>
        <w:jc w:val="left"/>
        <w:rPr>
          <w:rFonts w:ascii="宋体" w:hAnsi="宋体" w:cs="宋体" w:eastAsia="宋体" w:hint="default"/>
          <w:sz w:val="21"/>
          <w:szCs w:val="21"/>
        </w:rPr>
      </w:pPr>
      <w:bookmarkStart w:name="（1）存货分类" w:id="231"/>
      <w:bookmarkEnd w:id="23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）存货分类</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206"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7,257,306.89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7,257,306.89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12,975,096.44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12,975,096.44</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30,240,263.77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197,766.88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30,042,496.89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17,827,462.64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17,827,462.64</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131,380,253.72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131,380,253.72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76,271,157.94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76,271,157.94</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委托加工物资</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5,911,667.21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5,911,667.21</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168,877,824.38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197,766.88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168,680,057.50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112,985,384.23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112,985,384.23</w:t>
            </w:r>
          </w:p>
        </w:tc>
      </w:tr>
    </w:tbl>
    <w:p>
      <w:pPr>
        <w:spacing w:line="338" w:lineRule="auto" w:before="51"/>
        <w:ind w:left="154" w:right="2473"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上市公司从事种业、种植业务》的披露要求 否</w:t>
      </w:r>
    </w:p>
    <w:p>
      <w:pPr>
        <w:spacing w:line="338" w:lineRule="auto" w:before="43"/>
        <w:ind w:left="154" w:right="1573"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公司是否需遵守《深圳证券交易所创业板行业信息披露指引第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上市公司从事广播电影电视业务》的披露要求 否</w:t>
      </w:r>
    </w:p>
    <w:p>
      <w:pPr>
        <w:spacing w:line="340" w:lineRule="auto" w:before="42"/>
        <w:ind w:left="154" w:right="1753"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公司是否需遵守《深圳证券交易所创业板行业信息披露指引第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上市公司从事互联网游戏业务》的披露要求 否</w:t>
      </w:r>
    </w:p>
    <w:p>
      <w:pPr>
        <w:spacing w:line="338" w:lineRule="auto" w:before="40"/>
        <w:ind w:left="154" w:right="2751" w:firstLine="0"/>
        <w:jc w:val="left"/>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上市公司从事珠宝相关业务》的披露要求 否</w:t>
      </w:r>
    </w:p>
    <w:p>
      <w:pPr>
        <w:spacing w:line="240" w:lineRule="auto" w:before="2"/>
        <w:rPr>
          <w:rFonts w:ascii="宋体" w:hAnsi="宋体" w:cs="宋体" w:eastAsia="宋体" w:hint="default"/>
          <w:sz w:val="21"/>
          <w:szCs w:val="21"/>
        </w:rPr>
      </w:pPr>
    </w:p>
    <w:p>
      <w:pPr>
        <w:spacing w:before="0"/>
        <w:ind w:left="154" w:right="0" w:firstLine="0"/>
        <w:jc w:val="left"/>
        <w:rPr>
          <w:rFonts w:ascii="宋体" w:hAnsi="宋体" w:cs="宋体" w:eastAsia="宋体" w:hint="default"/>
          <w:sz w:val="21"/>
          <w:szCs w:val="21"/>
        </w:rPr>
      </w:pPr>
      <w:bookmarkStart w:name="（2）存货跌价准备" w:id="232"/>
      <w:bookmarkEnd w:id="23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）存货跌价准备</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357"/>
        <w:gridCol w:w="1368"/>
        <w:gridCol w:w="1367"/>
        <w:gridCol w:w="1367"/>
        <w:gridCol w:w="1368"/>
        <w:gridCol w:w="1367"/>
        <w:gridCol w:w="1367"/>
      </w:tblGrid>
      <w:tr>
        <w:trPr>
          <w:trHeight w:val="206"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82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5" w:type="dxa"/>
            <w:gridSpan w:val="2"/>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right w:val="single" w:sz="4" w:space="0" w:color="000000"/>
            </w:tcBorders>
            <w:shd w:val="clear" w:color="auto" w:fill="D2D2D2"/>
          </w:tcPr>
          <w:p>
            <w:pPr/>
          </w:p>
        </w:tc>
      </w:tr>
      <w:tr>
        <w:trPr>
          <w:trHeight w:val="200"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368" w:type="dxa"/>
            <w:vMerge/>
            <w:tcBorders>
              <w:left w:val="single" w:sz="4" w:space="0" w:color="000000"/>
              <w:bottom w:val="nil" w:sz="6" w:space="0" w:color="auto"/>
              <w:right w:val="single" w:sz="4" w:space="0" w:color="000000"/>
            </w:tcBorders>
            <w:shd w:val="clear" w:color="auto" w:fill="D2D2D2"/>
          </w:tcPr>
          <w:p>
            <w:pP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29"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right w:val="single" w:sz="4" w:space="0" w:color="000000"/>
            </w:tcBorders>
            <w:shd w:val="clear" w:color="auto" w:fill="D2D2D2"/>
          </w:tcPr>
          <w:p>
            <w:pPr/>
          </w:p>
        </w:tc>
      </w:tr>
      <w:tr>
        <w:trPr>
          <w:trHeight w:val="206"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3" w:space="0" w:color="D2D2D2"/>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197,766.88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197,766.88</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197,766.88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197,766.88</w:t>
            </w: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bookmarkStart w:name="（3）存货期末余额含有借款费用资本化金额的说明" w:id="233"/>
      <w:bookmarkEnd w:id="23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）存货期末余额含有借款费用资本化金额的说明</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bookmarkStart w:name="（4）期末建造合同形成的已完工未结算资产情况" w:id="234"/>
      <w:bookmarkEnd w:id="23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）期末建造合同形成的已完工未结算资产情况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4"/>
        <w:gridCol w:w="4785"/>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54" w:right="0" w:firstLine="0"/>
        <w:jc w:val="left"/>
        <w:rPr>
          <w:rFonts w:ascii="宋体" w:hAnsi="宋体" w:cs="宋体" w:eastAsia="宋体" w:hint="default"/>
          <w:sz w:val="21"/>
          <w:szCs w:val="21"/>
        </w:rPr>
      </w:pPr>
      <w:bookmarkStart w:name="6、其他流动资产" w:id="235"/>
      <w:bookmarkEnd w:id="235"/>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、其他流动资产</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预缴税费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6,041,911.53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1,896,257.27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待抵扣增值税进项税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4,317,855.58</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60,359,767.11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51,896,257.27</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54" w:right="0" w:firstLine="0"/>
        <w:jc w:val="left"/>
        <w:rPr>
          <w:rFonts w:ascii="宋体" w:hAnsi="宋体" w:cs="宋体" w:eastAsia="宋体" w:hint="default"/>
          <w:sz w:val="21"/>
          <w:szCs w:val="21"/>
        </w:rPr>
      </w:pPr>
      <w:bookmarkStart w:name="7、可供出售金融资产" w:id="236"/>
      <w:bookmarkEnd w:id="236"/>
      <w:r>
        <w:rPr/>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、可供出售金融资产</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bookmarkStart w:name="（1）可供出售金融资产情况" w:id="237"/>
      <w:bookmarkEnd w:id="23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）可供出售金融资产情况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001"/>
        <w:gridCol w:w="1195"/>
        <w:gridCol w:w="1196"/>
        <w:gridCol w:w="1196"/>
        <w:gridCol w:w="1248"/>
        <w:gridCol w:w="1367"/>
        <w:gridCol w:w="1367"/>
      </w:tblGrid>
      <w:tr>
        <w:trPr>
          <w:trHeight w:val="206" w:hRule="exact"/>
        </w:trPr>
        <w:tc>
          <w:tcPr>
            <w:tcW w:w="20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58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20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vMerge/>
            <w:tcBorders>
              <w:left w:val="single" w:sz="4" w:space="0" w:color="000000"/>
              <w:bottom w:val="single" w:sz="4" w:space="0" w:color="000000"/>
              <w:right w:val="single" w:sz="4" w:space="0" w:color="000000"/>
            </w:tcBorders>
            <w:shd w:val="clear" w:color="auto" w:fill="D2D2D2"/>
          </w:tcPr>
          <w:p>
            <w:pPr/>
          </w:p>
        </w:tc>
        <w:tc>
          <w:tcPr>
            <w:tcW w:w="3982"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001" w:type="dxa"/>
            <w:vMerge/>
            <w:tcBorders>
              <w:left w:val="single" w:sz="4" w:space="0" w:color="000000"/>
              <w:bottom w:val="nil" w:sz="6" w:space="0" w:color="auto"/>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5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20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24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216,000.00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216,000.00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216,000.00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216,000.00</w:t>
            </w:r>
          </w:p>
        </w:tc>
      </w:tr>
      <w:tr>
        <w:trPr>
          <w:trHeight w:val="402"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216,000.00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216,000.00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216,000.00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216,000.00</w:t>
            </w:r>
          </w:p>
        </w:tc>
      </w:tr>
      <w:tr>
        <w:trPr>
          <w:trHeight w:val="402"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216,000.00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216,000.00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216,000.00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216,000.00</w:t>
            </w: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bookmarkStart w:name="（2）期末按成本计量的可供出售金融资产" w:id="238"/>
      <w:bookmarkEnd w:id="23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）期末按成本计量的可供出售金融资产</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402" w:hRule="exact"/>
        </w:trPr>
        <w:tc>
          <w:tcPr>
            <w:tcW w:w="8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335" w:right="65"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16"/>
              <w:ind w:left="69" w:right="68"/>
              <w:jc w:val="left"/>
              <w:rPr>
                <w:rFonts w:ascii="宋体" w:hAnsi="宋体" w:cs="宋体" w:eastAsia="宋体" w:hint="default"/>
                <w:sz w:val="18"/>
                <w:szCs w:val="18"/>
              </w:rPr>
            </w:pPr>
            <w:r>
              <w:rPr>
                <w:rFonts w:ascii="宋体" w:hAnsi="宋体" w:cs="宋体" w:eastAsia="宋体" w:hint="default"/>
                <w:sz w:val="18"/>
                <w:szCs w:val="18"/>
              </w:rPr>
              <w:t>在被投资 单位持股</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249" w:right="68"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402" w:hRule="exact"/>
        </w:trPr>
        <w:tc>
          <w:tcPr>
            <w:tcW w:w="863" w:type="dxa"/>
            <w:vMerge/>
            <w:tcBorders>
              <w:left w:val="single" w:sz="4" w:space="0" w:color="000000"/>
              <w:bottom w:val="single" w:sz="4" w:space="0" w:color="000000"/>
              <w:right w:val="single" w:sz="4" w:space="0" w:color="000000"/>
            </w:tcBorders>
            <w:shd w:val="clear" w:color="auto" w:fill="D2D2D2"/>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vMerge/>
            <w:tcBorders>
              <w:left w:val="single" w:sz="4" w:space="0" w:color="000000"/>
              <w:bottom w:val="single" w:sz="4" w:space="0" w:color="000000"/>
              <w:right w:val="single" w:sz="4" w:space="0" w:color="000000"/>
            </w:tcBorders>
            <w:shd w:val="clear" w:color="auto" w:fill="D2D2D2"/>
          </w:tcPr>
          <w:p>
            <w:pPr/>
          </w:p>
        </w:tc>
        <w:tc>
          <w:tcPr>
            <w:tcW w:w="870"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362" w:hRule="exact"/>
        </w:trPr>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9"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338"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杭州芭萝 博网络科 技有限公 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216,000.00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216,000.00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82" w:right="0"/>
              <w:jc w:val="left"/>
              <w:rPr>
                <w:rFonts w:ascii="Times New Roman" w:hAnsi="Times New Roman" w:cs="Times New Roman" w:eastAsia="Times New Roman" w:hint="default"/>
                <w:sz w:val="18"/>
                <w:szCs w:val="18"/>
              </w:rPr>
            </w:pPr>
            <w:r>
              <w:rPr>
                <w:rFonts w:ascii="Times New Roman"/>
                <w:sz w:val="18"/>
              </w:rPr>
              <w:t>20.00%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4" w:right="0"/>
              <w:jc w:val="left"/>
              <w:rPr>
                <w:rFonts w:ascii="Times New Roman" w:hAnsi="Times New Roman" w:cs="Times New Roman" w:eastAsia="Times New Roman" w:hint="default"/>
                <w:sz w:val="18"/>
                <w:szCs w:val="18"/>
              </w:rPr>
            </w:pPr>
            <w:r>
              <w:rPr>
                <w:rFonts w:ascii="Times New Roman"/>
                <w:sz w:val="18"/>
              </w:rPr>
              <w:t>216,000.00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216,000.00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bookmarkStart w:name="8、长期股权投资" w:id="239"/>
      <w:bookmarkEnd w:id="239"/>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、长期股权投资</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302" w:right="33"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杭州卓然 实业有限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61,441,76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3.58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-693,791.</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60,747,97</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2.28</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重庆汇贤 优策科技 股份有限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13,932,72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2.99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1,549,062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15,481,78</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5.76</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无锡汇众 智慧科技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1,674,279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-51,926.5</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1,622,352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.68</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北京慧教 汇学教育 科技有限 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1,250,000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-23,959.2</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1,226,040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.79</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5" w:right="0"/>
              <w:jc w:val="left"/>
              <w:rPr>
                <w:rFonts w:ascii="Times New Roman" w:hAnsi="Times New Roman" w:cs="Times New Roman" w:eastAsia="Times New Roman" w:hint="default"/>
                <w:sz w:val="18"/>
                <w:szCs w:val="18"/>
              </w:rPr>
            </w:pPr>
            <w:r>
              <w:rPr>
                <w:rFonts w:ascii="Times New Roman"/>
                <w:sz w:val="18"/>
              </w:rPr>
              <w:t>77,048,76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5.82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1,250,000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779,385.6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79,078,15</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1.51</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5" w:right="0"/>
              <w:jc w:val="left"/>
              <w:rPr>
                <w:rFonts w:ascii="Times New Roman" w:hAnsi="Times New Roman" w:cs="Times New Roman" w:eastAsia="Times New Roman" w:hint="default"/>
                <w:sz w:val="18"/>
                <w:szCs w:val="18"/>
              </w:rPr>
            </w:pPr>
            <w:r>
              <w:rPr>
                <w:rFonts w:ascii="Times New Roman"/>
                <w:sz w:val="18"/>
              </w:rPr>
              <w:t>77,048,76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5.82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1,250,000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779,385.6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79,078,15</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1.51</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spacing w:before="0"/>
        <w:ind w:left="154" w:right="0" w:firstLine="0"/>
        <w:jc w:val="left"/>
        <w:rPr>
          <w:rFonts w:ascii="宋体" w:hAnsi="宋体" w:cs="宋体" w:eastAsia="宋体" w:hint="default"/>
          <w:sz w:val="21"/>
          <w:szCs w:val="21"/>
        </w:rPr>
      </w:pPr>
      <w:bookmarkStart w:name="9、固定资产" w:id="240"/>
      <w:bookmarkEnd w:id="240"/>
      <w:r>
        <w:rPr/>
      </w: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、固定资产</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5"/>
        <w:gridCol w:w="3188"/>
        <w:gridCol w:w="3176"/>
      </w:tblGrid>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4"/>
        <w:gridCol w:w="3188"/>
        <w:gridCol w:w="3188"/>
      </w:tblGrid>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29,965,366.76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6,514,702.13</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29,965,366.76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6,514,702.13</w:t>
            </w: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bookmarkStart w:name="（1）固定资产情况" w:id="241"/>
      <w:bookmarkEnd w:id="24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）固定资产情况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402" w:hRule="exact"/>
        </w:trPr>
        <w:tc>
          <w:tcPr>
            <w:tcW w:w="1583" w:type="dxa"/>
            <w:tcBorders>
              <w:top w:val="single" w:sz="4" w:space="0" w:color="000000"/>
              <w:left w:val="single" w:sz="4" w:space="0" w:color="000000"/>
              <w:bottom w:val="single" w:sz="4" w:space="0" w:color="000000"/>
              <w:right w:val="single" w:sz="13" w:space="0" w:color="E0FFFF"/>
            </w:tcBorders>
            <w:shd w:val="clear" w:color="auto" w:fill="D2D2D2"/>
          </w:tcPr>
          <w:p>
            <w:pPr>
              <w:pStyle w:val="TableParagraph"/>
              <w:spacing w:line="240" w:lineRule="auto" w:before="51"/>
              <w:ind w:left="2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6" w:type="dxa"/>
            <w:tcBorders>
              <w:top w:val="single" w:sz="4" w:space="0" w:color="000000"/>
              <w:left w:val="single" w:sz="9" w:space="0" w:color="D2D2D2"/>
              <w:bottom w:val="single" w:sz="4" w:space="0" w:color="000000"/>
              <w:right w:val="single" w:sz="4" w:space="0" w:color="000000"/>
            </w:tcBorders>
            <w:shd w:val="clear" w:color="auto" w:fill="E0FFFF"/>
          </w:tcPr>
          <w:p>
            <w:pPr>
              <w:pStyle w:val="TableParagraph"/>
              <w:spacing w:line="240" w:lineRule="auto" w:before="51"/>
              <w:ind w:left="258"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通用设备</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专用设备</w:t>
            </w:r>
          </w:p>
        </w:tc>
        <w:tc>
          <w:tcPr>
            <w:tcW w:w="1595" w:type="dxa"/>
            <w:tcBorders>
              <w:top w:val="single" w:sz="4" w:space="0" w:color="000000"/>
              <w:left w:val="single" w:sz="4" w:space="0" w:color="000000"/>
              <w:bottom w:val="single" w:sz="4" w:space="0" w:color="000000"/>
              <w:right w:val="single" w:sz="9" w:space="0" w:color="D2D2D2"/>
            </w:tcBorders>
            <w:shd w:val="clear" w:color="auto" w:fill="E0FFFF"/>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3,711,087.57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12,015,675.58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7,016,998.01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22,743,761.16</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6,273,244.55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1,412,425.65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18,647,237.03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1,316,249.75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27,649,156.98</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6,273,244.55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1,412,425.65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18,647,237.03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1,316,249.75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27,649,156.98</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7"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 转入</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7"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 增加</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5,128.21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798,970.00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804,098.21</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5,128.21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798,970.00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804,098.21</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6,273,244.55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5,123,513.22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30,657,784.40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7,534,277.76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49,588,819.93</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2,256,766.45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8,601,889.39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5,370,403.19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16,229,059.03</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100,371.92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645,447.99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2,295,862.87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886,071.04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3,927,753.82</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100,371.92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645,447.99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2,295,862.87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886,071.04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3,927,753.82</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1,489.18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531,870.50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533,359.68</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1,489.18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531,870.50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533,359.68</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100,371.92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2,902,214.44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10,896,263.08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5,724,603.73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19,623,453.17</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期末账面价值</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622" w:right="0"/>
              <w:jc w:val="left"/>
              <w:rPr>
                <w:rFonts w:ascii="Times New Roman" w:hAnsi="Times New Roman" w:cs="Times New Roman" w:eastAsia="Times New Roman" w:hint="default"/>
                <w:sz w:val="18"/>
                <w:szCs w:val="18"/>
              </w:rPr>
            </w:pPr>
            <w:r>
              <w:rPr>
                <w:rFonts w:ascii="Times New Roman"/>
                <w:sz w:val="18"/>
              </w:rPr>
              <w:t>6,172,872.63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2,221,298.78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19,761,521.32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1,809,674.03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29,965,366.76</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期初账面价值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1,454,321.12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3,413,786.19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1,646,594.82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6,514,702.13</w:t>
            </w: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bookmarkStart w:name="（2）未办妥产权证书的固定资产情况" w:id="242"/>
      <w:bookmarkEnd w:id="24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）未办妥产权证书的固定资产情况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青岛中锦大厦写字楼</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6,172,872.63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尚在办理中</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6,172,872.63</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54" w:right="0" w:firstLine="0"/>
        <w:jc w:val="left"/>
        <w:rPr>
          <w:rFonts w:ascii="宋体" w:hAnsi="宋体" w:cs="宋体" w:eastAsia="宋体" w:hint="default"/>
          <w:sz w:val="21"/>
          <w:szCs w:val="21"/>
        </w:rPr>
      </w:pPr>
      <w:bookmarkStart w:name="10、在建工程" w:id="243"/>
      <w:bookmarkEnd w:id="243"/>
      <w:r>
        <w:rPr/>
      </w: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、在建工程</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884"/>
        <w:gridCol w:w="3827"/>
        <w:gridCol w:w="3858"/>
      </w:tblGrid>
      <w:tr>
        <w:trPr>
          <w:trHeight w:val="402" w:hRule="exact"/>
        </w:trPr>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82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7,833,188.58</w:t>
            </w:r>
          </w:p>
        </w:tc>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6,605,727.36</w:t>
            </w:r>
          </w:p>
        </w:tc>
      </w:tr>
      <w:tr>
        <w:trPr>
          <w:trHeight w:val="402" w:hRule="exact"/>
        </w:trPr>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82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7,833,188.58</w:t>
            </w:r>
          </w:p>
        </w:tc>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6,605,727.36</w:t>
            </w: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bookmarkStart w:name="（1）在建工程情况" w:id="244"/>
      <w:bookmarkEnd w:id="24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）在建工程情况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大楼装修工程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6,741,649.69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9" w:right="0"/>
              <w:jc w:val="left"/>
              <w:rPr>
                <w:rFonts w:ascii="Times New Roman" w:hAnsi="Times New Roman" w:cs="Times New Roman" w:eastAsia="Times New Roman" w:hint="default"/>
                <w:sz w:val="18"/>
                <w:szCs w:val="18"/>
              </w:rPr>
            </w:pPr>
            <w:r>
              <w:rPr>
                <w:rFonts w:ascii="Times New Roman"/>
                <w:sz w:val="18"/>
              </w:rPr>
              <w:t>6,741,649.69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6,605,727.36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6,605,727.36</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办公室装修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1,091,538.89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9" w:right="0"/>
              <w:jc w:val="left"/>
              <w:rPr>
                <w:rFonts w:ascii="Times New Roman" w:hAnsi="Times New Roman" w:cs="Times New Roman" w:eastAsia="Times New Roman" w:hint="default"/>
                <w:sz w:val="18"/>
                <w:szCs w:val="18"/>
              </w:rPr>
            </w:pPr>
            <w:r>
              <w:rPr>
                <w:rFonts w:ascii="Times New Roman"/>
                <w:sz w:val="18"/>
              </w:rPr>
              <w:t>1,091,538.89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7,833,188.58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9" w:right="0"/>
              <w:jc w:val="left"/>
              <w:rPr>
                <w:rFonts w:ascii="Times New Roman" w:hAnsi="Times New Roman" w:cs="Times New Roman" w:eastAsia="Times New Roman" w:hint="default"/>
                <w:sz w:val="18"/>
                <w:szCs w:val="18"/>
              </w:rPr>
            </w:pPr>
            <w:r>
              <w:rPr>
                <w:rFonts w:ascii="Times New Roman"/>
                <w:sz w:val="18"/>
              </w:rPr>
              <w:t>7,833,188.58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6,605,727.36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6,605,727.36</w:t>
            </w: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bookmarkStart w:name="（2）重要在建工程项目本期变动情况" w:id="245"/>
      <w:bookmarkEnd w:id="24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）重要在建工程项目本期变动情况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6"/>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24"/>
      </w:tblGrid>
      <w:tr>
        <w:trPr>
          <w:trHeight w:val="703"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6"/>
              <w:ind w:left="270" w:right="90"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6"/>
              <w:ind w:left="273" w:right="91"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6"/>
              <w:ind w:left="92" w:right="91"/>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5"/>
              <w:ind w:left="92" w:right="91"/>
              <w:jc w:val="left"/>
              <w:rPr>
                <w:rFonts w:ascii="宋体" w:hAnsi="宋体" w:cs="宋体" w:eastAsia="宋体" w:hint="default"/>
                <w:sz w:val="18"/>
                <w:szCs w:val="18"/>
              </w:rPr>
            </w:pPr>
            <w:r>
              <w:rPr>
                <w:rFonts w:ascii="宋体" w:hAnsi="宋体" w:cs="宋体" w:eastAsia="宋体" w:hint="default"/>
                <w:sz w:val="18"/>
                <w:szCs w:val="18"/>
              </w:rPr>
              <w:t>本期转 入固定</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5"/>
              <w:ind w:left="93" w:right="91"/>
              <w:jc w:val="left"/>
              <w:rPr>
                <w:rFonts w:ascii="宋体" w:hAnsi="宋体" w:cs="宋体" w:eastAsia="宋体" w:hint="default"/>
                <w:sz w:val="18"/>
                <w:szCs w:val="18"/>
              </w:rPr>
            </w:pPr>
            <w:r>
              <w:rPr>
                <w:rFonts w:ascii="宋体" w:hAnsi="宋体" w:cs="宋体" w:eastAsia="宋体" w:hint="default"/>
                <w:sz w:val="18"/>
                <w:szCs w:val="18"/>
              </w:rPr>
              <w:t>本期其 他减少</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6"/>
              <w:ind w:left="272"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5"/>
              <w:ind w:left="92" w:right="91"/>
              <w:jc w:val="left"/>
              <w:rPr>
                <w:rFonts w:ascii="宋体" w:hAnsi="宋体" w:cs="宋体" w:eastAsia="宋体" w:hint="default"/>
                <w:sz w:val="18"/>
                <w:szCs w:val="18"/>
              </w:rPr>
            </w:pPr>
            <w:r>
              <w:rPr>
                <w:rFonts w:ascii="宋体" w:hAnsi="宋体" w:cs="宋体" w:eastAsia="宋体" w:hint="default"/>
                <w:sz w:val="18"/>
                <w:szCs w:val="18"/>
              </w:rPr>
              <w:t>工程累 计投入</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6"/>
              <w:ind w:left="273" w:right="91"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5"/>
              <w:ind w:left="92" w:right="93"/>
              <w:jc w:val="left"/>
              <w:rPr>
                <w:rFonts w:ascii="宋体" w:hAnsi="宋体" w:cs="宋体" w:eastAsia="宋体" w:hint="default"/>
                <w:sz w:val="18"/>
                <w:szCs w:val="18"/>
              </w:rPr>
            </w:pPr>
            <w:r>
              <w:rPr>
                <w:rFonts w:ascii="宋体" w:hAnsi="宋体" w:cs="宋体" w:eastAsia="宋体" w:hint="default"/>
                <w:sz w:val="18"/>
                <w:szCs w:val="18"/>
              </w:rPr>
              <w:t>利息资 本化累</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5"/>
              <w:ind w:left="92" w:right="20" w:hanging="70"/>
              <w:jc w:val="left"/>
              <w:rPr>
                <w:rFonts w:ascii="宋体" w:hAnsi="宋体" w:cs="宋体" w:eastAsia="宋体" w:hint="default"/>
                <w:sz w:val="18"/>
                <w:szCs w:val="18"/>
              </w:rPr>
            </w:pPr>
            <w:r>
              <w:rPr>
                <w:rFonts w:ascii="宋体" w:hAnsi="宋体" w:cs="宋体" w:eastAsia="宋体" w:hint="default"/>
                <w:spacing w:val="-10"/>
                <w:sz w:val="18"/>
                <w:szCs w:val="18"/>
              </w:rPr>
              <w:t>其中：本</w:t>
            </w:r>
            <w:r>
              <w:rPr>
                <w:rFonts w:ascii="宋体" w:hAnsi="宋体" w:cs="宋体" w:eastAsia="宋体" w:hint="default"/>
                <w:sz w:val="18"/>
                <w:szCs w:val="18"/>
              </w:rPr>
              <w:t> 期利息</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5"/>
              <w:ind w:left="93" w:right="91"/>
              <w:jc w:val="left"/>
              <w:rPr>
                <w:rFonts w:ascii="宋体" w:hAnsi="宋体" w:cs="宋体" w:eastAsia="宋体" w:hint="default"/>
                <w:sz w:val="18"/>
                <w:szCs w:val="18"/>
              </w:rPr>
            </w:pPr>
            <w:r>
              <w:rPr>
                <w:rFonts w:ascii="宋体" w:hAnsi="宋体" w:cs="宋体" w:eastAsia="宋体" w:hint="default"/>
                <w:sz w:val="18"/>
                <w:szCs w:val="18"/>
              </w:rPr>
              <w:t>本期利 息资本</w:t>
            </w:r>
          </w:p>
        </w:tc>
        <w:tc>
          <w:tcPr>
            <w:tcW w:w="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6"/>
              <w:ind w:left="272" w:right="80"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674"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272" w:right="91" w:hanging="180"/>
              <w:jc w:val="left"/>
              <w:rPr>
                <w:rFonts w:ascii="宋体" w:hAnsi="宋体" w:cs="宋体" w:eastAsia="宋体" w:hint="default"/>
                <w:sz w:val="18"/>
                <w:szCs w:val="18"/>
              </w:rPr>
            </w:pPr>
            <w:r>
              <w:rPr>
                <w:rFonts w:ascii="宋体" w:hAnsi="宋体" w:cs="宋体" w:eastAsia="宋体" w:hint="default"/>
                <w:sz w:val="18"/>
                <w:szCs w:val="18"/>
              </w:rPr>
              <w:t>资产金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8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182" w:right="91" w:hanging="90"/>
              <w:jc w:val="left"/>
              <w:rPr>
                <w:rFonts w:ascii="宋体" w:hAnsi="宋体" w:cs="宋体" w:eastAsia="宋体" w:hint="default"/>
                <w:sz w:val="18"/>
                <w:szCs w:val="18"/>
              </w:rPr>
            </w:pPr>
            <w:r>
              <w:rPr>
                <w:rFonts w:ascii="宋体" w:hAnsi="宋体" w:cs="宋体" w:eastAsia="宋体" w:hint="default"/>
                <w:sz w:val="18"/>
                <w:szCs w:val="18"/>
              </w:rPr>
              <w:t>占预算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92" w:right="0"/>
              <w:jc w:val="left"/>
              <w:rPr>
                <w:rFonts w:ascii="宋体" w:hAnsi="宋体" w:cs="宋体" w:eastAsia="宋体" w:hint="default"/>
                <w:sz w:val="18"/>
                <w:szCs w:val="18"/>
              </w:rPr>
            </w:pPr>
            <w:r>
              <w:rPr>
                <w:rFonts w:ascii="宋体" w:hAnsi="宋体" w:cs="宋体" w:eastAsia="宋体" w:hint="default"/>
                <w:sz w:val="18"/>
                <w:szCs w:val="18"/>
              </w:rPr>
              <w:t>计金额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182" w:right="91" w:hanging="90"/>
              <w:jc w:val="left"/>
              <w:rPr>
                <w:rFonts w:ascii="宋体" w:hAnsi="宋体" w:cs="宋体" w:eastAsia="宋体" w:hint="default"/>
                <w:sz w:val="18"/>
                <w:szCs w:val="18"/>
              </w:rPr>
            </w:pPr>
            <w:r>
              <w:rPr>
                <w:rFonts w:ascii="宋体" w:hAnsi="宋体" w:cs="宋体" w:eastAsia="宋体" w:hint="default"/>
                <w:sz w:val="18"/>
                <w:szCs w:val="18"/>
              </w:rPr>
              <w:t>资本化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83" w:right="0"/>
              <w:jc w:val="left"/>
              <w:rPr>
                <w:rFonts w:ascii="宋体" w:hAnsi="宋体" w:cs="宋体" w:eastAsia="宋体" w:hint="default"/>
                <w:sz w:val="18"/>
                <w:szCs w:val="18"/>
              </w:rPr>
            </w:pPr>
            <w:r>
              <w:rPr>
                <w:rFonts w:ascii="宋体" w:hAnsi="宋体" w:cs="宋体" w:eastAsia="宋体" w:hint="default"/>
                <w:sz w:val="18"/>
                <w:szCs w:val="18"/>
              </w:rPr>
              <w:t>化率</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9"/>
              <w:jc w:val="left"/>
              <w:rPr>
                <w:rFonts w:ascii="宋体" w:hAnsi="宋体" w:cs="宋体" w:eastAsia="宋体" w:hint="default"/>
                <w:sz w:val="18"/>
                <w:szCs w:val="18"/>
              </w:rPr>
            </w:pPr>
            <w:r>
              <w:rPr>
                <w:rFonts w:ascii="宋体" w:hAnsi="宋体" w:cs="宋体" w:eastAsia="宋体" w:hint="default"/>
                <w:sz w:val="18"/>
                <w:szCs w:val="18"/>
              </w:rPr>
              <w:t>大楼装 修工程</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20,000,0</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6,605,72</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7.36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135,922.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33</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6,741,64</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9.69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6" w:right="0"/>
              <w:jc w:val="center"/>
              <w:rPr>
                <w:rFonts w:ascii="Times New Roman" w:hAnsi="Times New Roman" w:cs="Times New Roman" w:eastAsia="Times New Roman" w:hint="default"/>
                <w:sz w:val="18"/>
                <w:szCs w:val="18"/>
              </w:rPr>
            </w:pPr>
            <w:r>
              <w:rPr>
                <w:rFonts w:ascii="Times New Roman"/>
                <w:sz w:val="18"/>
              </w:rPr>
              <w:t>33.71%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21"/>
              <w:jc w:val="center"/>
              <w:rPr>
                <w:rFonts w:ascii="Times New Roman" w:hAnsi="Times New Roman" w:cs="Times New Roman" w:eastAsia="Times New Roman" w:hint="default"/>
                <w:sz w:val="18"/>
                <w:szCs w:val="18"/>
              </w:rPr>
            </w:pPr>
            <w:r>
              <w:rPr>
                <w:rFonts w:ascii="Times New Roman"/>
                <w:sz w:val="18"/>
              </w:rPr>
              <w:t>35.00%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募股资 金</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9"/>
              <w:jc w:val="left"/>
              <w:rPr>
                <w:rFonts w:ascii="宋体" w:hAnsi="宋体" w:cs="宋体" w:eastAsia="宋体" w:hint="default"/>
                <w:sz w:val="18"/>
                <w:szCs w:val="18"/>
              </w:rPr>
            </w:pPr>
            <w:r>
              <w:rPr>
                <w:rFonts w:ascii="宋体" w:hAnsi="宋体" w:cs="宋体" w:eastAsia="宋体" w:hint="default"/>
                <w:sz w:val="18"/>
                <w:szCs w:val="18"/>
              </w:rPr>
              <w:t>办公室 装修</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1,500,00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1,091,53</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8.89</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1,091,53</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8.89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6" w:right="0"/>
              <w:jc w:val="center"/>
              <w:rPr>
                <w:rFonts w:ascii="Times New Roman" w:hAnsi="Times New Roman" w:cs="Times New Roman" w:eastAsia="Times New Roman" w:hint="default"/>
                <w:sz w:val="18"/>
                <w:szCs w:val="18"/>
              </w:rPr>
            </w:pPr>
            <w:r>
              <w:rPr>
                <w:rFonts w:ascii="Times New Roman"/>
                <w:sz w:val="18"/>
              </w:rPr>
              <w:t>72.77%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21"/>
              <w:jc w:val="center"/>
              <w:rPr>
                <w:rFonts w:ascii="Times New Roman" w:hAnsi="Times New Roman" w:cs="Times New Roman" w:eastAsia="Times New Roman" w:hint="default"/>
                <w:sz w:val="18"/>
                <w:szCs w:val="18"/>
              </w:rPr>
            </w:pPr>
            <w:r>
              <w:rPr>
                <w:rFonts w:ascii="Times New Roman"/>
                <w:sz w:val="18"/>
              </w:rPr>
              <w:t>75.00%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21,500,0</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6,605,72</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7.36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1,227,46</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1.22</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7,833,18</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8.58</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01"/>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bookmarkStart w:name="11、无形资产" w:id="246"/>
      <w:bookmarkEnd w:id="246"/>
      <w:r>
        <w:rPr/>
      </w:r>
      <w:r>
        <w:rPr>
          <w:rFonts w:ascii="Times New Roman" w:hAnsi="Times New Roman" w:cs="Times New Roman" w:eastAsia="Times New Roman" w:hint="default"/>
          <w:b/>
          <w:bCs/>
          <w:sz w:val="21"/>
          <w:szCs w:val="21"/>
        </w:rPr>
        <w:t>11</w:t>
      </w:r>
      <w:r>
        <w:rPr>
          <w:rFonts w:ascii="宋体" w:hAnsi="宋体" w:cs="宋体" w:eastAsia="宋体" w:hint="default"/>
          <w:b/>
          <w:bCs/>
          <w:sz w:val="21"/>
          <w:szCs w:val="21"/>
        </w:rPr>
        <w:t>、无形资产</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bookmarkStart w:name="（1）无形资产情况" w:id="247"/>
      <w:bookmarkEnd w:id="24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）无形资产情况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line="338" w:lineRule="auto" w:before="0"/>
        <w:ind w:left="154" w:right="1754"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公司是否需遵守《深圳证券交易所创业板行业信息披露指引第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上市公司从事互联网游戏业务》的披露要求 否</w:t>
      </w:r>
    </w:p>
    <w:p>
      <w:pPr>
        <w:spacing w:before="4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9"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09"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367" w:type="dxa"/>
            <w:tcBorders>
              <w:top w:val="single" w:sz="4" w:space="0" w:color="000000"/>
              <w:left w:val="single" w:sz="4" w:space="0" w:color="000000"/>
              <w:bottom w:val="single" w:sz="4" w:space="0" w:color="000000"/>
              <w:right w:val="single" w:sz="9" w:space="0" w:color="E0FFFF"/>
            </w:tcBorders>
            <w:shd w:val="clear" w:color="auto" w:fill="D2D2D2"/>
          </w:tcPr>
          <w:p>
            <w:pPr>
              <w:pStyle w:val="TableParagraph"/>
              <w:spacing w:line="240" w:lineRule="auto" w:before="51"/>
              <w:ind w:left="227"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367" w:type="dxa"/>
            <w:tcBorders>
              <w:top w:val="single" w:sz="4" w:space="0" w:color="000000"/>
              <w:left w:val="single" w:sz="10" w:space="0" w:color="D2D2D2"/>
              <w:bottom w:val="single" w:sz="4" w:space="0" w:color="000000"/>
              <w:right w:val="single" w:sz="4" w:space="0" w:color="000000"/>
            </w:tcBorders>
            <w:shd w:val="clear" w:color="auto" w:fill="E0FFFF"/>
          </w:tcPr>
          <w:p>
            <w:pPr>
              <w:pStyle w:val="TableParagraph"/>
              <w:spacing w:line="240" w:lineRule="auto" w:before="51"/>
              <w:ind w:right="6"/>
              <w:jc w:val="center"/>
              <w:rPr>
                <w:rFonts w:ascii="宋体" w:hAnsi="宋体" w:cs="宋体" w:eastAsia="宋体" w:hint="default"/>
                <w:sz w:val="18"/>
                <w:szCs w:val="18"/>
              </w:rPr>
            </w:pPr>
            <w:r>
              <w:rPr>
                <w:rFonts w:ascii="宋体" w:hAnsi="宋体" w:cs="宋体" w:eastAsia="宋体" w:hint="default"/>
                <w:sz w:val="18"/>
                <w:szCs w:val="18"/>
              </w:rPr>
              <w:t>软件</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408" w:right="0"/>
              <w:jc w:val="left"/>
              <w:rPr>
                <w:rFonts w:ascii="宋体" w:hAnsi="宋体" w:cs="宋体" w:eastAsia="宋体" w:hint="default"/>
                <w:sz w:val="18"/>
                <w:szCs w:val="18"/>
              </w:rPr>
            </w:pPr>
            <w:r>
              <w:rPr>
                <w:rFonts w:ascii="宋体" w:hAnsi="宋体" w:cs="宋体" w:eastAsia="宋体" w:hint="default"/>
                <w:sz w:val="18"/>
                <w:szCs w:val="18"/>
              </w:rPr>
              <w:t>商标权</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5"/>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17,192,066.44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17,192,066.44</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36,585,218.67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7,100,000.00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43,685,218.67</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）购置</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36,585,218.67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43,685,218.67</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44"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）内部</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研发</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 w:firstLine="521"/>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）企业</w:t>
            </w:r>
            <w:r>
              <w:rPr>
                <w:rFonts w:ascii="宋体" w:hAnsi="宋体" w:cs="宋体" w:eastAsia="宋体" w:hint="default"/>
                <w:sz w:val="18"/>
                <w:szCs w:val="18"/>
              </w:rPr>
              <w:t> 合并增加</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）处置</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5"/>
              <w:jc w:val="righ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53,777,285.11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60,877,285.11</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5"/>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5,205,248.23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5,205,248.23</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3,555,576.71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295,833.33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3,851,410.04</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）计提</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3,555,576.71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295,833.33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3,851,410.04</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）处置</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8,760,824.94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295,833.33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9,056,658.27</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756,000.00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756,000.00</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）计提</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756,000.00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756,000.00</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 价值</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44,260,460.17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6,804,166.67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51,064,626.84</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 价值</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11,230,818.21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11,230,818.21</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本期末通过公司内部研发形成的无形资产占无形资产余额的比例</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100.00%</w:t>
      </w:r>
      <w:r>
        <w:rPr>
          <w:rFonts w:ascii="宋体" w:hAnsi="宋体" w:cs="宋体" w:eastAsia="宋体" w:hint="default"/>
          <w:sz w:val="18"/>
          <w:szCs w:val="18"/>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6"/>
          <w:szCs w:val="16"/>
        </w:rPr>
      </w:pPr>
    </w:p>
    <w:p>
      <w:pPr>
        <w:spacing w:before="0"/>
        <w:ind w:left="154" w:right="0" w:firstLine="0"/>
        <w:jc w:val="left"/>
        <w:rPr>
          <w:rFonts w:ascii="宋体" w:hAnsi="宋体" w:cs="宋体" w:eastAsia="宋体" w:hint="default"/>
          <w:sz w:val="21"/>
          <w:szCs w:val="21"/>
        </w:rPr>
      </w:pPr>
      <w:bookmarkStart w:name="12、商誉" w:id="248"/>
      <w:bookmarkEnd w:id="248"/>
      <w:r>
        <w:rPr/>
      </w:r>
      <w:r>
        <w:rPr>
          <w:rFonts w:ascii="Times New Roman" w:hAnsi="Times New Roman" w:cs="Times New Roman" w:eastAsia="Times New Roman" w:hint="default"/>
          <w:b/>
          <w:bCs/>
          <w:sz w:val="21"/>
          <w:szCs w:val="21"/>
        </w:rPr>
        <w:t>12</w:t>
      </w:r>
      <w:r>
        <w:rPr>
          <w:rFonts w:ascii="宋体" w:hAnsi="宋体" w:cs="宋体" w:eastAsia="宋体" w:hint="default"/>
          <w:b/>
          <w:bCs/>
          <w:sz w:val="21"/>
          <w:szCs w:val="21"/>
        </w:rPr>
        <w:t>、商誉</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bookmarkStart w:name="（1）商誉账面原值" w:id="249"/>
      <w:bookmarkEnd w:id="24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）商誉账面原值</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1025"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8" w:right="36"/>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2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福建正元公司</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74,407.87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74,407.87</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杭州容博公司</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2,535,964.36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2,535,964.36</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云马智慧公司</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2,634,456.39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2,634,456.39</w:t>
            </w: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5,244,828.62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5,244,828.62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spacing w:before="35"/>
        <w:ind w:left="154" w:right="0" w:firstLine="0"/>
        <w:jc w:val="left"/>
        <w:rPr>
          <w:rFonts w:ascii="宋体" w:hAnsi="宋体" w:cs="宋体" w:eastAsia="宋体" w:hint="default"/>
          <w:sz w:val="21"/>
          <w:szCs w:val="21"/>
        </w:rPr>
      </w:pPr>
      <w:bookmarkStart w:name="（2）商誉减值准备" w:id="250"/>
      <w:bookmarkEnd w:id="25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）商誉减值准备</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8"/>
        <w:gridCol w:w="1367"/>
        <w:gridCol w:w="1367"/>
        <w:gridCol w:w="1367"/>
        <w:gridCol w:w="1367"/>
      </w:tblGrid>
      <w:tr>
        <w:trPr>
          <w:trHeight w:val="102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48" w:right="47"/>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云马智慧公司</w:t>
            </w:r>
          </w:p>
        </w:tc>
        <w:tc>
          <w:tcPr>
            <w:tcW w:w="1367"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2,634,456.39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2,634,456.39</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2,634,456.39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2,634,456.39</w:t>
            </w:r>
          </w:p>
        </w:tc>
      </w:tr>
    </w:tbl>
    <w:p>
      <w:pPr>
        <w:spacing w:line="338" w:lineRule="auto"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商誉所在资产组或资产组组合的相关信息 </w:t>
      </w:r>
      <w:r>
        <w:rPr>
          <w:rFonts w:ascii="宋体" w:hAnsi="宋体" w:cs="宋体" w:eastAsia="宋体" w:hint="default"/>
          <w:spacing w:val="-2"/>
          <w:sz w:val="18"/>
          <w:szCs w:val="18"/>
        </w:rPr>
        <w:t>说明商誉减值测试过程、关键参数（如预计未来现金流量现值时的预测期增长率、稳定期增长率、利润率、折现率、预测期</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等）及商誉减值损失的确认方法：</w:t>
      </w:r>
    </w:p>
    <w:p>
      <w:pPr>
        <w:pStyle w:val="BodyText"/>
        <w:spacing w:line="357" w:lineRule="auto" w:before="71"/>
        <w:ind w:right="1124" w:firstLine="420"/>
        <w:jc w:val="left"/>
      </w:pPr>
      <w:r>
        <w:rPr>
          <w:spacing w:val="2"/>
        </w:rPr>
        <w:t>云马智慧公司</w:t>
      </w:r>
      <w:r>
        <w:rPr>
          <w:rFonts w:ascii="宋体" w:hAnsi="宋体" w:cs="宋体" w:eastAsia="宋体" w:hint="default"/>
          <w:spacing w:val="2"/>
        </w:rPr>
        <w:t>2012</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日净资产为负数，基于谨慎性原则，故于</w:t>
      </w:r>
      <w:r>
        <w:rPr>
          <w:rFonts w:ascii="宋体" w:hAnsi="宋体" w:cs="宋体" w:eastAsia="宋体" w:hint="default"/>
          <w:spacing w:val="2"/>
        </w:rPr>
        <w:t>2012</w:t>
      </w:r>
      <w:r>
        <w:rPr>
          <w:spacing w:val="2"/>
        </w:rPr>
        <w:t>年末对其商誉</w:t>
      </w:r>
      <w:r>
        <w:rPr/>
        <w:t> 全额计提减值准备。</w:t>
      </w:r>
    </w:p>
    <w:p>
      <w:pPr>
        <w:spacing w:line="357" w:lineRule="auto" w:before="47"/>
        <w:ind w:left="154" w:right="8592" w:firstLine="0"/>
        <w:jc w:val="left"/>
        <w:rPr>
          <w:rFonts w:ascii="宋体" w:hAnsi="宋体" w:cs="宋体" w:eastAsia="宋体" w:hint="default"/>
          <w:sz w:val="18"/>
          <w:szCs w:val="18"/>
        </w:rPr>
      </w:pPr>
      <w:r>
        <w:rPr>
          <w:rFonts w:ascii="宋体" w:hAnsi="宋体" w:cs="宋体" w:eastAsia="宋体" w:hint="default"/>
          <w:sz w:val="18"/>
          <w:szCs w:val="18"/>
        </w:rPr>
        <w:t>商誉减值测试的影响 其他说明</w:t>
      </w:r>
    </w:p>
    <w:p>
      <w:pPr>
        <w:spacing w:line="240" w:lineRule="auto" w:before="1"/>
        <w:rPr>
          <w:rFonts w:ascii="宋体" w:hAnsi="宋体" w:cs="宋体" w:eastAsia="宋体" w:hint="default"/>
          <w:sz w:val="20"/>
          <w:szCs w:val="20"/>
        </w:rPr>
      </w:pPr>
    </w:p>
    <w:p>
      <w:pPr>
        <w:spacing w:before="0"/>
        <w:ind w:left="154" w:right="0" w:firstLine="0"/>
        <w:jc w:val="left"/>
        <w:rPr>
          <w:rFonts w:ascii="宋体" w:hAnsi="宋体" w:cs="宋体" w:eastAsia="宋体" w:hint="default"/>
          <w:sz w:val="21"/>
          <w:szCs w:val="21"/>
        </w:rPr>
      </w:pPr>
      <w:bookmarkStart w:name="13、长期待摊费用" w:id="251"/>
      <w:bookmarkEnd w:id="251"/>
      <w:r>
        <w:rPr/>
      </w:r>
      <w:r>
        <w:rPr>
          <w:rFonts w:ascii="Times New Roman" w:hAnsi="Times New Roman" w:cs="Times New Roman" w:eastAsia="Times New Roman" w:hint="default"/>
          <w:b/>
          <w:bCs/>
          <w:sz w:val="21"/>
          <w:szCs w:val="21"/>
        </w:rPr>
        <w:t>13</w:t>
      </w:r>
      <w:r>
        <w:rPr>
          <w:rFonts w:ascii="宋体" w:hAnsi="宋体" w:cs="宋体" w:eastAsia="宋体" w:hint="default"/>
          <w:b/>
          <w:bCs/>
          <w:sz w:val="21"/>
          <w:szCs w:val="21"/>
        </w:rPr>
        <w:t>、长期待摊费用</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89,759.19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3,764,688.08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209,786.16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3,644,661.11</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停车位</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1,093,333.32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45,555.60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1,047,777.72</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场租物管</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436,913.46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63,091.47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373,821.99</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89,759.19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5,294,934.86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318,433.23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5,066,260.82</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54" w:right="0" w:firstLine="0"/>
        <w:jc w:val="left"/>
        <w:rPr>
          <w:rFonts w:ascii="宋体" w:hAnsi="宋体" w:cs="宋体" w:eastAsia="宋体" w:hint="default"/>
          <w:sz w:val="21"/>
          <w:szCs w:val="21"/>
        </w:rPr>
      </w:pPr>
      <w:bookmarkStart w:name="14、递延所得税资产/递延所得税负债" w:id="252"/>
      <w:bookmarkEnd w:id="252"/>
      <w:r>
        <w:rPr/>
      </w:r>
      <w:r>
        <w:rPr>
          <w:rFonts w:ascii="Times New Roman" w:hAnsi="Times New Roman" w:cs="Times New Roman" w:eastAsia="Times New Roman" w:hint="default"/>
          <w:b/>
          <w:bCs/>
          <w:sz w:val="21"/>
          <w:szCs w:val="21"/>
        </w:rPr>
        <w:t>14</w:t>
      </w:r>
      <w:r>
        <w:rPr>
          <w:rFonts w:ascii="宋体" w:hAnsi="宋体" w:cs="宋体" w:eastAsia="宋体" w:hint="default"/>
          <w:b/>
          <w:bCs/>
          <w:sz w:val="21"/>
          <w:szCs w:val="21"/>
        </w:rPr>
        <w:t>、递延所得税资产</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递延所得税负债</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bookmarkStart w:name="（1）未经抵销的递延所得税资产" w:id="253"/>
      <w:bookmarkEnd w:id="25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）未经抵销的递延所得税资产</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42"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45"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6"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50,434,774.41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7,565,216.15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38,426,044.80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5,763,906.73</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4,932,337.19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727,084.88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1,620,961.41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230,378.51</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19,315,931.82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3,147,688.04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10,772,064.16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1,615,809.62</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存货跌价准备</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197,766.88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29,665.04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捐赠支出</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2,634,414.62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395,162.20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9" w:right="0"/>
              <w:jc w:val="left"/>
              <w:rPr>
                <w:rFonts w:ascii="Times New Roman" w:hAnsi="Times New Roman" w:cs="Times New Roman" w:eastAsia="Times New Roman" w:hint="default"/>
                <w:sz w:val="18"/>
                <w:szCs w:val="18"/>
              </w:rPr>
            </w:pPr>
            <w:r>
              <w:rPr>
                <w:rFonts w:ascii="Times New Roman"/>
                <w:sz w:val="18"/>
              </w:rPr>
              <w:t>77,515,224.92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2" w:right="0"/>
              <w:jc w:val="left"/>
              <w:rPr>
                <w:rFonts w:ascii="Times New Roman" w:hAnsi="Times New Roman" w:cs="Times New Roman" w:eastAsia="Times New Roman" w:hint="default"/>
                <w:sz w:val="18"/>
                <w:szCs w:val="18"/>
              </w:rPr>
            </w:pPr>
            <w:r>
              <w:rPr>
                <w:rFonts w:ascii="Times New Roman"/>
                <w:sz w:val="18"/>
              </w:rPr>
              <w:t>11,864,816.31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6" w:right="0"/>
              <w:jc w:val="left"/>
              <w:rPr>
                <w:rFonts w:ascii="Times New Roman" w:hAnsi="Times New Roman" w:cs="Times New Roman" w:eastAsia="Times New Roman" w:hint="default"/>
                <w:sz w:val="18"/>
                <w:szCs w:val="18"/>
              </w:rPr>
            </w:pPr>
            <w:r>
              <w:rPr>
                <w:rFonts w:ascii="Times New Roman"/>
                <w:sz w:val="18"/>
              </w:rPr>
              <w:t>50,819,070.37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5" w:right="0"/>
              <w:jc w:val="left"/>
              <w:rPr>
                <w:rFonts w:ascii="Times New Roman" w:hAnsi="Times New Roman" w:cs="Times New Roman" w:eastAsia="Times New Roman" w:hint="default"/>
                <w:sz w:val="18"/>
                <w:szCs w:val="18"/>
              </w:rPr>
            </w:pPr>
            <w:r>
              <w:rPr>
                <w:rFonts w:ascii="Times New Roman"/>
                <w:sz w:val="18"/>
              </w:rPr>
              <w:t>7,610,094.86</w:t>
            </w: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bookmarkStart w:name="（2）以抵销后净额列示的递延所得税资产或负债" w:id="254"/>
      <w:bookmarkEnd w:id="25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）以抵销后净额列示的递延所得税资产或负债</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03"/>
      </w:tblGrid>
      <w:tr>
        <w:trPr>
          <w:trHeight w:val="161"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413"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41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0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21" w:right="39"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2" w:hRule="exact"/>
        </w:trPr>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03" w:type="dxa"/>
            <w:vMerge/>
            <w:tcBorders>
              <w:left w:val="single" w:sz="4" w:space="0" w:color="000000"/>
              <w:right w:val="single" w:sz="4" w:space="0" w:color="000000"/>
            </w:tcBorders>
            <w:shd w:val="clear" w:color="auto" w:fill="D2D2D2"/>
          </w:tcPr>
          <w:p>
            <w:pPr/>
          </w:p>
        </w:tc>
      </w:tr>
      <w:tr>
        <w:trPr>
          <w:trHeight w:val="161"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0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2" w:right="0"/>
              <w:jc w:val="left"/>
              <w:rPr>
                <w:rFonts w:ascii="Times New Roman" w:hAnsi="Times New Roman" w:cs="Times New Roman" w:eastAsia="Times New Roman" w:hint="default"/>
                <w:sz w:val="18"/>
                <w:szCs w:val="18"/>
              </w:rPr>
            </w:pPr>
            <w:r>
              <w:rPr>
                <w:rFonts w:ascii="Times New Roman"/>
                <w:sz w:val="18"/>
              </w:rPr>
              <w:t>11,864,816.31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5" w:right="0"/>
              <w:jc w:val="left"/>
              <w:rPr>
                <w:rFonts w:ascii="Times New Roman" w:hAnsi="Times New Roman" w:cs="Times New Roman" w:eastAsia="Times New Roman" w:hint="default"/>
                <w:sz w:val="18"/>
                <w:szCs w:val="18"/>
              </w:rPr>
            </w:pPr>
            <w:r>
              <w:rPr>
                <w:rFonts w:ascii="Times New Roman"/>
                <w:sz w:val="18"/>
              </w:rPr>
              <w:t>7,610,094.86</w:t>
            </w: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bookmarkStart w:name="（3）未确认递延所得税资产明细" w:id="255"/>
      <w:bookmarkEnd w:id="25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）未确认递延所得税资产明细</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5,435,193.81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3,657,020.89</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20,656,080.91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16,750,572.80</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26,091,274.72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20,407,593.69</w:t>
            </w: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bookmarkStart w:name="（4）未确认递延所得税资产的可抵扣亏损将于以下年度到期" w:id="256"/>
      <w:bookmarkEnd w:id="25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）未确认递延所得税资产的可抵扣亏损将于以下年度到期</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2,898,873.06</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1,899,445.27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1,899,445.27</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2,815,720.88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2,815,720.88</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1,746,943.19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1,746,943.19</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6,145,911.71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7,389,590.40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8,048,059.86</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20,656,080.91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16,750,572.80</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spacing w:before="0"/>
        <w:ind w:left="154" w:right="0" w:firstLine="0"/>
        <w:jc w:val="left"/>
        <w:rPr>
          <w:rFonts w:ascii="宋体" w:hAnsi="宋体" w:cs="宋体" w:eastAsia="宋体" w:hint="default"/>
          <w:sz w:val="21"/>
          <w:szCs w:val="21"/>
        </w:rPr>
      </w:pPr>
      <w:bookmarkStart w:name="15、其他非流动资产" w:id="257"/>
      <w:bookmarkEnd w:id="257"/>
      <w:r>
        <w:rPr/>
      </w:r>
      <w:r>
        <w:rPr>
          <w:rFonts w:ascii="Times New Roman" w:hAnsi="Times New Roman" w:cs="Times New Roman" w:eastAsia="Times New Roman" w:hint="default"/>
          <w:b/>
          <w:bCs/>
          <w:sz w:val="21"/>
          <w:szCs w:val="21"/>
        </w:rPr>
        <w:t>15</w:t>
      </w:r>
      <w:r>
        <w:rPr>
          <w:rFonts w:ascii="宋体" w:hAnsi="宋体" w:cs="宋体" w:eastAsia="宋体" w:hint="default"/>
          <w:b/>
          <w:bCs/>
          <w:sz w:val="21"/>
          <w:szCs w:val="21"/>
        </w:rPr>
        <w:t>、其他非流动资产</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预付资产购置款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5,082,007.12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7,174,342.72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5,082,007.12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7,174,342.72</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spacing w:before="35"/>
        <w:ind w:left="154" w:right="0" w:firstLine="0"/>
        <w:jc w:val="left"/>
        <w:rPr>
          <w:rFonts w:ascii="宋体" w:hAnsi="宋体" w:cs="宋体" w:eastAsia="宋体" w:hint="default"/>
          <w:sz w:val="21"/>
          <w:szCs w:val="21"/>
        </w:rPr>
      </w:pPr>
      <w:bookmarkStart w:name="16、短期借款" w:id="258"/>
      <w:bookmarkEnd w:id="258"/>
      <w:r>
        <w:rPr/>
      </w:r>
      <w:r>
        <w:rPr>
          <w:rFonts w:ascii="Times New Roman" w:hAnsi="Times New Roman" w:cs="Times New Roman" w:eastAsia="Times New Roman" w:hint="default"/>
          <w:b/>
          <w:bCs/>
          <w:sz w:val="21"/>
          <w:szCs w:val="21"/>
        </w:rPr>
        <w:t>16</w:t>
      </w:r>
      <w:r>
        <w:rPr>
          <w:rFonts w:ascii="宋体" w:hAnsi="宋体" w:cs="宋体" w:eastAsia="宋体" w:hint="default"/>
          <w:b/>
          <w:bCs/>
          <w:sz w:val="21"/>
          <w:szCs w:val="21"/>
        </w:rPr>
        <w:t>、短期借款</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bookmarkStart w:name="（1）短期借款分类" w:id="259"/>
      <w:bookmarkEnd w:id="25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）短期借款分类</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194"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122,177,351.38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保证并质押借款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保证并质押并抵押借款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167,177,351.38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79,000,000.00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短期借款分类的说明：</w:t>
      </w:r>
    </w:p>
    <w:p>
      <w:pPr>
        <w:spacing w:line="240" w:lineRule="auto" w:before="10"/>
        <w:rPr>
          <w:rFonts w:ascii="宋体" w:hAnsi="宋体" w:cs="宋体" w:eastAsia="宋体" w:hint="default"/>
          <w:sz w:val="26"/>
          <w:szCs w:val="26"/>
        </w:rPr>
      </w:pPr>
    </w:p>
    <w:p>
      <w:pPr>
        <w:spacing w:before="0"/>
        <w:ind w:left="154" w:right="0" w:firstLine="0"/>
        <w:jc w:val="left"/>
        <w:rPr>
          <w:rFonts w:ascii="宋体" w:hAnsi="宋体" w:cs="宋体" w:eastAsia="宋体" w:hint="default"/>
          <w:sz w:val="21"/>
          <w:szCs w:val="21"/>
        </w:rPr>
      </w:pPr>
      <w:bookmarkStart w:name="17、应付票据及应付账款" w:id="260"/>
      <w:bookmarkEnd w:id="260"/>
      <w:r>
        <w:rPr/>
      </w:r>
      <w:r>
        <w:rPr>
          <w:rFonts w:ascii="Times New Roman" w:hAnsi="Times New Roman" w:cs="Times New Roman" w:eastAsia="Times New Roman" w:hint="default"/>
          <w:b/>
          <w:bCs/>
          <w:sz w:val="21"/>
          <w:szCs w:val="21"/>
        </w:rPr>
        <w:t>17</w:t>
      </w:r>
      <w:r>
        <w:rPr>
          <w:rFonts w:ascii="宋体" w:hAnsi="宋体" w:cs="宋体" w:eastAsia="宋体" w:hint="default"/>
          <w:b/>
          <w:bCs/>
          <w:sz w:val="21"/>
          <w:szCs w:val="21"/>
        </w:rPr>
        <w:t>、应付票据及应付账款</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13,306,710.05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25,672,417.96</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108,548,058.49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88,150,437.17</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121,854,768.54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113,822,855.13</w:t>
            </w: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bookmarkStart w:name="（1）应付票据分类列示" w:id="261"/>
      <w:bookmarkEnd w:id="26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）应付票据分类列示</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13,306,710.05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25,672,417.96</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13,306,710.05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25,672,417.96</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本期末已到期未支付的应付票据总额为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240" w:lineRule="auto" w:before="9"/>
        <w:rPr>
          <w:rFonts w:ascii="宋体" w:hAnsi="宋体" w:cs="宋体" w:eastAsia="宋体" w:hint="default"/>
          <w:sz w:val="25"/>
          <w:szCs w:val="25"/>
        </w:rPr>
      </w:pPr>
    </w:p>
    <w:p>
      <w:pPr>
        <w:spacing w:before="0"/>
        <w:ind w:left="154" w:right="0" w:firstLine="0"/>
        <w:jc w:val="left"/>
        <w:rPr>
          <w:rFonts w:ascii="宋体" w:hAnsi="宋体" w:cs="宋体" w:eastAsia="宋体" w:hint="default"/>
          <w:sz w:val="21"/>
          <w:szCs w:val="21"/>
        </w:rPr>
      </w:pPr>
      <w:bookmarkStart w:name="（2）应付账款列示" w:id="262"/>
      <w:bookmarkEnd w:id="26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）应付账款列示</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应付购货款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108,548,058.49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88,150,437.17</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108,548,058.49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88,150,437.17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spacing w:before="35"/>
        <w:ind w:left="154" w:right="0" w:firstLine="0"/>
        <w:jc w:val="left"/>
        <w:rPr>
          <w:rFonts w:ascii="宋体" w:hAnsi="宋体" w:cs="宋体" w:eastAsia="宋体" w:hint="default"/>
          <w:sz w:val="21"/>
          <w:szCs w:val="21"/>
        </w:rPr>
      </w:pPr>
      <w:bookmarkStart w:name="（3）账龄超过1年的重要应付账款" w:id="263"/>
      <w:bookmarkEnd w:id="26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）账龄超过</w:t>
      </w:r>
      <w:r>
        <w:rPr>
          <w:rFonts w:ascii="宋体" w:hAnsi="宋体" w:cs="宋体" w:eastAsia="宋体" w:hint="default"/>
          <w:b/>
          <w:bCs/>
          <w:spacing w:val="-55"/>
          <w:sz w:val="21"/>
          <w:szCs w:val="21"/>
        </w:rPr>
        <w:t> </w:t>
      </w: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年的重要应付账款</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spacing w:before="0"/>
        <w:ind w:left="154" w:right="0" w:firstLine="0"/>
        <w:jc w:val="left"/>
        <w:rPr>
          <w:rFonts w:ascii="宋体" w:hAnsi="宋体" w:cs="宋体" w:eastAsia="宋体" w:hint="default"/>
          <w:sz w:val="21"/>
          <w:szCs w:val="21"/>
        </w:rPr>
      </w:pPr>
      <w:bookmarkStart w:name="18、预收款项" w:id="264"/>
      <w:bookmarkEnd w:id="264"/>
      <w:r>
        <w:rPr/>
      </w:r>
      <w:r>
        <w:rPr>
          <w:rFonts w:ascii="Times New Roman" w:hAnsi="Times New Roman" w:cs="Times New Roman" w:eastAsia="Times New Roman" w:hint="default"/>
          <w:b/>
          <w:bCs/>
          <w:sz w:val="21"/>
          <w:szCs w:val="21"/>
        </w:rPr>
        <w:t>18</w:t>
      </w:r>
      <w:r>
        <w:rPr>
          <w:rFonts w:ascii="宋体" w:hAnsi="宋体" w:cs="宋体" w:eastAsia="宋体" w:hint="default"/>
          <w:b/>
          <w:bCs/>
          <w:sz w:val="21"/>
          <w:szCs w:val="21"/>
        </w:rPr>
        <w:t>、预收款项</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bookmarkStart w:name="（1）预收款项列示" w:id="265"/>
      <w:bookmarkEnd w:id="26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）预收款项列示</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预收货款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58,710,105.65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47,093,262.91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58,710,105.65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47,093,262.91</w:t>
            </w: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bookmarkStart w:name="（2）账龄超过1年的重要预收款项" w:id="266"/>
      <w:bookmarkEnd w:id="26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）账龄超过</w:t>
      </w:r>
      <w:r>
        <w:rPr>
          <w:rFonts w:ascii="宋体" w:hAnsi="宋体" w:cs="宋体" w:eastAsia="宋体" w:hint="default"/>
          <w:b/>
          <w:bCs/>
          <w:spacing w:val="-55"/>
          <w:sz w:val="21"/>
          <w:szCs w:val="21"/>
        </w:rPr>
        <w:t> </w:t>
      </w: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年的重要预收款项</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line="240" w:lineRule="auto" w:before="3"/>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bookmarkStart w:name="19、应付职工薪酬" w:id="267"/>
      <w:bookmarkEnd w:id="267"/>
      <w:r>
        <w:rPr/>
      </w:r>
      <w:r>
        <w:rPr>
          <w:rFonts w:ascii="Times New Roman" w:hAnsi="Times New Roman" w:cs="Times New Roman" w:eastAsia="Times New Roman" w:hint="default"/>
          <w:b/>
          <w:bCs/>
          <w:sz w:val="21"/>
          <w:szCs w:val="21"/>
        </w:rPr>
        <w:t>19</w:t>
      </w:r>
      <w:r>
        <w:rPr>
          <w:rFonts w:ascii="宋体" w:hAnsi="宋体" w:cs="宋体" w:eastAsia="宋体" w:hint="default"/>
          <w:b/>
          <w:bCs/>
          <w:sz w:val="21"/>
          <w:szCs w:val="21"/>
        </w:rPr>
        <w:t>、应付职工薪酬</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bookmarkStart w:name="（1）应付职工薪酬列示" w:id="268"/>
      <w:bookmarkEnd w:id="26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）应付职工薪酬列示</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10,002,977.28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109,132,502.05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97,245,345.42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21,890,133.91</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9"/>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273,909.33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7,646,707.76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7,565,136.98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355,480.11</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13,300.00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13,300.00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10,276,886.61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116,792,509.81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104,823,782.40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22,245,614.02</w:t>
            </w: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bookmarkStart w:name="（2）短期薪酬列示" w:id="269"/>
      <w:bookmarkEnd w:id="26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）短期薪酬列示</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9,509,121.87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95,316,125.16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83,600,013.65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21,225,233.38</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2,638,934.66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2,601,901.06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37,033.60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206,391.99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5,402,744.95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5,317,680.09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291,456.85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7"/>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179,954.76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4,708,822.20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4,631,644.04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257,132.92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7"/>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7,876.20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163,474.54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166,320.58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5,030.16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7"/>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18,561.03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530,448.21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519,715.47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29,293.77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24,140.00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4,635,442.00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4,639,096.00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20,486.00</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、工会经费和职工教育</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经费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263,323.42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1,139,255.28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1,086,654.62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315,924.08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10,002,977.28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109,132,502.05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97,245,345.42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21,890,133.91</w:t>
            </w: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bookmarkStart w:name="（3）设定提存计划列示" w:id="270"/>
      <w:bookmarkEnd w:id="27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）设定提存计划列示</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264,176.05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7,334,738.94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7,256,152.27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342,762.72</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9,733.28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311,968.82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308,984.71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12,717.39</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273,909.33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7,646,707.76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7,565,136.98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355,480.11</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54" w:right="0" w:firstLine="0"/>
        <w:jc w:val="left"/>
        <w:rPr>
          <w:rFonts w:ascii="宋体" w:hAnsi="宋体" w:cs="宋体" w:eastAsia="宋体" w:hint="default"/>
          <w:sz w:val="21"/>
          <w:szCs w:val="21"/>
        </w:rPr>
      </w:pPr>
      <w:bookmarkStart w:name="20、应交税费" w:id="271"/>
      <w:bookmarkEnd w:id="271"/>
      <w:r>
        <w:rPr/>
      </w:r>
      <w:r>
        <w:rPr>
          <w:rFonts w:ascii="Times New Roman" w:hAnsi="Times New Roman" w:cs="Times New Roman" w:eastAsia="Times New Roman" w:hint="default"/>
          <w:b/>
          <w:bCs/>
          <w:sz w:val="21"/>
          <w:szCs w:val="21"/>
        </w:rPr>
        <w:t>20</w:t>
      </w:r>
      <w:r>
        <w:rPr>
          <w:rFonts w:ascii="宋体" w:hAnsi="宋体" w:cs="宋体" w:eastAsia="宋体" w:hint="default"/>
          <w:b/>
          <w:bCs/>
          <w:sz w:val="21"/>
          <w:szCs w:val="21"/>
        </w:rPr>
        <w:t>、应交税费</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3,243,957.74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2,912,371.01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1,912,010.76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1,848,757.69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197,014.96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154,661.74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673,739.94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670,357.56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288,745.68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287,296.30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192,476.81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191,530.91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地方水利建设基金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14,784.23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22,279.09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56,000.93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132,447.22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价格调节基金</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13,173.81</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78.59</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6,591,983.45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6,219,741.52</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spacing w:before="35"/>
        <w:ind w:left="154" w:right="0" w:firstLine="0"/>
        <w:jc w:val="left"/>
        <w:rPr>
          <w:rFonts w:ascii="宋体" w:hAnsi="宋体" w:cs="宋体" w:eastAsia="宋体" w:hint="default"/>
          <w:sz w:val="21"/>
          <w:szCs w:val="21"/>
        </w:rPr>
      </w:pPr>
      <w:bookmarkStart w:name="21、其他应付款" w:id="272"/>
      <w:bookmarkEnd w:id="272"/>
      <w:r>
        <w:rPr/>
      </w:r>
      <w:r>
        <w:rPr>
          <w:rFonts w:ascii="Times New Roman" w:hAnsi="Times New Roman" w:cs="Times New Roman" w:eastAsia="Times New Roman" w:hint="default"/>
          <w:b/>
          <w:bCs/>
          <w:sz w:val="21"/>
          <w:szCs w:val="21"/>
        </w:rPr>
        <w:t>21</w:t>
      </w:r>
      <w:r>
        <w:rPr>
          <w:rFonts w:ascii="宋体" w:hAnsi="宋体" w:cs="宋体" w:eastAsia="宋体" w:hint="default"/>
          <w:b/>
          <w:bCs/>
          <w:sz w:val="21"/>
          <w:szCs w:val="21"/>
        </w:rPr>
        <w:t>、其他应付款</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240,797.26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81,420.33</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4,106,025.10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3,831,528.07</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4,346,822.36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3,912,948.40</w:t>
            </w: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bookmarkStart w:name="（1）应付利息" w:id="273"/>
      <w:bookmarkEnd w:id="27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）应付利息</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240,797.26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81,420.33</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240,797.26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81,420.33</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重要的已逾期未支付的利息情况：</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spacing w:before="0"/>
        <w:ind w:left="154" w:right="0" w:firstLine="0"/>
        <w:jc w:val="left"/>
        <w:rPr>
          <w:rFonts w:ascii="宋体" w:hAnsi="宋体" w:cs="宋体" w:eastAsia="宋体" w:hint="default"/>
          <w:sz w:val="21"/>
          <w:szCs w:val="21"/>
        </w:rPr>
      </w:pPr>
      <w:bookmarkStart w:name="（2）其他应付款" w:id="274"/>
      <w:bookmarkEnd w:id="27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）其他应付款</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按款项性质列示其他应付款</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应付暂收款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1,573,031.46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1,510,510.17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2,275,034.51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2,070,011.80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257,959.13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251,006.10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4,106,025.10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3,831,528.07</w:t>
            </w: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bookmarkStart w:name="22、股本" w:id="275"/>
      <w:bookmarkEnd w:id="275"/>
      <w:r>
        <w:rPr/>
      </w:r>
      <w:r>
        <w:rPr>
          <w:rFonts w:ascii="Times New Roman" w:hAnsi="Times New Roman" w:cs="Times New Roman" w:eastAsia="Times New Roman" w:hint="default"/>
          <w:b/>
          <w:bCs/>
          <w:sz w:val="21"/>
          <w:szCs w:val="21"/>
        </w:rPr>
        <w:t>22</w:t>
      </w:r>
      <w:r>
        <w:rPr>
          <w:rFonts w:ascii="宋体" w:hAnsi="宋体" w:cs="宋体" w:eastAsia="宋体" w:hint="default"/>
          <w:b/>
          <w:bCs/>
          <w:sz w:val="21"/>
          <w:szCs w:val="21"/>
        </w:rPr>
        <w:t>、股本</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4"/>
        <w:gridCol w:w="1208"/>
        <w:gridCol w:w="1184"/>
        <w:gridCol w:w="1197"/>
        <w:gridCol w:w="1195"/>
        <w:gridCol w:w="1197"/>
        <w:gridCol w:w="1184"/>
        <w:gridCol w:w="1207"/>
      </w:tblGrid>
      <w:tr>
        <w:trPr>
          <w:trHeight w:val="205"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58"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58" w:type="dxa"/>
            <w:gridSpan w:val="5"/>
            <w:vMerge/>
            <w:tcBorders>
              <w:left w:val="single" w:sz="4" w:space="0" w:color="000000"/>
              <w:bottom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4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0"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2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7"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22" w:right="0"/>
              <w:jc w:val="left"/>
              <w:rPr>
                <w:rFonts w:ascii="Times New Roman" w:hAnsi="Times New Roman" w:cs="Times New Roman" w:eastAsia="Times New Roman" w:hint="default"/>
                <w:sz w:val="18"/>
                <w:szCs w:val="18"/>
              </w:rPr>
            </w:pPr>
            <w:r>
              <w:rPr>
                <w:rFonts w:ascii="Times New Roman"/>
                <w:sz w:val="18"/>
              </w:rPr>
              <w:t>66,666,667.00</w:t>
            </w:r>
          </w:p>
        </w:tc>
        <w:tc>
          <w:tcPr>
            <w:tcW w:w="1184"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0" w:right="0"/>
              <w:jc w:val="left"/>
              <w:rPr>
                <w:rFonts w:ascii="Times New Roman" w:hAnsi="Times New Roman" w:cs="Times New Roman" w:eastAsia="Times New Roman" w:hint="default"/>
                <w:sz w:val="18"/>
                <w:szCs w:val="18"/>
              </w:rPr>
            </w:pPr>
            <w:r>
              <w:rPr>
                <w:rFonts w:ascii="Times New Roman"/>
                <w:sz w:val="18"/>
              </w:rPr>
              <w:t>66,666,667.00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spacing w:before="35"/>
        <w:ind w:left="154" w:right="0" w:firstLine="0"/>
        <w:jc w:val="left"/>
        <w:rPr>
          <w:rFonts w:ascii="宋体" w:hAnsi="宋体" w:cs="宋体" w:eastAsia="宋体" w:hint="default"/>
          <w:sz w:val="21"/>
          <w:szCs w:val="21"/>
        </w:rPr>
      </w:pPr>
      <w:bookmarkStart w:name="23、资本公积" w:id="276"/>
      <w:bookmarkEnd w:id="276"/>
      <w:r>
        <w:rPr/>
      </w:r>
      <w:r>
        <w:rPr>
          <w:rFonts w:ascii="Times New Roman" w:hAnsi="Times New Roman" w:cs="Times New Roman" w:eastAsia="Times New Roman" w:hint="default"/>
          <w:b/>
          <w:bCs/>
          <w:sz w:val="21"/>
          <w:szCs w:val="21"/>
        </w:rPr>
        <w:t>23</w:t>
      </w:r>
      <w:r>
        <w:rPr>
          <w:rFonts w:ascii="宋体" w:hAnsi="宋体" w:cs="宋体" w:eastAsia="宋体" w:hint="default"/>
          <w:b/>
          <w:bCs/>
          <w:sz w:val="21"/>
          <w:szCs w:val="21"/>
        </w:rPr>
        <w:t>、资本公积</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272,684,311.32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1,630,460.85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274,314,772.17</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5,434,308.33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1,634,532.75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7,068,841.08</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278,118,619.65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3,264,993.60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281,383,613.25</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pStyle w:val="BodyText"/>
        <w:spacing w:line="357" w:lineRule="auto" w:before="144"/>
        <w:ind w:right="1113" w:firstLine="420"/>
        <w:jc w:val="left"/>
      </w:pPr>
      <w:r>
        <w:rPr>
          <w:rFonts w:ascii="宋体" w:hAnsi="宋体" w:cs="宋体" w:eastAsia="宋体" w:hint="default"/>
        </w:rPr>
        <w:t>1)</w:t>
      </w:r>
      <w:r>
        <w:rPr>
          <w:rFonts w:ascii="宋体" w:hAnsi="宋体" w:cs="宋体" w:eastAsia="宋体" w:hint="default"/>
          <w:spacing w:val="-21"/>
        </w:rPr>
        <w:t> </w:t>
      </w:r>
      <w:r>
        <w:rPr/>
        <w:t>股本溢价增加</w:t>
      </w:r>
      <w:r>
        <w:rPr>
          <w:rFonts w:ascii="宋体" w:hAnsi="宋体" w:cs="宋体" w:eastAsia="宋体" w:hint="default"/>
        </w:rPr>
        <w:t>1,168,954.62</w:t>
      </w:r>
      <w:r>
        <w:rPr/>
        <w:t>元，系公司对云马智慧公司增资金额小于享有的按照投资 比例计算享有的净资产份额确认资本公积。</w:t>
      </w:r>
    </w:p>
    <w:p>
      <w:pPr>
        <w:pStyle w:val="BodyText"/>
        <w:spacing w:line="357" w:lineRule="auto"/>
        <w:ind w:right="1133" w:firstLine="420"/>
        <w:jc w:val="left"/>
      </w:pPr>
      <w:r>
        <w:rPr>
          <w:spacing w:val="22"/>
        </w:rPr>
        <w:t>股本溢价增加</w:t>
      </w:r>
      <w:r>
        <w:rPr>
          <w:spacing w:val="-88"/>
        </w:rPr>
        <w:t> </w:t>
      </w:r>
      <w:r>
        <w:rPr>
          <w:rFonts w:ascii="宋体" w:hAnsi="宋体" w:cs="宋体" w:eastAsia="宋体" w:hint="default"/>
        </w:rPr>
        <w:t>461,506.23</w:t>
      </w:r>
      <w:r>
        <w:rPr>
          <w:rFonts w:ascii="宋体" w:hAnsi="宋体" w:cs="宋体" w:eastAsia="宋体" w:hint="default"/>
          <w:spacing w:val="-90"/>
        </w:rPr>
        <w:t> </w:t>
      </w:r>
      <w:r>
        <w:rPr>
          <w:spacing w:val="13"/>
        </w:rPr>
        <w:t>元，</w:t>
      </w:r>
      <w:r>
        <w:rPr>
          <w:spacing w:val="-91"/>
        </w:rPr>
        <w:t> </w:t>
      </w:r>
      <w:r>
        <w:rPr>
          <w:spacing w:val="25"/>
        </w:rPr>
        <w:t>系公司股份支付按照服务期摊销计入本期股本溢价</w:t>
      </w:r>
      <w:r>
        <w:rPr/>
        <w:t> </w:t>
      </w:r>
      <w:r>
        <w:rPr>
          <w:rFonts w:ascii="宋体" w:hAnsi="宋体" w:cs="宋体" w:eastAsia="宋体" w:hint="default"/>
        </w:rPr>
        <w:t>461,506.23</w:t>
      </w:r>
      <w:r>
        <w:rPr/>
        <w:t>元。</w:t>
      </w:r>
    </w:p>
    <w:p>
      <w:pPr>
        <w:pStyle w:val="BodyText"/>
        <w:spacing w:line="240" w:lineRule="auto"/>
        <w:ind w:left="574" w:right="0"/>
        <w:jc w:val="left"/>
      </w:pPr>
      <w:r>
        <w:rPr>
          <w:rFonts w:ascii="宋体" w:hAnsi="宋体" w:cs="宋体" w:eastAsia="宋体" w:hint="default"/>
        </w:rPr>
        <w:t>2)</w:t>
      </w:r>
      <w:r>
        <w:rPr>
          <w:rFonts w:ascii="宋体" w:hAnsi="宋体" w:cs="宋体" w:eastAsia="宋体" w:hint="default"/>
          <w:spacing w:val="39"/>
        </w:rPr>
        <w:t> </w:t>
      </w:r>
      <w:r>
        <w:rPr>
          <w:spacing w:val="28"/>
        </w:rPr>
        <w:t>其他资本公积增加</w:t>
      </w:r>
      <w:r>
        <w:rPr>
          <w:spacing w:val="-86"/>
        </w:rPr>
        <w:t> </w:t>
      </w:r>
      <w:r>
        <w:rPr>
          <w:rFonts w:ascii="宋体" w:hAnsi="宋体" w:cs="宋体" w:eastAsia="宋体" w:hint="default"/>
        </w:rPr>
        <w:t>1,634,532.75</w:t>
      </w:r>
      <w:r>
        <w:rPr>
          <w:rFonts w:ascii="宋体" w:hAnsi="宋体" w:cs="宋体" w:eastAsia="宋体" w:hint="default"/>
          <w:spacing w:val="-85"/>
        </w:rPr>
        <w:t> </w:t>
      </w:r>
      <w:r>
        <w:rPr>
          <w:spacing w:val="31"/>
        </w:rPr>
        <w:t>元，系本期授予员工股票期权确认资本公</w:t>
      </w:r>
      <w:r>
        <w:rPr>
          <w:spacing w:val="-87"/>
        </w:rPr>
        <w:t> </w:t>
      </w:r>
      <w:r>
        <w:rPr/>
        <w:t>积</w:t>
      </w:r>
    </w:p>
    <w:p>
      <w:pPr>
        <w:pStyle w:val="BodyText"/>
        <w:spacing w:line="240" w:lineRule="auto" w:before="154"/>
        <w:ind w:right="0"/>
        <w:jc w:val="left"/>
      </w:pPr>
      <w:r>
        <w:rPr>
          <w:rFonts w:ascii="宋体" w:hAnsi="宋体" w:cs="宋体" w:eastAsia="宋体" w:hint="default"/>
        </w:rPr>
        <w:t>1,634,532.75</w:t>
      </w:r>
      <w:r>
        <w:rPr/>
        <w:t>元。</w:t>
      </w:r>
    </w:p>
    <w:p>
      <w:pPr>
        <w:spacing w:line="240" w:lineRule="auto" w:before="8"/>
        <w:rPr>
          <w:rFonts w:ascii="宋体" w:hAnsi="宋体" w:cs="宋体" w:eastAsia="宋体" w:hint="default"/>
          <w:sz w:val="30"/>
          <w:szCs w:val="30"/>
        </w:rPr>
      </w:pPr>
    </w:p>
    <w:p>
      <w:pPr>
        <w:spacing w:before="0"/>
        <w:ind w:left="154" w:right="0" w:firstLine="0"/>
        <w:jc w:val="left"/>
        <w:rPr>
          <w:rFonts w:ascii="宋体" w:hAnsi="宋体" w:cs="宋体" w:eastAsia="宋体" w:hint="default"/>
          <w:sz w:val="21"/>
          <w:szCs w:val="21"/>
        </w:rPr>
      </w:pPr>
      <w:bookmarkStart w:name="24、盈余公积" w:id="277"/>
      <w:bookmarkEnd w:id="277"/>
      <w:r>
        <w:rPr/>
      </w:r>
      <w:r>
        <w:rPr>
          <w:rFonts w:ascii="Times New Roman" w:hAnsi="Times New Roman" w:cs="Times New Roman" w:eastAsia="Times New Roman" w:hint="default"/>
          <w:b/>
          <w:bCs/>
          <w:sz w:val="21"/>
          <w:szCs w:val="21"/>
        </w:rPr>
        <w:t>24</w:t>
      </w:r>
      <w:r>
        <w:rPr>
          <w:rFonts w:ascii="宋体" w:hAnsi="宋体" w:cs="宋体" w:eastAsia="宋体" w:hint="default"/>
          <w:b/>
          <w:bCs/>
          <w:sz w:val="21"/>
          <w:szCs w:val="21"/>
        </w:rPr>
        <w:t>、盈余公积</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20,073,387.01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5,428,852.12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25,502,239.13</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20,073,387.01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5,428,852.12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25,502,239.13</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盈余公积说明，包括本期增减变动情况、变动原因说明：</w:t>
      </w:r>
    </w:p>
    <w:p>
      <w:pPr>
        <w:pStyle w:val="BodyText"/>
        <w:spacing w:line="357" w:lineRule="auto" w:before="145"/>
        <w:ind w:right="0" w:firstLine="420"/>
        <w:jc w:val="left"/>
      </w:pPr>
      <w:r>
        <w:rPr>
          <w:spacing w:val="-1"/>
        </w:rPr>
        <w:t>本期盈余公积变动系根据公司法及公司章程的规定，按母公司当期实现净利润提取</w:t>
      </w:r>
      <w:r>
        <w:rPr>
          <w:rFonts w:ascii="宋体" w:hAnsi="宋体" w:cs="宋体" w:eastAsia="宋体" w:hint="default"/>
          <w:spacing w:val="-1"/>
        </w:rPr>
        <w:t>10%</w:t>
      </w:r>
      <w:r>
        <w:rPr>
          <w:spacing w:val="-1"/>
        </w:rPr>
        <w:t>的</w:t>
      </w:r>
      <w:r>
        <w:rPr/>
        <w:t> 法定盈余公积所致。</w:t>
      </w:r>
    </w:p>
    <w:p>
      <w:pPr>
        <w:spacing w:line="240" w:lineRule="auto" w:before="8"/>
        <w:rPr>
          <w:rFonts w:ascii="宋体" w:hAnsi="宋体" w:cs="宋体" w:eastAsia="宋体" w:hint="default"/>
          <w:sz w:val="21"/>
          <w:szCs w:val="21"/>
        </w:rPr>
      </w:pPr>
    </w:p>
    <w:p>
      <w:pPr>
        <w:spacing w:before="0"/>
        <w:ind w:left="154" w:right="0" w:firstLine="0"/>
        <w:jc w:val="left"/>
        <w:rPr>
          <w:rFonts w:ascii="宋体" w:hAnsi="宋体" w:cs="宋体" w:eastAsia="宋体" w:hint="default"/>
          <w:sz w:val="21"/>
          <w:szCs w:val="21"/>
        </w:rPr>
      </w:pPr>
      <w:bookmarkStart w:name="25、未分配利润" w:id="278"/>
      <w:bookmarkEnd w:id="278"/>
      <w:r>
        <w:rPr/>
      </w:r>
      <w:r>
        <w:rPr>
          <w:rFonts w:ascii="Times New Roman" w:hAnsi="Times New Roman" w:cs="Times New Roman" w:eastAsia="Times New Roman" w:hint="default"/>
          <w:b/>
          <w:bCs/>
          <w:sz w:val="21"/>
          <w:szCs w:val="21"/>
        </w:rPr>
        <w:t>25</w:t>
      </w:r>
      <w:r>
        <w:rPr>
          <w:rFonts w:ascii="宋体" w:hAnsi="宋体" w:cs="宋体" w:eastAsia="宋体" w:hint="default"/>
          <w:b/>
          <w:bCs/>
          <w:sz w:val="21"/>
          <w:szCs w:val="21"/>
        </w:rPr>
        <w:t>、未分配利润</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179,547,380.38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141,968,789.54</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50,353,782.16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41,968,856.74</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5,428,852.12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4,390,265.90</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13,333,333.40</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211,138,977.02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179,547,380.38</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调整期初未分配利润明细：</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、由于《企业会计准则》及其相关新规定进行追溯调整，影响期初未分配利润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、由于会计政策变更，影响期初未分配利润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before="102"/>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、由于重大会计差错更正，影响期初未分配利润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before="103"/>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、由于同一控制导致的合并范围变更，影响期初未分配利润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spacing w:before="102"/>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、其他调整合计影响期初未分配利润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240" w:lineRule="auto" w:before="9"/>
        <w:rPr>
          <w:rFonts w:ascii="宋体" w:hAnsi="宋体" w:cs="宋体" w:eastAsia="宋体" w:hint="default"/>
          <w:sz w:val="25"/>
          <w:szCs w:val="25"/>
        </w:rPr>
      </w:pPr>
    </w:p>
    <w:p>
      <w:pPr>
        <w:spacing w:before="0"/>
        <w:ind w:left="154" w:right="0" w:firstLine="0"/>
        <w:jc w:val="left"/>
        <w:rPr>
          <w:rFonts w:ascii="宋体" w:hAnsi="宋体" w:cs="宋体" w:eastAsia="宋体" w:hint="default"/>
          <w:sz w:val="21"/>
          <w:szCs w:val="21"/>
        </w:rPr>
      </w:pPr>
      <w:bookmarkStart w:name="26、营业收入和营业成本" w:id="279"/>
      <w:bookmarkEnd w:id="279"/>
      <w:r>
        <w:rPr/>
      </w:r>
      <w:r>
        <w:rPr>
          <w:rFonts w:ascii="Times New Roman" w:hAnsi="Times New Roman" w:cs="Times New Roman" w:eastAsia="Times New Roman" w:hint="default"/>
          <w:b/>
          <w:bCs/>
          <w:sz w:val="21"/>
          <w:szCs w:val="21"/>
        </w:rPr>
        <w:t>26</w:t>
      </w:r>
      <w:r>
        <w:rPr>
          <w:rFonts w:ascii="宋体" w:hAnsi="宋体" w:cs="宋体" w:eastAsia="宋体" w:hint="default"/>
          <w:b/>
          <w:bCs/>
          <w:sz w:val="21"/>
          <w:szCs w:val="21"/>
        </w:rPr>
        <w:t>、营业收入和营业成本</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01"/>
        <w:gridCol w:w="1917"/>
        <w:gridCol w:w="1914"/>
        <w:gridCol w:w="1914"/>
        <w:gridCol w:w="1914"/>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6"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566,836,544.20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341,344,452.66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448,922,268.58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271,544,248.30</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566,836,544.20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341,344,452.66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448,922,268.58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271,544,248.30</w:t>
            </w: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bookmarkStart w:name="27、税金及附加" w:id="280"/>
      <w:bookmarkEnd w:id="280"/>
      <w:r>
        <w:rPr/>
      </w:r>
      <w:r>
        <w:rPr>
          <w:rFonts w:ascii="Times New Roman" w:hAnsi="Times New Roman" w:cs="Times New Roman" w:eastAsia="Times New Roman" w:hint="default"/>
          <w:b/>
          <w:bCs/>
          <w:sz w:val="21"/>
          <w:szCs w:val="21"/>
        </w:rPr>
        <w:t>27</w:t>
      </w:r>
      <w:r>
        <w:rPr>
          <w:rFonts w:ascii="宋体" w:hAnsi="宋体" w:cs="宋体" w:eastAsia="宋体" w:hint="default"/>
          <w:b/>
          <w:bCs/>
          <w:sz w:val="21"/>
          <w:szCs w:val="21"/>
        </w:rPr>
        <w:t>、税金及附加</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2,088,783.30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1,933,175.46</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895,194.86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828,811.77</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17,565.08</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104.79</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6,660.00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144,396.72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271,871.71</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596,168.87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550,102.60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3,748,873.62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3,584,681.54</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54" w:right="0" w:firstLine="0"/>
        <w:jc w:val="left"/>
        <w:rPr>
          <w:rFonts w:ascii="宋体" w:hAnsi="宋体" w:cs="宋体" w:eastAsia="宋体" w:hint="default"/>
          <w:sz w:val="21"/>
          <w:szCs w:val="21"/>
        </w:rPr>
      </w:pPr>
      <w:bookmarkStart w:name="28、销售费用" w:id="281"/>
      <w:bookmarkEnd w:id="281"/>
      <w:r>
        <w:rPr/>
      </w:r>
      <w:r>
        <w:rPr>
          <w:rFonts w:ascii="Times New Roman" w:hAnsi="Times New Roman" w:cs="Times New Roman" w:eastAsia="Times New Roman" w:hint="default"/>
          <w:b/>
          <w:bCs/>
          <w:sz w:val="21"/>
          <w:szCs w:val="21"/>
        </w:rPr>
        <w:t>28</w:t>
      </w:r>
      <w:r>
        <w:rPr>
          <w:rFonts w:ascii="宋体" w:hAnsi="宋体" w:cs="宋体" w:eastAsia="宋体" w:hint="default"/>
          <w:b/>
          <w:bCs/>
          <w:sz w:val="21"/>
          <w:szCs w:val="21"/>
        </w:rPr>
        <w:t>、销售费用</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29,155,807.03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20,008,844.53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5,270,656.47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4,097,465.63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差旅交通费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9,146,789.49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6,921,710.27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4,239,449.97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3,226,709.78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房租物管费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1,680,393.67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1,452,957.83</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物料消耗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353,944.05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739,287.50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折旧费与摊销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806,106.72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720,616.44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1,806,168.15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941,399.75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52,459,315.55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38,108,991.73</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54" w:right="0" w:firstLine="0"/>
        <w:jc w:val="left"/>
        <w:rPr>
          <w:rFonts w:ascii="宋体" w:hAnsi="宋体" w:cs="宋体" w:eastAsia="宋体" w:hint="default"/>
          <w:sz w:val="21"/>
          <w:szCs w:val="21"/>
        </w:rPr>
      </w:pPr>
      <w:bookmarkStart w:name="29、管理费用" w:id="282"/>
      <w:bookmarkEnd w:id="282"/>
      <w:r>
        <w:rPr/>
      </w:r>
      <w:r>
        <w:rPr>
          <w:rFonts w:ascii="Times New Roman" w:hAnsi="Times New Roman" w:cs="Times New Roman" w:eastAsia="Times New Roman" w:hint="default"/>
          <w:b/>
          <w:bCs/>
          <w:sz w:val="21"/>
          <w:szCs w:val="21"/>
        </w:rPr>
        <w:t>29</w:t>
      </w:r>
      <w:r>
        <w:rPr>
          <w:rFonts w:ascii="宋体" w:hAnsi="宋体" w:cs="宋体" w:eastAsia="宋体" w:hint="default"/>
          <w:b/>
          <w:bCs/>
          <w:sz w:val="21"/>
          <w:szCs w:val="21"/>
        </w:rPr>
        <w:t>、管理费用</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22,779,802.90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19,102,934.10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5,557,748.61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6,413,992.54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房租物管费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3,417,352.58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2,517,139.43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折旧费与摊销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2,771,298.79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2,178,141.26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咨询、中介费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3,646,949.66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2,110,793.45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差旅交通费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4,788,739.26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3,533,910.16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3,583,780.52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3,213,491.97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股份支付</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2,096,038.98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1,080,587.21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2,463,128.17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2,240,807.94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51,104,839.47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42,391,798.06</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54" w:right="0" w:firstLine="0"/>
        <w:jc w:val="left"/>
        <w:rPr>
          <w:rFonts w:ascii="宋体" w:hAnsi="宋体" w:cs="宋体" w:eastAsia="宋体" w:hint="default"/>
          <w:sz w:val="21"/>
          <w:szCs w:val="21"/>
        </w:rPr>
      </w:pPr>
      <w:bookmarkStart w:name="30、研发费用" w:id="283"/>
      <w:bookmarkEnd w:id="283"/>
      <w:r>
        <w:rPr/>
      </w:r>
      <w:r>
        <w:rPr>
          <w:rFonts w:ascii="Times New Roman" w:hAnsi="Times New Roman" w:cs="Times New Roman" w:eastAsia="Times New Roman" w:hint="default"/>
          <w:b/>
          <w:bCs/>
          <w:sz w:val="21"/>
          <w:szCs w:val="21"/>
        </w:rPr>
        <w:t>30</w:t>
      </w:r>
      <w:r>
        <w:rPr>
          <w:rFonts w:ascii="宋体" w:hAnsi="宋体" w:cs="宋体" w:eastAsia="宋体" w:hint="default"/>
          <w:b/>
          <w:bCs/>
          <w:sz w:val="21"/>
          <w:szCs w:val="21"/>
        </w:rPr>
        <w:t>、研发费用</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56,210,576.28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43,175,177.19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委外研发费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4,837,717.13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4,133,658.13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差旅交通费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3,301,789.04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2,784,424.51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折旧费与摊销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2,516,727.19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1,889,578.79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2,061,213.40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2,173,435.35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房租物管费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471,821.31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352,905.44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物料消耗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429,855.11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4,540.00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产品测试费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380,381.30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277,690.54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178,071.01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614,286.86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70,388,151.77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55,405,696.81</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spacing w:before="35"/>
        <w:ind w:left="154" w:right="0" w:firstLine="0"/>
        <w:jc w:val="left"/>
        <w:rPr>
          <w:rFonts w:ascii="宋体" w:hAnsi="宋体" w:cs="宋体" w:eastAsia="宋体" w:hint="default"/>
          <w:sz w:val="21"/>
          <w:szCs w:val="21"/>
        </w:rPr>
      </w:pPr>
      <w:bookmarkStart w:name="31、财务费用" w:id="284"/>
      <w:bookmarkEnd w:id="284"/>
      <w:r>
        <w:rPr/>
      </w:r>
      <w:r>
        <w:rPr>
          <w:rFonts w:ascii="Times New Roman" w:hAnsi="Times New Roman" w:cs="Times New Roman" w:eastAsia="Times New Roman" w:hint="default"/>
          <w:b/>
          <w:bCs/>
          <w:sz w:val="21"/>
          <w:szCs w:val="21"/>
        </w:rPr>
        <w:t>31</w:t>
      </w:r>
      <w:r>
        <w:rPr>
          <w:rFonts w:ascii="宋体" w:hAnsi="宋体" w:cs="宋体" w:eastAsia="宋体" w:hint="default"/>
          <w:b/>
          <w:bCs/>
          <w:sz w:val="21"/>
          <w:szCs w:val="21"/>
        </w:rPr>
        <w:t>、财务费用</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6,733,528.25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3,347,550.81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612,772.87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1,097,473.31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206,431.41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136,977.44</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6,327,186.79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2,387,054.94</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spacing w:before="0"/>
        <w:ind w:left="154" w:right="0" w:firstLine="0"/>
        <w:jc w:val="left"/>
        <w:rPr>
          <w:rFonts w:ascii="宋体" w:hAnsi="宋体" w:cs="宋体" w:eastAsia="宋体" w:hint="default"/>
          <w:sz w:val="21"/>
          <w:szCs w:val="21"/>
        </w:rPr>
      </w:pPr>
      <w:bookmarkStart w:name="32、资产减值损失" w:id="285"/>
      <w:bookmarkEnd w:id="285"/>
      <w:r>
        <w:rPr/>
      </w:r>
      <w:r>
        <w:rPr>
          <w:rFonts w:ascii="Times New Roman" w:hAnsi="Times New Roman" w:cs="Times New Roman" w:eastAsia="Times New Roman" w:hint="default"/>
          <w:b/>
          <w:bCs/>
          <w:sz w:val="21"/>
          <w:szCs w:val="21"/>
        </w:rPr>
        <w:t>32</w:t>
      </w:r>
      <w:r>
        <w:rPr>
          <w:rFonts w:ascii="宋体" w:hAnsi="宋体" w:cs="宋体" w:eastAsia="宋体" w:hint="default"/>
          <w:b/>
          <w:bCs/>
          <w:sz w:val="21"/>
          <w:szCs w:val="21"/>
        </w:rPr>
        <w:t>、资产减值损失</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13,795,266.52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11,817,162.80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197,766.88</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13,993,033.40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11,817,162.80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spacing w:before="0"/>
        <w:ind w:left="154" w:right="0" w:firstLine="0"/>
        <w:jc w:val="left"/>
        <w:rPr>
          <w:rFonts w:ascii="宋体" w:hAnsi="宋体" w:cs="宋体" w:eastAsia="宋体" w:hint="default"/>
          <w:sz w:val="21"/>
          <w:szCs w:val="21"/>
        </w:rPr>
      </w:pPr>
      <w:bookmarkStart w:name="33、其他收益" w:id="286"/>
      <w:bookmarkEnd w:id="286"/>
      <w:r>
        <w:rPr/>
      </w:r>
      <w:r>
        <w:rPr>
          <w:rFonts w:ascii="Times New Roman" w:hAnsi="Times New Roman" w:cs="Times New Roman" w:eastAsia="Times New Roman" w:hint="default"/>
          <w:b/>
          <w:bCs/>
          <w:sz w:val="21"/>
          <w:szCs w:val="21"/>
        </w:rPr>
        <w:t>33</w:t>
      </w:r>
      <w:r>
        <w:rPr>
          <w:rFonts w:ascii="宋体" w:hAnsi="宋体" w:cs="宋体" w:eastAsia="宋体" w:hint="default"/>
          <w:b/>
          <w:bCs/>
          <w:sz w:val="21"/>
          <w:szCs w:val="21"/>
        </w:rPr>
        <w:t>、其他收益</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与收益相关的政府补助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21,832,874.34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16,748,920.67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21,832,874.34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16,748,920.67</w:t>
            </w: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bookmarkStart w:name="34、投资收益" w:id="287"/>
      <w:bookmarkEnd w:id="287"/>
      <w:r>
        <w:rPr/>
      </w:r>
      <w:r>
        <w:rPr>
          <w:rFonts w:ascii="Times New Roman" w:hAnsi="Times New Roman" w:cs="Times New Roman" w:eastAsia="Times New Roman" w:hint="default"/>
          <w:b/>
          <w:bCs/>
          <w:sz w:val="21"/>
          <w:szCs w:val="21"/>
        </w:rPr>
        <w:t>34</w:t>
      </w:r>
      <w:r>
        <w:rPr>
          <w:rFonts w:ascii="宋体" w:hAnsi="宋体" w:cs="宋体" w:eastAsia="宋体" w:hint="default"/>
          <w:b/>
          <w:bCs/>
          <w:sz w:val="21"/>
          <w:szCs w:val="21"/>
        </w:rPr>
        <w:t>、投资收益</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460"/>
        <w:gridCol w:w="3191"/>
        <w:gridCol w:w="2918"/>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779,385.69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398,827.37</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银行理财收益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2,418,635.07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1,737,868.90</w:t>
            </w:r>
          </w:p>
        </w:tc>
      </w:tr>
      <w:tr>
        <w:trPr>
          <w:trHeight w:val="403"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3,198,020.76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2,136,696.27</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spacing w:before="0"/>
        <w:ind w:left="154" w:right="0" w:firstLine="0"/>
        <w:jc w:val="left"/>
        <w:rPr>
          <w:rFonts w:ascii="宋体" w:hAnsi="宋体" w:cs="宋体" w:eastAsia="宋体" w:hint="default"/>
          <w:sz w:val="21"/>
          <w:szCs w:val="21"/>
        </w:rPr>
      </w:pPr>
      <w:bookmarkStart w:name="35、资产处置收益" w:id="288"/>
      <w:bookmarkEnd w:id="288"/>
      <w:r>
        <w:rPr/>
      </w:r>
      <w:r>
        <w:rPr>
          <w:rFonts w:ascii="Times New Roman" w:hAnsi="Times New Roman" w:cs="Times New Roman" w:eastAsia="Times New Roman" w:hint="default"/>
          <w:b/>
          <w:bCs/>
          <w:sz w:val="21"/>
          <w:szCs w:val="21"/>
        </w:rPr>
        <w:t>35</w:t>
      </w:r>
      <w:r>
        <w:rPr>
          <w:rFonts w:ascii="宋体" w:hAnsi="宋体" w:cs="宋体" w:eastAsia="宋体" w:hint="default"/>
          <w:b/>
          <w:bCs/>
          <w:sz w:val="21"/>
          <w:szCs w:val="21"/>
        </w:rPr>
        <w:t>、资产处置收益</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固定资产处置收益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226,608.74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固定资产处置损失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-489.03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-2,614.51</w:t>
            </w:r>
            <w:r>
              <w:rPr>
                <w:rFonts w:ascii="Times New Roman"/>
                <w:sz w:val="18"/>
              </w:rPr>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226,119.71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1,085.49</w:t>
            </w: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bookmarkStart w:name="36、营业外收入" w:id="289"/>
      <w:bookmarkEnd w:id="289"/>
      <w:r>
        <w:rPr/>
      </w:r>
      <w:r>
        <w:rPr>
          <w:rFonts w:ascii="Times New Roman" w:hAnsi="Times New Roman" w:cs="Times New Roman" w:eastAsia="Times New Roman" w:hint="default"/>
          <w:b/>
          <w:bCs/>
          <w:sz w:val="21"/>
          <w:szCs w:val="21"/>
        </w:rPr>
        <w:t>36</w:t>
      </w:r>
      <w:r>
        <w:rPr>
          <w:rFonts w:ascii="宋体" w:hAnsi="宋体" w:cs="宋体" w:eastAsia="宋体" w:hint="default"/>
          <w:b/>
          <w:bCs/>
          <w:sz w:val="21"/>
          <w:szCs w:val="21"/>
        </w:rPr>
        <w:t>、营业外收入</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714"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无法支付的款项</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163,100.00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163,100.00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15,036.33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14,388.74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15,036.33</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178,136.33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14,388.74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178,136.33</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计入当期损益的政府补助：</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3"/>
        <w:gridCol w:w="1051"/>
      </w:tblGrid>
      <w:tr>
        <w:trPr>
          <w:trHeight w:val="714"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5" w:right="77"/>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5" w:right="76"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5" w:right="75"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76" w:right="38"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54" w:right="0" w:firstLine="0"/>
        <w:jc w:val="left"/>
        <w:rPr>
          <w:rFonts w:ascii="宋体" w:hAnsi="宋体" w:cs="宋体" w:eastAsia="宋体" w:hint="default"/>
          <w:sz w:val="21"/>
          <w:szCs w:val="21"/>
        </w:rPr>
      </w:pPr>
      <w:bookmarkStart w:name="37、营业外支出" w:id="290"/>
      <w:bookmarkEnd w:id="290"/>
      <w:r>
        <w:rPr/>
      </w:r>
      <w:r>
        <w:rPr>
          <w:rFonts w:ascii="Times New Roman" w:hAnsi="Times New Roman" w:cs="Times New Roman" w:eastAsia="Times New Roman" w:hint="default"/>
          <w:b/>
          <w:bCs/>
          <w:sz w:val="21"/>
          <w:szCs w:val="21"/>
        </w:rPr>
        <w:t>37</w:t>
      </w:r>
      <w:r>
        <w:rPr>
          <w:rFonts w:ascii="宋体" w:hAnsi="宋体" w:cs="宋体" w:eastAsia="宋体" w:hint="default"/>
          <w:b/>
          <w:bCs/>
          <w:sz w:val="21"/>
          <w:szCs w:val="21"/>
        </w:rPr>
        <w:t>、营业外支出</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3,350,000.00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3,350,000.00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地方水利建设基金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34,084.55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56,992.94</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17,583.43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8,923.46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17,583.43</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3,401,667.98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65,916.40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3,367,583.43</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54" w:right="0" w:firstLine="0"/>
        <w:jc w:val="left"/>
        <w:rPr>
          <w:rFonts w:ascii="宋体" w:hAnsi="宋体" w:cs="宋体" w:eastAsia="宋体" w:hint="default"/>
          <w:sz w:val="21"/>
          <w:szCs w:val="21"/>
        </w:rPr>
      </w:pPr>
      <w:bookmarkStart w:name="38、所得税费用" w:id="291"/>
      <w:bookmarkEnd w:id="291"/>
      <w:r>
        <w:rPr/>
      </w:r>
      <w:r>
        <w:rPr>
          <w:rFonts w:ascii="Times New Roman" w:hAnsi="Times New Roman" w:cs="Times New Roman" w:eastAsia="Times New Roman" w:hint="default"/>
          <w:b/>
          <w:bCs/>
          <w:sz w:val="21"/>
          <w:szCs w:val="21"/>
        </w:rPr>
        <w:t>38</w:t>
      </w:r>
      <w:r>
        <w:rPr>
          <w:rFonts w:ascii="宋体" w:hAnsi="宋体" w:cs="宋体" w:eastAsia="宋体" w:hint="default"/>
          <w:b/>
          <w:bCs/>
          <w:sz w:val="21"/>
          <w:szCs w:val="21"/>
        </w:rPr>
        <w:t>、所得税费用</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bookmarkStart w:name="（1）所得税费用表" w:id="292"/>
      <w:bookmarkEnd w:id="29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）所得税费用表</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3,625,813.51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3,061,804.37</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-4,254,721.45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-1,807,782.79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-628,907.94</w:t>
            </w:r>
            <w:r>
              <w:rPr>
                <w:rFonts w:ascii="Times New Roman"/>
                <w:sz w:val="18"/>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1,254,021.58</w:t>
            </w: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bookmarkStart w:name="（2）会计利润与所得税费用调整过程" w:id="293"/>
      <w:bookmarkEnd w:id="29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）会计利润与所得税费用调整过程</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57"/>
        <w:gridCol w:w="4800"/>
      </w:tblGrid>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49,504,174.10</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4,950,417.41</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612,511.66</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323,568.88</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-1,703,453.07</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1,214,338.97</w:t>
            </w:r>
          </w:p>
        </w:tc>
      </w:tr>
      <w:tr>
        <w:trPr>
          <w:trHeight w:val="714"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-842,302.68</w:t>
            </w:r>
            <w:r>
              <w:rPr>
                <w:rFonts w:ascii="Times New Roman"/>
                <w:sz w:val="18"/>
              </w:rPr>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研发费加计扣除</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-5,183,989.11</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-628,907.94</w:t>
            </w:r>
            <w:r>
              <w:rPr>
                <w:rFonts w:ascii="Times New Roman"/>
                <w:sz w:val="18"/>
              </w:rPr>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54" w:right="0" w:firstLine="0"/>
        <w:jc w:val="left"/>
        <w:rPr>
          <w:rFonts w:ascii="宋体" w:hAnsi="宋体" w:cs="宋体" w:eastAsia="宋体" w:hint="default"/>
          <w:sz w:val="21"/>
          <w:szCs w:val="21"/>
        </w:rPr>
      </w:pPr>
      <w:bookmarkStart w:name="39、现金流量表项目" w:id="294"/>
      <w:bookmarkEnd w:id="294"/>
      <w:r>
        <w:rPr/>
      </w:r>
      <w:r>
        <w:rPr>
          <w:rFonts w:ascii="Times New Roman" w:hAnsi="Times New Roman" w:cs="Times New Roman" w:eastAsia="Times New Roman" w:hint="default"/>
          <w:b/>
          <w:bCs/>
          <w:sz w:val="21"/>
          <w:szCs w:val="21"/>
        </w:rPr>
        <w:t>39</w:t>
      </w:r>
      <w:r>
        <w:rPr>
          <w:rFonts w:ascii="宋体" w:hAnsi="宋体" w:cs="宋体" w:eastAsia="宋体" w:hint="default"/>
          <w:b/>
          <w:bCs/>
          <w:sz w:val="21"/>
          <w:szCs w:val="21"/>
        </w:rPr>
        <w:t>、现金流量表项目</w:t>
      </w:r>
      <w:r>
        <w:rPr>
          <w:rFonts w:ascii="宋体" w:hAnsi="宋体" w:cs="宋体" w:eastAsia="宋体" w:hint="default"/>
          <w:sz w:val="21"/>
          <w:szCs w:val="21"/>
        </w:rPr>
      </w:r>
    </w:p>
    <w:p>
      <w:pPr>
        <w:spacing w:line="240" w:lineRule="auto" w:before="9"/>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bookmarkStart w:name="（1）收到的其他与经营活动有关的现金" w:id="295"/>
      <w:bookmarkEnd w:id="29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）收到的其他与经营活动有关的现金</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收回票据保证金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25,478,584.96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53,636,259.04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往来款净额</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2,201,090.46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3,414,531.98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货款解冻收回</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5,761,896.01</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收回押金保证金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20,343,187.40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12,751,565.04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3,498,183.80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2,090,909.70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4,327,533.14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313,723.31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479,961.37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14,388.74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62,090,437.14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72,221,377.81</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收到的其他与经营活动有关的现金说明：</w:t>
      </w:r>
    </w:p>
    <w:p>
      <w:pPr>
        <w:spacing w:line="240" w:lineRule="auto" w:before="11"/>
        <w:rPr>
          <w:rFonts w:ascii="宋体" w:hAnsi="宋体" w:cs="宋体" w:eastAsia="宋体" w:hint="default"/>
          <w:sz w:val="26"/>
          <w:szCs w:val="26"/>
        </w:rPr>
      </w:pPr>
    </w:p>
    <w:p>
      <w:pPr>
        <w:spacing w:before="0"/>
        <w:ind w:left="154" w:right="0" w:firstLine="0"/>
        <w:jc w:val="left"/>
        <w:rPr>
          <w:rFonts w:ascii="宋体" w:hAnsi="宋体" w:cs="宋体" w:eastAsia="宋体" w:hint="default"/>
          <w:sz w:val="21"/>
          <w:szCs w:val="21"/>
        </w:rPr>
      </w:pPr>
      <w:bookmarkStart w:name="（2）支付的其他与经营活动有关的现金" w:id="296"/>
      <w:bookmarkEnd w:id="29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）支付的其他与经营活动有关的现金</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支付票据保证金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17,749,390.92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47,911,313.81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支付押金保证金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18,242,089.85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24,801,368.67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付现研发支出</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11,660,848.30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10,724,537.03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付现其他经营管理费用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45,989,464.51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42,081,508.36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往来款净额</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1,220,996.70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6,267,602.00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3,350,000.00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支付宝备付金归还</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5,211,172.77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696,927.23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1,007,466.28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98,909,717.51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138,004,968.92</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支付的其他与经营活动有关的现金说明：</w:t>
      </w:r>
    </w:p>
    <w:p>
      <w:pPr>
        <w:spacing w:line="240" w:lineRule="auto" w:before="11"/>
        <w:rPr>
          <w:rFonts w:ascii="宋体" w:hAnsi="宋体" w:cs="宋体" w:eastAsia="宋体" w:hint="default"/>
          <w:sz w:val="26"/>
          <w:szCs w:val="26"/>
        </w:rPr>
      </w:pPr>
    </w:p>
    <w:p>
      <w:pPr>
        <w:spacing w:before="0"/>
        <w:ind w:left="154" w:right="0" w:firstLine="0"/>
        <w:jc w:val="left"/>
        <w:rPr>
          <w:rFonts w:ascii="宋体" w:hAnsi="宋体" w:cs="宋体" w:eastAsia="宋体" w:hint="default"/>
          <w:sz w:val="21"/>
          <w:szCs w:val="21"/>
        </w:rPr>
      </w:pPr>
      <w:bookmarkStart w:name="（3）收到的其他与投资活动有关的现金" w:id="297"/>
      <w:bookmarkEnd w:id="29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）收到的其他与投资活动有关的现金</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赎回银行理财产品</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299,000,000.00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299,000,000.00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145,000,000.00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收到的其他与投资活动有关的现金说明：</w:t>
      </w:r>
    </w:p>
    <w:p>
      <w:pPr>
        <w:spacing w:line="240" w:lineRule="auto" w:before="11"/>
        <w:rPr>
          <w:rFonts w:ascii="宋体" w:hAnsi="宋体" w:cs="宋体" w:eastAsia="宋体" w:hint="default"/>
          <w:sz w:val="26"/>
          <w:szCs w:val="26"/>
        </w:rPr>
      </w:pPr>
    </w:p>
    <w:p>
      <w:pPr>
        <w:spacing w:before="0"/>
        <w:ind w:left="154" w:right="0" w:firstLine="0"/>
        <w:jc w:val="left"/>
        <w:rPr>
          <w:rFonts w:ascii="宋体" w:hAnsi="宋体" w:cs="宋体" w:eastAsia="宋体" w:hint="default"/>
          <w:sz w:val="21"/>
          <w:szCs w:val="21"/>
        </w:rPr>
      </w:pPr>
      <w:bookmarkStart w:name="（4）支付的其他与投资活动有关的现金" w:id="298"/>
      <w:bookmarkEnd w:id="29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）支付的其他与投资活动有关的现金</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购买银行理财产品</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299,000,000.00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299,000,000.00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195,000,000.00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支付的其他与投资活动有关的现金说明：</w:t>
      </w:r>
    </w:p>
    <w:p>
      <w:pPr>
        <w:spacing w:line="240" w:lineRule="auto" w:before="11"/>
        <w:rPr>
          <w:rFonts w:ascii="宋体" w:hAnsi="宋体" w:cs="宋体" w:eastAsia="宋体" w:hint="default"/>
          <w:sz w:val="26"/>
          <w:szCs w:val="26"/>
        </w:rPr>
      </w:pPr>
    </w:p>
    <w:p>
      <w:pPr>
        <w:spacing w:before="0"/>
        <w:ind w:left="154" w:right="0" w:firstLine="0"/>
        <w:jc w:val="left"/>
        <w:rPr>
          <w:rFonts w:ascii="宋体" w:hAnsi="宋体" w:cs="宋体" w:eastAsia="宋体" w:hint="default"/>
          <w:sz w:val="21"/>
          <w:szCs w:val="21"/>
        </w:rPr>
      </w:pPr>
      <w:bookmarkStart w:name="（5）收到的其他与筹资活动有关的现金" w:id="299"/>
      <w:bookmarkEnd w:id="29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）收到的其他与筹资活动有关的现金</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收回用于借款质押的定期存款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15,000,000.00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收到的其他与筹资活动有关的现金说明：</w:t>
      </w:r>
    </w:p>
    <w:p>
      <w:pPr>
        <w:spacing w:line="240" w:lineRule="auto" w:before="10"/>
        <w:rPr>
          <w:rFonts w:ascii="宋体" w:hAnsi="宋体" w:cs="宋体" w:eastAsia="宋体" w:hint="default"/>
          <w:sz w:val="26"/>
          <w:szCs w:val="26"/>
        </w:rPr>
      </w:pPr>
    </w:p>
    <w:p>
      <w:pPr>
        <w:spacing w:before="0"/>
        <w:ind w:left="154" w:right="0" w:firstLine="0"/>
        <w:jc w:val="left"/>
        <w:rPr>
          <w:rFonts w:ascii="宋体" w:hAnsi="宋体" w:cs="宋体" w:eastAsia="宋体" w:hint="default"/>
          <w:sz w:val="21"/>
          <w:szCs w:val="21"/>
        </w:rPr>
      </w:pPr>
      <w:bookmarkStart w:name="（6）支付的其他与筹资活动有关的现金" w:id="300"/>
      <w:bookmarkEnd w:id="30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）支付的其他与筹资活动有关的现金</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r>
        <w:rPr/>
        <w:pict>
          <v:group style="position:absolute;margin-left:223.339996pt;margin-top:476.469971pt;width:151.25pt;height:20.8pt;mso-position-horizontal-relative:page;mso-position-vertical-relative:page;z-index:-1009576" coordorigin="4467,9529" coordsize="3025,416">
            <v:group style="position:absolute;left:4478;top:9541;width:2;height:393" coordorigin="4478,9541" coordsize="2,393">
              <v:shape style="position:absolute;left:4478;top:9541;width:2;height:393" coordorigin="4478,9541" coordsize="0,393" path="m4478,9541l4478,9933e" filled="false" stroked="true" strokeweight="1.140pt" strokecolor="#ffffff">
                <v:path arrowok="t"/>
              </v:shape>
            </v:group>
            <v:group style="position:absolute;left:4490;top:9541;width:3002;height:393" coordorigin="4490,9541" coordsize="3002,393">
              <v:shape style="position:absolute;left:4490;top:9541;width:3002;height:393" coordorigin="4490,9541" coordsize="3002,393" path="m4490,9933l7491,9933,7491,9541,4490,9541,4490,9933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支付首次公开发行股票的发行费用</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14,113,337.45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14,113,337.45</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支付的其他与筹资活动有关的现金说明：</w:t>
      </w:r>
    </w:p>
    <w:p>
      <w:pPr>
        <w:spacing w:line="240" w:lineRule="auto" w:before="11"/>
        <w:rPr>
          <w:rFonts w:ascii="宋体" w:hAnsi="宋体" w:cs="宋体" w:eastAsia="宋体" w:hint="default"/>
          <w:sz w:val="26"/>
          <w:szCs w:val="26"/>
        </w:rPr>
      </w:pPr>
    </w:p>
    <w:p>
      <w:pPr>
        <w:spacing w:before="0"/>
        <w:ind w:left="154" w:right="0" w:firstLine="0"/>
        <w:jc w:val="left"/>
        <w:rPr>
          <w:rFonts w:ascii="宋体" w:hAnsi="宋体" w:cs="宋体" w:eastAsia="宋体" w:hint="default"/>
          <w:sz w:val="21"/>
          <w:szCs w:val="21"/>
        </w:rPr>
      </w:pPr>
      <w:bookmarkStart w:name="40、现金流量表补充资料" w:id="301"/>
      <w:bookmarkEnd w:id="301"/>
      <w:r>
        <w:rPr/>
      </w:r>
      <w:r>
        <w:rPr>
          <w:rFonts w:ascii="Times New Roman" w:hAnsi="Times New Roman" w:cs="Times New Roman" w:eastAsia="Times New Roman" w:hint="default"/>
          <w:b/>
          <w:bCs/>
          <w:sz w:val="21"/>
          <w:szCs w:val="21"/>
        </w:rPr>
        <w:t>40</w:t>
      </w:r>
      <w:r>
        <w:rPr>
          <w:rFonts w:ascii="宋体" w:hAnsi="宋体" w:cs="宋体" w:eastAsia="宋体" w:hint="default"/>
          <w:b/>
          <w:bCs/>
          <w:sz w:val="21"/>
          <w:szCs w:val="21"/>
        </w:rPr>
        <w:t>、现金流量表补充资料</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bookmarkStart w:name="（1）现金流量表补充资料" w:id="302"/>
      <w:bookmarkEnd w:id="30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）现金流量表补充资料</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1055"/>
        <w:gridCol w:w="2014"/>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89" w:right="0"/>
              <w:jc w:val="left"/>
              <w:rPr>
                <w:rFonts w:ascii="Times New Roman" w:hAnsi="Times New Roman" w:cs="Times New Roman" w:eastAsia="Times New Roman" w:hint="default"/>
                <w:sz w:val="18"/>
                <w:szCs w:val="18"/>
              </w:rPr>
            </w:pPr>
            <w:r>
              <w:rPr>
                <w:rFonts w:ascii="Times New Roman"/>
                <w:sz w:val="18"/>
              </w:rPr>
              <w:t>50,133,082.04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41,263,787.59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89" w:right="0"/>
              <w:jc w:val="left"/>
              <w:rPr>
                <w:rFonts w:ascii="Times New Roman" w:hAnsi="Times New Roman" w:cs="Times New Roman" w:eastAsia="Times New Roman" w:hint="default"/>
                <w:sz w:val="18"/>
                <w:szCs w:val="18"/>
              </w:rPr>
            </w:pPr>
            <w:r>
              <w:rPr>
                <w:rFonts w:ascii="Times New Roman"/>
                <w:sz w:val="18"/>
              </w:rPr>
              <w:t>13,993,033.40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11,817,162.80</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3,927,753.82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3,033,910.96</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3,851,410.04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1,737,333.94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318,433.23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44,879.64</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-226,119.71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-1,085.49</w:t>
            </w:r>
            <w:r>
              <w:rPr>
                <w:rFonts w:ascii="Times New Roman"/>
                <w:sz w:val="18"/>
              </w:rPr>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7,093,528.25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3,347,550.81</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019" w:right="0"/>
              <w:jc w:val="left"/>
              <w:rPr>
                <w:rFonts w:ascii="Times New Roman" w:hAnsi="Times New Roman" w:cs="Times New Roman" w:eastAsia="Times New Roman" w:hint="default"/>
                <w:sz w:val="18"/>
                <w:szCs w:val="18"/>
              </w:rPr>
            </w:pPr>
            <w:r>
              <w:rPr>
                <w:rFonts w:ascii="Times New Roman"/>
                <w:sz w:val="18"/>
              </w:rPr>
              <w:t>-3,198,020.76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-2,136,696.27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55"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20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981" w:right="0"/>
              <w:jc w:val="left"/>
              <w:rPr>
                <w:rFonts w:ascii="Times New Roman" w:hAnsi="Times New Roman" w:cs="Times New Roman" w:eastAsia="Times New Roman" w:hint="default"/>
                <w:sz w:val="18"/>
                <w:szCs w:val="18"/>
              </w:rPr>
            </w:pPr>
            <w:r>
              <w:rPr>
                <w:rFonts w:ascii="Times New Roman"/>
                <w:sz w:val="18"/>
              </w:rPr>
              <w:t>-4,254,721.45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-1,807,782.79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29" w:right="0"/>
              <w:jc w:val="left"/>
              <w:rPr>
                <w:rFonts w:ascii="Times New Roman" w:hAnsi="Times New Roman" w:cs="Times New Roman" w:eastAsia="Times New Roman" w:hint="default"/>
                <w:sz w:val="18"/>
                <w:szCs w:val="18"/>
              </w:rPr>
            </w:pPr>
            <w:r>
              <w:rPr>
                <w:rFonts w:ascii="Times New Roman"/>
                <w:sz w:val="18"/>
              </w:rPr>
              <w:t>-55,892,440.15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-36,854,388.14</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29" w:right="0"/>
              <w:jc w:val="left"/>
              <w:rPr>
                <w:rFonts w:ascii="Times New Roman" w:hAnsi="Times New Roman" w:cs="Times New Roman" w:eastAsia="Times New Roman" w:hint="default"/>
                <w:sz w:val="18"/>
                <w:szCs w:val="18"/>
              </w:rPr>
            </w:pPr>
            <w:r>
              <w:rPr>
                <w:rFonts w:ascii="Times New Roman"/>
                <w:sz w:val="18"/>
              </w:rPr>
              <w:t>-48,720,437.24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-90,916,227.84</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95" w:right="0"/>
              <w:jc w:val="left"/>
              <w:rPr>
                <w:rFonts w:ascii="Times New Roman" w:hAnsi="Times New Roman" w:cs="Times New Roman" w:eastAsia="Times New Roman" w:hint="default"/>
                <w:sz w:val="18"/>
                <w:szCs w:val="18"/>
              </w:rPr>
            </w:pPr>
            <w:r>
              <w:rPr>
                <w:rFonts w:ascii="Times New Roman"/>
                <w:sz w:val="18"/>
              </w:rPr>
              <w:t>37,417,119.96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29,370,226.19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2,096,038.98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1,080,587.21</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6,538,660.41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-40,020,741.39</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02" w:lineRule="auto" w:before="51"/>
              <w:ind w:left="11" w:right="13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305" w:type="dxa"/>
            <w:vMerge/>
            <w:tcBorders>
              <w:left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221,142,853.68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175,586,866.87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175,586,866.87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125,564,651.97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89" w:right="0"/>
              <w:jc w:val="left"/>
              <w:rPr>
                <w:rFonts w:ascii="Times New Roman" w:hAnsi="Times New Roman" w:cs="Times New Roman" w:eastAsia="Times New Roman" w:hint="default"/>
                <w:sz w:val="18"/>
                <w:szCs w:val="18"/>
              </w:rPr>
            </w:pPr>
            <w:r>
              <w:rPr>
                <w:rFonts w:ascii="Times New Roman"/>
                <w:sz w:val="18"/>
              </w:rPr>
              <w:t>45,555,986.81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50,022,214.90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spacing w:before="35"/>
        <w:ind w:left="154" w:right="0" w:firstLine="0"/>
        <w:jc w:val="left"/>
        <w:rPr>
          <w:rFonts w:ascii="宋体" w:hAnsi="宋体" w:cs="宋体" w:eastAsia="宋体" w:hint="default"/>
          <w:sz w:val="21"/>
          <w:szCs w:val="21"/>
        </w:rPr>
      </w:pPr>
      <w:bookmarkStart w:name="（2）现金和现金等价物的构成" w:id="303"/>
      <w:bookmarkEnd w:id="30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）现金和现金等价物的构成</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221,142,853.68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175,586,866.87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98,075.86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36,592.94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220,949,796.59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175,526,112.11</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94,981.23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24,161.82</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221,142,853.68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175,586,866.87</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spacing w:before="0"/>
        <w:ind w:left="154" w:right="0" w:firstLine="0"/>
        <w:jc w:val="left"/>
        <w:rPr>
          <w:rFonts w:ascii="宋体" w:hAnsi="宋体" w:cs="宋体" w:eastAsia="宋体" w:hint="default"/>
          <w:sz w:val="21"/>
          <w:szCs w:val="21"/>
        </w:rPr>
      </w:pPr>
      <w:bookmarkStart w:name="41、所有权或使用权受到限制的资产" w:id="304"/>
      <w:bookmarkEnd w:id="304"/>
      <w:r>
        <w:rPr/>
      </w:r>
      <w:r>
        <w:rPr>
          <w:rFonts w:ascii="Times New Roman" w:hAnsi="Times New Roman" w:cs="Times New Roman" w:eastAsia="Times New Roman" w:hint="default"/>
          <w:b/>
          <w:bCs/>
          <w:sz w:val="21"/>
          <w:szCs w:val="21"/>
        </w:rPr>
        <w:t>41</w:t>
      </w:r>
      <w:r>
        <w:rPr>
          <w:rFonts w:ascii="宋体" w:hAnsi="宋体" w:cs="宋体" w:eastAsia="宋体" w:hint="default"/>
          <w:b/>
          <w:bCs/>
          <w:sz w:val="21"/>
          <w:szCs w:val="21"/>
        </w:rPr>
        <w:t>、所有权或使用权受到限制的资产</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28"/>
        <w:gridCol w:w="3057"/>
        <w:gridCol w:w="3184"/>
      </w:tblGrid>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8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3,114,234.87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银行承兑汇票保证金</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35,729,315.95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Times New Roman" w:hAnsi="Times New Roman" w:cs="Times New Roman" w:eastAsia="Times New Roman" w:hint="default"/>
                <w:sz w:val="18"/>
                <w:szCs w:val="18"/>
              </w:rPr>
              <w:t>]</w:t>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38,843,550.82</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357" w:lineRule="auto" w:before="144"/>
        <w:ind w:right="1129" w:firstLine="420"/>
        <w:jc w:val="both"/>
      </w:pPr>
      <w:r>
        <w:rPr>
          <w:spacing w:val="2"/>
        </w:rPr>
        <w:t>注：子公司青岛天高公司与上海浦东发展银行股份有限公司青岛分行签订应收账款最高</w:t>
      </w:r>
      <w:r>
        <w:rPr/>
        <w:t> 额人民币</w:t>
      </w:r>
      <w:r>
        <w:rPr>
          <w:rFonts w:ascii="宋体" w:hAnsi="宋体" w:cs="宋体" w:eastAsia="宋体" w:hint="default"/>
        </w:rPr>
        <w:t>1,100.00</w:t>
      </w:r>
      <w:r>
        <w:rPr/>
        <w:t>万元的质押合同，青岛天高公司将</w:t>
      </w:r>
      <w:r>
        <w:rPr>
          <w:rFonts w:ascii="宋体" w:hAnsi="宋体" w:cs="宋体" w:eastAsia="宋体" w:hint="default"/>
        </w:rPr>
        <w:t>2016</w:t>
      </w:r>
      <w:r>
        <w:rPr/>
        <w:t>年</w:t>
      </w:r>
      <w:r>
        <w:rPr>
          <w:rFonts w:ascii="宋体" w:hAnsi="宋体" w:cs="宋体" w:eastAsia="宋体" w:hint="default"/>
        </w:rPr>
        <w:t>12</w:t>
      </w:r>
      <w:r>
        <w:rPr/>
        <w:t>月</w:t>
      </w:r>
      <w:r>
        <w:rPr>
          <w:rFonts w:ascii="宋体" w:hAnsi="宋体" w:cs="宋体" w:eastAsia="宋体" w:hint="default"/>
        </w:rPr>
        <w:t>28</w:t>
      </w:r>
      <w:r>
        <w:rPr/>
        <w:t>日至</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27</w:t>
      </w:r>
      <w:r>
        <w:rPr/>
        <w:t>日形成</w:t>
      </w:r>
      <w:r>
        <w:rPr>
          <w:spacing w:val="-89"/>
        </w:rPr>
        <w:t> </w:t>
      </w:r>
      <w:r>
        <w:rPr/>
        <w:t>的所有应收账款予以质押。截至</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日，该质押合同下青岛天高公司短期借款余额</w:t>
      </w:r>
      <w:r>
        <w:rPr>
          <w:spacing w:val="-113"/>
        </w:rPr>
        <w:t> </w:t>
      </w:r>
      <w:r>
        <w:rPr>
          <w:spacing w:val="-113"/>
        </w:rPr>
      </w:r>
      <w:r>
        <w:rPr>
          <w:rFonts w:ascii="宋体" w:hAnsi="宋体" w:cs="宋体" w:eastAsia="宋体" w:hint="default"/>
        </w:rPr>
        <w:t>1,000.00</w:t>
      </w:r>
      <w:r>
        <w:rPr/>
        <w:t>万元，应收账款质押余额</w:t>
      </w:r>
      <w:r>
        <w:rPr>
          <w:rFonts w:ascii="宋体" w:hAnsi="宋体" w:cs="宋体" w:eastAsia="宋体" w:hint="default"/>
        </w:rPr>
        <w:t>35,729,315.95</w:t>
      </w:r>
      <w:r>
        <w:rPr/>
        <w:t>元。</w:t>
      </w:r>
    </w:p>
    <w:p>
      <w:pPr>
        <w:pStyle w:val="BodyText"/>
        <w:spacing w:line="357" w:lineRule="auto"/>
        <w:ind w:right="1130" w:firstLine="420"/>
        <w:jc w:val="both"/>
      </w:pPr>
      <w:r>
        <w:rPr>
          <w:spacing w:val="2"/>
        </w:rPr>
        <w:t>本公司及广西筑波公司少数股东卢洁芳、章益宇各为广西筑波公司在中国银行南宁市邕</w:t>
      </w:r>
      <w:r>
        <w:rPr/>
        <w:t> 州支行借款提供最高额</w:t>
      </w:r>
      <w:r>
        <w:rPr>
          <w:rFonts w:ascii="宋体" w:hAnsi="宋体" w:cs="宋体" w:eastAsia="宋体" w:hint="default"/>
        </w:rPr>
        <w:t>1,500.00</w:t>
      </w:r>
      <w:r>
        <w:rPr/>
        <w:t>万元保证担保，同时广西筑波公司将对广西大学、南宁职业</w:t>
      </w:r>
      <w:r>
        <w:rPr>
          <w:spacing w:val="-114"/>
        </w:rPr>
        <w:t> </w:t>
      </w:r>
      <w:r>
        <w:rPr>
          <w:spacing w:val="-114"/>
        </w:rPr>
      </w:r>
      <w:r>
        <w:rPr/>
        <w:t>技术学院等应收账款质押给中国银行南宁市邕州支行，质押期</w:t>
      </w:r>
      <w:r>
        <w:rPr>
          <w:rFonts w:ascii="宋体" w:hAnsi="宋体" w:cs="宋体" w:eastAsia="宋体" w:hint="default"/>
        </w:rPr>
        <w:t>2017</w:t>
      </w:r>
      <w:r>
        <w:rPr/>
        <w:t>年</w:t>
      </w:r>
      <w:r>
        <w:rPr>
          <w:rFonts w:ascii="宋体" w:hAnsi="宋体" w:cs="宋体" w:eastAsia="宋体" w:hint="default"/>
        </w:rPr>
        <w:t>11</w:t>
      </w:r>
      <w:r>
        <w:rPr/>
        <w:t>月</w:t>
      </w:r>
      <w:r>
        <w:rPr>
          <w:rFonts w:ascii="宋体" w:hAnsi="宋体" w:cs="宋体" w:eastAsia="宋体" w:hint="default"/>
        </w:rPr>
        <w:t>8</w:t>
      </w:r>
      <w:r>
        <w:rPr/>
        <w:t>日至</w:t>
      </w:r>
      <w:r>
        <w:rPr>
          <w:rFonts w:ascii="宋体" w:hAnsi="宋体" w:cs="宋体" w:eastAsia="宋体" w:hint="default"/>
        </w:rPr>
        <w:t>2020</w:t>
      </w:r>
      <w:r>
        <w:rPr/>
        <w:t>年</w:t>
      </w:r>
      <w:r>
        <w:rPr>
          <w:rFonts w:ascii="宋体" w:hAnsi="宋体" w:cs="宋体" w:eastAsia="宋体" w:hint="default"/>
        </w:rPr>
        <w:t>11</w:t>
      </w:r>
      <w:r>
        <w:rPr/>
        <w:t>月</w:t>
      </w:r>
      <w:r>
        <w:rPr>
          <w:rFonts w:ascii="宋体" w:hAnsi="宋体" w:cs="宋体" w:eastAsia="宋体" w:hint="default"/>
        </w:rPr>
        <w:t>8</w:t>
      </w:r>
      <w:r>
        <w:rPr>
          <w:rFonts w:ascii="宋体" w:hAnsi="宋体" w:cs="宋体" w:eastAsia="宋体" w:hint="default"/>
          <w:spacing w:val="-105"/>
        </w:rPr>
        <w:t> </w:t>
      </w:r>
      <w:r>
        <w:rPr/>
        <w:t>日。截至</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日，广西筑波公司该质押合同下短期借款余额</w:t>
      </w:r>
      <w:r>
        <w:rPr>
          <w:rFonts w:ascii="宋体" w:hAnsi="宋体" w:cs="宋体" w:eastAsia="宋体" w:hint="default"/>
        </w:rPr>
        <w:t>1,400.00</w:t>
      </w:r>
      <w:r>
        <w:rPr/>
        <w:t>万元，应收账</w:t>
      </w:r>
      <w:r>
        <w:rPr>
          <w:spacing w:val="-106"/>
        </w:rPr>
        <w:t> </w:t>
      </w:r>
      <w:r>
        <w:rPr>
          <w:spacing w:val="-106"/>
        </w:rPr>
      </w:r>
      <w:r>
        <w:rPr/>
        <w:t>款质押余额</w:t>
      </w:r>
      <w:r>
        <w:rPr>
          <w:rFonts w:ascii="宋体" w:hAnsi="宋体" w:cs="宋体" w:eastAsia="宋体" w:hint="default"/>
        </w:rPr>
        <w:t>0.00</w:t>
      </w:r>
      <w:r>
        <w:rPr/>
        <w:t>元。</w:t>
      </w:r>
    </w:p>
    <w:p>
      <w:pPr>
        <w:spacing w:line="240" w:lineRule="auto" w:before="8"/>
        <w:rPr>
          <w:rFonts w:ascii="宋体" w:hAnsi="宋体" w:cs="宋体" w:eastAsia="宋体" w:hint="default"/>
          <w:sz w:val="21"/>
          <w:szCs w:val="21"/>
        </w:rPr>
      </w:pPr>
    </w:p>
    <w:p>
      <w:pPr>
        <w:spacing w:before="0"/>
        <w:ind w:left="154" w:right="0" w:firstLine="0"/>
        <w:jc w:val="left"/>
        <w:rPr>
          <w:rFonts w:ascii="宋体" w:hAnsi="宋体" w:cs="宋体" w:eastAsia="宋体" w:hint="default"/>
          <w:sz w:val="21"/>
          <w:szCs w:val="21"/>
        </w:rPr>
      </w:pPr>
      <w:bookmarkStart w:name="42、政府补助" w:id="305"/>
      <w:bookmarkEnd w:id="305"/>
      <w:r>
        <w:rPr/>
      </w:r>
      <w:r>
        <w:rPr>
          <w:rFonts w:ascii="Times New Roman" w:hAnsi="Times New Roman" w:cs="Times New Roman" w:eastAsia="Times New Roman" w:hint="default"/>
          <w:b/>
          <w:bCs/>
          <w:sz w:val="21"/>
          <w:szCs w:val="21"/>
        </w:rPr>
        <w:t>42</w:t>
      </w:r>
      <w:r>
        <w:rPr>
          <w:rFonts w:ascii="宋体" w:hAnsi="宋体" w:cs="宋体" w:eastAsia="宋体" w:hint="default"/>
          <w:b/>
          <w:bCs/>
          <w:sz w:val="21"/>
          <w:szCs w:val="21"/>
        </w:rPr>
        <w:t>、政府补助</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bookmarkStart w:name="（1）政府补助基本情况" w:id="306"/>
      <w:bookmarkEnd w:id="30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）政府补助基本情况</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列报项目</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0" w:right="0"/>
              <w:jc w:val="left"/>
              <w:rPr>
                <w:rFonts w:ascii="宋体" w:hAnsi="宋体" w:cs="宋体" w:eastAsia="宋体" w:hint="default"/>
                <w:sz w:val="18"/>
                <w:szCs w:val="18"/>
              </w:rPr>
            </w:pPr>
            <w:r>
              <w:rPr>
                <w:rFonts w:ascii="宋体" w:hAnsi="宋体" w:cs="宋体" w:eastAsia="宋体" w:hint="default"/>
                <w:sz w:val="18"/>
                <w:szCs w:val="18"/>
              </w:rPr>
              <w:t>计入当期损益的金额</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增值税即征即退</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25" w:right="0"/>
              <w:jc w:val="left"/>
              <w:rPr>
                <w:rFonts w:ascii="Times New Roman" w:hAnsi="Times New Roman" w:cs="Times New Roman" w:eastAsia="Times New Roman" w:hint="default"/>
                <w:sz w:val="18"/>
                <w:szCs w:val="18"/>
              </w:rPr>
            </w:pPr>
            <w:r>
              <w:rPr>
                <w:rFonts w:ascii="Times New Roman"/>
                <w:sz w:val="18"/>
              </w:rPr>
              <w:t>18,694,690.54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24" w:right="0"/>
              <w:jc w:val="left"/>
              <w:rPr>
                <w:rFonts w:ascii="Times New Roman" w:hAnsi="Times New Roman" w:cs="Times New Roman" w:eastAsia="Times New Roman" w:hint="default"/>
                <w:sz w:val="18"/>
                <w:szCs w:val="18"/>
              </w:rPr>
            </w:pPr>
            <w:r>
              <w:rPr>
                <w:rFonts w:ascii="Times New Roman"/>
                <w:sz w:val="18"/>
              </w:rPr>
              <w:t>18,694,690.54</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余杭区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年度企业研发投 入补助资金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企业经济奖励款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青岛市</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年第二批科技专 项奖金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QS20180470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192,000.00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192,000.00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年第十批科技专项奖金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108,000.00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108,000.00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年度余杭区开放型经济 发展专项资金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101,900.00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101,900.00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年高企申报补助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95,616.28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95,616.28</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青秀区第二批科技计划项目 补助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其他政府补助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160,667.52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160,667.52</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银行贷款贴息</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360,000.00</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spacing w:before="35"/>
        <w:ind w:left="154" w:right="0" w:firstLine="0"/>
        <w:jc w:val="left"/>
        <w:rPr>
          <w:rFonts w:ascii="宋体" w:hAnsi="宋体" w:cs="宋体" w:eastAsia="宋体" w:hint="default"/>
          <w:sz w:val="21"/>
          <w:szCs w:val="21"/>
        </w:rPr>
      </w:pPr>
      <w:bookmarkStart w:name="（2）政府补助退回情况" w:id="307"/>
      <w:bookmarkEnd w:id="30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）政府补助退回情况</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line="338" w:lineRule="auto" w:before="0"/>
        <w:ind w:left="154" w:right="85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其他说明：</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八、合并范围的变更" w:id="308"/>
      <w:bookmarkEnd w:id="308"/>
      <w:r>
        <w:rPr>
          <w:b w:val="0"/>
          <w:bCs w:val="0"/>
        </w:rPr>
      </w:r>
      <w:r>
        <w:rPr/>
        <w:t>八、合并范围的变更</w:t>
      </w:r>
      <w:r>
        <w:rPr>
          <w:b w:val="0"/>
          <w:bCs w:val="0"/>
        </w:rPr>
      </w:r>
    </w:p>
    <w:p>
      <w:pPr>
        <w:spacing w:line="240" w:lineRule="auto" w:before="9"/>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bookmarkStart w:name="1、非同一控制下企业合并" w:id="309"/>
      <w:bookmarkEnd w:id="309"/>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、非同一控制下企业合并</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bookmarkStart w:name="（1）本期发生的非同一控制下企业合并" w:id="310"/>
      <w:bookmarkEnd w:id="31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）本期发生的非同一控制下企业合并</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5"/>
        <w:gridCol w:w="1064"/>
        <w:gridCol w:w="1063"/>
        <w:gridCol w:w="1062"/>
        <w:gridCol w:w="1062"/>
        <w:gridCol w:w="1051"/>
      </w:tblGrid>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5" w:right="76"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6"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5" w:right="75"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5" w:right="74"/>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5" w:right="63"/>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348" w:lineRule="auto" w:before="145"/>
        <w:ind w:right="996" w:firstLine="480"/>
        <w:jc w:val="left"/>
      </w:pP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7</w:t>
      </w:r>
      <w:r>
        <w:rPr>
          <w:spacing w:val="-2"/>
        </w:rPr>
        <w:t>日小兰智慧公司与杭州雄伟科技开发股份有限公司（以下简称杭州雄伟公司）</w:t>
      </w:r>
      <w:r>
        <w:rPr/>
        <w:t> 签订资产转让协议，杭州雄伟公司将其经营的洗衣业务转让给小兰智慧公司，构成了非同一</w:t>
      </w:r>
      <w:r>
        <w:rPr>
          <w:spacing w:val="-112"/>
        </w:rPr>
        <w:t> </w:t>
      </w:r>
      <w:r>
        <w:rPr>
          <w:spacing w:val="-112"/>
        </w:rPr>
      </w:r>
      <w:r>
        <w:rPr/>
        <w:t>控制下的业务合并。</w:t>
      </w:r>
    </w:p>
    <w:p>
      <w:pPr>
        <w:spacing w:after="0" w:line="348"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spacing w:before="35"/>
        <w:ind w:left="154" w:right="0" w:firstLine="0"/>
        <w:jc w:val="left"/>
        <w:rPr>
          <w:rFonts w:ascii="宋体" w:hAnsi="宋体" w:cs="宋体" w:eastAsia="宋体" w:hint="default"/>
          <w:sz w:val="21"/>
          <w:szCs w:val="21"/>
        </w:rPr>
      </w:pPr>
      <w:bookmarkStart w:name="（2）合并成本及商誉" w:id="311"/>
      <w:bookmarkEnd w:id="31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）合并成本及商誉</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3"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合并成本</w:t>
            </w:r>
          </w:p>
        </w:tc>
        <w:tc>
          <w:tcPr>
            <w:tcW w:w="478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1487" w:right="0"/>
              <w:jc w:val="left"/>
              <w:rPr>
                <w:rFonts w:ascii="宋体" w:hAnsi="宋体" w:cs="宋体" w:eastAsia="宋体" w:hint="default"/>
                <w:sz w:val="18"/>
                <w:szCs w:val="18"/>
              </w:rPr>
            </w:pPr>
            <w:r>
              <w:rPr>
                <w:rFonts w:ascii="宋体" w:hAnsi="宋体" w:cs="宋体" w:eastAsia="宋体" w:hint="default"/>
                <w:sz w:val="18"/>
                <w:szCs w:val="18"/>
              </w:rPr>
              <w:t>杭州雄伟公司洗衣业务</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45,000,000.00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45,000,000.00</w:t>
            </w:r>
          </w:p>
        </w:tc>
      </w:tr>
      <w:tr>
        <w:trPr>
          <w:trHeight w:val="403"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减：取得的可辨认净资产公允价值份额</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45,000,000.00</w:t>
            </w:r>
          </w:p>
        </w:tc>
      </w:tr>
    </w:tbl>
    <w:p>
      <w:pPr>
        <w:spacing w:line="357" w:lineRule="auto" w:before="51"/>
        <w:ind w:left="154" w:right="6072" w:firstLine="0"/>
        <w:jc w:val="left"/>
        <w:rPr>
          <w:rFonts w:ascii="宋体" w:hAnsi="宋体" w:cs="宋体" w:eastAsia="宋体" w:hint="default"/>
          <w:sz w:val="18"/>
          <w:szCs w:val="18"/>
        </w:rPr>
      </w:pPr>
      <w:r>
        <w:rPr>
          <w:rFonts w:ascii="宋体" w:hAnsi="宋体" w:cs="宋体" w:eastAsia="宋体" w:hint="default"/>
          <w:sz w:val="18"/>
          <w:szCs w:val="18"/>
        </w:rPr>
        <w:t>合并成本公允价值的确定方法、或有对价及其变动的说明： 大额商誉形成的主要原因：</w:t>
      </w:r>
    </w:p>
    <w:p>
      <w:pPr>
        <w:spacing w:before="29"/>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spacing w:before="0"/>
        <w:ind w:left="154" w:right="0" w:firstLine="0"/>
        <w:jc w:val="left"/>
        <w:rPr>
          <w:rFonts w:ascii="宋体" w:hAnsi="宋体" w:cs="宋体" w:eastAsia="宋体" w:hint="default"/>
          <w:sz w:val="21"/>
          <w:szCs w:val="21"/>
        </w:rPr>
      </w:pPr>
      <w:bookmarkStart w:name="（3）被购买方于购买日可辨认资产、负债" w:id="312"/>
      <w:bookmarkEnd w:id="31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）被购买方于购买日可辨认资产、负债</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3"/>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93" w:type="dxa"/>
            <w:gridSpan w:val="2"/>
            <w:tcBorders>
              <w:top w:val="single" w:sz="4" w:space="0" w:color="000000"/>
              <w:left w:val="single" w:sz="13" w:space="0" w:color="D2D2D2"/>
              <w:bottom w:val="single" w:sz="4" w:space="0" w:color="000000"/>
              <w:right w:val="single" w:sz="4" w:space="0" w:color="000000"/>
            </w:tcBorders>
            <w:shd w:val="clear" w:color="auto" w:fill="E0FFFF"/>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杭州雄伟公司洗衣业务</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72"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3203" w:type="dxa"/>
            <w:tcBorders>
              <w:top w:val="single" w:sz="4" w:space="0" w:color="000000"/>
              <w:left w:val="single" w:sz="13"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4,233,829.80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3,649,853.28</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12,473,392.20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6,861,869.37</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28,292,778.00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203"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3,592,492.80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14,104,215.45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14,104,215.45</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可辨认资产、负债公允价值的确定方法：</w:t>
      </w:r>
    </w:p>
    <w:p>
      <w:pPr>
        <w:pStyle w:val="BodyText"/>
        <w:spacing w:line="357" w:lineRule="auto" w:before="145"/>
        <w:ind w:right="0" w:firstLine="420"/>
        <w:jc w:val="left"/>
      </w:pPr>
      <w:r>
        <w:rPr>
          <w:spacing w:val="2"/>
        </w:rPr>
        <w:t>购买日资产的公允价值业经坤元资产评估有限公司评估，并出具《资产评估报告》（坤</w:t>
      </w:r>
      <w:r>
        <w:rPr/>
        <w:t> 元评报﹝</w:t>
      </w:r>
      <w:r>
        <w:rPr>
          <w:rFonts w:ascii="宋体" w:hAnsi="宋体" w:cs="宋体" w:eastAsia="宋体" w:hint="default"/>
        </w:rPr>
        <w:t>2018</w:t>
      </w:r>
      <w:r>
        <w:rPr/>
        <w:t>﹞</w:t>
      </w:r>
      <w:r>
        <w:rPr>
          <w:rFonts w:ascii="宋体" w:hAnsi="宋体" w:cs="宋体" w:eastAsia="宋体" w:hint="default"/>
        </w:rPr>
        <w:t>413</w:t>
      </w:r>
      <w:r>
        <w:rPr/>
        <w:t>号）。</w:t>
      </w:r>
    </w:p>
    <w:p>
      <w:pPr>
        <w:spacing w:line="439" w:lineRule="auto" w:before="85"/>
        <w:ind w:left="154" w:right="7512" w:firstLine="0"/>
        <w:jc w:val="left"/>
        <w:rPr>
          <w:rFonts w:ascii="宋体" w:hAnsi="宋体" w:cs="宋体" w:eastAsia="宋体" w:hint="default"/>
          <w:sz w:val="18"/>
          <w:szCs w:val="18"/>
        </w:rPr>
      </w:pPr>
      <w:r>
        <w:rPr>
          <w:rFonts w:ascii="宋体" w:hAnsi="宋体" w:cs="宋体" w:eastAsia="宋体" w:hint="default"/>
          <w:sz w:val="18"/>
          <w:szCs w:val="18"/>
        </w:rPr>
        <w:t>企业合并中承担的被购买方的或有负债： 其他说明：</w:t>
      </w:r>
    </w:p>
    <w:p>
      <w:pPr>
        <w:spacing w:line="240" w:lineRule="auto" w:before="5"/>
        <w:rPr>
          <w:rFonts w:ascii="宋体" w:hAnsi="宋体" w:cs="宋体" w:eastAsia="宋体" w:hint="default"/>
          <w:sz w:val="15"/>
          <w:szCs w:val="15"/>
        </w:rPr>
      </w:pPr>
    </w:p>
    <w:p>
      <w:pPr>
        <w:spacing w:before="0"/>
        <w:ind w:left="154" w:right="0" w:firstLine="0"/>
        <w:jc w:val="left"/>
        <w:rPr>
          <w:rFonts w:ascii="宋体" w:hAnsi="宋体" w:cs="宋体" w:eastAsia="宋体" w:hint="default"/>
          <w:sz w:val="21"/>
          <w:szCs w:val="21"/>
        </w:rPr>
      </w:pPr>
      <w:bookmarkStart w:name="2、处置子公司" w:id="313"/>
      <w:bookmarkEnd w:id="313"/>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、处置子公司</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是否存在单次处置对子公司投资即丧失控制权的情形</w:t>
      </w:r>
    </w:p>
    <w:p>
      <w:pPr>
        <w:spacing w:line="338" w:lineRule="auto" w:before="116"/>
        <w:ind w:left="154" w:right="49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是否存在通过多次交易分步处置对子公司投资且在本期丧失控制权的情形</w:t>
      </w:r>
    </w:p>
    <w:p>
      <w:pPr>
        <w:spacing w:before="42"/>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spacing w:before="35"/>
        <w:ind w:left="214" w:right="468" w:firstLine="0"/>
        <w:jc w:val="left"/>
        <w:rPr>
          <w:rFonts w:ascii="宋体" w:hAnsi="宋体" w:cs="宋体" w:eastAsia="宋体" w:hint="default"/>
          <w:sz w:val="21"/>
          <w:szCs w:val="21"/>
        </w:rPr>
      </w:pPr>
      <w:bookmarkStart w:name="3、其他" w:id="314"/>
      <w:bookmarkEnd w:id="314"/>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634" w:right="468" w:firstLine="0"/>
        <w:jc w:val="left"/>
        <w:rPr>
          <w:rFonts w:ascii="宋体" w:hAnsi="宋体" w:cs="宋体" w:eastAsia="宋体" w:hint="default"/>
          <w:sz w:val="21"/>
          <w:szCs w:val="21"/>
        </w:rPr>
      </w:pPr>
      <w:r>
        <w:rPr>
          <w:rFonts w:ascii="宋体" w:hAnsi="宋体" w:cs="宋体" w:eastAsia="宋体" w:hint="default"/>
          <w:sz w:val="21"/>
          <w:szCs w:val="21"/>
        </w:rPr>
        <w:t>合并范围增加</w:t>
      </w:r>
    </w:p>
    <w:p>
      <w:pPr>
        <w:spacing w:line="240" w:lineRule="auto" w:before="13"/>
        <w:rPr>
          <w:rFonts w:ascii="宋体" w:hAnsi="宋体" w:cs="宋体" w:eastAsia="宋体" w:hint="default"/>
          <w:sz w:val="3"/>
          <w:szCs w:val="3"/>
        </w:rPr>
      </w:pPr>
    </w:p>
    <w:tbl>
      <w:tblPr>
        <w:tblW w:w="0" w:type="auto"/>
        <w:jc w:val="left"/>
        <w:tblInd w:w="101" w:type="dxa"/>
        <w:tblLayout w:type="fixed"/>
        <w:tblCellMar>
          <w:top w:w="0" w:type="dxa"/>
          <w:left w:w="0" w:type="dxa"/>
          <w:bottom w:w="0" w:type="dxa"/>
          <w:right w:w="0" w:type="dxa"/>
        </w:tblCellMar>
        <w:tblLook w:val="01E0"/>
      </w:tblPr>
      <w:tblGrid>
        <w:gridCol w:w="1700"/>
        <w:gridCol w:w="1528"/>
        <w:gridCol w:w="2127"/>
        <w:gridCol w:w="1700"/>
        <w:gridCol w:w="1469"/>
      </w:tblGrid>
      <w:tr>
        <w:trPr>
          <w:trHeight w:val="322"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534"/>
              <w:jc w:val="right"/>
              <w:rPr>
                <w:rFonts w:ascii="宋体" w:hAnsi="宋体" w:cs="宋体" w:eastAsia="宋体" w:hint="default"/>
                <w:sz w:val="21"/>
                <w:szCs w:val="21"/>
              </w:rPr>
            </w:pPr>
            <w:r>
              <w:rPr>
                <w:rFonts w:ascii="宋体" w:hAnsi="宋体" w:cs="宋体" w:eastAsia="宋体" w:hint="default"/>
                <w:sz w:val="21"/>
                <w:szCs w:val="21"/>
              </w:rPr>
              <w:t>公司名称</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29" w:right="0"/>
              <w:jc w:val="left"/>
              <w:rPr>
                <w:rFonts w:ascii="宋体" w:hAnsi="宋体" w:cs="宋体" w:eastAsia="宋体" w:hint="default"/>
                <w:sz w:val="21"/>
                <w:szCs w:val="21"/>
              </w:rPr>
            </w:pPr>
            <w:r>
              <w:rPr>
                <w:rFonts w:ascii="宋体" w:hAnsi="宋体" w:cs="宋体" w:eastAsia="宋体" w:hint="default"/>
                <w:sz w:val="21"/>
                <w:szCs w:val="21"/>
              </w:rPr>
              <w:t>股权取得方式</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429" w:right="0"/>
              <w:jc w:val="left"/>
              <w:rPr>
                <w:rFonts w:ascii="宋体" w:hAnsi="宋体" w:cs="宋体" w:eastAsia="宋体" w:hint="default"/>
                <w:sz w:val="21"/>
                <w:szCs w:val="21"/>
              </w:rPr>
            </w:pPr>
            <w:r>
              <w:rPr>
                <w:rFonts w:ascii="宋体" w:hAnsi="宋体" w:cs="宋体" w:eastAsia="宋体" w:hint="default"/>
                <w:sz w:val="21"/>
                <w:szCs w:val="21"/>
              </w:rPr>
              <w:t>股权取得时点</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531" w:right="0"/>
              <w:jc w:val="left"/>
              <w:rPr>
                <w:rFonts w:ascii="宋体" w:hAnsi="宋体" w:cs="宋体" w:eastAsia="宋体" w:hint="default"/>
                <w:sz w:val="21"/>
                <w:szCs w:val="21"/>
              </w:rPr>
            </w:pPr>
            <w:r>
              <w:rPr>
                <w:rFonts w:ascii="宋体" w:hAnsi="宋体" w:cs="宋体" w:eastAsia="宋体" w:hint="default"/>
                <w:sz w:val="21"/>
                <w:szCs w:val="21"/>
              </w:rPr>
              <w:t>出资额</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出资比例</w:t>
            </w:r>
          </w:p>
        </w:tc>
      </w:tr>
      <w:tr>
        <w:trPr>
          <w:trHeight w:val="323"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504"/>
              <w:jc w:val="right"/>
              <w:rPr>
                <w:rFonts w:ascii="宋体" w:hAnsi="宋体" w:cs="宋体" w:eastAsia="宋体" w:hint="default"/>
                <w:sz w:val="18"/>
                <w:szCs w:val="18"/>
              </w:rPr>
            </w:pPr>
            <w:r>
              <w:rPr>
                <w:rFonts w:ascii="宋体" w:hAnsi="宋体" w:cs="宋体" w:eastAsia="宋体" w:hint="default"/>
                <w:sz w:val="18"/>
                <w:szCs w:val="18"/>
              </w:rPr>
              <w:t>小兰智慧公司</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新设子公司</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宋体" w:hAnsi="宋体" w:cs="宋体" w:eastAsia="宋体" w:hint="default"/>
                <w:sz w:val="21"/>
                <w:szCs w:val="21"/>
              </w:rPr>
              <w:t>年</w:t>
            </w:r>
            <w:r>
              <w:rPr>
                <w:rFonts w:ascii="Times New Roman" w:hAnsi="Times New Roman" w:cs="Times New Roman" w:eastAsia="Times New Roman" w:hint="default"/>
                <w:sz w:val="21"/>
                <w:szCs w:val="21"/>
              </w:rPr>
              <w:t>6</w:t>
            </w:r>
            <w:r>
              <w:rPr>
                <w:rFonts w:ascii="宋体" w:hAnsi="宋体" w:cs="宋体" w:eastAsia="宋体" w:hint="default"/>
                <w:sz w:val="21"/>
                <w:szCs w:val="21"/>
              </w:rPr>
              <w:t>月</w:t>
            </w:r>
            <w:r>
              <w:rPr>
                <w:rFonts w:ascii="Times New Roman" w:hAnsi="Times New Roman" w:cs="Times New Roman" w:eastAsia="Times New Roman" w:hint="default"/>
                <w:sz w:val="21"/>
                <w:szCs w:val="21"/>
              </w:rPr>
              <w:t>26</w:t>
            </w:r>
            <w:r>
              <w:rPr>
                <w:rFonts w:ascii="宋体" w:hAnsi="宋体" w:cs="宋体" w:eastAsia="宋体" w:hint="default"/>
                <w:sz w:val="21"/>
                <w:szCs w:val="21"/>
              </w:rPr>
              <w:t>日</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9"/>
              <w:jc w:val="right"/>
              <w:rPr>
                <w:rFonts w:ascii="Times New Roman" w:hAnsi="Times New Roman" w:cs="Times New Roman" w:eastAsia="Times New Roman" w:hint="default"/>
                <w:sz w:val="21"/>
                <w:szCs w:val="21"/>
              </w:rPr>
            </w:pPr>
            <w:r>
              <w:rPr>
                <w:rFonts w:ascii="Times New Roman"/>
                <w:sz w:val="21"/>
              </w:rPr>
              <w:t>25,500,000.00</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Times New Roman" w:hAnsi="Times New Roman" w:cs="Times New Roman" w:eastAsia="Times New Roman" w:hint="default"/>
                <w:sz w:val="21"/>
                <w:szCs w:val="21"/>
              </w:rPr>
            </w:pPr>
            <w:r>
              <w:rPr>
                <w:rFonts w:ascii="Times New Roman"/>
                <w:sz w:val="21"/>
              </w:rPr>
              <w:t>51%</w:t>
            </w:r>
          </w:p>
        </w:tc>
      </w:tr>
      <w:tr>
        <w:trPr>
          <w:trHeight w:val="322"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04"/>
              <w:jc w:val="right"/>
              <w:rPr>
                <w:rFonts w:ascii="宋体" w:hAnsi="宋体" w:cs="宋体" w:eastAsia="宋体" w:hint="default"/>
                <w:sz w:val="18"/>
                <w:szCs w:val="18"/>
              </w:rPr>
            </w:pPr>
            <w:r>
              <w:rPr>
                <w:rFonts w:ascii="宋体" w:hAnsi="宋体" w:cs="宋体" w:eastAsia="宋体" w:hint="default"/>
                <w:sz w:val="18"/>
                <w:szCs w:val="18"/>
              </w:rPr>
              <w:t>坚果智慧公司</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新设子公司</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宋体" w:hAnsi="宋体" w:cs="宋体" w:eastAsia="宋体" w:hint="default"/>
                <w:sz w:val="21"/>
                <w:szCs w:val="21"/>
              </w:rPr>
              <w:t>年</w:t>
            </w:r>
            <w:r>
              <w:rPr>
                <w:rFonts w:ascii="Times New Roman" w:hAnsi="Times New Roman" w:cs="Times New Roman" w:eastAsia="Times New Roman" w:hint="default"/>
                <w:sz w:val="21"/>
                <w:szCs w:val="21"/>
              </w:rPr>
              <w:t>10</w:t>
            </w:r>
            <w:r>
              <w:rPr>
                <w:rFonts w:ascii="宋体" w:hAnsi="宋体" w:cs="宋体" w:eastAsia="宋体" w:hint="default"/>
                <w:sz w:val="21"/>
                <w:szCs w:val="21"/>
              </w:rPr>
              <w:t>月</w:t>
            </w:r>
            <w:r>
              <w:rPr>
                <w:rFonts w:ascii="Times New Roman" w:hAnsi="Times New Roman" w:cs="Times New Roman" w:eastAsia="Times New Roman" w:hint="default"/>
                <w:sz w:val="21"/>
                <w:szCs w:val="21"/>
              </w:rPr>
              <w:t>11</w:t>
            </w:r>
            <w:r>
              <w:rPr>
                <w:rFonts w:ascii="宋体" w:hAnsi="宋体" w:cs="宋体" w:eastAsia="宋体" w:hint="default"/>
                <w:sz w:val="21"/>
                <w:szCs w:val="21"/>
              </w:rPr>
              <w:t>日</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3,675,060.00</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51%</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1"/>
          <w:szCs w:val="21"/>
        </w:rPr>
      </w:pPr>
    </w:p>
    <w:p>
      <w:pPr>
        <w:pStyle w:val="Heading2"/>
        <w:spacing w:line="240" w:lineRule="auto" w:before="26"/>
        <w:ind w:left="214" w:right="468"/>
        <w:jc w:val="left"/>
        <w:rPr>
          <w:b w:val="0"/>
          <w:bCs w:val="0"/>
        </w:rPr>
      </w:pPr>
      <w:bookmarkStart w:name="九、在其他主体中的权益" w:id="315"/>
      <w:bookmarkEnd w:id="315"/>
      <w:r>
        <w:rPr>
          <w:b w:val="0"/>
          <w:bCs w:val="0"/>
        </w:rPr>
      </w:r>
      <w:r>
        <w:rPr/>
        <w:t>九、在其他主体中的权益</w:t>
      </w:r>
      <w:r>
        <w:rPr>
          <w:b w:val="0"/>
          <w:bCs w:val="0"/>
        </w:rPr>
      </w:r>
    </w:p>
    <w:p>
      <w:pPr>
        <w:spacing w:line="240" w:lineRule="auto" w:before="8"/>
        <w:rPr>
          <w:rFonts w:ascii="宋体" w:hAnsi="宋体" w:cs="宋体" w:eastAsia="宋体" w:hint="default"/>
          <w:b/>
          <w:bCs/>
          <w:sz w:val="24"/>
          <w:szCs w:val="24"/>
        </w:rPr>
      </w:pPr>
    </w:p>
    <w:p>
      <w:pPr>
        <w:spacing w:before="0"/>
        <w:ind w:left="214" w:right="468" w:firstLine="0"/>
        <w:jc w:val="left"/>
        <w:rPr>
          <w:rFonts w:ascii="宋体" w:hAnsi="宋体" w:cs="宋体" w:eastAsia="宋体" w:hint="default"/>
          <w:sz w:val="21"/>
          <w:szCs w:val="21"/>
        </w:rPr>
      </w:pPr>
      <w:bookmarkStart w:name="1、在子公司中的权益" w:id="316"/>
      <w:bookmarkEnd w:id="316"/>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214" w:right="468" w:firstLine="0"/>
        <w:jc w:val="left"/>
        <w:rPr>
          <w:rFonts w:ascii="宋体" w:hAnsi="宋体" w:cs="宋体" w:eastAsia="宋体" w:hint="default"/>
          <w:sz w:val="21"/>
          <w:szCs w:val="21"/>
        </w:rPr>
      </w:pPr>
      <w:bookmarkStart w:name="（1）企业集团的构成" w:id="317"/>
      <w:bookmarkEnd w:id="31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）企业集团的构成</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20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2"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青岛天高公司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广西筑波公司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南昌正元公司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南昌</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63.56%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福建正元公司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福建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福州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软件业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杭州容博公司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软件业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51.05%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云马智慧公司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软件业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正元数据公司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四川正元公司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正元曦客公司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校云智慧公司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小兰智慧公司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坚果智慧公司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line="360" w:lineRule="auto" w:before="51"/>
        <w:ind w:left="214" w:right="2832" w:firstLine="0"/>
        <w:jc w:val="left"/>
        <w:rPr>
          <w:rFonts w:ascii="宋体" w:hAnsi="宋体" w:cs="宋体" w:eastAsia="宋体" w:hint="default"/>
          <w:sz w:val="18"/>
          <w:szCs w:val="18"/>
        </w:rPr>
      </w:pPr>
      <w:r>
        <w:rPr>
          <w:rFonts w:ascii="宋体" w:hAnsi="宋体" w:cs="宋体" w:eastAsia="宋体" w:hint="default"/>
          <w:sz w:val="18"/>
          <w:szCs w:val="18"/>
        </w:rPr>
        <w:t>在子公司的持股比例不同于表决权比例的说明： 持有半数或以下表决权但仍控制被投资单位、以及持有半数以上表决权但不控制被投资单位的依据： 对于纳入合并范围的重要的结构化主体，控制的依据：</w:t>
      </w:r>
    </w:p>
    <w:p>
      <w:pPr>
        <w:spacing w:line="360" w:lineRule="auto" w:before="26"/>
        <w:ind w:left="214" w:right="7692" w:firstLine="0"/>
        <w:jc w:val="left"/>
        <w:rPr>
          <w:rFonts w:ascii="宋体" w:hAnsi="宋体" w:cs="宋体" w:eastAsia="宋体" w:hint="default"/>
          <w:sz w:val="18"/>
          <w:szCs w:val="18"/>
        </w:rPr>
      </w:pPr>
      <w:r>
        <w:rPr>
          <w:rFonts w:ascii="宋体" w:hAnsi="宋体" w:cs="宋体" w:eastAsia="宋体" w:hint="default"/>
          <w:sz w:val="18"/>
          <w:szCs w:val="18"/>
        </w:rPr>
        <w:t>确定公司是代理人还是委托人的依据： 其他说明：</w:t>
      </w:r>
    </w:p>
    <w:p>
      <w:pPr>
        <w:spacing w:line="240" w:lineRule="auto" w:before="11"/>
        <w:rPr>
          <w:rFonts w:ascii="宋体" w:hAnsi="宋体" w:cs="宋体" w:eastAsia="宋体" w:hint="default"/>
          <w:sz w:val="19"/>
          <w:szCs w:val="19"/>
        </w:rPr>
      </w:pPr>
    </w:p>
    <w:p>
      <w:pPr>
        <w:spacing w:before="0"/>
        <w:ind w:left="214" w:right="468" w:firstLine="0"/>
        <w:jc w:val="left"/>
        <w:rPr>
          <w:rFonts w:ascii="宋体" w:hAnsi="宋体" w:cs="宋体" w:eastAsia="宋体" w:hint="default"/>
          <w:sz w:val="21"/>
          <w:szCs w:val="21"/>
        </w:rPr>
      </w:pPr>
      <w:bookmarkStart w:name="（2）重要的非全资子公司" w:id="318"/>
      <w:bookmarkEnd w:id="31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）重要的非全资子公司</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79" w:top="1060" w:bottom="1160" w:left="92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7"/>
        <w:gridCol w:w="1914"/>
        <w:gridCol w:w="1914"/>
        <w:gridCol w:w="1913"/>
        <w:gridCol w:w="1913"/>
      </w:tblGrid>
      <w:tr>
        <w:trPr>
          <w:trHeight w:val="764" w:hRule="exact"/>
        </w:trPr>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76"/>
              <w:ind w:left="771" w:right="50"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76"/>
              <w:ind w:left="591" w:right="51"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49"/>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402"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青岛天高公司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5" w:right="0"/>
              <w:jc w:val="left"/>
              <w:rPr>
                <w:rFonts w:ascii="Times New Roman" w:hAnsi="Times New Roman" w:cs="Times New Roman" w:eastAsia="Times New Roman" w:hint="default"/>
                <w:sz w:val="18"/>
                <w:szCs w:val="18"/>
              </w:rPr>
            </w:pPr>
            <w:r>
              <w:rPr>
                <w:rFonts w:ascii="Times New Roman"/>
                <w:sz w:val="18"/>
              </w:rPr>
              <w:t>4,170,644.33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6" w:right="0"/>
              <w:jc w:val="left"/>
              <w:rPr>
                <w:rFonts w:ascii="Times New Roman" w:hAnsi="Times New Roman" w:cs="Times New Roman" w:eastAsia="Times New Roman" w:hint="default"/>
                <w:sz w:val="18"/>
                <w:szCs w:val="18"/>
              </w:rPr>
            </w:pPr>
            <w:r>
              <w:rPr>
                <w:rFonts w:ascii="Times New Roman"/>
                <w:sz w:val="18"/>
              </w:rPr>
              <w:t>2,053,800.00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13,668,663.02</w:t>
            </w:r>
          </w:p>
        </w:tc>
      </w:tr>
    </w:tbl>
    <w:p>
      <w:pPr>
        <w:spacing w:line="360" w:lineRule="auto" w:before="51"/>
        <w:ind w:left="154" w:right="6432" w:firstLine="0"/>
        <w:jc w:val="left"/>
        <w:rPr>
          <w:rFonts w:ascii="宋体" w:hAnsi="宋体" w:cs="宋体" w:eastAsia="宋体" w:hint="default"/>
          <w:sz w:val="18"/>
          <w:szCs w:val="18"/>
        </w:rPr>
      </w:pPr>
      <w:r>
        <w:rPr>
          <w:rFonts w:ascii="宋体" w:hAnsi="宋体" w:cs="宋体" w:eastAsia="宋体" w:hint="default"/>
          <w:sz w:val="18"/>
          <w:szCs w:val="18"/>
        </w:rPr>
        <w:t>子公司少数股东的持股比例不同于表决权比例的说明： 其他说明：</w:t>
      </w:r>
    </w:p>
    <w:p>
      <w:pPr>
        <w:spacing w:line="240" w:lineRule="auto" w:before="11"/>
        <w:rPr>
          <w:rFonts w:ascii="宋体" w:hAnsi="宋体" w:cs="宋体" w:eastAsia="宋体" w:hint="default"/>
          <w:sz w:val="19"/>
          <w:szCs w:val="19"/>
        </w:rPr>
      </w:pPr>
    </w:p>
    <w:p>
      <w:pPr>
        <w:spacing w:before="0"/>
        <w:ind w:left="154" w:right="0" w:firstLine="0"/>
        <w:jc w:val="left"/>
        <w:rPr>
          <w:rFonts w:ascii="宋体" w:hAnsi="宋体" w:cs="宋体" w:eastAsia="宋体" w:hint="default"/>
          <w:sz w:val="21"/>
          <w:szCs w:val="21"/>
        </w:rPr>
      </w:pPr>
      <w:bookmarkStart w:name="（3）重要非全资子公司的主要财务信息" w:id="319"/>
      <w:bookmarkEnd w:id="31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）重要非全资子公司的主要财务信息</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24"/>
      </w:tblGrid>
      <w:tr>
        <w:trPr>
          <w:trHeight w:val="402"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82" w:right="93"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03"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2" w:right="90"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0"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0"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3" w:right="91"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80"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714"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青岛天 高公司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75,802,1</w:t>
            </w:r>
          </w:p>
          <w:p>
            <w:pPr>
              <w:pStyle w:val="TableParagraph"/>
              <w:spacing w:line="240" w:lineRule="auto" w:before="106"/>
              <w:ind w:left="299" w:right="0"/>
              <w:jc w:val="left"/>
              <w:rPr>
                <w:rFonts w:ascii="Times New Roman" w:hAnsi="Times New Roman" w:cs="Times New Roman" w:eastAsia="Times New Roman" w:hint="default"/>
                <w:sz w:val="18"/>
                <w:szCs w:val="18"/>
              </w:rPr>
            </w:pPr>
            <w:r>
              <w:rPr>
                <w:rFonts w:ascii="Times New Roman"/>
                <w:sz w:val="18"/>
              </w:rPr>
              <w:t>13.94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9,832,77</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7.90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85,634,8</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91.84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57,739,6</w:t>
            </w:r>
          </w:p>
          <w:p>
            <w:pPr>
              <w:pStyle w:val="TableParagraph"/>
              <w:spacing w:line="240" w:lineRule="auto" w:before="106"/>
              <w:ind w:left="299" w:right="0"/>
              <w:jc w:val="left"/>
              <w:rPr>
                <w:rFonts w:ascii="Times New Roman" w:hAnsi="Times New Roman" w:cs="Times New Roman" w:eastAsia="Times New Roman" w:hint="default"/>
                <w:sz w:val="18"/>
                <w:szCs w:val="18"/>
              </w:rPr>
            </w:pPr>
            <w:r>
              <w:rPr>
                <w:rFonts w:ascii="Times New Roman"/>
                <w:sz w:val="18"/>
              </w:rPr>
              <w:t>61.18</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57,739,6</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61.18</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63,321,7</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65.69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7,291,75</w:t>
            </w:r>
          </w:p>
          <w:p>
            <w:pPr>
              <w:pStyle w:val="TableParagraph"/>
              <w:spacing w:line="240" w:lineRule="auto" w:before="106"/>
              <w:ind w:left="387" w:right="0"/>
              <w:jc w:val="left"/>
              <w:rPr>
                <w:rFonts w:ascii="Times New Roman" w:hAnsi="Times New Roman" w:cs="Times New Roman" w:eastAsia="Times New Roman" w:hint="default"/>
                <w:sz w:val="18"/>
                <w:szCs w:val="18"/>
              </w:rPr>
            </w:pPr>
            <w:r>
              <w:rPr>
                <w:rFonts w:ascii="Times New Roman"/>
                <w:sz w:val="18"/>
              </w:rPr>
              <w:t>3.10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70,613,5</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18.79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47,038,3</w:t>
            </w:r>
          </w:p>
          <w:p>
            <w:pPr>
              <w:pStyle w:val="TableParagraph"/>
              <w:spacing w:line="240" w:lineRule="auto" w:before="106"/>
              <w:ind w:left="299" w:right="0"/>
              <w:jc w:val="left"/>
              <w:rPr>
                <w:rFonts w:ascii="Times New Roman" w:hAnsi="Times New Roman" w:cs="Times New Roman" w:eastAsia="Times New Roman" w:hint="default"/>
                <w:sz w:val="18"/>
                <w:szCs w:val="18"/>
              </w:rPr>
            </w:pPr>
            <w:r>
              <w:rPr>
                <w:rFonts w:ascii="Times New Roman"/>
                <w:sz w:val="18"/>
              </w:rPr>
              <w:t>07.17</w:t>
            </w:r>
          </w:p>
        </w:tc>
        <w:tc>
          <w:tcPr>
            <w:tcW w:w="737" w:type="dxa"/>
            <w:tcBorders>
              <w:top w:val="single" w:sz="4" w:space="0" w:color="000000"/>
              <w:left w:val="single" w:sz="4" w:space="0" w:color="000000"/>
              <w:bottom w:val="single" w:sz="4" w:space="0" w:color="000000"/>
              <w:right w:val="single" w:sz="4" w:space="0" w:color="000000"/>
            </w:tcBorders>
          </w:tcPr>
          <w:p>
            <w:pP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47,038,3</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07.17</w:t>
            </w:r>
          </w:p>
        </w:tc>
      </w:tr>
    </w:tbl>
    <w:p>
      <w:pPr>
        <w:spacing w:before="51"/>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2"/>
        <w:gridCol w:w="1066"/>
        <w:gridCol w:w="1064"/>
        <w:gridCol w:w="1063"/>
        <w:gridCol w:w="1064"/>
        <w:gridCol w:w="1063"/>
        <w:gridCol w:w="1054"/>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4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7" w:right="76"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56"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57" w:right="64"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714"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6"/>
              <w:jc w:val="left"/>
              <w:rPr>
                <w:rFonts w:ascii="宋体" w:hAnsi="宋体" w:cs="宋体" w:eastAsia="宋体" w:hint="default"/>
                <w:sz w:val="18"/>
                <w:szCs w:val="18"/>
              </w:rPr>
            </w:pPr>
            <w:r>
              <w:rPr>
                <w:rFonts w:ascii="宋体" w:hAnsi="宋体" w:cs="宋体" w:eastAsia="宋体" w:hint="default"/>
                <w:sz w:val="18"/>
                <w:szCs w:val="18"/>
              </w:rPr>
              <w:t>青岛天高公 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102,642,726.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54</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8" w:right="0"/>
              <w:jc w:val="center"/>
              <w:rPr>
                <w:rFonts w:ascii="Times New Roman" w:hAnsi="Times New Roman" w:cs="Times New Roman" w:eastAsia="Times New Roman" w:hint="default"/>
                <w:sz w:val="18"/>
                <w:szCs w:val="18"/>
              </w:rPr>
            </w:pPr>
            <w:r>
              <w:rPr>
                <w:rFonts w:ascii="Times New Roman"/>
                <w:sz w:val="18"/>
              </w:rPr>
              <w:t>8,511,519.04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4" w:right="0"/>
              <w:jc w:val="left"/>
              <w:rPr>
                <w:rFonts w:ascii="Times New Roman" w:hAnsi="Times New Roman" w:cs="Times New Roman" w:eastAsia="Times New Roman" w:hint="default"/>
                <w:sz w:val="18"/>
                <w:szCs w:val="18"/>
              </w:rPr>
            </w:pPr>
            <w:r>
              <w:rPr>
                <w:rFonts w:ascii="Times New Roman"/>
                <w:sz w:val="18"/>
              </w:rPr>
              <w:t>8,511,519.04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16,740,780.3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66,729,039.6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6,710,801.30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6,710,801.30</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2,973,467.06</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54" w:right="0" w:firstLine="0"/>
        <w:jc w:val="left"/>
        <w:rPr>
          <w:rFonts w:ascii="宋体" w:hAnsi="宋体" w:cs="宋体" w:eastAsia="宋体" w:hint="default"/>
          <w:sz w:val="21"/>
          <w:szCs w:val="21"/>
        </w:rPr>
      </w:pPr>
      <w:bookmarkStart w:name="2、在子公司的所有者权益份额发生变化且仍控制子公司的交易" w:id="320"/>
      <w:bookmarkEnd w:id="320"/>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、在子公司的所有者权益份额发生变化且仍控制子公司的交易</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bookmarkStart w:name="（1）在子公司所有者权益份额发生变化的情况说明" w:id="321"/>
      <w:bookmarkEnd w:id="32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）在子公司所有者权益份额发生变化的情况说明</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6" w:type="dxa"/>
        <w:tblLayout w:type="fixed"/>
        <w:tblCellMar>
          <w:top w:w="0" w:type="dxa"/>
          <w:left w:w="0" w:type="dxa"/>
          <w:bottom w:w="0" w:type="dxa"/>
          <w:right w:w="0" w:type="dxa"/>
        </w:tblCellMar>
        <w:tblLook w:val="01E0"/>
      </w:tblPr>
      <w:tblGrid>
        <w:gridCol w:w="2130"/>
        <w:gridCol w:w="2130"/>
        <w:gridCol w:w="2131"/>
        <w:gridCol w:w="2132"/>
      </w:tblGrid>
      <w:tr>
        <w:trPr>
          <w:trHeight w:val="347" w:hRule="exact"/>
        </w:trPr>
        <w:tc>
          <w:tcPr>
            <w:tcW w:w="213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851"/>
              <w:jc w:val="right"/>
              <w:rPr>
                <w:rFonts w:ascii="宋体" w:hAnsi="宋体" w:cs="宋体" w:eastAsia="宋体" w:hint="default"/>
                <w:sz w:val="21"/>
                <w:szCs w:val="21"/>
              </w:rPr>
            </w:pPr>
            <w:r>
              <w:rPr>
                <w:rFonts w:ascii="宋体" w:hAnsi="宋体" w:cs="宋体" w:eastAsia="宋体" w:hint="default"/>
                <w:sz w:val="21"/>
                <w:szCs w:val="21"/>
              </w:rPr>
              <w:t>子公司名称</w:t>
            </w:r>
          </w:p>
        </w:tc>
        <w:tc>
          <w:tcPr>
            <w:tcW w:w="213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变动时间</w:t>
            </w:r>
          </w:p>
        </w:tc>
        <w:tc>
          <w:tcPr>
            <w:tcW w:w="213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变动前持股比例</w:t>
            </w:r>
          </w:p>
        </w:tc>
        <w:tc>
          <w:tcPr>
            <w:tcW w:w="2132" w:type="dxa"/>
            <w:tcBorders>
              <w:top w:val="single" w:sz="6" w:space="0" w:color="000000"/>
              <w:left w:val="single" w:sz="6" w:space="0" w:color="000000"/>
              <w:bottom w:val="single" w:sz="6" w:space="0" w:color="000000"/>
              <w:right w:val="nil" w:sz="6" w:space="0" w:color="auto"/>
            </w:tcBorders>
          </w:tcPr>
          <w:p>
            <w:pPr>
              <w:pStyle w:val="TableParagraph"/>
              <w:spacing w:line="271" w:lineRule="exact"/>
              <w:ind w:right="6"/>
              <w:jc w:val="center"/>
              <w:rPr>
                <w:rFonts w:ascii="宋体" w:hAnsi="宋体" w:cs="宋体" w:eastAsia="宋体" w:hint="default"/>
                <w:sz w:val="21"/>
                <w:szCs w:val="21"/>
              </w:rPr>
            </w:pPr>
            <w:r>
              <w:rPr>
                <w:rFonts w:ascii="宋体" w:hAnsi="宋体" w:cs="宋体" w:eastAsia="宋体" w:hint="default"/>
                <w:sz w:val="21"/>
                <w:szCs w:val="21"/>
              </w:rPr>
              <w:t>变动后持股比例</w:t>
            </w:r>
          </w:p>
        </w:tc>
      </w:tr>
      <w:tr>
        <w:trPr>
          <w:trHeight w:val="348" w:hRule="exact"/>
        </w:trPr>
        <w:tc>
          <w:tcPr>
            <w:tcW w:w="213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851"/>
              <w:jc w:val="right"/>
              <w:rPr>
                <w:rFonts w:ascii="宋体" w:hAnsi="宋体" w:cs="宋体" w:eastAsia="宋体" w:hint="default"/>
                <w:sz w:val="21"/>
                <w:szCs w:val="21"/>
              </w:rPr>
            </w:pPr>
            <w:r>
              <w:rPr>
                <w:rFonts w:ascii="宋体" w:hAnsi="宋体" w:cs="宋体" w:eastAsia="宋体" w:hint="default"/>
                <w:sz w:val="21"/>
                <w:szCs w:val="21"/>
              </w:rPr>
              <w:t>云马智慧公司</w:t>
            </w:r>
          </w:p>
        </w:tc>
        <w:tc>
          <w:tcPr>
            <w:tcW w:w="2130"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宋体" w:hAnsi="宋体" w:cs="宋体" w:eastAsia="宋体" w:hint="default"/>
                <w:sz w:val="21"/>
                <w:szCs w:val="21"/>
              </w:rPr>
              <w:t>年</w:t>
            </w:r>
            <w:r>
              <w:rPr>
                <w:rFonts w:ascii="Times New Roman" w:hAnsi="Times New Roman" w:cs="Times New Roman" w:eastAsia="Times New Roman" w:hint="default"/>
                <w:sz w:val="21"/>
                <w:szCs w:val="21"/>
              </w:rPr>
              <w:t>1</w:t>
            </w:r>
            <w:r>
              <w:rPr>
                <w:rFonts w:ascii="宋体" w:hAnsi="宋体" w:cs="宋体" w:eastAsia="宋体" w:hint="default"/>
                <w:sz w:val="21"/>
                <w:szCs w:val="21"/>
              </w:rPr>
              <w:t>月</w:t>
            </w:r>
          </w:p>
        </w:tc>
        <w:tc>
          <w:tcPr>
            <w:tcW w:w="2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center"/>
              <w:rPr>
                <w:rFonts w:ascii="Times New Roman" w:hAnsi="Times New Roman" w:cs="Times New Roman" w:eastAsia="Times New Roman" w:hint="default"/>
                <w:sz w:val="21"/>
                <w:szCs w:val="21"/>
              </w:rPr>
            </w:pPr>
            <w:r>
              <w:rPr>
                <w:rFonts w:ascii="Times New Roman"/>
                <w:sz w:val="21"/>
              </w:rPr>
              <w:t>59.11%</w:t>
            </w:r>
          </w:p>
        </w:tc>
        <w:tc>
          <w:tcPr>
            <w:tcW w:w="213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6"/>
              <w:jc w:val="center"/>
              <w:rPr>
                <w:rFonts w:ascii="Times New Roman" w:hAnsi="Times New Roman" w:cs="Times New Roman" w:eastAsia="Times New Roman" w:hint="default"/>
                <w:sz w:val="21"/>
                <w:szCs w:val="21"/>
              </w:rPr>
            </w:pPr>
            <w:r>
              <w:rPr>
                <w:rFonts w:ascii="Times New Roman"/>
                <w:sz w:val="21"/>
              </w:rPr>
              <w:t>51.00%</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3"/>
          <w:szCs w:val="23"/>
        </w:rPr>
      </w:pPr>
    </w:p>
    <w:p>
      <w:pPr>
        <w:spacing w:before="35"/>
        <w:ind w:left="154" w:right="0" w:firstLine="0"/>
        <w:jc w:val="left"/>
        <w:rPr>
          <w:rFonts w:ascii="宋体" w:hAnsi="宋体" w:cs="宋体" w:eastAsia="宋体" w:hint="default"/>
          <w:sz w:val="21"/>
          <w:szCs w:val="21"/>
        </w:rPr>
      </w:pPr>
      <w:bookmarkStart w:name="（2）交易对于少数股东权益及归属于母公司所有者权益的影响" w:id="322"/>
      <w:bookmarkEnd w:id="32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）交易对于少数股东权益及归属于母公司所有者权益的影响</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78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云马智慧公司</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购买成本</w:t>
            </w:r>
            <w:r>
              <w:rPr>
                <w:rFonts w:ascii="Times New Roman" w:hAnsi="Times New Roman" w:cs="Times New Roman" w:eastAsia="Times New Roman" w:hint="default"/>
                <w:sz w:val="18"/>
                <w:szCs w:val="18"/>
              </w:rPr>
              <w:t>/</w:t>
            </w:r>
            <w:r>
              <w:rPr>
                <w:rFonts w:ascii="宋体" w:hAnsi="宋体" w:cs="宋体" w:eastAsia="宋体" w:hint="default"/>
                <w:sz w:val="18"/>
                <w:szCs w:val="18"/>
              </w:rPr>
              <w:t>处置对价</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6,337,800.00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6,337,800.00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购买成本</w:t>
            </w:r>
            <w:r>
              <w:rPr>
                <w:rFonts w:ascii="Times New Roman" w:hAnsi="Times New Roman" w:cs="Times New Roman" w:eastAsia="Times New Roman" w:hint="default"/>
                <w:sz w:val="18"/>
                <w:szCs w:val="18"/>
              </w:rPr>
              <w:t>/</w:t>
            </w:r>
            <w:r>
              <w:rPr>
                <w:rFonts w:ascii="宋体" w:hAnsi="宋体" w:cs="宋体" w:eastAsia="宋体" w:hint="default"/>
                <w:sz w:val="18"/>
                <w:szCs w:val="18"/>
              </w:rPr>
              <w:t>处置对价合计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6,337,800.00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减：按取得</w:t>
            </w:r>
            <w:r>
              <w:rPr>
                <w:rFonts w:ascii="Times New Roman" w:hAnsi="Times New Roman" w:cs="Times New Roman" w:eastAsia="Times New Roman" w:hint="default"/>
                <w:sz w:val="18"/>
                <w:szCs w:val="18"/>
              </w:rPr>
              <w:t>/</w:t>
            </w:r>
            <w:r>
              <w:rPr>
                <w:rFonts w:ascii="宋体" w:hAnsi="宋体" w:cs="宋体" w:eastAsia="宋体" w:hint="default"/>
                <w:sz w:val="18"/>
                <w:szCs w:val="18"/>
              </w:rPr>
              <w:t>处置的股权比例计算的子公司净资产份额</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7,506,754.62</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差额</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1,168,954.62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其中：调整资本公积</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1,168,954.62</w:t>
            </w:r>
          </w:p>
        </w:tc>
      </w:tr>
    </w:tbl>
    <w:p>
      <w:pPr>
        <w:spacing w:before="51"/>
        <w:ind w:left="154" w:right="0" w:firstLine="0"/>
        <w:jc w:val="both"/>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145"/>
        <w:ind w:left="634" w:right="0"/>
        <w:jc w:val="left"/>
      </w:pPr>
      <w:r>
        <w:rPr/>
        <w:t>根据云马智慧公司</w:t>
      </w:r>
      <w:r>
        <w:rPr>
          <w:spacing w:val="-59"/>
        </w:rPr>
        <w:t> </w:t>
      </w:r>
      <w:r>
        <w:rPr>
          <w:rFonts w:ascii="宋体" w:hAnsi="宋体" w:cs="宋体" w:eastAsia="宋体" w:hint="default"/>
        </w:rPr>
        <w:t>2018</w:t>
      </w:r>
      <w:r>
        <w:rPr>
          <w:rFonts w:ascii="宋体" w:hAnsi="宋体" w:cs="宋体" w:eastAsia="宋体" w:hint="default"/>
          <w:spacing w:val="-59"/>
        </w:rPr>
        <w:t> </w:t>
      </w:r>
      <w:r>
        <w:rPr/>
        <w:t>年</w:t>
      </w:r>
      <w:r>
        <w:rPr>
          <w:spacing w:val="-59"/>
        </w:rPr>
        <w:t> </w:t>
      </w:r>
      <w:r>
        <w:rPr>
          <w:rFonts w:ascii="宋体" w:hAnsi="宋体" w:cs="宋体" w:eastAsia="宋体" w:hint="default"/>
        </w:rPr>
        <w:t>1</w:t>
      </w:r>
      <w:r>
        <w:rPr>
          <w:rFonts w:ascii="宋体" w:hAnsi="宋体" w:cs="宋体" w:eastAsia="宋体" w:hint="default"/>
          <w:spacing w:val="-59"/>
        </w:rPr>
        <w:t> </w:t>
      </w:r>
      <w:r>
        <w:rPr/>
        <w:t>月</w:t>
      </w:r>
      <w:r>
        <w:rPr>
          <w:spacing w:val="-59"/>
        </w:rPr>
        <w:t> </w:t>
      </w:r>
      <w:r>
        <w:rPr>
          <w:rFonts w:ascii="宋体" w:hAnsi="宋体" w:cs="宋体" w:eastAsia="宋体" w:hint="default"/>
        </w:rPr>
        <w:t>24</w:t>
      </w:r>
      <w:r>
        <w:rPr>
          <w:rFonts w:ascii="宋体" w:hAnsi="宋体" w:cs="宋体" w:eastAsia="宋体" w:hint="default"/>
          <w:spacing w:val="-59"/>
        </w:rPr>
        <w:t> </w:t>
      </w:r>
      <w:r>
        <w:rPr>
          <w:spacing w:val="-5"/>
        </w:rPr>
        <w:t>日股东会决议，云马智慧公司注册资本由</w:t>
      </w:r>
      <w:r>
        <w:rPr>
          <w:spacing w:val="-59"/>
        </w:rPr>
        <w:t> </w:t>
      </w:r>
      <w:r>
        <w:rPr>
          <w:rFonts w:ascii="宋体" w:hAnsi="宋体" w:cs="宋体" w:eastAsia="宋体" w:hint="default"/>
        </w:rPr>
        <w:t>222.00</w:t>
      </w:r>
      <w:r>
        <w:rPr>
          <w:rFonts w:ascii="宋体" w:hAnsi="宋体" w:cs="宋体" w:eastAsia="宋体" w:hint="default"/>
          <w:spacing w:val="-59"/>
        </w:rPr>
        <w:t> </w:t>
      </w:r>
      <w:r>
        <w:rPr/>
        <w:t>万元</w:t>
      </w:r>
    </w:p>
    <w:p>
      <w:pPr>
        <w:pStyle w:val="BodyText"/>
        <w:spacing w:line="357" w:lineRule="auto" w:before="154"/>
        <w:ind w:right="1130"/>
        <w:jc w:val="both"/>
      </w:pPr>
      <w:r>
        <w:rPr/>
        <w:t>增加至</w:t>
      </w:r>
      <w:r>
        <w:rPr>
          <w:spacing w:val="-58"/>
        </w:rPr>
        <w:t> </w:t>
      </w:r>
      <w:r>
        <w:rPr>
          <w:rFonts w:ascii="宋体" w:hAnsi="宋体" w:cs="宋体" w:eastAsia="宋体" w:hint="default"/>
        </w:rPr>
        <w:t>3,000.00</w:t>
      </w:r>
      <w:r>
        <w:rPr>
          <w:rFonts w:ascii="宋体" w:hAnsi="宋体" w:cs="宋体" w:eastAsia="宋体" w:hint="default"/>
          <w:spacing w:val="-58"/>
        </w:rPr>
        <w:t> </w:t>
      </w:r>
      <w:r>
        <w:rPr>
          <w:spacing w:val="-4"/>
        </w:rPr>
        <w:t>万元，其中本公司原出资</w:t>
      </w:r>
      <w:r>
        <w:rPr>
          <w:spacing w:val="-58"/>
        </w:rPr>
        <w:t> </w:t>
      </w:r>
      <w:r>
        <w:rPr>
          <w:rFonts w:ascii="宋体" w:hAnsi="宋体" w:cs="宋体" w:eastAsia="宋体" w:hint="default"/>
        </w:rPr>
        <w:t>131.22</w:t>
      </w:r>
      <w:r>
        <w:rPr>
          <w:rFonts w:ascii="宋体" w:hAnsi="宋体" w:cs="宋体" w:eastAsia="宋体" w:hint="default"/>
          <w:spacing w:val="-58"/>
        </w:rPr>
        <w:t> </w:t>
      </w:r>
      <w:r>
        <w:rPr>
          <w:spacing w:val="-4"/>
        </w:rPr>
        <w:t>万元，本次认缴新增注册资本</w:t>
      </w:r>
      <w:r>
        <w:rPr>
          <w:spacing w:val="-58"/>
        </w:rPr>
        <w:t> </w:t>
      </w:r>
      <w:r>
        <w:rPr>
          <w:rFonts w:ascii="宋体" w:hAnsi="宋体" w:cs="宋体" w:eastAsia="宋体" w:hint="default"/>
        </w:rPr>
        <w:t>1,398.78</w:t>
      </w:r>
      <w:r>
        <w:rPr>
          <w:rFonts w:ascii="宋体" w:hAnsi="宋体" w:cs="宋体" w:eastAsia="宋体" w:hint="default"/>
          <w:spacing w:val="-58"/>
        </w:rPr>
        <w:t> </w:t>
      </w:r>
      <w:r>
        <w:rPr/>
        <w:t>万 元，增资后公司共认缴出资额</w:t>
      </w:r>
      <w:r>
        <w:rPr>
          <w:spacing w:val="-50"/>
        </w:rPr>
        <w:t> </w:t>
      </w:r>
      <w:r>
        <w:rPr>
          <w:rFonts w:ascii="宋体" w:hAnsi="宋体" w:cs="宋体" w:eastAsia="宋体" w:hint="default"/>
        </w:rPr>
        <w:t>1,530.00</w:t>
      </w:r>
      <w:r>
        <w:rPr>
          <w:rFonts w:ascii="宋体" w:hAnsi="宋体" w:cs="宋体" w:eastAsia="宋体" w:hint="default"/>
          <w:spacing w:val="-50"/>
        </w:rPr>
        <w:t> </w:t>
      </w:r>
      <w:r>
        <w:rPr/>
        <w:t>万元，公司持股比例由</w:t>
      </w:r>
      <w:r>
        <w:rPr>
          <w:spacing w:val="-51"/>
        </w:rPr>
        <w:t> </w:t>
      </w:r>
      <w:r>
        <w:rPr>
          <w:rFonts w:ascii="宋体" w:hAnsi="宋体" w:cs="宋体" w:eastAsia="宋体" w:hint="default"/>
        </w:rPr>
        <w:t>59.11%</w:t>
      </w:r>
      <w:r>
        <w:rPr/>
        <w:t>下降为</w:t>
      </w:r>
      <w:r>
        <w:rPr>
          <w:spacing w:val="-51"/>
        </w:rPr>
        <w:t> </w:t>
      </w:r>
      <w:r>
        <w:rPr>
          <w:rFonts w:ascii="宋体" w:hAnsi="宋体" w:cs="宋体" w:eastAsia="宋体" w:hint="default"/>
        </w:rPr>
        <w:t>51.00%</w:t>
      </w:r>
      <w:r>
        <w:rPr/>
        <w:t>。本次 云马智慧公司实际收到股东出资款</w:t>
      </w:r>
      <w:r>
        <w:rPr>
          <w:spacing w:val="-50"/>
        </w:rPr>
        <w:t> </w:t>
      </w:r>
      <w:r>
        <w:rPr>
          <w:rFonts w:ascii="宋体" w:hAnsi="宋体" w:cs="宋体" w:eastAsia="宋体" w:hint="default"/>
        </w:rPr>
        <w:t>1,278.00</w:t>
      </w:r>
      <w:r>
        <w:rPr>
          <w:rFonts w:ascii="宋体" w:hAnsi="宋体" w:cs="宋体" w:eastAsia="宋体" w:hint="default"/>
          <w:spacing w:val="-50"/>
        </w:rPr>
        <w:t> </w:t>
      </w:r>
      <w:r>
        <w:rPr/>
        <w:t>万元，增资后实收资本</w:t>
      </w:r>
      <w:r>
        <w:rPr>
          <w:spacing w:val="-50"/>
        </w:rPr>
        <w:t> </w:t>
      </w:r>
      <w:r>
        <w:rPr>
          <w:rFonts w:ascii="宋体" w:hAnsi="宋体" w:cs="宋体" w:eastAsia="宋体" w:hint="default"/>
        </w:rPr>
        <w:t>1,500.00</w:t>
      </w:r>
      <w:r>
        <w:rPr>
          <w:rFonts w:ascii="宋体" w:hAnsi="宋体" w:cs="宋体" w:eastAsia="宋体" w:hint="default"/>
          <w:spacing w:val="-51"/>
        </w:rPr>
        <w:t> </w:t>
      </w:r>
      <w:r>
        <w:rPr/>
        <w:t>万元，其中本</w:t>
      </w:r>
    </w:p>
    <w:p>
      <w:pPr>
        <w:pStyle w:val="BodyText"/>
        <w:spacing w:line="357" w:lineRule="auto"/>
        <w:ind w:right="1130"/>
        <w:jc w:val="both"/>
      </w:pPr>
      <w:r>
        <w:rPr/>
        <w:t>公司实际出资</w:t>
      </w:r>
      <w:r>
        <w:rPr>
          <w:spacing w:val="-41"/>
        </w:rPr>
        <w:t> </w:t>
      </w:r>
      <w:r>
        <w:rPr>
          <w:rFonts w:ascii="宋体" w:hAnsi="宋体" w:cs="宋体" w:eastAsia="宋体" w:hint="default"/>
        </w:rPr>
        <w:t>633.78</w:t>
      </w:r>
      <w:r>
        <w:rPr>
          <w:rFonts w:ascii="宋体" w:hAnsi="宋体" w:cs="宋体" w:eastAsia="宋体" w:hint="default"/>
          <w:spacing w:val="-40"/>
        </w:rPr>
        <w:t> </w:t>
      </w:r>
      <w:r>
        <w:rPr/>
        <w:t>万元，累计出资</w:t>
      </w:r>
      <w:r>
        <w:rPr>
          <w:spacing w:val="-41"/>
        </w:rPr>
        <w:t> </w:t>
      </w:r>
      <w:r>
        <w:rPr>
          <w:rFonts w:ascii="宋体" w:hAnsi="宋体" w:cs="宋体" w:eastAsia="宋体" w:hint="default"/>
        </w:rPr>
        <w:t>765</w:t>
      </w:r>
      <w:r>
        <w:rPr>
          <w:rFonts w:ascii="宋体" w:hAnsi="宋体" w:cs="宋体" w:eastAsia="宋体" w:hint="default"/>
          <w:spacing w:val="-40"/>
        </w:rPr>
        <w:t> </w:t>
      </w:r>
      <w:r>
        <w:rPr/>
        <w:t>万元，占实收资本的</w:t>
      </w:r>
      <w:r>
        <w:rPr>
          <w:spacing w:val="-41"/>
        </w:rPr>
        <w:t> </w:t>
      </w:r>
      <w:r>
        <w:rPr>
          <w:rFonts w:ascii="宋体" w:hAnsi="宋体" w:cs="宋体" w:eastAsia="宋体" w:hint="default"/>
        </w:rPr>
        <w:t>51.00%</w:t>
      </w:r>
      <w:r>
        <w:rPr/>
        <w:t>。云马智慧公司已办 妥工商变更手续。</w:t>
      </w:r>
    </w:p>
    <w:p>
      <w:pPr>
        <w:spacing w:line="240" w:lineRule="auto" w:before="8"/>
        <w:rPr>
          <w:rFonts w:ascii="宋体" w:hAnsi="宋体" w:cs="宋体" w:eastAsia="宋体" w:hint="default"/>
          <w:sz w:val="21"/>
          <w:szCs w:val="21"/>
        </w:rPr>
      </w:pPr>
    </w:p>
    <w:p>
      <w:pPr>
        <w:spacing w:before="0"/>
        <w:ind w:left="154" w:right="0" w:firstLine="0"/>
        <w:jc w:val="both"/>
        <w:rPr>
          <w:rFonts w:ascii="宋体" w:hAnsi="宋体" w:cs="宋体" w:eastAsia="宋体" w:hint="default"/>
          <w:sz w:val="21"/>
          <w:szCs w:val="21"/>
        </w:rPr>
      </w:pPr>
      <w:bookmarkStart w:name="3、在合营安排或联营企业中的权益" w:id="323"/>
      <w:bookmarkEnd w:id="323"/>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、在合营安排或联营企业中的权益</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0" w:firstLine="0"/>
        <w:jc w:val="both"/>
        <w:rPr>
          <w:rFonts w:ascii="宋体" w:hAnsi="宋体" w:cs="宋体" w:eastAsia="宋体" w:hint="default"/>
          <w:sz w:val="21"/>
          <w:szCs w:val="21"/>
        </w:rPr>
      </w:pPr>
      <w:bookmarkStart w:name="（1）重要的合营企业或联营企业" w:id="324"/>
      <w:bookmarkEnd w:id="32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）重要的合营企业或联营企业</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320" w:right="49" w:hanging="270"/>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47"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1338"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重庆汇贤优策科 技股份有限公司</w:t>
            </w:r>
          </w:p>
          <w:p>
            <w:pPr>
              <w:pStyle w:val="TableParagraph"/>
              <w:spacing w:line="319" w:lineRule="auto" w:before="19"/>
              <w:ind w:left="22" w:right="77"/>
              <w:jc w:val="left"/>
              <w:rPr>
                <w:rFonts w:ascii="宋体" w:hAnsi="宋体" w:cs="宋体" w:eastAsia="宋体" w:hint="default"/>
                <w:sz w:val="18"/>
                <w:szCs w:val="18"/>
              </w:rPr>
            </w:pPr>
            <w:r>
              <w:rPr>
                <w:rFonts w:ascii="宋体" w:hAnsi="宋体" w:cs="宋体" w:eastAsia="宋体" w:hint="default"/>
                <w:sz w:val="18"/>
                <w:szCs w:val="18"/>
              </w:rPr>
              <w:t>（以下简称重庆 汇贤）</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28"/>
              <w:ind w:left="22" w:right="72"/>
              <w:jc w:val="left"/>
              <w:rPr>
                <w:rFonts w:ascii="宋体" w:hAnsi="宋体" w:cs="宋体" w:eastAsia="宋体" w:hint="default"/>
                <w:sz w:val="18"/>
                <w:szCs w:val="18"/>
              </w:rPr>
            </w:pPr>
            <w:r>
              <w:rPr>
                <w:rFonts w:ascii="宋体" w:hAnsi="宋体" w:cs="宋体" w:eastAsia="宋体" w:hint="default"/>
                <w:sz w:val="18"/>
                <w:szCs w:val="18"/>
              </w:rPr>
              <w:t>软件和信息技术 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权益法核算</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杭州卓然实业有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房地产业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权益法核算</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在合营企业或联营企业的持股比例不同于表决权比例的说明：</w:t>
      </w:r>
    </w:p>
    <w:p>
      <w:pPr>
        <w:spacing w:before="117"/>
        <w:ind w:left="154" w:right="0" w:firstLine="0"/>
        <w:jc w:val="left"/>
        <w:rPr>
          <w:rFonts w:ascii="宋体" w:hAnsi="宋体" w:cs="宋体" w:eastAsia="宋体" w:hint="default"/>
          <w:sz w:val="18"/>
          <w:szCs w:val="18"/>
        </w:rPr>
      </w:pPr>
      <w:r>
        <w:rPr>
          <w:rFonts w:ascii="宋体" w:hAnsi="宋体" w:cs="宋体" w:eastAsia="宋体" w:hint="default"/>
          <w:sz w:val="18"/>
          <w:szCs w:val="18"/>
        </w:rPr>
        <w:t>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以下表决权但具有重大影响，或者持有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或以上表决权但不具有重大影响的依据：</w:t>
      </w:r>
    </w:p>
    <w:p>
      <w:pPr>
        <w:pStyle w:val="BodyText"/>
        <w:spacing w:line="240" w:lineRule="auto" w:before="130"/>
        <w:ind w:left="634" w:right="0"/>
        <w:jc w:val="left"/>
      </w:pPr>
      <w:r>
        <w:rPr/>
        <w:t>重庆汇贤董事会共六名成员，本公司派有一名董事，故对其有重大影响。</w:t>
      </w:r>
    </w:p>
    <w:p>
      <w:pPr>
        <w:spacing w:line="240" w:lineRule="auto" w:before="8"/>
        <w:rPr>
          <w:rFonts w:ascii="宋体" w:hAnsi="宋体" w:cs="宋体" w:eastAsia="宋体" w:hint="default"/>
          <w:sz w:val="30"/>
          <w:szCs w:val="30"/>
        </w:rPr>
      </w:pPr>
    </w:p>
    <w:p>
      <w:pPr>
        <w:spacing w:before="0"/>
        <w:ind w:left="154" w:right="0" w:firstLine="0"/>
        <w:jc w:val="left"/>
        <w:rPr>
          <w:rFonts w:ascii="宋体" w:hAnsi="宋体" w:cs="宋体" w:eastAsia="宋体" w:hint="default"/>
          <w:sz w:val="21"/>
          <w:szCs w:val="21"/>
        </w:rPr>
      </w:pPr>
      <w:bookmarkStart w:name="（2）重要联营企业的主要财务信息" w:id="325"/>
      <w:bookmarkEnd w:id="32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）重要联营企业的主要财务信息</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92"/>
        <w:gridCol w:w="1926"/>
        <w:gridCol w:w="1914"/>
        <w:gridCol w:w="1914"/>
        <w:gridCol w:w="1914"/>
      </w:tblGrid>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84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84"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72"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1892" w:type="dxa"/>
            <w:tcBorders>
              <w:top w:val="single" w:sz="4" w:space="0" w:color="000000"/>
              <w:left w:val="single" w:sz="4" w:space="0" w:color="000000"/>
              <w:bottom w:val="single" w:sz="4" w:space="0" w:color="000000"/>
              <w:right w:val="single" w:sz="9" w:space="0" w:color="E0FFFF"/>
            </w:tcBorders>
            <w:shd w:val="clear" w:color="auto" w:fill="D2D2D2"/>
          </w:tcPr>
          <w:p>
            <w:pPr/>
          </w:p>
        </w:tc>
        <w:tc>
          <w:tcPr>
            <w:tcW w:w="1926" w:type="dxa"/>
            <w:tcBorders>
              <w:top w:val="single" w:sz="4" w:space="0" w:color="000000"/>
              <w:left w:val="single" w:sz="13" w:space="0" w:color="D2D2D2"/>
              <w:bottom w:val="single" w:sz="4" w:space="0" w:color="000000"/>
              <w:right w:val="single" w:sz="4" w:space="0" w:color="000000"/>
            </w:tcBorders>
            <w:shd w:val="clear" w:color="auto" w:fill="E0FFFF"/>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重庆汇贤</w:t>
            </w:r>
          </w:p>
        </w:tc>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卓然实业</w:t>
            </w:r>
          </w:p>
        </w:tc>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重庆汇贤</w:t>
            </w:r>
          </w:p>
        </w:tc>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卓然实业</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111,455,475.58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18,589,813.37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131,320,399.11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8,566,887.14</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233,734,192.63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358,419,851.50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158,578,863.05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302,246,478.70</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345,189,668.21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377,009,664.87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289,899,262.16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310,813,365.84</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94,788,443.33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41,839,734.16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72,876,519.11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18,208,956.90</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56,018,196.25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183,300,000.00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42,840,646.02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139,000,000.00</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150,806,639.58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225,139,734.16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115,717,165.13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157,208,956.90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2,195,343.38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1,224,156.50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192,187,685.25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151,869,930.71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172,957,940.53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153,604,408.94</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81"/>
              <w:jc w:val="left"/>
              <w:rPr>
                <w:rFonts w:ascii="宋体" w:hAnsi="宋体" w:cs="宋体" w:eastAsia="宋体" w:hint="default"/>
                <w:sz w:val="18"/>
                <w:szCs w:val="18"/>
              </w:rPr>
            </w:pPr>
            <w:r>
              <w:rPr>
                <w:rFonts w:ascii="宋体" w:hAnsi="宋体" w:cs="宋体" w:eastAsia="宋体" w:hint="default"/>
                <w:sz w:val="18"/>
                <w:szCs w:val="18"/>
              </w:rPr>
              <w:t>按持股比例计算的净资 产份额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15,481,785.76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60,747,972.28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13,932,722.99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61,441,763.58</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81"/>
              <w:jc w:val="left"/>
              <w:rPr>
                <w:rFonts w:ascii="宋体" w:hAnsi="宋体" w:cs="宋体" w:eastAsia="宋体" w:hint="default"/>
                <w:sz w:val="18"/>
                <w:szCs w:val="18"/>
              </w:rPr>
            </w:pPr>
            <w:r>
              <w:rPr>
                <w:rFonts w:ascii="宋体" w:hAnsi="宋体" w:cs="宋体" w:eastAsia="宋体" w:hint="default"/>
                <w:sz w:val="18"/>
                <w:szCs w:val="18"/>
              </w:rPr>
              <w:t>对联营企业权益投资的 账面价值</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15,481,785.76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60,747,972.28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13,932,722.99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61,441,763.58</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167,554,650.51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123,215,689.44</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19,229,744.71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-1,734,478.23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13,574,469.82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-1,572,295.58</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19,229,744.71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-1,734,478.23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13,574,469.82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-1,572,295.58</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54" w:right="0" w:firstLine="0"/>
        <w:jc w:val="left"/>
        <w:rPr>
          <w:rFonts w:ascii="宋体" w:hAnsi="宋体" w:cs="宋体" w:eastAsia="宋体" w:hint="default"/>
          <w:sz w:val="21"/>
          <w:szCs w:val="21"/>
        </w:rPr>
      </w:pPr>
      <w:bookmarkStart w:name="（3）不重要的合营企业和联营企业的汇总财务信息" w:id="326"/>
      <w:bookmarkEnd w:id="32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）不重要的合营企业和联营企业的汇总财务信息</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00"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2"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2,848,393.47</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1,674,279.25</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-75,885.78</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-65,753.36</w:t>
            </w:r>
            <w:r>
              <w:rPr>
                <w:rFonts w:ascii="Times New Roman"/>
                <w:sz w:val="18"/>
              </w:rPr>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-75,885.78</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-65,753.36</w:t>
            </w:r>
            <w:r>
              <w:rPr>
                <w:rFonts w:ascii="Times New Roman"/>
                <w:sz w:val="18"/>
              </w:rPr>
            </w:r>
          </w:p>
        </w:tc>
      </w:tr>
    </w:tbl>
    <w:p>
      <w:pPr>
        <w:spacing w:before="51"/>
        <w:ind w:left="154" w:right="0" w:firstLine="0"/>
        <w:jc w:val="both"/>
        <w:rPr>
          <w:rFonts w:ascii="宋体" w:hAnsi="宋体" w:cs="宋体" w:eastAsia="宋体" w:hint="default"/>
          <w:sz w:val="18"/>
          <w:szCs w:val="18"/>
        </w:rPr>
      </w:pPr>
      <w:r>
        <w:rPr>
          <w:rFonts w:ascii="宋体" w:hAnsi="宋体" w:cs="宋体" w:eastAsia="宋体" w:hint="default"/>
          <w:sz w:val="18"/>
          <w:szCs w:val="18"/>
        </w:rPr>
        <w:t>其他说明</w:t>
      </w:r>
    </w:p>
    <w:p>
      <w:pPr>
        <w:spacing w:line="692" w:lineRule="exact" w:before="54"/>
        <w:ind w:left="634" w:right="0" w:hanging="480"/>
        <w:jc w:val="left"/>
        <w:rPr>
          <w:rFonts w:ascii="宋体" w:hAnsi="宋体" w:cs="宋体" w:eastAsia="宋体" w:hint="default"/>
          <w:sz w:val="24"/>
          <w:szCs w:val="24"/>
        </w:rPr>
      </w:pPr>
      <w:bookmarkStart w:name="十、与金融工具相关的风险" w:id="327"/>
      <w:bookmarkEnd w:id="327"/>
      <w:r>
        <w:rPr/>
      </w:r>
      <w:r>
        <w:rPr>
          <w:rFonts w:ascii="宋体" w:hAnsi="宋体" w:cs="宋体" w:eastAsia="宋体" w:hint="default"/>
          <w:b/>
          <w:bCs/>
          <w:sz w:val="24"/>
          <w:szCs w:val="24"/>
        </w:rPr>
        <w:t>十、与金融工具相关的风险</w:t>
      </w:r>
      <w:r>
        <w:rPr>
          <w:rFonts w:ascii="宋体" w:hAnsi="宋体" w:cs="宋体" w:eastAsia="宋体" w:hint="default"/>
          <w:b/>
          <w:bCs/>
          <w:w w:val="99"/>
          <w:sz w:val="24"/>
          <w:szCs w:val="24"/>
        </w:rPr>
        <w:t> </w:t>
      </w:r>
      <w:r>
        <w:rPr>
          <w:rFonts w:ascii="宋体" w:hAnsi="宋体" w:cs="宋体" w:eastAsia="宋体" w:hint="default"/>
          <w:sz w:val="24"/>
          <w:szCs w:val="24"/>
        </w:rPr>
        <w:t>本公司从事风险管理的目标是在风险和收益之间取得平衡，将风险对本公司经营业绩的</w:t>
      </w:r>
    </w:p>
    <w:p>
      <w:pPr>
        <w:pStyle w:val="BodyText"/>
        <w:spacing w:line="357" w:lineRule="auto" w:before="49"/>
        <w:ind w:right="1139"/>
        <w:jc w:val="both"/>
      </w:pPr>
      <w:r>
        <w:rPr/>
        <w:t>负面影响降至最低水平，使股东和其他权益投资者的利益最大化。基于该风险管理目标，本 公司风险管理的基本策略是确认和分析本公司面临的各种风险，建立适当的风险承受底线和 进行风险管理，并及时可靠地对各种风险进行监督，将风险控制在限定的范围内。</w:t>
      </w:r>
    </w:p>
    <w:p>
      <w:pPr>
        <w:pStyle w:val="BodyText"/>
        <w:spacing w:line="357" w:lineRule="auto"/>
        <w:ind w:right="0" w:firstLine="480"/>
        <w:jc w:val="left"/>
      </w:pPr>
      <w:r>
        <w:rPr/>
        <w:t>本公司在日常活动中面临各种与金融工具相关的风险，主要包括信用风险、流动风险及 市场风险。管理层已审议并批准管理这些风险的政策，概括如下。</w:t>
      </w:r>
    </w:p>
    <w:p>
      <w:pPr>
        <w:pStyle w:val="BodyText"/>
        <w:spacing w:line="357" w:lineRule="auto"/>
        <w:ind w:left="634" w:right="1118"/>
        <w:jc w:val="left"/>
      </w:pPr>
      <w:r>
        <w:rPr>
          <w:rFonts w:ascii="宋体" w:hAnsi="宋体" w:cs="宋体" w:eastAsia="宋体" w:hint="default"/>
        </w:rPr>
        <w:t>(</w:t>
      </w:r>
      <w:r>
        <w:rPr/>
        <w:t>一</w:t>
      </w:r>
      <w:r>
        <w:rPr>
          <w:rFonts w:ascii="宋体" w:hAnsi="宋体" w:cs="宋体" w:eastAsia="宋体" w:hint="default"/>
        </w:rPr>
        <w:t>) </w:t>
      </w:r>
      <w:r>
        <w:rPr/>
        <w:t>信用风险 信用风险，是指金融工具的一方不能履行义务，造成另一方发生财务损失的风险。 本公司的信用风险主要来自银行存款和应收款项。为控制上述相关风险，本公司分别采</w:t>
      </w:r>
    </w:p>
    <w:p>
      <w:pPr>
        <w:spacing w:after="0" w:line="357" w:lineRule="auto"/>
        <w:jc w:val="left"/>
        <w:sectPr>
          <w:pgSz w:w="11910" w:h="16840"/>
          <w:pgMar w:header="747" w:footer="979" w:top="1060" w:bottom="1160" w:left="980" w:right="0"/>
        </w:sectPr>
      </w:pPr>
    </w:p>
    <w:p>
      <w:pPr>
        <w:spacing w:line="240" w:lineRule="auto" w:before="7"/>
        <w:rPr>
          <w:rFonts w:ascii="宋体" w:hAnsi="宋体" w:cs="宋体" w:eastAsia="宋体" w:hint="default"/>
          <w:sz w:val="29"/>
          <w:szCs w:val="29"/>
        </w:rPr>
      </w:pPr>
    </w:p>
    <w:p>
      <w:pPr>
        <w:pStyle w:val="BodyText"/>
        <w:spacing w:line="357" w:lineRule="auto" w:before="26"/>
        <w:ind w:left="694" w:right="8952" w:hanging="480"/>
        <w:jc w:val="left"/>
      </w:pPr>
      <w:r>
        <w:rPr/>
        <w:t>取了以下措施。 </w:t>
      </w:r>
      <w:r>
        <w:rPr>
          <w:rFonts w:ascii="宋体" w:hAnsi="宋体" w:cs="宋体" w:eastAsia="宋体" w:hint="default"/>
        </w:rPr>
        <w:t>1. </w:t>
      </w:r>
      <w:r>
        <w:rPr/>
        <w:t>银行存款</w:t>
      </w:r>
    </w:p>
    <w:p>
      <w:pPr>
        <w:pStyle w:val="BodyText"/>
        <w:spacing w:line="357" w:lineRule="auto"/>
        <w:ind w:left="694" w:right="2592"/>
        <w:jc w:val="left"/>
      </w:pPr>
      <w:r>
        <w:rPr/>
        <w:t>本公司将银行存款存放于信用评级较高的金融机构，故其信用风险较低。 </w:t>
      </w:r>
      <w:r>
        <w:rPr>
          <w:rFonts w:ascii="宋体" w:hAnsi="宋体" w:cs="宋体" w:eastAsia="宋体" w:hint="default"/>
        </w:rPr>
        <w:t>2. </w:t>
      </w:r>
      <w:r>
        <w:rPr/>
        <w:t>应收款项</w:t>
      </w:r>
    </w:p>
    <w:p>
      <w:pPr>
        <w:pStyle w:val="BodyText"/>
        <w:spacing w:line="357" w:lineRule="auto"/>
        <w:ind w:left="214" w:right="1136" w:firstLine="480"/>
        <w:jc w:val="both"/>
      </w:pPr>
      <w:r>
        <w:rPr/>
        <w:t>本公司持续对采用信用方式交易的客户进行信用评估。根据信用评估结果，本公司选择 与经认可的且信用良好的客户进行交易，并对其应收款项余额进行监控，以确保本公司不会</w:t>
      </w:r>
      <w:r>
        <w:rPr>
          <w:spacing w:val="-116"/>
        </w:rPr>
        <w:t> </w:t>
      </w:r>
      <w:r>
        <w:rPr>
          <w:spacing w:val="-116"/>
        </w:rPr>
      </w:r>
      <w:r>
        <w:rPr/>
        <w:t>面临重大坏账风险。</w:t>
      </w:r>
    </w:p>
    <w:p>
      <w:pPr>
        <w:pStyle w:val="BodyText"/>
        <w:spacing w:line="357" w:lineRule="auto"/>
        <w:ind w:left="214" w:right="1129" w:firstLine="480"/>
        <w:jc w:val="both"/>
      </w:pPr>
      <w:r>
        <w:rPr/>
        <w:t>由于本公司的应收账款风险点分布于多个合作方和多个客户，截至</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日，本</w:t>
      </w:r>
      <w:r>
        <w:rPr>
          <w:spacing w:val="2"/>
        </w:rPr>
        <w:t> </w:t>
      </w:r>
      <w:r>
        <w:rPr/>
        <w:t>公司应收账款的</w:t>
      </w:r>
      <w:r>
        <w:rPr>
          <w:rFonts w:ascii="宋体" w:hAnsi="宋体" w:cs="宋体" w:eastAsia="宋体" w:hint="default"/>
        </w:rPr>
        <w:t>21.62%(2017</w:t>
      </w:r>
      <w:r>
        <w:rPr/>
        <w:t>年</w:t>
      </w:r>
      <w:r>
        <w:rPr>
          <w:rFonts w:ascii="宋体" w:hAnsi="宋体" w:cs="宋体" w:eastAsia="宋体" w:hint="default"/>
        </w:rPr>
        <w:t>12</w:t>
      </w:r>
      <w:r>
        <w:rPr/>
        <w:t>月</w:t>
      </w:r>
      <w:r>
        <w:rPr>
          <w:rFonts w:ascii="宋体" w:hAnsi="宋体" w:cs="宋体" w:eastAsia="宋体" w:hint="default"/>
        </w:rPr>
        <w:t>31</w:t>
      </w:r>
      <w:r>
        <w:rPr/>
        <w:t>日：</w:t>
      </w:r>
      <w:r>
        <w:rPr>
          <w:rFonts w:ascii="宋体" w:hAnsi="宋体" w:cs="宋体" w:eastAsia="宋体" w:hint="default"/>
        </w:rPr>
        <w:t>23.90%)</w:t>
      </w:r>
      <w:r>
        <w:rPr/>
        <w:t>源于余额前五名客户，本公司不存在重大</w:t>
      </w:r>
      <w:r>
        <w:rPr>
          <w:spacing w:val="-88"/>
        </w:rPr>
        <w:t> </w:t>
      </w:r>
      <w:r>
        <w:rPr/>
        <w:t>的信用集中风险。</w:t>
      </w:r>
    </w:p>
    <w:p>
      <w:pPr>
        <w:pStyle w:val="BodyText"/>
        <w:spacing w:line="357" w:lineRule="auto"/>
        <w:ind w:left="214" w:right="1139" w:firstLine="480"/>
        <w:jc w:val="both"/>
      </w:pPr>
      <w:r>
        <w:rPr>
          <w:rFonts w:ascii="宋体" w:hAnsi="宋体" w:cs="宋体" w:eastAsia="宋体" w:hint="default"/>
        </w:rPr>
        <w:t>(1)</w:t>
      </w:r>
      <w:r>
        <w:rPr>
          <w:rFonts w:ascii="宋体" w:hAnsi="宋体" w:cs="宋体" w:eastAsia="宋体" w:hint="default"/>
          <w:spacing w:val="4"/>
        </w:rPr>
        <w:t> </w:t>
      </w:r>
      <w:r>
        <w:rPr/>
        <w:t>本公司的应收款项中未逾期且未减值的金额，以及虽已逾期但未减值的金额和逾期 账龄分析如下：</w:t>
      </w:r>
    </w:p>
    <w:p>
      <w:pPr>
        <w:spacing w:line="240" w:lineRule="auto" w:before="8"/>
        <w:rPr>
          <w:rFonts w:ascii="宋体" w:hAnsi="宋体" w:cs="宋体" w:eastAsia="宋体" w:hint="default"/>
          <w:sz w:val="11"/>
          <w:szCs w:val="11"/>
        </w:rPr>
      </w:pPr>
    </w:p>
    <w:tbl>
      <w:tblPr>
        <w:tblW w:w="0" w:type="auto"/>
        <w:jc w:val="left"/>
        <w:tblInd w:w="101" w:type="dxa"/>
        <w:tblLayout w:type="fixed"/>
        <w:tblCellMar>
          <w:top w:w="0" w:type="dxa"/>
          <w:left w:w="0" w:type="dxa"/>
          <w:bottom w:w="0" w:type="dxa"/>
          <w:right w:w="0" w:type="dxa"/>
        </w:tblCellMar>
        <w:tblLook w:val="01E0"/>
      </w:tblPr>
      <w:tblGrid>
        <w:gridCol w:w="1420"/>
        <w:gridCol w:w="1950"/>
        <w:gridCol w:w="1134"/>
        <w:gridCol w:w="1274"/>
        <w:gridCol w:w="994"/>
        <w:gridCol w:w="1751"/>
      </w:tblGrid>
      <w:tr>
        <w:trPr>
          <w:trHeight w:val="322" w:hRule="exact"/>
        </w:trPr>
        <w:tc>
          <w:tcPr>
            <w:tcW w:w="1420" w:type="dxa"/>
            <w:vMerge w:val="restart"/>
            <w:tcBorders>
              <w:top w:val="single" w:sz="4" w:space="0" w:color="000000"/>
              <w:left w:val="single" w:sz="4" w:space="0" w:color="000000"/>
              <w:right w:val="single" w:sz="4" w:space="0" w:color="000000"/>
            </w:tcBorders>
          </w:tcPr>
          <w:p>
            <w:pPr>
              <w:pStyle w:val="TableParagraph"/>
              <w:spacing w:line="260" w:lineRule="exact"/>
              <w:ind w:left="208" w:right="0"/>
              <w:jc w:val="left"/>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63"/>
                <w:sz w:val="21"/>
                <w:szCs w:val="21"/>
              </w:rPr>
              <w:t> </w:t>
            </w:r>
            <w:r>
              <w:rPr>
                <w:rFonts w:ascii="宋体" w:hAnsi="宋体" w:cs="宋体" w:eastAsia="宋体" w:hint="default"/>
                <w:sz w:val="21"/>
                <w:szCs w:val="21"/>
              </w:rPr>
              <w:t>目</w:t>
            </w:r>
          </w:p>
        </w:tc>
        <w:tc>
          <w:tcPr>
            <w:tcW w:w="7104" w:type="dxa"/>
            <w:gridSpan w:val="5"/>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323" w:hRule="exact"/>
        </w:trPr>
        <w:tc>
          <w:tcPr>
            <w:tcW w:w="1420" w:type="dxa"/>
            <w:vMerge/>
            <w:tcBorders>
              <w:left w:val="single" w:sz="4" w:space="0" w:color="000000"/>
              <w:right w:val="single" w:sz="4" w:space="0" w:color="000000"/>
            </w:tcBorders>
          </w:tcPr>
          <w:p>
            <w:pPr/>
          </w:p>
        </w:tc>
        <w:tc>
          <w:tcPr>
            <w:tcW w:w="1950" w:type="dxa"/>
            <w:vMerge w:val="restart"/>
            <w:tcBorders>
              <w:top w:val="single" w:sz="4" w:space="0" w:color="000000"/>
              <w:left w:val="single" w:sz="4" w:space="0" w:color="000000"/>
              <w:right w:val="single" w:sz="4" w:space="0" w:color="000000"/>
            </w:tcBorders>
          </w:tcPr>
          <w:p>
            <w:pPr>
              <w:pStyle w:val="TableParagraph"/>
              <w:spacing w:line="261" w:lineRule="exact"/>
              <w:ind w:left="339" w:right="0"/>
              <w:jc w:val="left"/>
              <w:rPr>
                <w:rFonts w:ascii="宋体" w:hAnsi="宋体" w:cs="宋体" w:eastAsia="宋体" w:hint="default"/>
                <w:sz w:val="21"/>
                <w:szCs w:val="21"/>
              </w:rPr>
            </w:pPr>
            <w:r>
              <w:rPr>
                <w:rFonts w:ascii="宋体" w:hAnsi="宋体" w:cs="宋体" w:eastAsia="宋体" w:hint="default"/>
                <w:sz w:val="21"/>
                <w:szCs w:val="21"/>
              </w:rPr>
              <w:t>未逾期未减值</w:t>
            </w:r>
          </w:p>
        </w:tc>
        <w:tc>
          <w:tcPr>
            <w:tcW w:w="3402" w:type="dxa"/>
            <w:gridSpan w:val="3"/>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64" w:right="0"/>
              <w:jc w:val="left"/>
              <w:rPr>
                <w:rFonts w:ascii="宋体" w:hAnsi="宋体" w:cs="宋体" w:eastAsia="宋体" w:hint="default"/>
                <w:sz w:val="21"/>
                <w:szCs w:val="21"/>
              </w:rPr>
            </w:pPr>
            <w:r>
              <w:rPr>
                <w:rFonts w:ascii="宋体" w:hAnsi="宋体" w:cs="宋体" w:eastAsia="宋体" w:hint="default"/>
                <w:sz w:val="21"/>
                <w:szCs w:val="21"/>
              </w:rPr>
              <w:t>已逾期未减值</w:t>
            </w:r>
          </w:p>
        </w:tc>
        <w:tc>
          <w:tcPr>
            <w:tcW w:w="1751" w:type="dxa"/>
            <w:vMerge w:val="restart"/>
            <w:tcBorders>
              <w:top w:val="single" w:sz="4" w:space="0" w:color="000000"/>
              <w:left w:val="single" w:sz="4" w:space="0" w:color="000000"/>
              <w:right w:val="single" w:sz="4"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21"/>
                <w:sz w:val="21"/>
                <w:szCs w:val="21"/>
              </w:rPr>
              <w:t> </w:t>
            </w:r>
            <w:r>
              <w:rPr>
                <w:rFonts w:ascii="宋体" w:hAnsi="宋体" w:cs="宋体" w:eastAsia="宋体" w:hint="default"/>
                <w:sz w:val="21"/>
                <w:szCs w:val="21"/>
              </w:rPr>
              <w:t>计</w:t>
            </w:r>
          </w:p>
        </w:tc>
      </w:tr>
      <w:tr>
        <w:trPr>
          <w:trHeight w:val="322" w:hRule="exact"/>
        </w:trPr>
        <w:tc>
          <w:tcPr>
            <w:tcW w:w="1420" w:type="dxa"/>
            <w:vMerge/>
            <w:tcBorders>
              <w:left w:val="single" w:sz="4" w:space="0" w:color="000000"/>
              <w:bottom w:val="single" w:sz="4" w:space="0" w:color="000000"/>
              <w:right w:val="single" w:sz="4" w:space="0" w:color="000000"/>
            </w:tcBorders>
          </w:tcPr>
          <w:p>
            <w:pPr/>
          </w:p>
        </w:tc>
        <w:tc>
          <w:tcPr>
            <w:tcW w:w="1950" w:type="dxa"/>
            <w:vMerge/>
            <w:tcBorders>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9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38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宋体" w:hAnsi="宋体" w:cs="宋体" w:eastAsia="宋体" w:hint="default"/>
                <w:sz w:val="21"/>
                <w:szCs w:val="21"/>
              </w:rPr>
              <w:t>年</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年以上</w:t>
            </w:r>
          </w:p>
        </w:tc>
        <w:tc>
          <w:tcPr>
            <w:tcW w:w="1751" w:type="dxa"/>
            <w:vMerge/>
            <w:tcBorders>
              <w:left w:val="single" w:sz="4" w:space="0" w:color="000000"/>
              <w:bottom w:val="single" w:sz="4" w:space="0" w:color="000000"/>
              <w:right w:val="single" w:sz="4" w:space="0" w:color="000000"/>
            </w:tcBorders>
          </w:tcPr>
          <w:p>
            <w:pPr/>
          </w:p>
        </w:tc>
      </w:tr>
      <w:tr>
        <w:trPr>
          <w:trHeight w:val="322" w:hRule="exact"/>
        </w:trPr>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pacing w:val="-1"/>
                <w:sz w:val="21"/>
              </w:rPr>
              <w:t>1,942,145.00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75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pacing w:val="-1"/>
                <w:sz w:val="21"/>
              </w:rPr>
              <w:t>1,942,145.00</w:t>
            </w:r>
          </w:p>
        </w:tc>
      </w:tr>
      <w:tr>
        <w:trPr>
          <w:trHeight w:val="323" w:hRule="exact"/>
        </w:trPr>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208" w:right="0"/>
              <w:jc w:val="left"/>
              <w:rPr>
                <w:rFonts w:ascii="宋体" w:hAnsi="宋体" w:cs="宋体" w:eastAsia="宋体" w:hint="default"/>
                <w:sz w:val="21"/>
                <w:szCs w:val="21"/>
              </w:rPr>
            </w:pPr>
            <w:r>
              <w:rPr>
                <w:rFonts w:ascii="宋体" w:hAnsi="宋体" w:cs="宋体" w:eastAsia="宋体" w:hint="default"/>
                <w:sz w:val="21"/>
                <w:szCs w:val="21"/>
              </w:rPr>
              <w:t>小</w:t>
            </w:r>
            <w:r>
              <w:rPr>
                <w:rFonts w:ascii="宋体" w:hAnsi="宋体" w:cs="宋体" w:eastAsia="宋体" w:hint="default"/>
                <w:spacing w:val="63"/>
                <w:sz w:val="21"/>
                <w:szCs w:val="21"/>
              </w:rPr>
              <w:t> </w:t>
            </w:r>
            <w:r>
              <w:rPr>
                <w:rFonts w:ascii="宋体" w:hAnsi="宋体" w:cs="宋体" w:eastAsia="宋体" w:hint="default"/>
                <w:sz w:val="21"/>
                <w:szCs w:val="21"/>
              </w:rPr>
              <w:t>计</w:t>
            </w:r>
          </w:p>
        </w:tc>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1"/>
              <w:jc w:val="right"/>
              <w:rPr>
                <w:rFonts w:ascii="宋体" w:hAnsi="宋体" w:cs="宋体" w:eastAsia="宋体" w:hint="default"/>
                <w:sz w:val="21"/>
                <w:szCs w:val="21"/>
              </w:rPr>
            </w:pPr>
            <w:r>
              <w:rPr>
                <w:rFonts w:ascii="宋体"/>
                <w:spacing w:val="-1"/>
                <w:sz w:val="21"/>
              </w:rPr>
              <w:t>1,942,145.00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751"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1"/>
              <w:jc w:val="right"/>
              <w:rPr>
                <w:rFonts w:ascii="宋体" w:hAnsi="宋体" w:cs="宋体" w:eastAsia="宋体" w:hint="default"/>
                <w:sz w:val="21"/>
                <w:szCs w:val="21"/>
              </w:rPr>
            </w:pPr>
            <w:r>
              <w:rPr>
                <w:rFonts w:ascii="宋体"/>
                <w:spacing w:val="-1"/>
                <w:sz w:val="21"/>
              </w:rPr>
              <w:t>1,942,145.00</w:t>
            </w:r>
          </w:p>
        </w:tc>
      </w:tr>
      <w:tr>
        <w:trPr>
          <w:trHeight w:val="322" w:hRule="exact"/>
        </w:trPr>
        <w:tc>
          <w:tcPr>
            <w:tcW w:w="1420" w:type="dxa"/>
            <w:tcBorders>
              <w:top w:val="single" w:sz="4" w:space="0" w:color="000000"/>
              <w:left w:val="single" w:sz="4" w:space="0" w:color="000000"/>
              <w:bottom w:val="single" w:sz="4" w:space="0" w:color="000000"/>
              <w:right w:val="single" w:sz="4" w:space="0" w:color="000000"/>
            </w:tcBorders>
          </w:tcPr>
          <w:p>
            <w:pPr/>
          </w:p>
        </w:tc>
        <w:tc>
          <w:tcPr>
            <w:tcW w:w="195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75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4"/>
          <w:szCs w:val="14"/>
        </w:rPr>
      </w:pPr>
    </w:p>
    <w:p>
      <w:pPr>
        <w:spacing w:before="35"/>
        <w:ind w:left="634" w:right="468"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续上表</w:t>
      </w:r>
      <w:r>
        <w:rPr>
          <w:rFonts w:ascii="宋体" w:hAnsi="宋体" w:cs="宋体" w:eastAsia="宋体" w:hint="default"/>
          <w:sz w:val="21"/>
          <w:szCs w:val="21"/>
        </w:rPr>
        <w:t>)</w:t>
      </w:r>
    </w:p>
    <w:p>
      <w:pPr>
        <w:spacing w:line="240" w:lineRule="auto" w:before="11"/>
        <w:rPr>
          <w:rFonts w:ascii="宋体" w:hAnsi="宋体" w:cs="宋体" w:eastAsia="宋体" w:hint="default"/>
          <w:sz w:val="21"/>
          <w:szCs w:val="21"/>
        </w:rPr>
      </w:pPr>
    </w:p>
    <w:tbl>
      <w:tblPr>
        <w:tblW w:w="0" w:type="auto"/>
        <w:jc w:val="left"/>
        <w:tblInd w:w="101" w:type="dxa"/>
        <w:tblLayout w:type="fixed"/>
        <w:tblCellMar>
          <w:top w:w="0" w:type="dxa"/>
          <w:left w:w="0" w:type="dxa"/>
          <w:bottom w:w="0" w:type="dxa"/>
          <w:right w:w="0" w:type="dxa"/>
        </w:tblCellMar>
        <w:tblLook w:val="01E0"/>
      </w:tblPr>
      <w:tblGrid>
        <w:gridCol w:w="1392"/>
        <w:gridCol w:w="1978"/>
        <w:gridCol w:w="1098"/>
        <w:gridCol w:w="1254"/>
        <w:gridCol w:w="1050"/>
        <w:gridCol w:w="1751"/>
      </w:tblGrid>
      <w:tr>
        <w:trPr>
          <w:trHeight w:val="323" w:hRule="exact"/>
        </w:trPr>
        <w:tc>
          <w:tcPr>
            <w:tcW w:w="1392" w:type="dxa"/>
            <w:vMerge w:val="restart"/>
            <w:tcBorders>
              <w:top w:val="single" w:sz="4" w:space="0" w:color="000000"/>
              <w:left w:val="single" w:sz="4" w:space="0" w:color="000000"/>
              <w:right w:val="single" w:sz="4" w:space="0" w:color="000000"/>
            </w:tcBorders>
          </w:tcPr>
          <w:p>
            <w:pPr>
              <w:pStyle w:val="TableParagraph"/>
              <w:spacing w:line="261" w:lineRule="exact"/>
              <w:ind w:left="208" w:right="0"/>
              <w:jc w:val="left"/>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63"/>
                <w:sz w:val="21"/>
                <w:szCs w:val="21"/>
              </w:rPr>
              <w:t> </w:t>
            </w:r>
            <w:r>
              <w:rPr>
                <w:rFonts w:ascii="宋体" w:hAnsi="宋体" w:cs="宋体" w:eastAsia="宋体" w:hint="default"/>
                <w:sz w:val="21"/>
                <w:szCs w:val="21"/>
              </w:rPr>
              <w:t>目</w:t>
            </w:r>
          </w:p>
        </w:tc>
        <w:tc>
          <w:tcPr>
            <w:tcW w:w="7131" w:type="dxa"/>
            <w:gridSpan w:val="5"/>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22" w:hRule="exact"/>
        </w:trPr>
        <w:tc>
          <w:tcPr>
            <w:tcW w:w="1392" w:type="dxa"/>
            <w:vMerge/>
            <w:tcBorders>
              <w:left w:val="single" w:sz="4" w:space="0" w:color="000000"/>
              <w:right w:val="single" w:sz="4" w:space="0" w:color="000000"/>
            </w:tcBorders>
          </w:tcPr>
          <w:p>
            <w:pPr/>
          </w:p>
        </w:tc>
        <w:tc>
          <w:tcPr>
            <w:tcW w:w="1978" w:type="dxa"/>
            <w:vMerge w:val="restart"/>
            <w:tcBorders>
              <w:top w:val="single" w:sz="4" w:space="0" w:color="000000"/>
              <w:left w:val="single" w:sz="4" w:space="0" w:color="000000"/>
              <w:right w:val="single" w:sz="4" w:space="0" w:color="000000"/>
            </w:tcBorders>
          </w:tcPr>
          <w:p>
            <w:pPr>
              <w:pStyle w:val="TableParagraph"/>
              <w:spacing w:line="260" w:lineRule="exact"/>
              <w:ind w:left="353" w:right="0"/>
              <w:jc w:val="left"/>
              <w:rPr>
                <w:rFonts w:ascii="宋体" w:hAnsi="宋体" w:cs="宋体" w:eastAsia="宋体" w:hint="default"/>
                <w:sz w:val="21"/>
                <w:szCs w:val="21"/>
              </w:rPr>
            </w:pPr>
            <w:r>
              <w:rPr>
                <w:rFonts w:ascii="宋体" w:hAnsi="宋体" w:cs="宋体" w:eastAsia="宋体" w:hint="default"/>
                <w:sz w:val="21"/>
                <w:szCs w:val="21"/>
              </w:rPr>
              <w:t>未逾期未减值</w:t>
            </w:r>
          </w:p>
        </w:tc>
        <w:tc>
          <w:tcPr>
            <w:tcW w:w="3402" w:type="dxa"/>
            <w:gridSpan w:val="3"/>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64" w:right="0"/>
              <w:jc w:val="left"/>
              <w:rPr>
                <w:rFonts w:ascii="宋体" w:hAnsi="宋体" w:cs="宋体" w:eastAsia="宋体" w:hint="default"/>
                <w:sz w:val="21"/>
                <w:szCs w:val="21"/>
              </w:rPr>
            </w:pPr>
            <w:r>
              <w:rPr>
                <w:rFonts w:ascii="宋体" w:hAnsi="宋体" w:cs="宋体" w:eastAsia="宋体" w:hint="default"/>
                <w:sz w:val="21"/>
                <w:szCs w:val="21"/>
              </w:rPr>
              <w:t>已逾期未减值</w:t>
            </w:r>
          </w:p>
        </w:tc>
        <w:tc>
          <w:tcPr>
            <w:tcW w:w="1751" w:type="dxa"/>
            <w:vMerge w:val="restart"/>
            <w:tcBorders>
              <w:top w:val="single" w:sz="4" w:space="0" w:color="000000"/>
              <w:left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21"/>
                <w:sz w:val="21"/>
                <w:szCs w:val="21"/>
              </w:rPr>
              <w:t> </w:t>
            </w:r>
            <w:r>
              <w:rPr>
                <w:rFonts w:ascii="宋体" w:hAnsi="宋体" w:cs="宋体" w:eastAsia="宋体" w:hint="default"/>
                <w:sz w:val="21"/>
                <w:szCs w:val="21"/>
              </w:rPr>
              <w:t>计</w:t>
            </w:r>
          </w:p>
        </w:tc>
      </w:tr>
      <w:tr>
        <w:trPr>
          <w:trHeight w:val="322" w:hRule="exact"/>
        </w:trPr>
        <w:tc>
          <w:tcPr>
            <w:tcW w:w="1392" w:type="dxa"/>
            <w:vMerge/>
            <w:tcBorders>
              <w:left w:val="single" w:sz="4" w:space="0" w:color="000000"/>
              <w:bottom w:val="single" w:sz="4" w:space="0" w:color="000000"/>
              <w:right w:val="single" w:sz="4" w:space="0" w:color="000000"/>
            </w:tcBorders>
          </w:tcPr>
          <w:p>
            <w:pPr/>
          </w:p>
        </w:tc>
        <w:tc>
          <w:tcPr>
            <w:tcW w:w="1978" w:type="dxa"/>
            <w:vMerge/>
            <w:tcBorders>
              <w:left w:val="single" w:sz="4" w:space="0" w:color="000000"/>
              <w:bottom w:val="single" w:sz="4" w:space="0" w:color="000000"/>
              <w:right w:val="single" w:sz="4" w:space="0" w:color="000000"/>
            </w:tcBorders>
          </w:tcPr>
          <w:p>
            <w:pP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7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37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宋体" w:hAnsi="宋体" w:cs="宋体" w:eastAsia="宋体" w:hint="default"/>
                <w:sz w:val="21"/>
                <w:szCs w:val="21"/>
              </w:rPr>
              <w:t>年</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5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年以上</w:t>
            </w:r>
          </w:p>
        </w:tc>
        <w:tc>
          <w:tcPr>
            <w:tcW w:w="1751" w:type="dxa"/>
            <w:vMerge/>
            <w:tcBorders>
              <w:left w:val="single" w:sz="4" w:space="0" w:color="000000"/>
              <w:bottom w:val="single" w:sz="4" w:space="0" w:color="000000"/>
              <w:right w:val="single" w:sz="4" w:space="0" w:color="000000"/>
            </w:tcBorders>
          </w:tcPr>
          <w:p>
            <w:pPr/>
          </w:p>
        </w:tc>
      </w:tr>
      <w:tr>
        <w:trPr>
          <w:trHeight w:val="323" w:hRule="exact"/>
        </w:trPr>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1"/>
              <w:jc w:val="right"/>
              <w:rPr>
                <w:rFonts w:ascii="宋体" w:hAnsi="宋体" w:cs="宋体" w:eastAsia="宋体" w:hint="default"/>
                <w:sz w:val="21"/>
                <w:szCs w:val="21"/>
              </w:rPr>
            </w:pPr>
            <w:r>
              <w:rPr>
                <w:rFonts w:ascii="宋体"/>
                <w:sz w:val="21"/>
              </w:rPr>
              <w:t>3,307,836.32</w:t>
            </w:r>
          </w:p>
        </w:tc>
        <w:tc>
          <w:tcPr>
            <w:tcW w:w="1098" w:type="dxa"/>
            <w:tcBorders>
              <w:top w:val="single" w:sz="4" w:space="0" w:color="000000"/>
              <w:left w:val="single" w:sz="4" w:space="0" w:color="000000"/>
              <w:bottom w:val="single" w:sz="4" w:space="0" w:color="000000"/>
              <w:right w:val="single" w:sz="4" w:space="0" w:color="000000"/>
            </w:tcBorders>
          </w:tcPr>
          <w:p>
            <w:pPr/>
          </w:p>
        </w:tc>
        <w:tc>
          <w:tcPr>
            <w:tcW w:w="1254"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1751"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1"/>
              <w:jc w:val="right"/>
              <w:rPr>
                <w:rFonts w:ascii="宋体" w:hAnsi="宋体" w:cs="宋体" w:eastAsia="宋体" w:hint="default"/>
                <w:sz w:val="21"/>
                <w:szCs w:val="21"/>
              </w:rPr>
            </w:pPr>
            <w:r>
              <w:rPr>
                <w:rFonts w:ascii="宋体"/>
                <w:sz w:val="21"/>
              </w:rPr>
              <w:t>3,307,836.32</w:t>
            </w:r>
          </w:p>
        </w:tc>
      </w:tr>
      <w:tr>
        <w:trPr>
          <w:trHeight w:val="322" w:hRule="exact"/>
        </w:trPr>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08" w:right="0"/>
              <w:jc w:val="left"/>
              <w:rPr>
                <w:rFonts w:ascii="宋体" w:hAnsi="宋体" w:cs="宋体" w:eastAsia="宋体" w:hint="default"/>
                <w:sz w:val="21"/>
                <w:szCs w:val="21"/>
              </w:rPr>
            </w:pPr>
            <w:r>
              <w:rPr>
                <w:rFonts w:ascii="宋体" w:hAnsi="宋体" w:cs="宋体" w:eastAsia="宋体" w:hint="default"/>
                <w:sz w:val="21"/>
                <w:szCs w:val="21"/>
              </w:rPr>
              <w:t>小</w:t>
            </w:r>
            <w:r>
              <w:rPr>
                <w:rFonts w:ascii="宋体" w:hAnsi="宋体" w:cs="宋体" w:eastAsia="宋体" w:hint="default"/>
                <w:spacing w:val="63"/>
                <w:sz w:val="21"/>
                <w:szCs w:val="21"/>
              </w:rPr>
              <w:t> </w:t>
            </w:r>
            <w:r>
              <w:rPr>
                <w:rFonts w:ascii="宋体" w:hAnsi="宋体" w:cs="宋体" w:eastAsia="宋体" w:hint="default"/>
                <w:sz w:val="21"/>
                <w:szCs w:val="21"/>
              </w:rPr>
              <w:t>计</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3,307,836.32</w:t>
            </w:r>
          </w:p>
        </w:tc>
        <w:tc>
          <w:tcPr>
            <w:tcW w:w="1098" w:type="dxa"/>
            <w:tcBorders>
              <w:top w:val="single" w:sz="4" w:space="0" w:color="000000"/>
              <w:left w:val="single" w:sz="4" w:space="0" w:color="000000"/>
              <w:bottom w:val="single" w:sz="4" w:space="0" w:color="000000"/>
              <w:right w:val="single" w:sz="4" w:space="0" w:color="000000"/>
            </w:tcBorders>
          </w:tcPr>
          <w:p>
            <w:pPr/>
          </w:p>
        </w:tc>
        <w:tc>
          <w:tcPr>
            <w:tcW w:w="1254"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175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3,307,836.32</w:t>
            </w:r>
          </w:p>
        </w:tc>
      </w:tr>
    </w:tbl>
    <w:p>
      <w:pPr>
        <w:spacing w:line="240" w:lineRule="auto" w:before="0"/>
        <w:rPr>
          <w:rFonts w:ascii="宋体" w:hAnsi="宋体" w:cs="宋体" w:eastAsia="宋体" w:hint="default"/>
          <w:sz w:val="13"/>
          <w:szCs w:val="13"/>
        </w:rPr>
      </w:pPr>
    </w:p>
    <w:p>
      <w:pPr>
        <w:pStyle w:val="BodyText"/>
        <w:spacing w:line="357" w:lineRule="auto" w:before="26"/>
        <w:ind w:left="214" w:right="468" w:firstLine="480"/>
        <w:jc w:val="left"/>
      </w:pPr>
      <w:r>
        <w:rPr>
          <w:rFonts w:ascii="宋体" w:hAnsi="宋体" w:cs="宋体" w:eastAsia="宋体" w:hint="default"/>
        </w:rPr>
        <w:t>(2)</w:t>
      </w:r>
      <w:r>
        <w:rPr>
          <w:rFonts w:ascii="宋体" w:hAnsi="宋体" w:cs="宋体" w:eastAsia="宋体" w:hint="default"/>
          <w:spacing w:val="4"/>
        </w:rPr>
        <w:t> </w:t>
      </w:r>
      <w:r>
        <w:rPr/>
        <w:t>单项计提减值的应收款项情况见本财务报表附注合并财务报表项目注释之应收款项 说明。</w:t>
      </w:r>
    </w:p>
    <w:p>
      <w:pPr>
        <w:pStyle w:val="BodyText"/>
        <w:spacing w:line="357" w:lineRule="auto"/>
        <w:ind w:left="694" w:right="468"/>
        <w:jc w:val="left"/>
      </w:pPr>
      <w:r>
        <w:rPr>
          <w:rFonts w:ascii="宋体" w:hAnsi="宋体" w:cs="宋体" w:eastAsia="宋体" w:hint="default"/>
        </w:rPr>
        <w:t>(</w:t>
      </w:r>
      <w:r>
        <w:rPr/>
        <w:t>二</w:t>
      </w:r>
      <w:r>
        <w:rPr>
          <w:rFonts w:ascii="宋体" w:hAnsi="宋体" w:cs="宋体" w:eastAsia="宋体" w:hint="default"/>
        </w:rPr>
        <w:t>) </w:t>
      </w:r>
      <w:r>
        <w:rPr/>
        <w:t>流动风险 流动风险，是指本公司在履行以交付现金或其他金融资产的方式结算的义务时发生资金</w:t>
      </w:r>
    </w:p>
    <w:p>
      <w:pPr>
        <w:pStyle w:val="BodyText"/>
        <w:spacing w:line="357" w:lineRule="auto"/>
        <w:ind w:left="214" w:right="468"/>
        <w:jc w:val="left"/>
      </w:pPr>
      <w:r>
        <w:rPr/>
        <w:t>短缺的风险。流动风险可能源于无法尽快以公允价值售出金融资产；或者源于对方无法偿还 其合同债务；或者源于提前到期的债务；或者源于无法产生预期的现金流量。</w:t>
      </w:r>
    </w:p>
    <w:p>
      <w:pPr>
        <w:pStyle w:val="BodyText"/>
        <w:spacing w:line="357" w:lineRule="auto"/>
        <w:ind w:left="214" w:right="468" w:firstLine="480"/>
        <w:jc w:val="left"/>
      </w:pPr>
      <w:r>
        <w:rPr/>
        <w:t>为控制该项风险，本公司综合运用票据结算、银行借款等多种融资手段，并采取长、短 期融资方式适当结合，优化融资结构的方法，保持融资持续性与灵活性之间的平衡。本公司</w:t>
      </w:r>
    </w:p>
    <w:p>
      <w:pPr>
        <w:spacing w:after="0" w:line="357" w:lineRule="auto"/>
        <w:jc w:val="left"/>
        <w:sectPr>
          <w:pgSz w:w="11910" w:h="16840"/>
          <w:pgMar w:header="747" w:footer="979" w:top="1060" w:bottom="1160" w:left="920" w:right="0"/>
        </w:sectPr>
      </w:pPr>
    </w:p>
    <w:p>
      <w:pPr>
        <w:spacing w:line="240" w:lineRule="auto" w:before="7"/>
        <w:rPr>
          <w:rFonts w:ascii="宋体" w:hAnsi="宋体" w:cs="宋体" w:eastAsia="宋体" w:hint="default"/>
          <w:sz w:val="29"/>
          <w:szCs w:val="29"/>
        </w:rPr>
      </w:pPr>
    </w:p>
    <w:p>
      <w:pPr>
        <w:pStyle w:val="BodyText"/>
        <w:spacing w:line="357" w:lineRule="auto" w:before="26"/>
        <w:ind w:left="694" w:right="3312" w:hanging="480"/>
        <w:jc w:val="left"/>
      </w:pPr>
      <w:r>
        <w:rPr/>
        <w:t>已从多家商业银行取得银行授信额度以满足营运资金需求和资本开支。 金融负债按剩余到期日分类</w:t>
      </w:r>
    </w:p>
    <w:p>
      <w:pPr>
        <w:spacing w:line="240" w:lineRule="auto" w:before="8"/>
        <w:rPr>
          <w:rFonts w:ascii="宋体" w:hAnsi="宋体" w:cs="宋体" w:eastAsia="宋体" w:hint="default"/>
          <w:sz w:val="11"/>
          <w:szCs w:val="11"/>
        </w:rPr>
      </w:pPr>
    </w:p>
    <w:tbl>
      <w:tblPr>
        <w:tblW w:w="0" w:type="auto"/>
        <w:jc w:val="left"/>
        <w:tblInd w:w="101" w:type="dxa"/>
        <w:tblLayout w:type="fixed"/>
        <w:tblCellMar>
          <w:top w:w="0" w:type="dxa"/>
          <w:left w:w="0" w:type="dxa"/>
          <w:bottom w:w="0" w:type="dxa"/>
          <w:right w:w="0" w:type="dxa"/>
        </w:tblCellMar>
        <w:tblLook w:val="01E0"/>
      </w:tblPr>
      <w:tblGrid>
        <w:gridCol w:w="1977"/>
        <w:gridCol w:w="1559"/>
        <w:gridCol w:w="1560"/>
        <w:gridCol w:w="1559"/>
        <w:gridCol w:w="1418"/>
        <w:gridCol w:w="1043"/>
      </w:tblGrid>
      <w:tr>
        <w:trPr>
          <w:trHeight w:val="322" w:hRule="exact"/>
        </w:trPr>
        <w:tc>
          <w:tcPr>
            <w:tcW w:w="1977"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5"/>
                <w:sz w:val="18"/>
                <w:szCs w:val="18"/>
              </w:rPr>
              <w:t> </w:t>
            </w:r>
            <w:r>
              <w:rPr>
                <w:rFonts w:ascii="宋体" w:hAnsi="宋体" w:cs="宋体" w:eastAsia="宋体" w:hint="default"/>
                <w:sz w:val="18"/>
                <w:szCs w:val="18"/>
              </w:rPr>
              <w:t>目</w:t>
            </w:r>
          </w:p>
        </w:tc>
        <w:tc>
          <w:tcPr>
            <w:tcW w:w="713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323" w:hRule="exact"/>
        </w:trPr>
        <w:tc>
          <w:tcPr>
            <w:tcW w:w="1977" w:type="dxa"/>
            <w:vMerge/>
            <w:tcBorders>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14"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43"/>
              <w:jc w:val="right"/>
              <w:rPr>
                <w:rFonts w:ascii="宋体" w:hAnsi="宋体" w:cs="宋体" w:eastAsia="宋体" w:hint="default"/>
                <w:sz w:val="18"/>
                <w:szCs w:val="18"/>
              </w:rPr>
            </w:pPr>
            <w:r>
              <w:rPr>
                <w:rFonts w:ascii="宋体" w:hAnsi="宋体" w:cs="宋体" w:eastAsia="宋体" w:hint="default"/>
                <w:sz w:val="18"/>
                <w:szCs w:val="18"/>
              </w:rPr>
              <w:t>未折现合同金额</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5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宋体" w:hAnsi="宋体" w:cs="宋体" w:eastAsia="宋体" w:hint="default"/>
                <w:sz w:val="18"/>
                <w:szCs w:val="18"/>
              </w:rPr>
              <w:t>年</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年以上</w:t>
            </w:r>
          </w:p>
        </w:tc>
      </w:tr>
      <w:tr>
        <w:trPr>
          <w:trHeight w:val="322" w:hRule="exact"/>
        </w:trPr>
        <w:tc>
          <w:tcPr>
            <w:tcW w:w="1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银行借款</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167,177,351.38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170,454,718.41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170,454,718.41</w:t>
            </w:r>
          </w:p>
        </w:tc>
        <w:tc>
          <w:tcPr>
            <w:tcW w:w="1418" w:type="dxa"/>
            <w:tcBorders>
              <w:top w:val="single" w:sz="4" w:space="0" w:color="000000"/>
              <w:left w:val="single" w:sz="4" w:space="0" w:color="000000"/>
              <w:bottom w:val="single" w:sz="4" w:space="0" w:color="000000"/>
              <w:right w:val="single" w:sz="4" w:space="0" w:color="000000"/>
            </w:tcBorders>
          </w:tcPr>
          <w:p>
            <w:pPr/>
          </w:p>
        </w:tc>
        <w:tc>
          <w:tcPr>
            <w:tcW w:w="104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121,854,768.54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121,854,768.54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121,854,768.54</w:t>
            </w:r>
          </w:p>
        </w:tc>
        <w:tc>
          <w:tcPr>
            <w:tcW w:w="1418" w:type="dxa"/>
            <w:tcBorders>
              <w:top w:val="single" w:sz="4" w:space="0" w:color="000000"/>
              <w:left w:val="single" w:sz="4" w:space="0" w:color="000000"/>
              <w:bottom w:val="single" w:sz="4" w:space="0" w:color="000000"/>
              <w:right w:val="single" w:sz="4" w:space="0" w:color="000000"/>
            </w:tcBorders>
          </w:tcPr>
          <w:p>
            <w:pPr/>
          </w:p>
        </w:tc>
        <w:tc>
          <w:tcPr>
            <w:tcW w:w="1043"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4,346,822.36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4,346,822.36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4,346,822.36</w:t>
            </w:r>
          </w:p>
        </w:tc>
        <w:tc>
          <w:tcPr>
            <w:tcW w:w="1418" w:type="dxa"/>
            <w:tcBorders>
              <w:top w:val="single" w:sz="4" w:space="0" w:color="000000"/>
              <w:left w:val="single" w:sz="4" w:space="0" w:color="000000"/>
              <w:bottom w:val="single" w:sz="4" w:space="0" w:color="000000"/>
              <w:right w:val="single" w:sz="4" w:space="0" w:color="000000"/>
            </w:tcBorders>
          </w:tcPr>
          <w:p>
            <w:pPr/>
          </w:p>
        </w:tc>
        <w:tc>
          <w:tcPr>
            <w:tcW w:w="104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3" w:right="0"/>
              <w:jc w:val="left"/>
              <w:rPr>
                <w:rFonts w:ascii="宋体" w:hAnsi="宋体" w:cs="宋体" w:eastAsia="宋体" w:hint="default"/>
                <w:sz w:val="18"/>
                <w:szCs w:val="18"/>
              </w:rPr>
            </w:pPr>
            <w:r>
              <w:rPr>
                <w:rFonts w:ascii="宋体" w:hAnsi="宋体" w:cs="宋体" w:eastAsia="宋体" w:hint="default"/>
                <w:sz w:val="18"/>
                <w:szCs w:val="18"/>
              </w:rPr>
              <w:t>小</w:t>
            </w:r>
            <w:r>
              <w:rPr>
                <w:rFonts w:ascii="宋体" w:hAnsi="宋体" w:cs="宋体" w:eastAsia="宋体" w:hint="default"/>
                <w:spacing w:val="55"/>
                <w:sz w:val="18"/>
                <w:szCs w:val="18"/>
              </w:rPr>
              <w:t> </w:t>
            </w:r>
            <w:r>
              <w:rPr>
                <w:rFonts w:ascii="宋体" w:hAnsi="宋体" w:cs="宋体" w:eastAsia="宋体" w:hint="default"/>
                <w:sz w:val="18"/>
                <w:szCs w:val="18"/>
              </w:rPr>
              <w:t>计</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293,378,942.28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296,656,309.31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296,656,309.31</w:t>
            </w:r>
          </w:p>
        </w:tc>
        <w:tc>
          <w:tcPr>
            <w:tcW w:w="1418" w:type="dxa"/>
            <w:tcBorders>
              <w:top w:val="single" w:sz="4" w:space="0" w:color="000000"/>
              <w:left w:val="single" w:sz="4" w:space="0" w:color="000000"/>
              <w:bottom w:val="single" w:sz="4" w:space="0" w:color="000000"/>
              <w:right w:val="single" w:sz="4" w:space="0" w:color="000000"/>
            </w:tcBorders>
          </w:tcPr>
          <w:p>
            <w:pPr/>
          </w:p>
        </w:tc>
        <w:tc>
          <w:tcPr>
            <w:tcW w:w="1043" w:type="dxa"/>
            <w:tcBorders>
              <w:top w:val="single" w:sz="4" w:space="0" w:color="000000"/>
              <w:left w:val="single" w:sz="4" w:space="0" w:color="000000"/>
              <w:bottom w:val="single" w:sz="4" w:space="0" w:color="000000"/>
              <w:right w:val="single" w:sz="4" w:space="0" w:color="000000"/>
            </w:tcBorders>
          </w:tcPr>
          <w:p>
            <w:pPr/>
          </w:p>
        </w:tc>
      </w:tr>
    </w:tbl>
    <w:p>
      <w:pPr>
        <w:spacing w:before="63"/>
        <w:ind w:left="634" w:right="468"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续上表</w:t>
      </w:r>
      <w:r>
        <w:rPr>
          <w:rFonts w:ascii="宋体" w:hAnsi="宋体" w:cs="宋体" w:eastAsia="宋体" w:hint="default"/>
          <w:sz w:val="21"/>
          <w:szCs w:val="21"/>
        </w:rPr>
        <w:t>)</w:t>
      </w:r>
    </w:p>
    <w:p>
      <w:pPr>
        <w:spacing w:line="240" w:lineRule="auto" w:before="12"/>
        <w:rPr>
          <w:rFonts w:ascii="宋体" w:hAnsi="宋体" w:cs="宋体" w:eastAsia="宋体" w:hint="default"/>
          <w:sz w:val="9"/>
          <w:szCs w:val="9"/>
        </w:rPr>
      </w:pPr>
    </w:p>
    <w:tbl>
      <w:tblPr>
        <w:tblW w:w="0" w:type="auto"/>
        <w:jc w:val="left"/>
        <w:tblInd w:w="101" w:type="dxa"/>
        <w:tblLayout w:type="fixed"/>
        <w:tblCellMar>
          <w:top w:w="0" w:type="dxa"/>
          <w:left w:w="0" w:type="dxa"/>
          <w:bottom w:w="0" w:type="dxa"/>
          <w:right w:w="0" w:type="dxa"/>
        </w:tblCellMar>
        <w:tblLook w:val="01E0"/>
      </w:tblPr>
      <w:tblGrid>
        <w:gridCol w:w="1977"/>
        <w:gridCol w:w="1559"/>
        <w:gridCol w:w="1560"/>
        <w:gridCol w:w="1559"/>
        <w:gridCol w:w="1418"/>
        <w:gridCol w:w="1043"/>
      </w:tblGrid>
      <w:tr>
        <w:trPr>
          <w:trHeight w:val="323" w:hRule="exact"/>
        </w:trPr>
        <w:tc>
          <w:tcPr>
            <w:tcW w:w="1977"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5"/>
                <w:sz w:val="18"/>
                <w:szCs w:val="18"/>
              </w:rPr>
              <w:t> </w:t>
            </w:r>
            <w:r>
              <w:rPr>
                <w:rFonts w:ascii="宋体" w:hAnsi="宋体" w:cs="宋体" w:eastAsia="宋体" w:hint="default"/>
                <w:sz w:val="18"/>
                <w:szCs w:val="18"/>
              </w:rPr>
              <w:t>目</w:t>
            </w:r>
          </w:p>
        </w:tc>
        <w:tc>
          <w:tcPr>
            <w:tcW w:w="713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22" w:hRule="exact"/>
        </w:trPr>
        <w:tc>
          <w:tcPr>
            <w:tcW w:w="1977" w:type="dxa"/>
            <w:vMerge/>
            <w:tcBorders>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14"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43"/>
              <w:jc w:val="right"/>
              <w:rPr>
                <w:rFonts w:ascii="宋体" w:hAnsi="宋体" w:cs="宋体" w:eastAsia="宋体" w:hint="default"/>
                <w:sz w:val="18"/>
                <w:szCs w:val="18"/>
              </w:rPr>
            </w:pPr>
            <w:r>
              <w:rPr>
                <w:rFonts w:ascii="宋体" w:hAnsi="宋体" w:cs="宋体" w:eastAsia="宋体" w:hint="default"/>
                <w:sz w:val="18"/>
                <w:szCs w:val="18"/>
              </w:rPr>
              <w:t>未折现合同金额</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5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宋体" w:hAnsi="宋体" w:cs="宋体" w:eastAsia="宋体" w:hint="default"/>
                <w:sz w:val="18"/>
                <w:szCs w:val="18"/>
              </w:rPr>
              <w:t>年</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年以上</w:t>
            </w:r>
          </w:p>
        </w:tc>
      </w:tr>
      <w:tr>
        <w:trPr>
          <w:trHeight w:val="322" w:hRule="exact"/>
        </w:trPr>
        <w:tc>
          <w:tcPr>
            <w:tcW w:w="1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银行借款</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79,000,000.00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81,056,563.10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81,056,563.10</w:t>
            </w:r>
          </w:p>
        </w:tc>
        <w:tc>
          <w:tcPr>
            <w:tcW w:w="1418" w:type="dxa"/>
            <w:tcBorders>
              <w:top w:val="single" w:sz="4" w:space="0" w:color="000000"/>
              <w:left w:val="single" w:sz="4" w:space="0" w:color="000000"/>
              <w:bottom w:val="single" w:sz="4" w:space="0" w:color="000000"/>
              <w:right w:val="single" w:sz="4" w:space="0" w:color="000000"/>
            </w:tcBorders>
          </w:tcPr>
          <w:p>
            <w:pPr/>
          </w:p>
        </w:tc>
        <w:tc>
          <w:tcPr>
            <w:tcW w:w="1043"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113,822,855.13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113,822,855.13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113,822,855.13</w:t>
            </w:r>
          </w:p>
        </w:tc>
        <w:tc>
          <w:tcPr>
            <w:tcW w:w="1418" w:type="dxa"/>
            <w:tcBorders>
              <w:top w:val="single" w:sz="4" w:space="0" w:color="000000"/>
              <w:left w:val="single" w:sz="4" w:space="0" w:color="000000"/>
              <w:bottom w:val="single" w:sz="4" w:space="0" w:color="000000"/>
              <w:right w:val="single" w:sz="4" w:space="0" w:color="000000"/>
            </w:tcBorders>
          </w:tcPr>
          <w:p>
            <w:pPr/>
          </w:p>
        </w:tc>
        <w:tc>
          <w:tcPr>
            <w:tcW w:w="104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3,912,948.40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3,912,948.40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3,912,948.40</w:t>
            </w:r>
          </w:p>
        </w:tc>
        <w:tc>
          <w:tcPr>
            <w:tcW w:w="1418" w:type="dxa"/>
            <w:tcBorders>
              <w:top w:val="single" w:sz="4" w:space="0" w:color="000000"/>
              <w:left w:val="single" w:sz="4" w:space="0" w:color="000000"/>
              <w:bottom w:val="single" w:sz="4" w:space="0" w:color="000000"/>
              <w:right w:val="single" w:sz="4" w:space="0" w:color="000000"/>
            </w:tcBorders>
          </w:tcPr>
          <w:p>
            <w:pPr/>
          </w:p>
        </w:tc>
        <w:tc>
          <w:tcPr>
            <w:tcW w:w="1043"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3" w:right="0"/>
              <w:jc w:val="left"/>
              <w:rPr>
                <w:rFonts w:ascii="宋体" w:hAnsi="宋体" w:cs="宋体" w:eastAsia="宋体" w:hint="default"/>
                <w:sz w:val="18"/>
                <w:szCs w:val="18"/>
              </w:rPr>
            </w:pPr>
            <w:r>
              <w:rPr>
                <w:rFonts w:ascii="宋体" w:hAnsi="宋体" w:cs="宋体" w:eastAsia="宋体" w:hint="default"/>
                <w:sz w:val="18"/>
                <w:szCs w:val="18"/>
              </w:rPr>
              <w:t>小</w:t>
            </w:r>
            <w:r>
              <w:rPr>
                <w:rFonts w:ascii="宋体" w:hAnsi="宋体" w:cs="宋体" w:eastAsia="宋体" w:hint="default"/>
                <w:spacing w:val="55"/>
                <w:sz w:val="18"/>
                <w:szCs w:val="18"/>
              </w:rPr>
              <w:t> </w:t>
            </w:r>
            <w:r>
              <w:rPr>
                <w:rFonts w:ascii="宋体" w:hAnsi="宋体" w:cs="宋体" w:eastAsia="宋体" w:hint="default"/>
                <w:sz w:val="18"/>
                <w:szCs w:val="18"/>
              </w:rPr>
              <w:t>计</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196,735,803.53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198,792,366.63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198,792,366.63</w:t>
            </w:r>
          </w:p>
        </w:tc>
        <w:tc>
          <w:tcPr>
            <w:tcW w:w="1418" w:type="dxa"/>
            <w:tcBorders>
              <w:top w:val="single" w:sz="4" w:space="0" w:color="000000"/>
              <w:left w:val="single" w:sz="4" w:space="0" w:color="000000"/>
              <w:bottom w:val="single" w:sz="4" w:space="0" w:color="000000"/>
              <w:right w:val="single" w:sz="4" w:space="0" w:color="000000"/>
            </w:tcBorders>
          </w:tcPr>
          <w:p>
            <w:pPr/>
          </w:p>
        </w:tc>
        <w:tc>
          <w:tcPr>
            <w:tcW w:w="104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13"/>
          <w:szCs w:val="13"/>
        </w:rPr>
      </w:pPr>
    </w:p>
    <w:p>
      <w:pPr>
        <w:pStyle w:val="BodyText"/>
        <w:spacing w:line="357" w:lineRule="auto" w:before="26"/>
        <w:ind w:left="694" w:right="468"/>
        <w:jc w:val="left"/>
      </w:pPr>
      <w:r>
        <w:rPr>
          <w:rFonts w:ascii="宋体" w:hAnsi="宋体" w:cs="宋体" w:eastAsia="宋体" w:hint="default"/>
        </w:rPr>
        <w:t>(</w:t>
      </w:r>
      <w:r>
        <w:rPr/>
        <w:t>三</w:t>
      </w:r>
      <w:r>
        <w:rPr>
          <w:rFonts w:ascii="宋体" w:hAnsi="宋体" w:cs="宋体" w:eastAsia="宋体" w:hint="default"/>
        </w:rPr>
        <w:t>) </w:t>
      </w:r>
      <w:r>
        <w:rPr/>
        <w:t>市场风险 </w:t>
      </w:r>
      <w:r>
        <w:rPr>
          <w:spacing w:val="-3"/>
        </w:rPr>
        <w:t>市场风险，是指金融工具的公允价值或未来现金流量因市场价格变动而发生波动的风险。</w:t>
      </w:r>
    </w:p>
    <w:p>
      <w:pPr>
        <w:pStyle w:val="BodyText"/>
        <w:spacing w:line="357" w:lineRule="auto"/>
        <w:ind w:left="694" w:right="468" w:hanging="480"/>
        <w:jc w:val="left"/>
      </w:pPr>
      <w:r>
        <w:rPr/>
        <w:t>市场风险主要为利率风险。 </w:t>
      </w:r>
      <w:r>
        <w:rPr>
          <w:spacing w:val="-3"/>
        </w:rPr>
        <w:t>利率风险，是指金融工具的公允价值或未来现金流量因市场利率变动而发生波动的风险。</w:t>
      </w:r>
    </w:p>
    <w:p>
      <w:pPr>
        <w:pStyle w:val="BodyText"/>
        <w:spacing w:line="357" w:lineRule="auto"/>
        <w:ind w:left="214" w:right="468"/>
        <w:jc w:val="left"/>
      </w:pPr>
      <w:r>
        <w:rPr/>
        <w:t>本公司的银行借款均为固定利率计息，当市场利率发生重大不利影响时，通过购入利率对冲 工具规避风险。</w:t>
      </w:r>
    </w:p>
    <w:p>
      <w:pPr>
        <w:spacing w:line="240" w:lineRule="auto" w:before="11"/>
        <w:rPr>
          <w:rFonts w:ascii="宋体" w:hAnsi="宋体" w:cs="宋体" w:eastAsia="宋体" w:hint="default"/>
          <w:sz w:val="19"/>
          <w:szCs w:val="19"/>
        </w:rPr>
      </w:pPr>
    </w:p>
    <w:p>
      <w:pPr>
        <w:pStyle w:val="Heading2"/>
        <w:spacing w:line="240" w:lineRule="auto"/>
        <w:ind w:left="214" w:right="468"/>
        <w:jc w:val="left"/>
        <w:rPr>
          <w:b w:val="0"/>
          <w:bCs w:val="0"/>
        </w:rPr>
      </w:pPr>
      <w:bookmarkStart w:name="十一、关联方及关联交易" w:id="328"/>
      <w:bookmarkEnd w:id="328"/>
      <w:r>
        <w:rPr>
          <w:b w:val="0"/>
          <w:bCs w:val="0"/>
        </w:rPr>
      </w:r>
      <w:r>
        <w:rPr/>
        <w:t>十一、关联方及关联交易</w:t>
      </w:r>
      <w:r>
        <w:rPr>
          <w:b w:val="0"/>
          <w:bCs w:val="0"/>
        </w:rPr>
      </w:r>
    </w:p>
    <w:p>
      <w:pPr>
        <w:spacing w:line="240" w:lineRule="auto" w:before="8"/>
        <w:rPr>
          <w:rFonts w:ascii="宋体" w:hAnsi="宋体" w:cs="宋体" w:eastAsia="宋体" w:hint="default"/>
          <w:b/>
          <w:bCs/>
          <w:sz w:val="24"/>
          <w:szCs w:val="24"/>
        </w:rPr>
      </w:pPr>
    </w:p>
    <w:p>
      <w:pPr>
        <w:spacing w:before="0"/>
        <w:ind w:left="214" w:right="468" w:firstLine="0"/>
        <w:jc w:val="left"/>
        <w:rPr>
          <w:rFonts w:ascii="宋体" w:hAnsi="宋体" w:cs="宋体" w:eastAsia="宋体" w:hint="default"/>
          <w:sz w:val="21"/>
          <w:szCs w:val="21"/>
        </w:rPr>
      </w:pPr>
      <w:bookmarkStart w:name="1、本企业的母公司情况" w:id="329"/>
      <w:bookmarkEnd w:id="329"/>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209" w:type="dxa"/>
        <w:tblLayout w:type="fixed"/>
        <w:tblCellMar>
          <w:top w:w="0" w:type="dxa"/>
          <w:left w:w="0" w:type="dxa"/>
          <w:bottom w:w="0" w:type="dxa"/>
          <w:right w:w="0" w:type="dxa"/>
        </w:tblCellMar>
        <w:tblLook w:val="01E0"/>
      </w:tblPr>
      <w:tblGrid>
        <w:gridCol w:w="1595"/>
        <w:gridCol w:w="1595"/>
        <w:gridCol w:w="1594"/>
        <w:gridCol w:w="1594"/>
        <w:gridCol w:w="1595"/>
        <w:gridCol w:w="1595"/>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2"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41" w:right="71" w:hanging="270"/>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1026"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杭州正元企业管理 </w:t>
            </w:r>
            <w:r>
              <w:rPr>
                <w:rFonts w:ascii="宋体" w:hAnsi="宋体" w:cs="宋体" w:eastAsia="宋体" w:hint="default"/>
                <w:spacing w:val="-10"/>
                <w:sz w:val="18"/>
                <w:szCs w:val="18"/>
              </w:rPr>
              <w:t>咨询有限公司（以下</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简称杭州正元）</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企业管理咨询</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1007" w:right="0"/>
              <w:jc w:val="left"/>
              <w:rPr>
                <w:rFonts w:ascii="Times New Roman" w:hAnsi="Times New Roman" w:cs="Times New Roman" w:eastAsia="Times New Roman" w:hint="default"/>
                <w:sz w:val="18"/>
                <w:szCs w:val="18"/>
              </w:rPr>
            </w:pPr>
            <w:r>
              <w:rPr>
                <w:rFonts w:ascii="Times New Roman"/>
                <w:sz w:val="18"/>
              </w:rPr>
              <w:t>28.96%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1006" w:right="0"/>
              <w:jc w:val="left"/>
              <w:rPr>
                <w:rFonts w:ascii="Times New Roman" w:hAnsi="Times New Roman" w:cs="Times New Roman" w:eastAsia="Times New Roman" w:hint="default"/>
                <w:sz w:val="18"/>
                <w:szCs w:val="18"/>
              </w:rPr>
            </w:pPr>
            <w:r>
              <w:rPr>
                <w:rFonts w:ascii="Times New Roman"/>
                <w:sz w:val="18"/>
              </w:rPr>
              <w:t>28.96%</w:t>
            </w:r>
          </w:p>
        </w:tc>
      </w:tr>
    </w:tbl>
    <w:p>
      <w:pPr>
        <w:spacing w:line="360" w:lineRule="auto" w:before="51"/>
        <w:ind w:left="214" w:right="8610" w:firstLine="0"/>
        <w:jc w:val="both"/>
        <w:rPr>
          <w:rFonts w:ascii="宋体" w:hAnsi="宋体" w:cs="宋体" w:eastAsia="宋体" w:hint="default"/>
          <w:sz w:val="18"/>
          <w:szCs w:val="18"/>
        </w:rPr>
      </w:pPr>
      <w:r>
        <w:rPr>
          <w:rFonts w:ascii="宋体" w:hAnsi="宋体" w:cs="宋体" w:eastAsia="宋体" w:hint="default"/>
          <w:sz w:val="18"/>
          <w:szCs w:val="18"/>
        </w:rPr>
        <w:t>本企业的母公司情况的说明 本企业最终控制方是陈坚。 其他说明：</w:t>
      </w:r>
    </w:p>
    <w:p>
      <w:pPr>
        <w:pStyle w:val="BodyText"/>
        <w:spacing w:line="357" w:lineRule="auto" w:before="54"/>
        <w:ind w:left="214" w:right="468" w:firstLine="480"/>
        <w:jc w:val="left"/>
      </w:pPr>
      <w:r>
        <w:rPr/>
        <w:t>陈坚持有杭州正元</w:t>
      </w:r>
      <w:r>
        <w:rPr>
          <w:rFonts w:ascii="宋体" w:hAnsi="宋体" w:cs="宋体" w:eastAsia="宋体" w:hint="default"/>
        </w:rPr>
        <w:t>87.50%</w:t>
      </w:r>
      <w:r>
        <w:rPr/>
        <w:t>的股权，据此，陈坚可以通过杭州正元控制本公司</w:t>
      </w:r>
      <w:r>
        <w:rPr>
          <w:rFonts w:ascii="宋体" w:hAnsi="宋体" w:cs="宋体" w:eastAsia="宋体" w:hint="default"/>
        </w:rPr>
        <w:t>28.96%</w:t>
      </w:r>
      <w:r>
        <w:rPr/>
        <w:t>的股</w:t>
      </w:r>
      <w:r>
        <w:rPr>
          <w:spacing w:val="1"/>
        </w:rPr>
        <w:t> </w:t>
      </w:r>
      <w:r>
        <w:rPr>
          <w:spacing w:val="-5"/>
        </w:rPr>
        <w:t>权。李琳系陈坚先生配偶，持有本公司</w:t>
      </w:r>
      <w:r>
        <w:rPr>
          <w:rFonts w:ascii="宋体" w:hAnsi="宋体" w:cs="宋体" w:eastAsia="宋体" w:hint="default"/>
          <w:spacing w:val="-5"/>
        </w:rPr>
        <w:t>2.91%</w:t>
      </w:r>
      <w:r>
        <w:rPr>
          <w:spacing w:val="-5"/>
        </w:rPr>
        <w:t>的股权。根据其声明，李琳为陈坚的一致行动人，</w:t>
      </w:r>
    </w:p>
    <w:p>
      <w:pPr>
        <w:spacing w:after="0" w:line="357" w:lineRule="auto"/>
        <w:jc w:val="left"/>
        <w:sectPr>
          <w:pgSz w:w="11910" w:h="16840"/>
          <w:pgMar w:header="747" w:footer="979" w:top="1060" w:bottom="1160" w:left="920" w:right="0"/>
        </w:sectPr>
      </w:pPr>
    </w:p>
    <w:p>
      <w:pPr>
        <w:spacing w:line="240" w:lineRule="auto" w:before="7"/>
        <w:rPr>
          <w:rFonts w:ascii="宋体" w:hAnsi="宋体" w:cs="宋体" w:eastAsia="宋体" w:hint="default"/>
          <w:sz w:val="29"/>
          <w:szCs w:val="29"/>
        </w:rPr>
      </w:pPr>
    </w:p>
    <w:p>
      <w:pPr>
        <w:pStyle w:val="BodyText"/>
        <w:spacing w:line="357" w:lineRule="auto" w:before="26"/>
        <w:ind w:right="0"/>
        <w:jc w:val="left"/>
      </w:pPr>
      <w:r>
        <w:rPr>
          <w:spacing w:val="3"/>
        </w:rPr>
        <w:t>据此，陈坚先生可以通过李琳控制本公司</w:t>
      </w:r>
      <w:r>
        <w:rPr>
          <w:rFonts w:ascii="宋体" w:hAnsi="宋体" w:cs="宋体" w:eastAsia="宋体" w:hint="default"/>
          <w:spacing w:val="3"/>
        </w:rPr>
        <w:t>2.91%</w:t>
      </w:r>
      <w:r>
        <w:rPr>
          <w:spacing w:val="3"/>
        </w:rPr>
        <w:t>股权。综上，陈坚先生合计控制公司</w:t>
      </w:r>
      <w:r>
        <w:rPr>
          <w:rFonts w:ascii="宋体" w:hAnsi="宋体" w:cs="宋体" w:eastAsia="宋体" w:hint="default"/>
          <w:spacing w:val="3"/>
        </w:rPr>
        <w:t>31.87%</w:t>
      </w:r>
      <w:r>
        <w:rPr>
          <w:rFonts w:ascii="宋体" w:hAnsi="宋体" w:cs="宋体" w:eastAsia="宋体" w:hint="default"/>
          <w:spacing w:val="-115"/>
        </w:rPr>
        <w:t> </w:t>
      </w:r>
      <w:r>
        <w:rPr/>
        <w:t>股份，系本公司的实际控制人。</w:t>
      </w:r>
    </w:p>
    <w:p>
      <w:pPr>
        <w:spacing w:line="240" w:lineRule="auto" w:before="8"/>
        <w:rPr>
          <w:rFonts w:ascii="宋体" w:hAnsi="宋体" w:cs="宋体" w:eastAsia="宋体" w:hint="default"/>
          <w:sz w:val="21"/>
          <w:szCs w:val="21"/>
        </w:rPr>
      </w:pPr>
    </w:p>
    <w:p>
      <w:pPr>
        <w:spacing w:before="0"/>
        <w:ind w:left="154" w:right="0" w:firstLine="0"/>
        <w:jc w:val="left"/>
        <w:rPr>
          <w:rFonts w:ascii="宋体" w:hAnsi="宋体" w:cs="宋体" w:eastAsia="宋体" w:hint="default"/>
          <w:sz w:val="21"/>
          <w:szCs w:val="21"/>
        </w:rPr>
      </w:pPr>
      <w:bookmarkStart w:name="2、本企业的子公司情况" w:id="330"/>
      <w:bookmarkEnd w:id="330"/>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本企业子公司的情况详见附注九、在其他主体中的权益。</w:t>
      </w:r>
    </w:p>
    <w:p>
      <w:pPr>
        <w:spacing w:line="240" w:lineRule="auto" w:before="10"/>
        <w:rPr>
          <w:rFonts w:ascii="宋体" w:hAnsi="宋体" w:cs="宋体" w:eastAsia="宋体" w:hint="default"/>
          <w:sz w:val="26"/>
          <w:szCs w:val="26"/>
        </w:rPr>
      </w:pPr>
    </w:p>
    <w:p>
      <w:pPr>
        <w:spacing w:before="0"/>
        <w:ind w:left="154" w:right="0" w:firstLine="0"/>
        <w:jc w:val="left"/>
        <w:rPr>
          <w:rFonts w:ascii="宋体" w:hAnsi="宋体" w:cs="宋体" w:eastAsia="宋体" w:hint="default"/>
          <w:sz w:val="21"/>
          <w:szCs w:val="21"/>
        </w:rPr>
      </w:pPr>
      <w:bookmarkStart w:name="3、本企业合营和联营企业情况" w:id="331"/>
      <w:bookmarkEnd w:id="331"/>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line="357" w:lineRule="auto" w:before="0"/>
        <w:ind w:left="154" w:right="2292" w:firstLine="0"/>
        <w:jc w:val="left"/>
        <w:rPr>
          <w:rFonts w:ascii="宋体" w:hAnsi="宋体" w:cs="宋体" w:eastAsia="宋体" w:hint="default"/>
          <w:sz w:val="18"/>
          <w:szCs w:val="18"/>
        </w:rPr>
      </w:pPr>
      <w:r>
        <w:rPr>
          <w:rFonts w:ascii="宋体" w:hAnsi="宋体" w:cs="宋体" w:eastAsia="宋体" w:hint="default"/>
          <w:sz w:val="18"/>
          <w:szCs w:val="18"/>
        </w:rPr>
        <w:t>本企业重要的合营或联营企业详见附注九、在其他主体中的权益。 本期与本公司发生关联方交易，或前期与本公司发生关联方交易形成余额的其他合营或联营企业情况如下：</w:t>
      </w: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6"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无锡汇众智慧科技有限公司（以下简称无锡汇众）</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本公司之联营企业</w:t>
            </w:r>
          </w:p>
        </w:tc>
      </w:tr>
    </w:tbl>
    <w:p>
      <w:pPr>
        <w:spacing w:before="68"/>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54" w:right="0" w:firstLine="0"/>
        <w:jc w:val="left"/>
        <w:rPr>
          <w:rFonts w:ascii="宋体" w:hAnsi="宋体" w:cs="宋体" w:eastAsia="宋体" w:hint="default"/>
          <w:sz w:val="21"/>
          <w:szCs w:val="21"/>
        </w:rPr>
      </w:pPr>
      <w:bookmarkStart w:name="4、其他关联方情况" w:id="332"/>
      <w:bookmarkEnd w:id="332"/>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、其他关联方情况</w:t>
      </w:r>
      <w:r>
        <w:rPr>
          <w:rFonts w:ascii="宋体" w:hAnsi="宋体" w:cs="宋体" w:eastAsia="宋体" w:hint="default"/>
          <w:sz w:val="21"/>
          <w:szCs w:val="21"/>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98"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青岛雅合科技发展有限公司（以下简称青岛雅合）</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青岛天高公司之股东</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李琳</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陈坚之配偶、本公司之股东</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54" w:right="0" w:firstLine="0"/>
        <w:jc w:val="left"/>
        <w:rPr>
          <w:rFonts w:ascii="宋体" w:hAnsi="宋体" w:cs="宋体" w:eastAsia="宋体" w:hint="default"/>
          <w:sz w:val="21"/>
          <w:szCs w:val="21"/>
        </w:rPr>
      </w:pPr>
      <w:bookmarkStart w:name="5、关联交易情况" w:id="333"/>
      <w:bookmarkEnd w:id="333"/>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、关联交易情况</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bookmarkStart w:name="（1）购销商品、提供和接受劳务的关联交易" w:id="334"/>
      <w:bookmarkEnd w:id="33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）购销商品、提供和接受劳务的关联交易</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采购商品</w:t>
      </w:r>
      <w:r>
        <w:rPr>
          <w:rFonts w:ascii="Times New Roman" w:hAnsi="Times New Roman" w:cs="Times New Roman" w:eastAsia="Times New Roman" w:hint="default"/>
          <w:sz w:val="18"/>
          <w:szCs w:val="18"/>
        </w:rPr>
        <w:t>/</w:t>
      </w:r>
      <w:r>
        <w:rPr>
          <w:rFonts w:ascii="宋体" w:hAnsi="宋体" w:cs="宋体" w:eastAsia="宋体" w:hint="default"/>
          <w:sz w:val="18"/>
          <w:szCs w:val="18"/>
        </w:rPr>
        <w:t>接受劳务情况表</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40"/>
        <w:gridCol w:w="1454"/>
        <w:gridCol w:w="1455"/>
        <w:gridCol w:w="1706"/>
        <w:gridCol w:w="1708"/>
        <w:gridCol w:w="1695"/>
      </w:tblGrid>
      <w:tr>
        <w:trPr>
          <w:trHeight w:val="402" w:hRule="exact"/>
        </w:trPr>
        <w:tc>
          <w:tcPr>
            <w:tcW w:w="1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8"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出售商品</w:t>
      </w:r>
      <w:r>
        <w:rPr>
          <w:rFonts w:ascii="Times New Roman" w:hAnsi="Times New Roman" w:cs="Times New Roman" w:eastAsia="Times New Roman" w:hint="default"/>
          <w:sz w:val="18"/>
          <w:szCs w:val="18"/>
        </w:rPr>
        <w:t>/</w:t>
      </w:r>
      <w:r>
        <w:rPr>
          <w:rFonts w:ascii="宋体" w:hAnsi="宋体" w:cs="宋体" w:eastAsia="宋体" w:hint="default"/>
          <w:sz w:val="18"/>
          <w:szCs w:val="18"/>
        </w:rPr>
        <w:t>提供劳务情况表</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8"/>
        <w:gridCol w:w="2259"/>
        <w:gridCol w:w="2260"/>
        <w:gridCol w:w="2652"/>
      </w:tblGrid>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重庆汇贤</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一卡通及相关设备</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1,030,205.25</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1,736,494.02</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无锡汇众</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一卡通及相关设备</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1,473.61</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104,700.84</w:t>
            </w:r>
          </w:p>
        </w:tc>
      </w:tr>
      <w:tr>
        <w:trPr>
          <w:trHeight w:val="40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59" w:type="dxa"/>
            <w:tcBorders>
              <w:top w:val="single" w:sz="4" w:space="0" w:color="000000"/>
              <w:left w:val="single" w:sz="4" w:space="0" w:color="000000"/>
              <w:bottom w:val="single" w:sz="4" w:space="0" w:color="000000"/>
              <w:right w:val="single" w:sz="4" w:space="0" w:color="000000"/>
            </w:tcBorders>
          </w:tcPr>
          <w:p>
            <w:pP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1,031,678.86</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1,841,194.86</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购销商品、提供和接受劳务的关联交易说明</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spacing w:before="35"/>
        <w:ind w:left="154" w:right="0" w:firstLine="0"/>
        <w:jc w:val="left"/>
        <w:rPr>
          <w:rFonts w:ascii="宋体" w:hAnsi="宋体" w:cs="宋体" w:eastAsia="宋体" w:hint="default"/>
          <w:sz w:val="21"/>
          <w:szCs w:val="21"/>
        </w:rPr>
      </w:pPr>
      <w:bookmarkStart w:name="（2）关联担保情况" w:id="335"/>
      <w:bookmarkEnd w:id="33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）关联担保情况</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本公司作为担保方</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03"/>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本公司作为被担保方</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陈坚、李琳、杭州正元</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陈坚、李琳</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19,177,351.38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陈坚、李琳</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陈坚、李琳</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陈坚</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青岛雅合</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关联担保情况说明</w:t>
      </w:r>
    </w:p>
    <w:p>
      <w:pPr>
        <w:spacing w:line="240" w:lineRule="auto" w:before="11"/>
        <w:rPr>
          <w:rFonts w:ascii="宋体" w:hAnsi="宋体" w:cs="宋体" w:eastAsia="宋体" w:hint="default"/>
          <w:sz w:val="26"/>
          <w:szCs w:val="26"/>
        </w:rPr>
      </w:pPr>
    </w:p>
    <w:p>
      <w:pPr>
        <w:spacing w:before="0"/>
        <w:ind w:left="154" w:right="0" w:firstLine="0"/>
        <w:jc w:val="left"/>
        <w:rPr>
          <w:rFonts w:ascii="宋体" w:hAnsi="宋体" w:cs="宋体" w:eastAsia="宋体" w:hint="default"/>
          <w:sz w:val="21"/>
          <w:szCs w:val="21"/>
        </w:rPr>
      </w:pPr>
      <w:bookmarkStart w:name="（3）关键管理人员报酬" w:id="336"/>
      <w:bookmarkEnd w:id="33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）关键管理人员报酬</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3,312,754.28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2,656,066.54</w:t>
            </w: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bookmarkStart w:name="6、关联方应收应付款项" w:id="337"/>
      <w:bookmarkEnd w:id="337"/>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、关联方应收应付款项</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bookmarkStart w:name="（1）应收项目" w:id="338"/>
      <w:bookmarkEnd w:id="33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）应收项目</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重庆汇贤</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50,900.00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2,545.00</w:t>
            </w: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50,900.00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2,545.00</w:t>
            </w: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杭州卓然</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5,252,222.00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5,252,222.00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5,252,222.00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5,252,222.00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杭州卓然</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w:t>
            </w: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spacing w:before="35"/>
        <w:ind w:left="154" w:right="0" w:firstLine="0"/>
        <w:jc w:val="left"/>
        <w:rPr>
          <w:rFonts w:ascii="宋体" w:hAnsi="宋体" w:cs="宋体" w:eastAsia="宋体" w:hint="default"/>
          <w:sz w:val="21"/>
          <w:szCs w:val="21"/>
        </w:rPr>
      </w:pPr>
      <w:bookmarkStart w:name="（2）应付项目" w:id="339"/>
      <w:bookmarkEnd w:id="33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）应付项目</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239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杭州卓然</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1,114,725.00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vMerge/>
            <w:tcBorders>
              <w:left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重庆汇贤</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65,070.00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vMerge/>
            <w:tcBorders>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无锡汇众</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80,000.00</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1,219,795.00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80,000.00</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十二、股份支付" w:id="340"/>
      <w:bookmarkEnd w:id="340"/>
      <w:r>
        <w:rPr>
          <w:b w:val="0"/>
          <w:bCs w:val="0"/>
        </w:rPr>
      </w:r>
      <w:r>
        <w:rPr/>
        <w:t>十二、股份支付</w:t>
      </w:r>
      <w:r>
        <w:rPr>
          <w:b w:val="0"/>
          <w:bCs w:val="0"/>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bookmarkStart w:name="1、股份支付总体情况" w:id="341"/>
      <w:bookmarkEnd w:id="341"/>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455"/>
        <w:gridCol w:w="4114"/>
      </w:tblGrid>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1026"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公司期末发行在外的股票期权行权价格的范围和合同剩余期限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股票期权行权价格为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33.49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元，分别于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日可行权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150</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万股，</w:t>
            </w:r>
            <w:r>
              <w:rPr>
                <w:rFonts w:ascii="Times New Roman" w:hAnsi="Times New Roman" w:cs="Times New Roman" w:eastAsia="Times New Roman" w:hint="default"/>
                <w:spacing w:val="-6"/>
                <w:sz w:val="18"/>
                <w:szCs w:val="18"/>
              </w:rPr>
              <w:t>2020</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日可行权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万股</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公司期末发行在外的其他权益工具行权价格的范围和合同剩余期限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z w:val="18"/>
                <w:szCs w:val="18"/>
              </w:rPr>
              <w:t>无</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145"/>
        <w:ind w:left="634" w:right="0"/>
        <w:jc w:val="left"/>
      </w:pPr>
      <w:r>
        <w:rPr>
          <w:spacing w:val="3"/>
        </w:rPr>
        <w:t>根据公司</w:t>
      </w:r>
      <w:r>
        <w:rPr>
          <w:rFonts w:ascii="宋体" w:hAnsi="宋体" w:cs="宋体" w:eastAsia="宋体" w:hint="default"/>
          <w:spacing w:val="3"/>
        </w:rPr>
        <w:t>2018</w:t>
      </w:r>
      <w:r>
        <w:rPr>
          <w:spacing w:val="3"/>
        </w:rPr>
        <w:t>年第一次临时股东大会审议通过的《关于公司</w:t>
      </w:r>
      <w:r>
        <w:rPr>
          <w:rFonts w:ascii="宋体" w:hAnsi="宋体" w:cs="宋体" w:eastAsia="宋体" w:hint="default"/>
          <w:spacing w:val="3"/>
        </w:rPr>
        <w:t>&lt;2018</w:t>
      </w:r>
      <w:r>
        <w:rPr>
          <w:spacing w:val="3"/>
        </w:rPr>
        <w:t>年股票期权激励计划</w:t>
      </w:r>
    </w:p>
    <w:p>
      <w:pPr>
        <w:pStyle w:val="BodyText"/>
        <w:spacing w:line="357" w:lineRule="auto" w:before="154"/>
        <w:ind w:right="1013"/>
        <w:jc w:val="left"/>
      </w:pPr>
      <w:r>
        <w:rPr/>
        <w:t>（草案）</w:t>
      </w:r>
      <w:r>
        <w:rPr>
          <w:rFonts w:ascii="宋体" w:hAnsi="宋体" w:cs="宋体" w:eastAsia="宋体" w:hint="default"/>
        </w:rPr>
        <w:t>&gt;</w:t>
      </w:r>
      <w:r>
        <w:rPr/>
        <w:t>及其摘要的议案》，以及公司第二届董事会第二十三次会议决议，公司向</w:t>
      </w:r>
      <w:r>
        <w:rPr>
          <w:rFonts w:ascii="宋体" w:hAnsi="宋体" w:cs="宋体" w:eastAsia="宋体" w:hint="default"/>
        </w:rPr>
        <w:t>176</w:t>
      </w:r>
      <w:r>
        <w:rPr/>
        <w:t>名激</w:t>
      </w:r>
      <w:r>
        <w:rPr>
          <w:spacing w:val="-108"/>
        </w:rPr>
        <w:t> </w:t>
      </w:r>
      <w:r>
        <w:rPr/>
        <w:t>励对象授予股票期权（</w:t>
      </w:r>
      <w:r>
        <w:rPr>
          <w:rFonts w:ascii="宋体" w:hAnsi="宋体" w:cs="宋体" w:eastAsia="宋体" w:hint="default"/>
        </w:rPr>
        <w:t>A </w:t>
      </w:r>
      <w:r>
        <w:rPr/>
        <w:t>股）</w:t>
      </w:r>
      <w:r>
        <w:rPr>
          <w:rFonts w:ascii="宋体" w:hAnsi="宋体" w:cs="宋体" w:eastAsia="宋体" w:hint="default"/>
        </w:rPr>
        <w:t>3,000,000 </w:t>
      </w:r>
      <w:r>
        <w:rPr/>
        <w:t>股，授予日为</w:t>
      </w:r>
      <w:r>
        <w:rPr>
          <w:rFonts w:ascii="宋体" w:hAnsi="宋体" w:cs="宋体" w:eastAsia="宋体" w:hint="default"/>
        </w:rPr>
        <w:t>2018</w:t>
      </w:r>
      <w:r>
        <w:rPr/>
        <w:t>年</w:t>
      </w:r>
      <w:r>
        <w:rPr>
          <w:rFonts w:ascii="宋体" w:hAnsi="宋体" w:cs="宋体" w:eastAsia="宋体" w:hint="default"/>
        </w:rPr>
        <w:t>8</w:t>
      </w:r>
      <w:r>
        <w:rPr/>
        <w:t>月</w:t>
      </w:r>
      <w:r>
        <w:rPr>
          <w:rFonts w:ascii="宋体" w:hAnsi="宋体" w:cs="宋体" w:eastAsia="宋体" w:hint="default"/>
        </w:rPr>
        <w:t>7</w:t>
      </w:r>
      <w:r>
        <w:rPr/>
        <w:t>日。激励对象可在达成行</w:t>
      </w:r>
      <w:r>
        <w:rPr>
          <w:spacing w:val="-104"/>
        </w:rPr>
        <w:t> </w:t>
      </w:r>
      <w:r>
        <w:rPr/>
        <w:t>权条件后在授予完成登记日起</w:t>
      </w:r>
      <w:r>
        <w:rPr>
          <w:rFonts w:ascii="宋体" w:hAnsi="宋体" w:cs="宋体" w:eastAsia="宋体" w:hint="default"/>
        </w:rPr>
        <w:t>12</w:t>
      </w:r>
      <w:r>
        <w:rPr/>
        <w:t>个月和</w:t>
      </w:r>
      <w:r>
        <w:rPr>
          <w:rFonts w:ascii="宋体" w:hAnsi="宋体" w:cs="宋体" w:eastAsia="宋体" w:hint="default"/>
        </w:rPr>
        <w:t>24</w:t>
      </w:r>
      <w:r>
        <w:rPr/>
        <w:t>个月后分别行权</w:t>
      </w:r>
      <w:r>
        <w:rPr>
          <w:rFonts w:ascii="宋体" w:hAnsi="宋体" w:cs="宋体" w:eastAsia="宋体" w:hint="default"/>
        </w:rPr>
        <w:t>50%</w:t>
      </w:r>
      <w:r>
        <w:rPr/>
        <w:t>。股票期权行权价为</w:t>
      </w:r>
      <w:r>
        <w:rPr>
          <w:rFonts w:ascii="宋体" w:hAnsi="宋体" w:cs="宋体" w:eastAsia="宋体" w:hint="default"/>
        </w:rPr>
        <w:t>33.49</w:t>
      </w:r>
      <w:r>
        <w:rPr/>
        <w:t>元，</w:t>
      </w:r>
      <w:r>
        <w:rPr>
          <w:spacing w:val="-104"/>
        </w:rPr>
        <w:t> </w:t>
      </w:r>
      <w:r>
        <w:rPr/>
        <w:t>授予日股价为</w:t>
      </w:r>
      <w:r>
        <w:rPr>
          <w:rFonts w:ascii="宋体" w:hAnsi="宋体" w:cs="宋体" w:eastAsia="宋体" w:hint="default"/>
        </w:rPr>
        <w:t>30.80</w:t>
      </w:r>
      <w:r>
        <w:rPr/>
        <w:t>元，上述权益工具公允价值为</w:t>
      </w:r>
      <w:r>
        <w:rPr>
          <w:rFonts w:ascii="宋体" w:hAnsi="宋体" w:cs="宋体" w:eastAsia="宋体" w:hint="default"/>
        </w:rPr>
        <w:t>7,230,869.76</w:t>
      </w:r>
      <w:r>
        <w:rPr/>
        <w:t>元。根据企业会计准则规定， </w:t>
      </w:r>
      <w:r>
        <w:rPr>
          <w:spacing w:val="-2"/>
        </w:rPr>
        <w:t>本公司按照股票期权行权等待期进行分期摊销，作为以权益结算的股份支付换取职工的支出。</w:t>
      </w:r>
      <w:r>
        <w:rPr/>
        <w:t> 本期分摊金额为</w:t>
      </w:r>
      <w:r>
        <w:rPr>
          <w:rFonts w:ascii="宋体" w:hAnsi="宋体" w:cs="宋体" w:eastAsia="宋体" w:hint="default"/>
        </w:rPr>
        <w:t>1,634,532.75</w:t>
      </w:r>
      <w:r>
        <w:rPr/>
        <w:t>元计入资本公积</w:t>
      </w:r>
      <w:r>
        <w:rPr>
          <w:rFonts w:ascii="宋体" w:hAnsi="宋体" w:cs="宋体" w:eastAsia="宋体" w:hint="default"/>
        </w:rPr>
        <w:t>-</w:t>
      </w:r>
      <w:r>
        <w:rPr/>
        <w:t>其他资本公积。</w:t>
      </w:r>
    </w:p>
    <w:p>
      <w:pPr>
        <w:spacing w:line="240" w:lineRule="auto" w:before="8"/>
        <w:rPr>
          <w:rFonts w:ascii="宋体" w:hAnsi="宋体" w:cs="宋体" w:eastAsia="宋体" w:hint="default"/>
          <w:sz w:val="21"/>
          <w:szCs w:val="21"/>
        </w:rPr>
      </w:pPr>
    </w:p>
    <w:p>
      <w:pPr>
        <w:spacing w:before="0"/>
        <w:ind w:left="154" w:right="0" w:firstLine="0"/>
        <w:jc w:val="left"/>
        <w:rPr>
          <w:rFonts w:ascii="宋体" w:hAnsi="宋体" w:cs="宋体" w:eastAsia="宋体" w:hint="default"/>
          <w:sz w:val="21"/>
          <w:szCs w:val="21"/>
        </w:rPr>
      </w:pPr>
      <w:bookmarkStart w:name="2、以权益结算的股份支付情况" w:id="342"/>
      <w:bookmarkEnd w:id="342"/>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、以权益结算的股份支付情况</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3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4"/>
        <w:gridCol w:w="4585"/>
      </w:tblGrid>
      <w:tr>
        <w:trPr>
          <w:trHeight w:val="464"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3" w:right="0"/>
              <w:jc w:val="left"/>
              <w:rPr>
                <w:rFonts w:ascii="宋体" w:hAnsi="宋体" w:cs="宋体" w:eastAsia="宋体" w:hint="default"/>
                <w:sz w:val="18"/>
                <w:szCs w:val="18"/>
              </w:rPr>
            </w:pPr>
            <w:r>
              <w:rPr>
                <w:rFonts w:ascii="宋体" w:hAnsi="宋体" w:cs="宋体" w:eastAsia="宋体" w:hint="default"/>
                <w:sz w:val="18"/>
                <w:szCs w:val="18"/>
              </w:rPr>
              <w:t>布莱克——斯克尔斯期权定价模型</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984"/>
        <w:gridCol w:w="4584"/>
      </w:tblGrid>
      <w:tr>
        <w:trPr>
          <w:trHeight w:val="714"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可行权权益工具数量的确定依据</w:t>
            </w:r>
          </w:p>
        </w:tc>
        <w:tc>
          <w:tcPr>
            <w:tcW w:w="45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1"/>
              <w:jc w:val="left"/>
              <w:rPr>
                <w:rFonts w:ascii="宋体" w:hAnsi="宋体" w:cs="宋体" w:eastAsia="宋体" w:hint="default"/>
                <w:sz w:val="18"/>
                <w:szCs w:val="18"/>
              </w:rPr>
            </w:pPr>
            <w:r>
              <w:rPr>
                <w:rFonts w:ascii="宋体" w:hAnsi="宋体" w:cs="宋体" w:eastAsia="宋体" w:hint="default"/>
                <w:sz w:val="18"/>
                <w:szCs w:val="18"/>
              </w:rPr>
              <w:t>公司预计激励对象离职可能性较小并且预计能达到可行权 条件</w:t>
            </w:r>
          </w:p>
        </w:tc>
      </w:tr>
      <w:tr>
        <w:trPr>
          <w:trHeight w:val="464"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本期估计与上期估计有重大差异的原因</w:t>
            </w:r>
          </w:p>
        </w:tc>
        <w:tc>
          <w:tcPr>
            <w:tcW w:w="4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
              <w:jc w:val="right"/>
              <w:rPr>
                <w:rFonts w:ascii="宋体" w:hAnsi="宋体" w:cs="宋体" w:eastAsia="宋体" w:hint="default"/>
                <w:sz w:val="18"/>
                <w:szCs w:val="18"/>
              </w:rPr>
            </w:pPr>
            <w:r>
              <w:rPr>
                <w:rFonts w:ascii="宋体" w:hAnsi="宋体" w:cs="宋体" w:eastAsia="宋体" w:hint="default"/>
                <w:sz w:val="18"/>
                <w:szCs w:val="18"/>
              </w:rPr>
              <w:t>无</w:t>
            </w:r>
          </w:p>
        </w:tc>
      </w:tr>
      <w:tr>
        <w:trPr>
          <w:trHeight w:val="464"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3"/>
              <w:ind w:left="22"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4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1,634,532.75</w:t>
            </w:r>
          </w:p>
        </w:tc>
      </w:tr>
      <w:tr>
        <w:trPr>
          <w:trHeight w:val="464"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4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1,634,532.75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before="116"/>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2014</w:t>
      </w:r>
      <w:r>
        <w:rPr>
          <w:rFonts w:ascii="宋体" w:hAnsi="宋体" w:cs="宋体" w:eastAsia="宋体" w:hint="default"/>
          <w:sz w:val="18"/>
          <w:szCs w:val="18"/>
        </w:rPr>
        <w:t>年股份支付，情况如下：</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8"/>
          <w:szCs w:val="18"/>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3215" w:space="5435"/>
            <w:col w:w="2280"/>
          </w:cols>
        </w:sectPr>
      </w:pPr>
    </w:p>
    <w:p>
      <w:pPr>
        <w:spacing w:line="240" w:lineRule="auto" w:before="0"/>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4963"/>
        <w:gridCol w:w="4536"/>
      </w:tblGrid>
      <w:tr>
        <w:trPr>
          <w:trHeight w:val="484" w:hRule="exact"/>
        </w:trPr>
        <w:tc>
          <w:tcPr>
            <w:tcW w:w="496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2"/>
              <w:ind w:left="4"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 w:right="0"/>
              <w:jc w:val="left"/>
              <w:rPr>
                <w:rFonts w:ascii="宋体" w:hAnsi="宋体" w:cs="宋体" w:eastAsia="宋体" w:hint="default"/>
                <w:sz w:val="18"/>
                <w:szCs w:val="18"/>
              </w:rPr>
            </w:pPr>
            <w:r>
              <w:rPr>
                <w:rFonts w:ascii="宋体" w:hAnsi="宋体" w:cs="宋体" w:eastAsia="宋体" w:hint="default"/>
                <w:sz w:val="18"/>
                <w:szCs w:val="18"/>
              </w:rPr>
              <w:t>授予日最近外部投资者入股价</w:t>
            </w:r>
          </w:p>
        </w:tc>
      </w:tr>
      <w:tr>
        <w:trPr>
          <w:trHeight w:val="484" w:hRule="exact"/>
        </w:trPr>
        <w:tc>
          <w:tcPr>
            <w:tcW w:w="496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2"/>
              <w:ind w:left="4" w:right="0"/>
              <w:jc w:val="left"/>
              <w:rPr>
                <w:rFonts w:ascii="宋体" w:hAnsi="宋体" w:cs="宋体" w:eastAsia="宋体" w:hint="default"/>
                <w:sz w:val="18"/>
                <w:szCs w:val="18"/>
              </w:rPr>
            </w:pPr>
            <w:r>
              <w:rPr>
                <w:rFonts w:ascii="宋体" w:hAnsi="宋体" w:cs="宋体" w:eastAsia="宋体" w:hint="default"/>
                <w:sz w:val="18"/>
                <w:szCs w:val="18"/>
              </w:rPr>
              <w:t>可行权权益工具数量的确定依据</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 w:right="0"/>
              <w:jc w:val="left"/>
              <w:rPr>
                <w:rFonts w:ascii="宋体" w:hAnsi="宋体" w:cs="宋体" w:eastAsia="宋体" w:hint="default"/>
                <w:sz w:val="18"/>
                <w:szCs w:val="18"/>
              </w:rPr>
            </w:pPr>
            <w:r>
              <w:rPr>
                <w:rFonts w:ascii="宋体" w:hAnsi="宋体" w:cs="宋体" w:eastAsia="宋体" w:hint="default"/>
                <w:sz w:val="18"/>
                <w:szCs w:val="18"/>
              </w:rPr>
              <w:t>实际授予数量</w:t>
            </w:r>
          </w:p>
        </w:tc>
      </w:tr>
      <w:tr>
        <w:trPr>
          <w:trHeight w:val="505" w:hRule="exact"/>
        </w:trPr>
        <w:tc>
          <w:tcPr>
            <w:tcW w:w="496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2"/>
              <w:ind w:left="4" w:right="0"/>
              <w:jc w:val="left"/>
              <w:rPr>
                <w:rFonts w:ascii="宋体" w:hAnsi="宋体" w:cs="宋体" w:eastAsia="宋体" w:hint="default"/>
                <w:sz w:val="18"/>
                <w:szCs w:val="18"/>
              </w:rPr>
            </w:pPr>
            <w:r>
              <w:rPr>
                <w:rFonts w:ascii="宋体" w:hAnsi="宋体" w:cs="宋体" w:eastAsia="宋体" w:hint="default"/>
                <w:sz w:val="18"/>
                <w:szCs w:val="18"/>
              </w:rPr>
              <w:t>本期估计与上期估计有重大差异的原因</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无</w:t>
            </w:r>
          </w:p>
        </w:tc>
      </w:tr>
      <w:tr>
        <w:trPr>
          <w:trHeight w:val="464" w:hRule="exact"/>
        </w:trPr>
        <w:tc>
          <w:tcPr>
            <w:tcW w:w="496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1"/>
              <w:ind w:left="4"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3"/>
              <w:jc w:val="right"/>
              <w:rPr>
                <w:rFonts w:ascii="Times New Roman" w:hAnsi="Times New Roman" w:cs="Times New Roman" w:eastAsia="Times New Roman" w:hint="default"/>
                <w:sz w:val="18"/>
                <w:szCs w:val="18"/>
              </w:rPr>
            </w:pPr>
            <w:r>
              <w:rPr>
                <w:rFonts w:ascii="Times New Roman"/>
                <w:spacing w:val="-1"/>
                <w:sz w:val="18"/>
              </w:rPr>
              <w:t>9,585,281.88</w:t>
            </w:r>
          </w:p>
        </w:tc>
      </w:tr>
      <w:tr>
        <w:trPr>
          <w:trHeight w:val="484" w:hRule="exact"/>
        </w:trPr>
        <w:tc>
          <w:tcPr>
            <w:tcW w:w="496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2"/>
              <w:ind w:left="4"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3"/>
              <w:jc w:val="right"/>
              <w:rPr>
                <w:rFonts w:ascii="Times New Roman" w:hAnsi="Times New Roman" w:cs="Times New Roman" w:eastAsia="Times New Roman" w:hint="default"/>
                <w:sz w:val="18"/>
                <w:szCs w:val="18"/>
              </w:rPr>
            </w:pPr>
            <w:r>
              <w:rPr>
                <w:rFonts w:ascii="Times New Roman"/>
                <w:sz w:val="18"/>
              </w:rPr>
              <w:t>461,506.23</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5"/>
          <w:szCs w:val="25"/>
        </w:rPr>
      </w:pPr>
    </w:p>
    <w:p>
      <w:pPr>
        <w:spacing w:line="506" w:lineRule="auto" w:before="26"/>
        <w:ind w:left="154" w:right="7692" w:firstLine="0"/>
        <w:jc w:val="left"/>
        <w:rPr>
          <w:rFonts w:ascii="宋体" w:hAnsi="宋体" w:cs="宋体" w:eastAsia="宋体" w:hint="default"/>
          <w:sz w:val="18"/>
          <w:szCs w:val="18"/>
        </w:rPr>
      </w:pPr>
      <w:bookmarkStart w:name="十三、承诺及或有事项" w:id="343"/>
      <w:bookmarkEnd w:id="343"/>
      <w:r>
        <w:rPr/>
      </w:r>
      <w:r>
        <w:rPr>
          <w:rFonts w:ascii="宋体" w:hAnsi="宋体" w:cs="宋体" w:eastAsia="宋体" w:hint="default"/>
          <w:b/>
          <w:bCs/>
          <w:w w:val="95"/>
          <w:sz w:val="24"/>
          <w:szCs w:val="24"/>
        </w:rPr>
        <w:t>十三、承诺及或有事项</w:t>
      </w:r>
      <w:r>
        <w:rPr>
          <w:rFonts w:ascii="宋体" w:hAnsi="宋体" w:cs="宋体" w:eastAsia="宋体" w:hint="default"/>
          <w:b/>
          <w:bCs/>
          <w:spacing w:val="-4"/>
          <w:w w:val="95"/>
          <w:sz w:val="24"/>
          <w:szCs w:val="24"/>
        </w:rPr>
        <w:t> </w:t>
      </w:r>
      <w:bookmarkStart w:name="1、重要承诺事项" w:id="344"/>
      <w:bookmarkEnd w:id="344"/>
      <w:r>
        <w:rPr>
          <w:rFonts w:ascii="宋体" w:hAnsi="宋体" w:cs="宋体" w:eastAsia="宋体" w:hint="default"/>
          <w:b/>
          <w:bCs/>
          <w:spacing w:val="-4"/>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b/>
          <w:bCs/>
          <w:w w:val="99"/>
          <w:sz w:val="21"/>
          <w:szCs w:val="21"/>
        </w:rPr>
        <w:t> </w:t>
      </w:r>
      <w:r>
        <w:rPr>
          <w:rFonts w:ascii="宋体" w:hAnsi="宋体" w:cs="宋体" w:eastAsia="宋体" w:hint="default"/>
          <w:sz w:val="18"/>
          <w:szCs w:val="18"/>
        </w:rPr>
        <w:t>资产负债表日存在的重要承诺</w:t>
      </w:r>
    </w:p>
    <w:p>
      <w:pPr>
        <w:pStyle w:val="BodyText"/>
        <w:spacing w:line="260" w:lineRule="exact" w:before="0"/>
        <w:ind w:right="0" w:firstLine="480"/>
        <w:jc w:val="left"/>
      </w:pPr>
      <w:r>
        <w:rPr>
          <w:rFonts w:ascii="宋体" w:hAnsi="宋体" w:cs="宋体" w:eastAsia="宋体" w:hint="default"/>
        </w:rPr>
        <w:t>1.</w:t>
      </w:r>
      <w:r>
        <w:rPr/>
        <w:t>坚果智慧公司注册资本</w:t>
      </w:r>
      <w:r>
        <w:rPr>
          <w:rFonts w:ascii="宋体" w:hAnsi="宋体" w:cs="宋体" w:eastAsia="宋体" w:hint="default"/>
        </w:rPr>
        <w:t>1,441.20</w:t>
      </w:r>
      <w:r>
        <w:rPr/>
        <w:t>万元，其中本公司认缴注册资本</w:t>
      </w:r>
      <w:r>
        <w:rPr>
          <w:rFonts w:ascii="宋体" w:hAnsi="宋体" w:cs="宋体" w:eastAsia="宋体" w:hint="default"/>
        </w:rPr>
        <w:t>7,350,120.00</w:t>
      </w:r>
      <w:r>
        <w:rPr/>
        <w:t>元，占</w:t>
      </w:r>
    </w:p>
    <w:p>
      <w:pPr>
        <w:pStyle w:val="BodyText"/>
        <w:spacing w:line="357" w:lineRule="auto" w:before="154"/>
        <w:ind w:right="1118"/>
        <w:jc w:val="left"/>
      </w:pPr>
      <w:r>
        <w:rPr>
          <w:spacing w:val="-6"/>
        </w:rPr>
        <w:t>其注册资本的</w:t>
      </w:r>
      <w:r>
        <w:rPr>
          <w:rFonts w:ascii="宋体" w:hAnsi="宋体" w:cs="宋体" w:eastAsia="宋体" w:hint="default"/>
          <w:spacing w:val="-6"/>
        </w:rPr>
        <w:t>51%</w:t>
      </w:r>
      <w:r>
        <w:rPr>
          <w:spacing w:val="-6"/>
        </w:rPr>
        <w:t>，截至</w:t>
      </w:r>
      <w:r>
        <w:rPr>
          <w:rFonts w:ascii="宋体" w:hAnsi="宋体" w:cs="宋体" w:eastAsia="宋体" w:hint="default"/>
          <w:spacing w:val="-6"/>
        </w:rPr>
        <w:t>2018</w:t>
      </w:r>
      <w:r>
        <w:rPr>
          <w:spacing w:val="-6"/>
        </w:rPr>
        <w:t>年</w:t>
      </w:r>
      <w:r>
        <w:rPr>
          <w:rFonts w:ascii="宋体" w:hAnsi="宋体" w:cs="宋体" w:eastAsia="宋体" w:hint="default"/>
          <w:spacing w:val="-6"/>
        </w:rPr>
        <w:t>12</w:t>
      </w:r>
      <w:r>
        <w:rPr>
          <w:spacing w:val="-6"/>
        </w:rPr>
        <w:t>月</w:t>
      </w:r>
      <w:r>
        <w:rPr>
          <w:rFonts w:ascii="宋体" w:hAnsi="宋体" w:cs="宋体" w:eastAsia="宋体" w:hint="default"/>
          <w:spacing w:val="-6"/>
        </w:rPr>
        <w:t>31</w:t>
      </w:r>
      <w:r>
        <w:rPr>
          <w:spacing w:val="-6"/>
        </w:rPr>
        <w:t>日，公司已出资</w:t>
      </w:r>
      <w:r>
        <w:rPr>
          <w:rFonts w:ascii="宋体" w:hAnsi="宋体" w:cs="宋体" w:eastAsia="宋体" w:hint="default"/>
          <w:spacing w:val="-6"/>
        </w:rPr>
        <w:t>3,675,060.00</w:t>
      </w:r>
      <w:r>
        <w:rPr>
          <w:spacing w:val="-6"/>
        </w:rPr>
        <w:t>元，尚未出资</w:t>
      </w:r>
      <w:r>
        <w:rPr>
          <w:rFonts w:ascii="宋体" w:hAnsi="宋体" w:cs="宋体" w:eastAsia="宋体" w:hint="default"/>
          <w:spacing w:val="-6"/>
        </w:rPr>
        <w:t>3,675,060.00</w:t>
      </w:r>
      <w:r>
        <w:rPr>
          <w:rFonts w:ascii="宋体" w:hAnsi="宋体" w:cs="宋体" w:eastAsia="宋体" w:hint="default"/>
          <w:spacing w:val="-87"/>
        </w:rPr>
        <w:t> </w:t>
      </w:r>
      <w:r>
        <w:rPr/>
        <w:t>元。</w:t>
      </w:r>
    </w:p>
    <w:p>
      <w:pPr>
        <w:pStyle w:val="BodyText"/>
        <w:spacing w:line="357" w:lineRule="auto"/>
        <w:ind w:right="0" w:firstLine="480"/>
        <w:jc w:val="left"/>
      </w:pPr>
      <w:r>
        <w:rPr>
          <w:rFonts w:ascii="宋体" w:hAnsi="宋体" w:cs="宋体" w:eastAsia="宋体" w:hint="default"/>
        </w:rPr>
        <w:t>2.</w:t>
      </w:r>
      <w:r>
        <w:rPr/>
        <w:t>云马智慧公司注册资本</w:t>
      </w:r>
      <w:r>
        <w:rPr>
          <w:rFonts w:ascii="宋体" w:hAnsi="宋体" w:cs="宋体" w:eastAsia="宋体" w:hint="default"/>
        </w:rPr>
        <w:t>3,000.00</w:t>
      </w:r>
      <w:r>
        <w:rPr/>
        <w:t>万元，其中本公司认缴注册资本</w:t>
      </w:r>
      <w:r>
        <w:rPr>
          <w:rFonts w:ascii="宋体" w:hAnsi="宋体" w:cs="宋体" w:eastAsia="宋体" w:hint="default"/>
        </w:rPr>
        <w:t>1,530.00</w:t>
      </w:r>
      <w:r>
        <w:rPr/>
        <w:t>万元，占其</w:t>
      </w:r>
      <w:r>
        <w:rPr>
          <w:spacing w:val="1"/>
        </w:rPr>
        <w:t> </w:t>
      </w:r>
      <w:r>
        <w:rPr/>
        <w:t>注册资本的</w:t>
      </w:r>
      <w:r>
        <w:rPr>
          <w:rFonts w:ascii="宋体" w:hAnsi="宋体" w:cs="宋体" w:eastAsia="宋体" w:hint="default"/>
        </w:rPr>
        <w:t>51%</w:t>
      </w:r>
      <w:r>
        <w:rPr/>
        <w:t>，截至</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日，公司已出资</w:t>
      </w:r>
      <w:r>
        <w:rPr>
          <w:rFonts w:ascii="宋体" w:hAnsi="宋体" w:cs="宋体" w:eastAsia="宋体" w:hint="default"/>
        </w:rPr>
        <w:t>765.00</w:t>
      </w:r>
      <w:r>
        <w:rPr/>
        <w:t>万元，尚未出资</w:t>
      </w:r>
      <w:r>
        <w:rPr>
          <w:rFonts w:ascii="宋体" w:hAnsi="宋体" w:cs="宋体" w:eastAsia="宋体" w:hint="default"/>
        </w:rPr>
        <w:t>765.00</w:t>
      </w:r>
      <w:r>
        <w:rPr/>
        <w:t>万元。</w:t>
      </w:r>
    </w:p>
    <w:p>
      <w:pPr>
        <w:pStyle w:val="BodyText"/>
        <w:spacing w:line="357" w:lineRule="auto"/>
        <w:ind w:left="634" w:right="0"/>
        <w:jc w:val="left"/>
      </w:pPr>
      <w:r>
        <w:rPr>
          <w:rFonts w:ascii="宋体" w:hAnsi="宋体" w:cs="宋体" w:eastAsia="宋体" w:hint="default"/>
        </w:rPr>
        <w:t>3.</w:t>
      </w:r>
      <w:r>
        <w:rPr/>
        <w:t>已签订的正在或准备履行的租赁合同及财务影响 </w:t>
      </w:r>
      <w:r>
        <w:rPr>
          <w:spacing w:val="-6"/>
        </w:rPr>
        <w:t>公司与杭州卓然签订房屋租赁合同，承租杭州市余杭区龙潭路与舒心路交叉口西北侧“智</w:t>
      </w:r>
    </w:p>
    <w:p>
      <w:pPr>
        <w:pStyle w:val="BodyText"/>
        <w:spacing w:line="357" w:lineRule="auto"/>
        <w:ind w:right="1130"/>
        <w:jc w:val="both"/>
      </w:pPr>
      <w:r>
        <w:rPr>
          <w:spacing w:val="3"/>
        </w:rPr>
        <w:t>慧教育产业生态园（拟名）”办公用房，租赁面积</w:t>
      </w:r>
      <w:r>
        <w:rPr>
          <w:rFonts w:ascii="宋体" w:hAnsi="宋体" w:cs="宋体" w:eastAsia="宋体" w:hint="default"/>
          <w:spacing w:val="3"/>
        </w:rPr>
        <w:t>9,593.10</w:t>
      </w:r>
      <w:r>
        <w:rPr>
          <w:spacing w:val="3"/>
        </w:rPr>
        <w:t>平方米，租金为</w:t>
      </w:r>
      <w:r>
        <w:rPr>
          <w:rFonts w:ascii="宋体" w:hAnsi="宋体" w:cs="宋体" w:eastAsia="宋体" w:hint="default"/>
          <w:spacing w:val="3"/>
        </w:rPr>
        <w:t>1.5</w:t>
      </w:r>
      <w:r>
        <w:rPr>
          <w:spacing w:val="3"/>
        </w:rPr>
        <w:t>元</w:t>
      </w:r>
      <w:r>
        <w:rPr>
          <w:rFonts w:ascii="宋体" w:hAnsi="宋体" w:cs="宋体" w:eastAsia="宋体" w:hint="default"/>
          <w:spacing w:val="3"/>
        </w:rPr>
        <w:t>/</w:t>
      </w:r>
      <w:r>
        <w:rPr>
          <w:spacing w:val="3"/>
        </w:rPr>
        <w:t>平方米</w:t>
      </w:r>
      <w:r>
        <w:rPr>
          <w:rFonts w:ascii="宋体" w:hAnsi="宋体" w:cs="宋体" w:eastAsia="宋体" w:hint="default"/>
          <w:spacing w:val="3"/>
        </w:rPr>
        <w:t>/</w:t>
      </w:r>
      <w:r>
        <w:rPr>
          <w:rFonts w:ascii="宋体" w:hAnsi="宋体" w:cs="宋体" w:eastAsia="宋体" w:hint="default"/>
        </w:rPr>
        <w:t> </w:t>
      </w:r>
      <w:r>
        <w:rPr/>
        <w:t>天，按年支付，租赁期限自入驻之日起至</w:t>
      </w:r>
      <w:r>
        <w:rPr>
          <w:rFonts w:ascii="宋体" w:hAnsi="宋体" w:cs="宋体" w:eastAsia="宋体" w:hint="default"/>
        </w:rPr>
        <w:t>2022</w:t>
      </w:r>
      <w:r>
        <w:rPr/>
        <w:t>年</w:t>
      </w:r>
      <w:r>
        <w:rPr>
          <w:rFonts w:ascii="宋体" w:hAnsi="宋体" w:cs="宋体" w:eastAsia="宋体" w:hint="default"/>
        </w:rPr>
        <w:t>12</w:t>
      </w:r>
      <w:r>
        <w:rPr/>
        <w:t>月</w:t>
      </w:r>
      <w:r>
        <w:rPr>
          <w:rFonts w:ascii="宋体" w:hAnsi="宋体" w:cs="宋体" w:eastAsia="宋体" w:hint="default"/>
        </w:rPr>
        <w:t>31</w:t>
      </w:r>
      <w:r>
        <w:rPr/>
        <w:t>日止，租金价格按每年递增</w:t>
      </w:r>
      <w:r>
        <w:rPr>
          <w:rFonts w:ascii="宋体" w:hAnsi="宋体" w:cs="宋体" w:eastAsia="宋体" w:hint="default"/>
        </w:rPr>
        <w:t>0.1</w:t>
      </w:r>
      <w:r>
        <w:rPr/>
        <w:t>元</w:t>
      </w:r>
      <w:r>
        <w:rPr>
          <w:rFonts w:ascii="宋体" w:hAnsi="宋体" w:cs="宋体" w:eastAsia="宋体" w:hint="default"/>
        </w:rPr>
        <w:t>/</w:t>
      </w:r>
      <w:r>
        <w:rPr/>
        <w:t>平</w:t>
      </w:r>
      <w:r>
        <w:rPr>
          <w:spacing w:val="-105"/>
        </w:rPr>
        <w:t> </w:t>
      </w:r>
      <w:r>
        <w:rPr/>
        <w:t>方米</w:t>
      </w:r>
      <w:r>
        <w:rPr>
          <w:rFonts w:ascii="宋体" w:hAnsi="宋体" w:cs="宋体" w:eastAsia="宋体" w:hint="default"/>
        </w:rPr>
        <w:t>/</w:t>
      </w:r>
      <w:r>
        <w:rPr/>
        <w:t>天计算。</w:t>
      </w:r>
    </w:p>
    <w:p>
      <w:pPr>
        <w:spacing w:after="0" w:line="357" w:lineRule="auto"/>
        <w:jc w:val="both"/>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spacing w:before="35"/>
        <w:ind w:left="154" w:right="0" w:firstLine="0"/>
        <w:jc w:val="left"/>
        <w:rPr>
          <w:rFonts w:ascii="宋体" w:hAnsi="宋体" w:cs="宋体" w:eastAsia="宋体" w:hint="default"/>
          <w:sz w:val="21"/>
          <w:szCs w:val="21"/>
        </w:rPr>
      </w:pPr>
      <w:bookmarkStart w:name="2、或有事项" w:id="345"/>
      <w:bookmarkEnd w:id="345"/>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、或有事项</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bookmarkStart w:name="（1）公司没有需要披露的重要或有事项，也应予以说明" w:id="346"/>
      <w:bookmarkEnd w:id="34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）公司没有需要披露的重要或有事项，也应予以说明</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公司不存在需要披露的重要或有事项。</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bookmarkStart w:name="十四、资产负债表日后事项" w:id="347"/>
      <w:bookmarkEnd w:id="347"/>
      <w:r>
        <w:rPr>
          <w:b w:val="0"/>
          <w:bCs w:val="0"/>
        </w:rPr>
      </w:r>
      <w:r>
        <w:rPr/>
        <w:t>十四、资产负债表日后事项</w:t>
      </w:r>
      <w:r>
        <w:rPr>
          <w:b w:val="0"/>
          <w:bCs w:val="0"/>
        </w:rPr>
      </w:r>
    </w:p>
    <w:p>
      <w:pPr>
        <w:spacing w:line="240" w:lineRule="auto" w:before="9"/>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bookmarkStart w:name="1、利润分配情况" w:id="348"/>
      <w:bookmarkEnd w:id="348"/>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、利润分配情况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4"/>
        <w:gridCol w:w="4585"/>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10,000,000.05</w:t>
            </w:r>
          </w:p>
        </w:tc>
      </w:tr>
    </w:tbl>
    <w:p>
      <w:pPr>
        <w:spacing w:line="240" w:lineRule="auto" w:before="2"/>
        <w:rPr>
          <w:rFonts w:ascii="宋体" w:hAnsi="宋体" w:cs="宋体" w:eastAsia="宋体" w:hint="default"/>
          <w:sz w:val="19"/>
          <w:szCs w:val="19"/>
        </w:rPr>
      </w:pPr>
    </w:p>
    <w:p>
      <w:pPr>
        <w:spacing w:before="35"/>
        <w:ind w:left="154" w:right="0" w:firstLine="0"/>
        <w:jc w:val="both"/>
        <w:rPr>
          <w:rFonts w:ascii="宋体" w:hAnsi="宋体" w:cs="宋体" w:eastAsia="宋体" w:hint="default"/>
          <w:sz w:val="21"/>
          <w:szCs w:val="21"/>
        </w:rPr>
      </w:pPr>
      <w:bookmarkStart w:name="2、其他资产负债表日后事项说明" w:id="349"/>
      <w:bookmarkEnd w:id="349"/>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、其他资产负债表日后事项说明</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357" w:lineRule="auto" w:before="0"/>
        <w:ind w:right="1129" w:firstLine="480"/>
        <w:jc w:val="both"/>
      </w:pPr>
      <w:r>
        <w:rPr>
          <w:rFonts w:ascii="宋体" w:hAnsi="宋体" w:cs="宋体" w:eastAsia="宋体" w:hint="default"/>
        </w:rPr>
        <w:t>1</w:t>
      </w:r>
      <w:r>
        <w:rPr/>
        <w:t>）根据</w:t>
      </w:r>
      <w:r>
        <w:rPr>
          <w:rFonts w:ascii="宋体" w:hAnsi="宋体" w:cs="宋体" w:eastAsia="宋体" w:hint="default"/>
        </w:rPr>
        <w:t>2019</w:t>
      </w:r>
      <w:r>
        <w:rPr/>
        <w:t>年</w:t>
      </w:r>
      <w:r>
        <w:rPr>
          <w:rFonts w:ascii="宋体" w:hAnsi="宋体" w:cs="宋体" w:eastAsia="宋体" w:hint="default"/>
        </w:rPr>
        <w:t>2</w:t>
      </w:r>
      <w:r>
        <w:rPr/>
        <w:t>月</w:t>
      </w:r>
      <w:r>
        <w:rPr>
          <w:rFonts w:ascii="宋体" w:hAnsi="宋体" w:cs="宋体" w:eastAsia="宋体" w:hint="default"/>
        </w:rPr>
        <w:t>27</w:t>
      </w:r>
      <w:r>
        <w:rPr/>
        <w:t>日公司与常州常工电子科技股份有限公司（股票代码：</w:t>
      </w:r>
      <w:r>
        <w:rPr>
          <w:rFonts w:ascii="宋体" w:hAnsi="宋体" w:cs="宋体" w:eastAsia="宋体" w:hint="default"/>
        </w:rPr>
        <w:t>839694</w:t>
      </w:r>
      <w:r>
        <w:rPr/>
        <w:t>以下</w:t>
      </w:r>
      <w:r>
        <w:rPr>
          <w:spacing w:val="2"/>
        </w:rPr>
        <w:t> </w:t>
      </w:r>
      <w:r>
        <w:rPr>
          <w:spacing w:val="-5"/>
        </w:rPr>
        <w:t>简称常电股份）签订的《常州常工电子科技股份有限公司股票认购协议》，公司拟以</w:t>
      </w:r>
      <w:r>
        <w:rPr>
          <w:rFonts w:ascii="宋体" w:hAnsi="宋体" w:cs="宋体" w:eastAsia="宋体" w:hint="default"/>
          <w:spacing w:val="-5"/>
        </w:rPr>
        <w:t>1,499.60</w:t>
      </w:r>
      <w:r>
        <w:rPr>
          <w:rFonts w:ascii="宋体" w:hAnsi="宋体" w:cs="宋体" w:eastAsia="宋体" w:hint="default"/>
          <w:spacing w:val="-98"/>
        </w:rPr>
        <w:t> </w:t>
      </w:r>
      <w:r>
        <w:rPr>
          <w:spacing w:val="-2"/>
        </w:rPr>
        <w:t>万元认购常电股份定向发行的</w:t>
      </w:r>
      <w:r>
        <w:rPr>
          <w:rFonts w:ascii="宋体" w:hAnsi="宋体" w:cs="宋体" w:eastAsia="宋体" w:hint="default"/>
          <w:spacing w:val="-2"/>
        </w:rPr>
        <w:t>326</w:t>
      </w:r>
      <w:r>
        <w:rPr>
          <w:spacing w:val="-2"/>
        </w:rPr>
        <w:t>万股股份。交易完成后，公司持有常电股份</w:t>
      </w:r>
      <w:r>
        <w:rPr>
          <w:rFonts w:ascii="宋体" w:hAnsi="宋体" w:cs="宋体" w:eastAsia="宋体" w:hint="default"/>
          <w:spacing w:val="-2"/>
        </w:rPr>
        <w:t>14.01%</w:t>
      </w:r>
      <w:r>
        <w:rPr>
          <w:spacing w:val="-2"/>
        </w:rPr>
        <w:t>的股权并</w:t>
      </w:r>
      <w:r>
        <w:rPr>
          <w:spacing w:val="-112"/>
        </w:rPr>
        <w:t> </w:t>
      </w:r>
      <w:r>
        <w:rPr/>
        <w:t>派驻一名董事，公司对其产生重大影响，按照权益法核算。</w:t>
      </w:r>
    </w:p>
    <w:p>
      <w:pPr>
        <w:spacing w:before="77"/>
        <w:ind w:left="634" w:right="0" w:firstLine="0"/>
        <w:jc w:val="left"/>
        <w:rPr>
          <w:rFonts w:ascii="宋体" w:hAnsi="宋体" w:cs="宋体" w:eastAsia="宋体" w:hint="default"/>
          <w:sz w:val="18"/>
          <w:szCs w:val="18"/>
        </w:rPr>
      </w:pPr>
      <w:r>
        <w:rPr>
          <w:rFonts w:ascii="宋体" w:hAnsi="宋体" w:cs="宋体" w:eastAsia="宋体" w:hint="default"/>
          <w:sz w:val="24"/>
          <w:szCs w:val="24"/>
        </w:rPr>
        <w:t>2</w:t>
      </w:r>
      <w:r>
        <w:rPr>
          <w:rFonts w:ascii="宋体" w:hAnsi="宋体" w:cs="宋体" w:eastAsia="宋体" w:hint="default"/>
          <w:sz w:val="24"/>
          <w:szCs w:val="24"/>
        </w:rPr>
        <w:t>）</w:t>
      </w:r>
      <w:r>
        <w:rPr>
          <w:rFonts w:ascii="宋体" w:hAnsi="宋体" w:cs="宋体" w:eastAsia="宋体" w:hint="default"/>
          <w:sz w:val="18"/>
          <w:szCs w:val="18"/>
        </w:rPr>
        <w:t>根据公司第三届第二次董事会审议通过对外投资暨关联交易的议案，本公司联营企业杭州卓然）因业务发展需要</w:t>
      </w:r>
    </w:p>
    <w:p>
      <w:pPr>
        <w:spacing w:before="201"/>
        <w:ind w:left="154" w:right="0" w:firstLine="0"/>
        <w:jc w:val="both"/>
        <w:rPr>
          <w:rFonts w:ascii="宋体" w:hAnsi="宋体" w:cs="宋体" w:eastAsia="宋体" w:hint="default"/>
          <w:sz w:val="18"/>
          <w:szCs w:val="18"/>
        </w:rPr>
      </w:pPr>
      <w:r>
        <w:rPr>
          <w:rFonts w:ascii="宋体" w:hAnsi="宋体" w:cs="宋体" w:eastAsia="宋体" w:hint="default"/>
          <w:sz w:val="18"/>
          <w:szCs w:val="18"/>
        </w:rPr>
        <w:t>注册资本拟由人民币</w:t>
      </w:r>
      <w:r>
        <w:rPr>
          <w:rFonts w:ascii="宋体" w:hAnsi="宋体" w:cs="宋体" w:eastAsia="宋体" w:hint="default"/>
          <w:spacing w:val="-29"/>
          <w:sz w:val="18"/>
          <w:szCs w:val="18"/>
        </w:rPr>
        <w:t> </w:t>
      </w:r>
      <w:r>
        <w:rPr>
          <w:rFonts w:ascii="宋体" w:hAnsi="宋体" w:cs="宋体" w:eastAsia="宋体" w:hint="default"/>
          <w:sz w:val="18"/>
          <w:szCs w:val="18"/>
        </w:rPr>
        <w:t>16,000</w:t>
      </w:r>
      <w:r>
        <w:rPr>
          <w:rFonts w:ascii="宋体" w:hAnsi="宋体" w:cs="宋体" w:eastAsia="宋体" w:hint="default"/>
          <w:spacing w:val="-29"/>
          <w:sz w:val="18"/>
          <w:szCs w:val="18"/>
        </w:rPr>
        <w:t> </w:t>
      </w:r>
      <w:r>
        <w:rPr>
          <w:rFonts w:ascii="宋体" w:hAnsi="宋体" w:cs="宋体" w:eastAsia="宋体" w:hint="default"/>
          <w:sz w:val="18"/>
          <w:szCs w:val="18"/>
        </w:rPr>
        <w:t>万元增加至</w:t>
      </w:r>
      <w:r>
        <w:rPr>
          <w:rFonts w:ascii="宋体" w:hAnsi="宋体" w:cs="宋体" w:eastAsia="宋体" w:hint="default"/>
          <w:spacing w:val="-29"/>
          <w:sz w:val="18"/>
          <w:szCs w:val="18"/>
        </w:rPr>
        <w:t> </w:t>
      </w:r>
      <w:r>
        <w:rPr>
          <w:rFonts w:ascii="宋体" w:hAnsi="宋体" w:cs="宋体" w:eastAsia="宋体" w:hint="default"/>
          <w:sz w:val="18"/>
          <w:szCs w:val="18"/>
        </w:rPr>
        <w:t>20,000</w:t>
      </w:r>
      <w:r>
        <w:rPr>
          <w:rFonts w:ascii="宋体" w:hAnsi="宋体" w:cs="宋体" w:eastAsia="宋体" w:hint="default"/>
          <w:spacing w:val="-29"/>
          <w:sz w:val="18"/>
          <w:szCs w:val="18"/>
        </w:rPr>
        <w:t> </w:t>
      </w:r>
      <w:r>
        <w:rPr>
          <w:rFonts w:ascii="宋体" w:hAnsi="宋体" w:cs="宋体" w:eastAsia="宋体" w:hint="default"/>
          <w:sz w:val="18"/>
          <w:szCs w:val="18"/>
        </w:rPr>
        <w:t>万元。其中，公司原拥有卓然实业</w:t>
      </w:r>
      <w:r>
        <w:rPr>
          <w:rFonts w:ascii="宋体" w:hAnsi="宋体" w:cs="宋体" w:eastAsia="宋体" w:hint="default"/>
          <w:spacing w:val="-29"/>
          <w:sz w:val="18"/>
          <w:szCs w:val="18"/>
        </w:rPr>
        <w:t> </w:t>
      </w:r>
      <w:r>
        <w:rPr>
          <w:rFonts w:ascii="宋体" w:hAnsi="宋体" w:cs="宋体" w:eastAsia="宋体" w:hint="default"/>
          <w:sz w:val="18"/>
          <w:szCs w:val="18"/>
        </w:rPr>
        <w:t>6,400</w:t>
      </w:r>
      <w:r>
        <w:rPr>
          <w:rFonts w:ascii="宋体" w:hAnsi="宋体" w:cs="宋体" w:eastAsia="宋体" w:hint="default"/>
          <w:spacing w:val="-29"/>
          <w:sz w:val="18"/>
          <w:szCs w:val="18"/>
        </w:rPr>
        <w:t> </w:t>
      </w:r>
      <w:r>
        <w:rPr>
          <w:rFonts w:ascii="宋体" w:hAnsi="宋体" w:cs="宋体" w:eastAsia="宋体" w:hint="default"/>
          <w:sz w:val="18"/>
          <w:szCs w:val="18"/>
        </w:rPr>
        <w:t>万元股权，拟以自有资金人民币</w:t>
      </w:r>
    </w:p>
    <w:p>
      <w:pPr>
        <w:spacing w:line="240" w:lineRule="auto" w:before="11"/>
        <w:rPr>
          <w:rFonts w:ascii="宋体" w:hAnsi="宋体" w:cs="宋体" w:eastAsia="宋体" w:hint="default"/>
          <w:sz w:val="17"/>
          <w:szCs w:val="17"/>
        </w:rPr>
      </w:pPr>
    </w:p>
    <w:p>
      <w:pPr>
        <w:spacing w:before="0"/>
        <w:ind w:left="154" w:right="0" w:firstLine="0"/>
        <w:jc w:val="both"/>
        <w:rPr>
          <w:rFonts w:ascii="宋体" w:hAnsi="宋体" w:cs="宋体" w:eastAsia="宋体" w:hint="default"/>
          <w:sz w:val="18"/>
          <w:szCs w:val="18"/>
        </w:rPr>
      </w:pPr>
      <w:r>
        <w:rPr>
          <w:rFonts w:ascii="宋体" w:hAnsi="宋体" w:cs="宋体" w:eastAsia="宋体" w:hint="default"/>
          <w:sz w:val="18"/>
          <w:szCs w:val="18"/>
        </w:rPr>
        <w:t>1,600</w:t>
      </w:r>
      <w:r>
        <w:rPr>
          <w:rFonts w:ascii="宋体" w:hAnsi="宋体" w:cs="宋体" w:eastAsia="宋体" w:hint="default"/>
          <w:spacing w:val="-46"/>
          <w:sz w:val="18"/>
          <w:szCs w:val="18"/>
        </w:rPr>
        <w:t> </w:t>
      </w:r>
      <w:r>
        <w:rPr>
          <w:rFonts w:ascii="宋体" w:hAnsi="宋体" w:cs="宋体" w:eastAsia="宋体" w:hint="default"/>
          <w:sz w:val="18"/>
          <w:szCs w:val="18"/>
        </w:rPr>
        <w:t>万元追加认缴卓然实业</w:t>
      </w:r>
      <w:r>
        <w:rPr>
          <w:rFonts w:ascii="宋体" w:hAnsi="宋体" w:cs="宋体" w:eastAsia="宋体" w:hint="default"/>
          <w:spacing w:val="-46"/>
          <w:sz w:val="18"/>
          <w:szCs w:val="18"/>
        </w:rPr>
        <w:t> </w:t>
      </w:r>
      <w:r>
        <w:rPr>
          <w:rFonts w:ascii="宋体" w:hAnsi="宋体" w:cs="宋体" w:eastAsia="宋体" w:hint="default"/>
          <w:sz w:val="18"/>
          <w:szCs w:val="18"/>
        </w:rPr>
        <w:t>1,600</w:t>
      </w:r>
      <w:r>
        <w:rPr>
          <w:rFonts w:ascii="宋体" w:hAnsi="宋体" w:cs="宋体" w:eastAsia="宋体" w:hint="default"/>
          <w:spacing w:val="-46"/>
          <w:sz w:val="18"/>
          <w:szCs w:val="18"/>
        </w:rPr>
        <w:t> </w:t>
      </w:r>
      <w:r>
        <w:rPr>
          <w:rFonts w:ascii="宋体" w:hAnsi="宋体" w:cs="宋体" w:eastAsia="宋体" w:hint="default"/>
          <w:sz w:val="18"/>
          <w:szCs w:val="18"/>
        </w:rPr>
        <w:t>万股股权，前后共认缴出资</w:t>
      </w:r>
      <w:r>
        <w:rPr>
          <w:rFonts w:ascii="宋体" w:hAnsi="宋体" w:cs="宋体" w:eastAsia="宋体" w:hint="default"/>
          <w:spacing w:val="-46"/>
          <w:sz w:val="18"/>
          <w:szCs w:val="18"/>
        </w:rPr>
        <w:t> </w:t>
      </w:r>
      <w:r>
        <w:rPr>
          <w:rFonts w:ascii="宋体" w:hAnsi="宋体" w:cs="宋体" w:eastAsia="宋体" w:hint="default"/>
          <w:sz w:val="18"/>
          <w:szCs w:val="18"/>
        </w:rPr>
        <w:t>8,000</w:t>
      </w:r>
      <w:r>
        <w:rPr>
          <w:rFonts w:ascii="宋体" w:hAnsi="宋体" w:cs="宋体" w:eastAsia="宋体" w:hint="default"/>
          <w:spacing w:val="-46"/>
          <w:sz w:val="18"/>
          <w:szCs w:val="18"/>
        </w:rPr>
        <w:t> </w:t>
      </w:r>
      <w:r>
        <w:rPr>
          <w:rFonts w:ascii="宋体" w:hAnsi="宋体" w:cs="宋体" w:eastAsia="宋体" w:hint="default"/>
          <w:sz w:val="18"/>
          <w:szCs w:val="18"/>
        </w:rPr>
        <w:t>万元，占注册资本的</w:t>
      </w:r>
      <w:r>
        <w:rPr>
          <w:rFonts w:ascii="宋体" w:hAnsi="宋体" w:cs="宋体" w:eastAsia="宋体" w:hint="default"/>
          <w:spacing w:val="-46"/>
          <w:sz w:val="18"/>
          <w:szCs w:val="18"/>
        </w:rPr>
        <w:t> </w:t>
      </w:r>
      <w:r>
        <w:rPr>
          <w:rFonts w:ascii="宋体" w:hAnsi="宋体" w:cs="宋体" w:eastAsia="宋体" w:hint="default"/>
          <w:sz w:val="18"/>
          <w:szCs w:val="18"/>
        </w:rPr>
        <w:t>40.00%</w:t>
      </w:r>
      <w:r>
        <w:rPr>
          <w:rFonts w:ascii="宋体" w:hAnsi="宋体" w:cs="宋体" w:eastAsia="宋体" w:hint="default"/>
          <w:sz w:val="18"/>
          <w:szCs w:val="18"/>
        </w:rPr>
        <w:t>。</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spacing w:before="0"/>
        <w:ind w:left="154" w:right="0" w:firstLine="0"/>
        <w:jc w:val="both"/>
        <w:rPr>
          <w:rFonts w:ascii="宋体" w:hAnsi="宋体" w:cs="宋体" w:eastAsia="宋体" w:hint="default"/>
          <w:sz w:val="21"/>
          <w:szCs w:val="21"/>
        </w:rPr>
      </w:pPr>
      <w:bookmarkStart w:name="3、会计政策变更" w:id="350"/>
      <w:bookmarkEnd w:id="350"/>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、会计政策变更</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240" w:lineRule="auto" w:before="0"/>
        <w:ind w:left="634" w:right="0"/>
        <w:jc w:val="left"/>
      </w:pPr>
      <w:r>
        <w:rPr/>
        <w:t>财政部于</w:t>
      </w:r>
      <w:r>
        <w:rPr>
          <w:rFonts w:ascii="宋体" w:hAnsi="宋体" w:cs="宋体" w:eastAsia="宋体" w:hint="default"/>
        </w:rPr>
        <w:t>2017</w:t>
      </w:r>
      <w:r>
        <w:rPr/>
        <w:t>年度颁布了修订后的《企业会计准则第</w:t>
      </w:r>
      <w:r>
        <w:rPr>
          <w:rFonts w:ascii="宋体" w:hAnsi="宋体" w:cs="宋体" w:eastAsia="宋体" w:hint="default"/>
        </w:rPr>
        <w:t>22</w:t>
      </w:r>
      <w:r>
        <w:rPr/>
        <w:t>号——金融工具确认和计量》、</w:t>
      </w:r>
    </w:p>
    <w:p>
      <w:pPr>
        <w:pStyle w:val="BodyText"/>
        <w:spacing w:line="357" w:lineRule="auto" w:before="154"/>
        <w:ind w:right="1132"/>
        <w:jc w:val="both"/>
      </w:pPr>
      <w:r>
        <w:rPr/>
        <w:t>《企业会计准则第</w:t>
      </w:r>
      <w:r>
        <w:rPr>
          <w:rFonts w:ascii="宋体" w:hAnsi="宋体" w:cs="宋体" w:eastAsia="宋体" w:hint="default"/>
        </w:rPr>
        <w:t>23</w:t>
      </w:r>
      <w:r>
        <w:rPr/>
        <w:t>号——金融资产转移》、《企业会计准则第</w:t>
      </w:r>
      <w:r>
        <w:rPr>
          <w:rFonts w:ascii="宋体" w:hAnsi="宋体" w:cs="宋体" w:eastAsia="宋体" w:hint="default"/>
        </w:rPr>
        <w:t>24</w:t>
      </w:r>
      <w:r>
        <w:rPr/>
        <w:t>号——套期会计》及《企</w:t>
      </w:r>
      <w:r>
        <w:rPr>
          <w:spacing w:val="-108"/>
        </w:rPr>
        <w:t> </w:t>
      </w:r>
      <w:r>
        <w:rPr>
          <w:spacing w:val="-108"/>
        </w:rPr>
      </w:r>
      <w:r>
        <w:rPr/>
        <w:t>业会计准则第</w:t>
      </w:r>
      <w:r>
        <w:rPr>
          <w:rFonts w:ascii="宋体" w:hAnsi="宋体" w:cs="宋体" w:eastAsia="宋体" w:hint="default"/>
        </w:rPr>
        <w:t>37</w:t>
      </w:r>
      <w:r>
        <w:rPr/>
        <w:t>号——金融工具列报》（上述四项准则以下简称新金融工具准则）。公司自</w:t>
      </w:r>
      <w:r>
        <w:rPr>
          <w:spacing w:val="-115"/>
        </w:rPr>
        <w:t> </w:t>
      </w:r>
      <w:r>
        <w:rPr>
          <w:spacing w:val="-115"/>
        </w:rPr>
      </w: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1</w:t>
      </w:r>
      <w:r>
        <w:rPr/>
        <w:t>日起执行上述新金融工具准则。</w:t>
      </w:r>
    </w:p>
    <w:p>
      <w:pPr>
        <w:spacing w:line="240" w:lineRule="auto" w:before="11"/>
        <w:rPr>
          <w:rFonts w:ascii="宋体" w:hAnsi="宋体" w:cs="宋体" w:eastAsia="宋体" w:hint="default"/>
          <w:sz w:val="19"/>
          <w:szCs w:val="19"/>
        </w:rPr>
      </w:pPr>
    </w:p>
    <w:p>
      <w:pPr>
        <w:pStyle w:val="Heading2"/>
        <w:spacing w:line="240" w:lineRule="auto"/>
        <w:ind w:right="0"/>
        <w:jc w:val="both"/>
        <w:rPr>
          <w:b w:val="0"/>
          <w:bCs w:val="0"/>
        </w:rPr>
      </w:pPr>
      <w:bookmarkStart w:name="十五、其他重要事项" w:id="351"/>
      <w:bookmarkEnd w:id="351"/>
      <w:r>
        <w:rPr>
          <w:b w:val="0"/>
          <w:bCs w:val="0"/>
        </w:rPr>
      </w:r>
      <w:r>
        <w:rPr/>
        <w:t>十五、其他重要事项</w:t>
      </w:r>
      <w:r>
        <w:rPr>
          <w:b w:val="0"/>
          <w:bCs w:val="0"/>
        </w:rPr>
      </w:r>
    </w:p>
    <w:p>
      <w:pPr>
        <w:spacing w:line="240" w:lineRule="auto" w:before="8"/>
        <w:rPr>
          <w:rFonts w:ascii="宋体" w:hAnsi="宋体" w:cs="宋体" w:eastAsia="宋体" w:hint="default"/>
          <w:b/>
          <w:bCs/>
          <w:sz w:val="24"/>
          <w:szCs w:val="24"/>
        </w:rPr>
      </w:pPr>
    </w:p>
    <w:p>
      <w:pPr>
        <w:spacing w:before="0"/>
        <w:ind w:left="154" w:right="0" w:firstLine="0"/>
        <w:jc w:val="both"/>
        <w:rPr>
          <w:rFonts w:ascii="宋体" w:hAnsi="宋体" w:cs="宋体" w:eastAsia="宋体" w:hint="default"/>
          <w:sz w:val="21"/>
          <w:szCs w:val="21"/>
        </w:rPr>
      </w:pPr>
      <w:bookmarkStart w:name="1、分部信息" w:id="352"/>
      <w:bookmarkEnd w:id="352"/>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、分部信息</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4" w:right="0" w:firstLine="0"/>
        <w:jc w:val="both"/>
        <w:rPr>
          <w:rFonts w:ascii="宋体" w:hAnsi="宋体" w:cs="宋体" w:eastAsia="宋体" w:hint="default"/>
          <w:sz w:val="21"/>
          <w:szCs w:val="21"/>
        </w:rPr>
      </w:pPr>
      <w:bookmarkStart w:name="（1）报告分部的确定依据与会计政策" w:id="353"/>
      <w:bookmarkEnd w:id="35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）报告分部的确定依据与会计政策</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357" w:lineRule="auto" w:before="0"/>
        <w:ind w:right="1139" w:firstLine="480"/>
        <w:jc w:val="both"/>
      </w:pPr>
      <w:r>
        <w:rPr/>
        <w:t>本公司以产品分部为基础确定报告分部，各分部共同使用的资产、负债无法在不同分部 间分配。</w:t>
      </w:r>
    </w:p>
    <w:p>
      <w:pPr>
        <w:spacing w:after="0" w:line="357" w:lineRule="auto"/>
        <w:jc w:val="both"/>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spacing w:before="35"/>
        <w:ind w:left="214" w:right="468" w:firstLine="0"/>
        <w:jc w:val="left"/>
        <w:rPr>
          <w:rFonts w:ascii="宋体" w:hAnsi="宋体" w:cs="宋体" w:eastAsia="宋体" w:hint="default"/>
          <w:sz w:val="21"/>
          <w:szCs w:val="21"/>
        </w:rPr>
      </w:pPr>
      <w:bookmarkStart w:name="（2）报告分部的财务信息" w:id="354"/>
      <w:bookmarkEnd w:id="35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）报告分部的财务信息</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220" w:type="dxa"/>
        <w:tblLayout w:type="fixed"/>
        <w:tblCellMar>
          <w:top w:w="0" w:type="dxa"/>
          <w:left w:w="0" w:type="dxa"/>
          <w:bottom w:w="0" w:type="dxa"/>
          <w:right w:w="0" w:type="dxa"/>
        </w:tblCellMar>
        <w:tblLook w:val="01E0"/>
      </w:tblPr>
      <w:tblGrid>
        <w:gridCol w:w="1344"/>
        <w:gridCol w:w="1378"/>
        <w:gridCol w:w="1368"/>
        <w:gridCol w:w="1367"/>
        <w:gridCol w:w="1367"/>
        <w:gridCol w:w="1367"/>
        <w:gridCol w:w="1367"/>
      </w:tblGrid>
      <w:tr>
        <w:trPr>
          <w:trHeight w:val="402" w:hRule="exact"/>
        </w:trPr>
        <w:tc>
          <w:tcPr>
            <w:tcW w:w="1344" w:type="dxa"/>
            <w:tcBorders>
              <w:top w:val="single" w:sz="4" w:space="0" w:color="000000"/>
              <w:left w:val="single" w:sz="4" w:space="0" w:color="000000"/>
              <w:bottom w:val="single" w:sz="4" w:space="0" w:color="000000"/>
              <w:right w:val="single" w:sz="13" w:space="0" w:color="E0FFFF"/>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78" w:type="dxa"/>
            <w:tcBorders>
              <w:top w:val="single" w:sz="4" w:space="0" w:color="000000"/>
              <w:left w:val="single" w:sz="13" w:space="0" w:color="D2D2D2"/>
              <w:bottom w:val="single" w:sz="4" w:space="0" w:color="000000"/>
              <w:right w:val="single" w:sz="4" w:space="0" w:color="000000"/>
            </w:tcBorders>
            <w:shd w:val="clear" w:color="auto" w:fill="E0FFFF"/>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系统建设</w:t>
            </w:r>
          </w:p>
        </w:tc>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运维服务</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智能管控</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总部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8"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432,989,377.18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55,480,491.31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99" w:right="0"/>
              <w:jc w:val="left"/>
              <w:rPr>
                <w:rFonts w:ascii="Times New Roman" w:hAnsi="Times New Roman" w:cs="Times New Roman" w:eastAsia="Times New Roman" w:hint="default"/>
                <w:sz w:val="18"/>
                <w:szCs w:val="18"/>
              </w:rPr>
            </w:pPr>
            <w:r>
              <w:rPr>
                <w:rFonts w:ascii="Times New Roman"/>
                <w:sz w:val="18"/>
              </w:rPr>
              <w:t>78,366,675.71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566,836,544.20</w:t>
            </w:r>
          </w:p>
        </w:tc>
      </w:tr>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268,251,914.35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9,385,373.92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99" w:right="0"/>
              <w:jc w:val="left"/>
              <w:rPr>
                <w:rFonts w:ascii="Times New Roman" w:hAnsi="Times New Roman" w:cs="Times New Roman" w:eastAsia="Times New Roman" w:hint="default"/>
                <w:sz w:val="18"/>
                <w:szCs w:val="18"/>
              </w:rPr>
            </w:pPr>
            <w:r>
              <w:rPr>
                <w:rFonts w:ascii="Times New Roman"/>
                <w:sz w:val="18"/>
              </w:rPr>
              <w:t>63,707,164.39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341,344,452.66</w:t>
            </w:r>
          </w:p>
        </w:tc>
      </w:tr>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资产总额</w:t>
            </w: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1,013,344,976.61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1,013,344,976.61</w:t>
            </w:r>
          </w:p>
        </w:tc>
      </w:tr>
      <w:tr>
        <w:trPr>
          <w:trHeight w:val="403" w:hRule="exact"/>
        </w:trPr>
        <w:tc>
          <w:tcPr>
            <w:tcW w:w="134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负债总额</w:t>
            </w: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380,926,645.40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380,926,645.40</w:t>
            </w:r>
          </w:p>
        </w:tc>
      </w:tr>
    </w:tbl>
    <w:p>
      <w:pPr>
        <w:spacing w:line="240" w:lineRule="auto" w:before="2"/>
        <w:rPr>
          <w:rFonts w:ascii="宋体" w:hAnsi="宋体" w:cs="宋体" w:eastAsia="宋体" w:hint="default"/>
          <w:sz w:val="19"/>
          <w:szCs w:val="19"/>
        </w:rPr>
      </w:pPr>
    </w:p>
    <w:p>
      <w:pPr>
        <w:spacing w:before="35"/>
        <w:ind w:left="214" w:right="468" w:firstLine="0"/>
        <w:jc w:val="left"/>
        <w:rPr>
          <w:rFonts w:ascii="宋体" w:hAnsi="宋体" w:cs="宋体" w:eastAsia="宋体" w:hint="default"/>
          <w:sz w:val="21"/>
          <w:szCs w:val="21"/>
        </w:rPr>
      </w:pPr>
      <w:bookmarkStart w:name="2、其他" w:id="355"/>
      <w:bookmarkEnd w:id="355"/>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、其他</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357" w:lineRule="auto" w:before="0"/>
        <w:ind w:left="694" w:right="4512"/>
        <w:jc w:val="left"/>
      </w:pPr>
      <w:r>
        <w:rPr>
          <w:rFonts w:ascii="宋体" w:hAnsi="宋体" w:cs="宋体" w:eastAsia="宋体" w:hint="default"/>
        </w:rPr>
        <w:t>(1) </w:t>
      </w:r>
      <w:r>
        <w:rPr/>
        <w:t>股权质押 截至</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日，控股股东股份被质押情况如下：</w:t>
      </w:r>
    </w:p>
    <w:tbl>
      <w:tblPr>
        <w:tblW w:w="0" w:type="auto"/>
        <w:jc w:val="left"/>
        <w:tblInd w:w="101" w:type="dxa"/>
        <w:tblLayout w:type="fixed"/>
        <w:tblCellMar>
          <w:top w:w="0" w:type="dxa"/>
          <w:left w:w="0" w:type="dxa"/>
          <w:bottom w:w="0" w:type="dxa"/>
          <w:right w:w="0" w:type="dxa"/>
        </w:tblCellMar>
        <w:tblLook w:val="01E0"/>
      </w:tblPr>
      <w:tblGrid>
        <w:gridCol w:w="941"/>
        <w:gridCol w:w="1152"/>
        <w:gridCol w:w="1559"/>
        <w:gridCol w:w="1560"/>
        <w:gridCol w:w="1560"/>
        <w:gridCol w:w="1452"/>
        <w:gridCol w:w="1134"/>
      </w:tblGrid>
      <w:tr>
        <w:trPr>
          <w:trHeight w:val="946" w:hRule="exact"/>
        </w:trPr>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z w:val="18"/>
                <w:szCs w:val="18"/>
              </w:rPr>
              <w:t>质押股数</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质押开始日期</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质押到期日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质权人</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
              <w:ind w:left="360" w:right="360"/>
              <w:jc w:val="both"/>
              <w:rPr>
                <w:rFonts w:ascii="宋体" w:hAnsi="宋体" w:cs="宋体" w:eastAsia="宋体" w:hint="default"/>
                <w:sz w:val="18"/>
                <w:szCs w:val="18"/>
              </w:rPr>
            </w:pPr>
            <w:r>
              <w:rPr>
                <w:rFonts w:ascii="宋体" w:hAnsi="宋体" w:cs="宋体" w:eastAsia="宋体" w:hint="default"/>
                <w:sz w:val="18"/>
                <w:szCs w:val="18"/>
              </w:rPr>
              <w:t>本次质押 占其所持 股份比例</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380" w:right="0"/>
              <w:jc w:val="left"/>
              <w:rPr>
                <w:rFonts w:ascii="宋体" w:hAnsi="宋体" w:cs="宋体" w:eastAsia="宋体" w:hint="default"/>
                <w:sz w:val="18"/>
                <w:szCs w:val="18"/>
              </w:rPr>
            </w:pPr>
            <w:r>
              <w:rPr>
                <w:rFonts w:ascii="宋体" w:hAnsi="宋体" w:cs="宋体" w:eastAsia="宋体" w:hint="default"/>
                <w:sz w:val="18"/>
                <w:szCs w:val="18"/>
              </w:rPr>
              <w:t>用途</w:t>
            </w:r>
          </w:p>
        </w:tc>
      </w:tr>
      <w:tr>
        <w:trPr>
          <w:trHeight w:val="322" w:hRule="exact"/>
        </w:trPr>
        <w:tc>
          <w:tcPr>
            <w:tcW w:w="94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杭州正元</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18"/>
                <w:szCs w:val="18"/>
              </w:rPr>
            </w:pPr>
            <w:r>
              <w:rPr>
                <w:rFonts w:ascii="Times New Roman"/>
                <w:sz w:val="18"/>
              </w:rPr>
              <w:t>6,013,800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23</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21</w:t>
            </w:r>
            <w:r>
              <w:rPr>
                <w:rFonts w:ascii="宋体" w:hAnsi="宋体" w:cs="宋体" w:eastAsia="宋体" w:hint="default"/>
                <w:sz w:val="18"/>
                <w:szCs w:val="18"/>
              </w:rPr>
              <w:t>日</w:t>
            </w:r>
          </w:p>
        </w:tc>
        <w:tc>
          <w:tcPr>
            <w:tcW w:w="1560" w:type="dxa"/>
            <w:vMerge w:val="restart"/>
            <w:tcBorders>
              <w:top w:val="single" w:sz="4" w:space="0" w:color="000000"/>
              <w:left w:val="single" w:sz="4" w:space="0" w:color="000000"/>
              <w:right w:val="single" w:sz="4" w:space="0" w:color="000000"/>
            </w:tcBorders>
          </w:tcPr>
          <w:p>
            <w:pPr>
              <w:pStyle w:val="TableParagraph"/>
              <w:spacing w:line="316" w:lineRule="auto" w:before="7"/>
              <w:ind w:left="101" w:right="103"/>
              <w:jc w:val="left"/>
              <w:rPr>
                <w:rFonts w:ascii="宋体" w:hAnsi="宋体" w:cs="宋体" w:eastAsia="宋体" w:hint="default"/>
                <w:sz w:val="18"/>
                <w:szCs w:val="18"/>
              </w:rPr>
            </w:pPr>
            <w:r>
              <w:rPr>
                <w:rFonts w:ascii="宋体" w:hAnsi="宋体" w:cs="宋体" w:eastAsia="宋体" w:hint="default"/>
                <w:spacing w:val="11"/>
                <w:sz w:val="18"/>
                <w:szCs w:val="18"/>
              </w:rPr>
              <w:t>中国银河证券股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份有限公司</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Times New Roman" w:hAnsi="Times New Roman" w:cs="Times New Roman" w:eastAsia="Times New Roman" w:hint="default"/>
                <w:sz w:val="18"/>
                <w:szCs w:val="18"/>
              </w:rPr>
            </w:pPr>
            <w:r>
              <w:rPr>
                <w:rFonts w:ascii="Times New Roman"/>
                <w:sz w:val="18"/>
              </w:rPr>
              <w:t>31.15%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380" w:right="0"/>
              <w:jc w:val="left"/>
              <w:rPr>
                <w:rFonts w:ascii="宋体" w:hAnsi="宋体" w:cs="宋体" w:eastAsia="宋体" w:hint="default"/>
                <w:sz w:val="18"/>
                <w:szCs w:val="18"/>
              </w:rPr>
            </w:pPr>
            <w:r>
              <w:rPr>
                <w:rFonts w:ascii="宋体" w:hAnsi="宋体" w:cs="宋体" w:eastAsia="宋体" w:hint="default"/>
                <w:sz w:val="18"/>
                <w:szCs w:val="18"/>
              </w:rPr>
              <w:t>融资</w:t>
            </w:r>
          </w:p>
        </w:tc>
      </w:tr>
      <w:tr>
        <w:trPr>
          <w:trHeight w:val="323" w:hRule="exact"/>
        </w:trPr>
        <w:tc>
          <w:tcPr>
            <w:tcW w:w="941" w:type="dxa"/>
            <w:vMerge/>
            <w:tcBorders>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0"/>
              <w:jc w:val="right"/>
              <w:rPr>
                <w:rFonts w:ascii="Times New Roman" w:hAnsi="Times New Roman" w:cs="Times New Roman" w:eastAsia="Times New Roman" w:hint="default"/>
                <w:sz w:val="18"/>
                <w:szCs w:val="18"/>
              </w:rPr>
            </w:pPr>
            <w:r>
              <w:rPr>
                <w:rFonts w:ascii="Times New Roman"/>
                <w:sz w:val="18"/>
              </w:rPr>
              <w:t>6,013,800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c>
          <w:tcPr>
            <w:tcW w:w="1560" w:type="dxa"/>
            <w:vMerge/>
            <w:tcBorders>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z w:val="18"/>
              </w:rPr>
              <w:t>31.15%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80" w:right="0"/>
              <w:jc w:val="left"/>
              <w:rPr>
                <w:rFonts w:ascii="宋体" w:hAnsi="宋体" w:cs="宋体" w:eastAsia="宋体" w:hint="default"/>
                <w:sz w:val="18"/>
                <w:szCs w:val="18"/>
              </w:rPr>
            </w:pPr>
            <w:r>
              <w:rPr>
                <w:rFonts w:ascii="宋体" w:hAnsi="宋体" w:cs="宋体" w:eastAsia="宋体" w:hint="default"/>
                <w:sz w:val="18"/>
                <w:szCs w:val="18"/>
              </w:rPr>
              <w:t>融资</w:t>
            </w:r>
          </w:p>
        </w:tc>
      </w:tr>
      <w:tr>
        <w:trPr>
          <w:trHeight w:val="634" w:hRule="exact"/>
        </w:trPr>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85" w:right="0"/>
              <w:jc w:val="left"/>
              <w:rPr>
                <w:rFonts w:ascii="宋体" w:hAnsi="宋体" w:cs="宋体" w:eastAsia="宋体" w:hint="default"/>
                <w:sz w:val="18"/>
                <w:szCs w:val="18"/>
              </w:rPr>
            </w:pPr>
            <w:r>
              <w:rPr>
                <w:rFonts w:ascii="宋体" w:hAnsi="宋体" w:cs="宋体" w:eastAsia="宋体" w:hint="default"/>
                <w:sz w:val="18"/>
                <w:szCs w:val="18"/>
              </w:rPr>
              <w:t>李琳</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1,941,980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
              <w:ind w:left="101" w:right="103"/>
              <w:jc w:val="left"/>
              <w:rPr>
                <w:rFonts w:ascii="宋体" w:hAnsi="宋体" w:cs="宋体" w:eastAsia="宋体" w:hint="default"/>
                <w:sz w:val="18"/>
                <w:szCs w:val="18"/>
              </w:rPr>
            </w:pPr>
            <w:r>
              <w:rPr>
                <w:rFonts w:ascii="宋体" w:hAnsi="宋体" w:cs="宋体" w:eastAsia="宋体" w:hint="default"/>
                <w:spacing w:val="11"/>
                <w:sz w:val="18"/>
                <w:szCs w:val="18"/>
              </w:rPr>
              <w:t>浙江物产元通典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当有限责任公司</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380" w:right="0"/>
              <w:jc w:val="left"/>
              <w:rPr>
                <w:rFonts w:ascii="宋体" w:hAnsi="宋体" w:cs="宋体" w:eastAsia="宋体" w:hint="default"/>
                <w:sz w:val="18"/>
                <w:szCs w:val="18"/>
              </w:rPr>
            </w:pPr>
            <w:r>
              <w:rPr>
                <w:rFonts w:ascii="宋体" w:hAnsi="宋体" w:cs="宋体" w:eastAsia="宋体" w:hint="default"/>
                <w:sz w:val="18"/>
                <w:szCs w:val="18"/>
              </w:rPr>
              <w:t>融资</w:t>
            </w:r>
          </w:p>
        </w:tc>
      </w:tr>
      <w:tr>
        <w:trPr>
          <w:trHeight w:val="323" w:hRule="exact"/>
        </w:trPr>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18"/>
                <w:szCs w:val="18"/>
              </w:rPr>
            </w:pPr>
            <w:r>
              <w:rPr>
                <w:rFonts w:ascii="Times New Roman"/>
                <w:sz w:val="18"/>
              </w:rPr>
              <w:t>13,969,580</w:t>
            </w:r>
          </w:p>
        </w:tc>
        <w:tc>
          <w:tcPr>
            <w:tcW w:w="155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ind w:left="214" w:right="468" w:firstLine="480"/>
        <w:jc w:val="left"/>
      </w:pPr>
      <w:r>
        <w:rPr/>
        <w:t>截至</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日，杭州正元持有的本公司股份累计已质押</w:t>
      </w:r>
      <w:r>
        <w:rPr>
          <w:rFonts w:ascii="宋体" w:hAnsi="宋体" w:cs="宋体" w:eastAsia="宋体" w:hint="default"/>
        </w:rPr>
        <w:t>12,027,600</w:t>
      </w:r>
      <w:r>
        <w:rPr/>
        <w:t>股，占本公司</w:t>
      </w:r>
      <w:r>
        <w:rPr>
          <w:spacing w:val="1"/>
        </w:rPr>
        <w:t> </w:t>
      </w:r>
      <w:r>
        <w:rPr/>
        <w:t>总股本的</w:t>
      </w:r>
      <w:r>
        <w:rPr>
          <w:rFonts w:ascii="宋体" w:hAnsi="宋体" w:cs="宋体" w:eastAsia="宋体" w:hint="default"/>
        </w:rPr>
        <w:t>18.04%</w:t>
      </w:r>
      <w:r>
        <w:rPr/>
        <w:t>，李琳累计已质押</w:t>
      </w:r>
      <w:r>
        <w:rPr>
          <w:rFonts w:ascii="宋体" w:hAnsi="宋体" w:cs="宋体" w:eastAsia="宋体" w:hint="default"/>
        </w:rPr>
        <w:t>1,941,980</w:t>
      </w:r>
      <w:r>
        <w:rPr/>
        <w:t>股，占本公司总股本的</w:t>
      </w:r>
      <w:r>
        <w:rPr>
          <w:rFonts w:ascii="宋体" w:hAnsi="宋体" w:cs="宋体" w:eastAsia="宋体" w:hint="default"/>
        </w:rPr>
        <w:t>2.91%</w:t>
      </w:r>
      <w:r>
        <w:rPr/>
        <w:t>。</w:t>
      </w:r>
    </w:p>
    <w:p>
      <w:pPr>
        <w:spacing w:line="240" w:lineRule="auto" w:before="11"/>
        <w:rPr>
          <w:rFonts w:ascii="宋体" w:hAnsi="宋体" w:cs="宋体" w:eastAsia="宋体" w:hint="default"/>
          <w:sz w:val="19"/>
          <w:szCs w:val="19"/>
        </w:rPr>
      </w:pPr>
    </w:p>
    <w:p>
      <w:pPr>
        <w:pStyle w:val="Heading2"/>
        <w:spacing w:line="240" w:lineRule="auto"/>
        <w:ind w:left="214" w:right="468"/>
        <w:jc w:val="left"/>
        <w:rPr>
          <w:b w:val="0"/>
          <w:bCs w:val="0"/>
        </w:rPr>
      </w:pPr>
      <w:bookmarkStart w:name="十六、母公司财务报表主要项目注释" w:id="356"/>
      <w:bookmarkEnd w:id="356"/>
      <w:r>
        <w:rPr>
          <w:b w:val="0"/>
          <w:bCs w:val="0"/>
        </w:rPr>
      </w:r>
      <w:r>
        <w:rPr/>
        <w:t>十六、母公司财务报表主要项目注释</w:t>
      </w:r>
      <w:r>
        <w:rPr>
          <w:b w:val="0"/>
          <w:bCs w:val="0"/>
        </w:rPr>
      </w:r>
    </w:p>
    <w:p>
      <w:pPr>
        <w:spacing w:line="240" w:lineRule="auto" w:before="8"/>
        <w:rPr>
          <w:rFonts w:ascii="宋体" w:hAnsi="宋体" w:cs="宋体" w:eastAsia="宋体" w:hint="default"/>
          <w:b/>
          <w:bCs/>
          <w:sz w:val="24"/>
          <w:szCs w:val="24"/>
        </w:rPr>
      </w:pPr>
    </w:p>
    <w:p>
      <w:pPr>
        <w:spacing w:before="0"/>
        <w:ind w:left="214" w:right="468" w:firstLine="0"/>
        <w:jc w:val="left"/>
        <w:rPr>
          <w:rFonts w:ascii="宋体" w:hAnsi="宋体" w:cs="宋体" w:eastAsia="宋体" w:hint="default"/>
          <w:sz w:val="21"/>
          <w:szCs w:val="21"/>
        </w:rPr>
      </w:pPr>
      <w:bookmarkStart w:name="1、应收票据及应收账款" w:id="357"/>
      <w:bookmarkEnd w:id="357"/>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、应收票据及应收账款</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22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1,942,145.00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3,307,836.32</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297,442,449.74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260,758,291.42</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299,384,594.74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264,066,127.74</w:t>
            </w:r>
          </w:p>
        </w:tc>
      </w:tr>
    </w:tbl>
    <w:p>
      <w:pPr>
        <w:spacing w:line="240" w:lineRule="auto" w:before="2"/>
        <w:rPr>
          <w:rFonts w:ascii="宋体" w:hAnsi="宋体" w:cs="宋体" w:eastAsia="宋体" w:hint="default"/>
          <w:sz w:val="19"/>
          <w:szCs w:val="19"/>
        </w:rPr>
      </w:pPr>
    </w:p>
    <w:p>
      <w:pPr>
        <w:spacing w:before="35"/>
        <w:ind w:left="214" w:right="468" w:firstLine="0"/>
        <w:jc w:val="left"/>
        <w:rPr>
          <w:rFonts w:ascii="宋体" w:hAnsi="宋体" w:cs="宋体" w:eastAsia="宋体" w:hint="default"/>
          <w:sz w:val="21"/>
          <w:szCs w:val="21"/>
        </w:rPr>
      </w:pPr>
      <w:bookmarkStart w:name="（1）应收票据" w:id="358"/>
      <w:bookmarkEnd w:id="35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）应收票据</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214" w:right="46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应收票据分类列示</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20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92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1,942,145.00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750,305.10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2,557,531.22</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1,942,145.00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3,307,836.32</w:t>
            </w:r>
          </w:p>
        </w:tc>
      </w:tr>
    </w:tbl>
    <w:p>
      <w:pPr>
        <w:spacing w:before="51"/>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期末公司已质押的应收票据</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bl>
    <w:p>
      <w:pPr>
        <w:spacing w:before="52"/>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期末公司已背书或贴现且在资产负债表日尚未到期的应收票据</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82"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1,108,050.97</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1,108,050.97</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bookmarkStart w:name="（2）应收账款" w:id="359"/>
      <w:bookmarkEnd w:id="35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）应收账款</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应收账款分类披露</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3"/>
        <w:gridCol w:w="932"/>
        <w:gridCol w:w="932"/>
      </w:tblGrid>
      <w:tr>
        <w:trPr>
          <w:trHeight w:val="397" w:hRule="exact"/>
        </w:trPr>
        <w:tc>
          <w:tcPr>
            <w:tcW w:w="1611"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1"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1"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2"/>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11"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1"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1"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339,425,</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726.23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99.73%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41,983,2</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76.49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3" w:right="0"/>
              <w:jc w:val="center"/>
              <w:rPr>
                <w:rFonts w:ascii="Times New Roman" w:hAnsi="Times New Roman" w:cs="Times New Roman" w:eastAsia="Times New Roman" w:hint="default"/>
                <w:sz w:val="18"/>
                <w:szCs w:val="18"/>
              </w:rPr>
            </w:pPr>
            <w:r>
              <w:rPr>
                <w:rFonts w:ascii="Times New Roman"/>
                <w:sz w:val="18"/>
              </w:rPr>
              <w:t>12.37%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297,442,4</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49.74</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291,788</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,844.49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99.69%</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31,030,55</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3.07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10.63%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260,758,29</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1.42</w:t>
            </w: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920,000.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0.27%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920,000.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920,000</w:t>
            </w:r>
          </w:p>
          <w:p>
            <w:pPr>
              <w:pStyle w:val="TableParagraph"/>
              <w:spacing w:line="240" w:lineRule="auto" w:before="105"/>
              <w:ind w:left="396" w:right="0"/>
              <w:jc w:val="left"/>
              <w:rPr>
                <w:rFonts w:ascii="Times New Roman" w:hAnsi="Times New Roman" w:cs="Times New Roman" w:eastAsia="Times New Roman" w:hint="default"/>
                <w:sz w:val="18"/>
                <w:szCs w:val="18"/>
              </w:rPr>
            </w:pPr>
            <w:r>
              <w:rPr>
                <w:rFonts w:ascii="Times New Roman"/>
                <w:sz w:val="18"/>
              </w:rPr>
              <w:t>.00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0.31%</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920,000.0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1"/>
              <w:ind w:left="81" w:right="0"/>
              <w:jc w:val="center"/>
              <w:rPr>
                <w:rFonts w:ascii="Times New Roman" w:hAnsi="Times New Roman" w:cs="Times New Roman" w:eastAsia="Times New Roman" w:hint="default"/>
                <w:sz w:val="18"/>
                <w:szCs w:val="18"/>
              </w:rPr>
            </w:pPr>
            <w:r>
              <w:rPr>
                <w:rFonts w:ascii="Times New Roman"/>
                <w:sz w:val="18"/>
              </w:rPr>
              <w:t>340,345,</w:t>
            </w:r>
          </w:p>
          <w:p>
            <w:pPr>
              <w:pStyle w:val="TableParagraph"/>
              <w:spacing w:line="240" w:lineRule="auto" w:before="105"/>
              <w:ind w:left="217" w:right="0"/>
              <w:jc w:val="center"/>
              <w:rPr>
                <w:rFonts w:ascii="Times New Roman" w:hAnsi="Times New Roman" w:cs="Times New Roman" w:eastAsia="Times New Roman" w:hint="default"/>
                <w:sz w:val="18"/>
                <w:szCs w:val="18"/>
              </w:rPr>
            </w:pPr>
            <w:r>
              <w:rPr>
                <w:rFonts w:ascii="Times New Roman"/>
                <w:sz w:val="18"/>
              </w:rPr>
              <w:t>726.23</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42,903,2</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76.49</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12.61%</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297,442,4</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49.74</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292,708</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,844.49</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31,950,55</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3.07</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10.92%</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260,758,29</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1.42</w:t>
            </w:r>
          </w:p>
        </w:tc>
      </w:tr>
      <w:tr>
        <w:trPr>
          <w:trHeight w:val="392" w:hRule="exact"/>
        </w:trPr>
        <w:tc>
          <w:tcPr>
            <w:tcW w:w="1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11"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line="338" w:lineRule="auto" w:before="117"/>
        <w:ind w:left="154" w:right="1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组合中，按账龄分析法计提坏账准备的应收账款：</w:t>
      </w:r>
    </w:p>
    <w:p>
      <w:pPr>
        <w:spacing w:before="42"/>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295" w:space="4535"/>
            <w:col w:w="210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494"/>
        <w:gridCol w:w="2295"/>
        <w:gridCol w:w="2391"/>
        <w:gridCol w:w="2389"/>
      </w:tblGrid>
      <w:tr>
        <w:trPr>
          <w:trHeight w:val="402" w:hRule="exact"/>
        </w:trPr>
        <w:tc>
          <w:tcPr>
            <w:tcW w:w="24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94" w:type="dxa"/>
            <w:vMerge/>
            <w:tcBorders>
              <w:left w:val="single" w:sz="4" w:space="0" w:color="000000"/>
              <w:bottom w:val="single" w:sz="4" w:space="0" w:color="000000"/>
              <w:right w:val="single" w:sz="4" w:space="0" w:color="000000"/>
            </w:tcBorders>
            <w:shd w:val="clear" w:color="auto" w:fill="D2D2D2"/>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37" w:right="0"/>
              <w:jc w:val="left"/>
              <w:rPr>
                <w:rFonts w:ascii="Times New Roman" w:hAnsi="Times New Roman" w:cs="Times New Roman" w:eastAsia="Times New Roman" w:hint="default"/>
                <w:sz w:val="18"/>
                <w:szCs w:val="18"/>
              </w:rPr>
            </w:pPr>
            <w:r>
              <w:rPr>
                <w:rFonts w:ascii="Times New Roman"/>
                <w:sz w:val="18"/>
              </w:rPr>
              <w:t>181,986,587.34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2" w:right="0"/>
              <w:jc w:val="left"/>
              <w:rPr>
                <w:rFonts w:ascii="Times New Roman" w:hAnsi="Times New Roman" w:cs="Times New Roman" w:eastAsia="Times New Roman" w:hint="default"/>
                <w:sz w:val="18"/>
                <w:szCs w:val="18"/>
              </w:rPr>
            </w:pPr>
            <w:r>
              <w:rPr>
                <w:rFonts w:ascii="Times New Roman"/>
                <w:sz w:val="18"/>
              </w:rPr>
              <w:t>9,099,329.37</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482"/>
        <w:gridCol w:w="2307"/>
        <w:gridCol w:w="2391"/>
        <w:gridCol w:w="2389"/>
      </w:tblGrid>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181,986,587.34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9,099,329.37</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61,208,316.22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6,120,831.62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30,444,587.91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9,133,376.37</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18,730,701.80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9,365,350.90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4,105,673.38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3,284,538.70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4,979,849.53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4,979,849.53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301,455,716.18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41,983,276.49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13.93%</w:t>
            </w:r>
          </w:p>
        </w:tc>
      </w:tr>
    </w:tbl>
    <w:p>
      <w:pPr>
        <w:spacing w:line="360" w:lineRule="auto" w:before="51"/>
        <w:ind w:left="154" w:right="6432"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组合中，采用余额百分比法计提坏账准备的应收账款：</w:t>
      </w:r>
    </w:p>
    <w:p>
      <w:pPr>
        <w:spacing w:line="340" w:lineRule="auto" w:before="26"/>
        <w:ind w:left="154" w:right="67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组合中，采用其他方法计提坏账准备的应收账款：</w:t>
      </w:r>
    </w:p>
    <w:p>
      <w:pPr>
        <w:spacing w:line="240" w:lineRule="auto" w:before="3"/>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2950"/>
        <w:gridCol w:w="2367"/>
        <w:gridCol w:w="1582"/>
        <w:gridCol w:w="1625"/>
      </w:tblGrid>
      <w:tr>
        <w:trPr>
          <w:trHeight w:val="342" w:hRule="exact"/>
        </w:trPr>
        <w:tc>
          <w:tcPr>
            <w:tcW w:w="2950" w:type="dxa"/>
            <w:vMerge w:val="restart"/>
            <w:tcBorders>
              <w:top w:val="single" w:sz="4" w:space="0" w:color="000000"/>
              <w:left w:val="single" w:sz="4" w:space="0" w:color="000000"/>
              <w:right w:val="single" w:sz="4" w:space="0" w:color="000000"/>
            </w:tcBorders>
          </w:tcPr>
          <w:p>
            <w:pPr>
              <w:pStyle w:val="TableParagraph"/>
              <w:spacing w:line="271" w:lineRule="exact"/>
              <w:ind w:left="214" w:right="0"/>
              <w:jc w:val="left"/>
              <w:rPr>
                <w:rFonts w:ascii="宋体" w:hAnsi="宋体" w:cs="宋体" w:eastAsia="宋体" w:hint="default"/>
                <w:sz w:val="21"/>
                <w:szCs w:val="21"/>
              </w:rPr>
            </w:pPr>
            <w:r>
              <w:rPr>
                <w:rFonts w:ascii="宋体" w:hAnsi="宋体" w:cs="宋体" w:eastAsia="宋体" w:hint="default"/>
                <w:sz w:val="21"/>
                <w:szCs w:val="21"/>
              </w:rPr>
              <w:t>组合名称</w:t>
            </w:r>
          </w:p>
        </w:tc>
        <w:tc>
          <w:tcPr>
            <w:tcW w:w="5574" w:type="dxa"/>
            <w:gridSpan w:val="3"/>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 w:right="0"/>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342" w:hRule="exact"/>
        </w:trPr>
        <w:tc>
          <w:tcPr>
            <w:tcW w:w="2950" w:type="dxa"/>
            <w:vMerge/>
            <w:tcBorders>
              <w:left w:val="single" w:sz="4" w:space="0" w:color="000000"/>
              <w:bottom w:val="single" w:sz="4" w:space="0" w:color="000000"/>
              <w:right w:val="single" w:sz="4" w:space="0" w:color="000000"/>
            </w:tcBorders>
          </w:tcPr>
          <w:p>
            <w:pPr/>
          </w:p>
        </w:tc>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75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365"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23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计提比例</w:t>
            </w:r>
            <w:r>
              <w:rPr>
                <w:rFonts w:ascii="Times New Roman" w:hAnsi="Times New Roman" w:cs="Times New Roman" w:eastAsia="Times New Roman" w:hint="default"/>
                <w:sz w:val="21"/>
                <w:szCs w:val="21"/>
              </w:rPr>
              <w:t>(%)</w:t>
            </w:r>
          </w:p>
        </w:tc>
      </w:tr>
      <w:tr>
        <w:trPr>
          <w:trHeight w:val="342" w:hRule="exact"/>
        </w:trPr>
        <w:tc>
          <w:tcPr>
            <w:tcW w:w="295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合并范围内关联往来组合</w:t>
            </w:r>
          </w:p>
        </w:tc>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Times New Roman" w:hAnsi="Times New Roman" w:cs="Times New Roman" w:eastAsia="Times New Roman" w:hint="default"/>
                <w:sz w:val="21"/>
                <w:szCs w:val="21"/>
              </w:rPr>
            </w:pPr>
            <w:r>
              <w:rPr>
                <w:rFonts w:ascii="Times New Roman"/>
                <w:sz w:val="21"/>
              </w:rPr>
              <w:t>37,970,010.05</w:t>
            </w:r>
          </w:p>
        </w:tc>
        <w:tc>
          <w:tcPr>
            <w:tcW w:w="1582"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295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214" w:right="0"/>
              <w:jc w:val="left"/>
              <w:rPr>
                <w:rFonts w:ascii="宋体" w:hAnsi="宋体" w:cs="宋体" w:eastAsia="宋体" w:hint="default"/>
                <w:sz w:val="21"/>
                <w:szCs w:val="21"/>
              </w:rPr>
            </w:pPr>
            <w:r>
              <w:rPr>
                <w:rFonts w:ascii="宋体" w:hAnsi="宋体" w:cs="宋体" w:eastAsia="宋体" w:hint="default"/>
                <w:sz w:val="21"/>
                <w:szCs w:val="21"/>
              </w:rPr>
              <w:t>小</w:t>
            </w:r>
            <w:r>
              <w:rPr>
                <w:rFonts w:ascii="宋体" w:hAnsi="宋体" w:cs="宋体" w:eastAsia="宋体" w:hint="default"/>
                <w:spacing w:val="63"/>
                <w:sz w:val="21"/>
                <w:szCs w:val="21"/>
              </w:rPr>
              <w:t> </w:t>
            </w:r>
            <w:r>
              <w:rPr>
                <w:rFonts w:ascii="宋体" w:hAnsi="宋体" w:cs="宋体" w:eastAsia="宋体" w:hint="default"/>
                <w:sz w:val="21"/>
                <w:szCs w:val="21"/>
              </w:rPr>
              <w:t>计</w:t>
            </w:r>
          </w:p>
        </w:tc>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Times New Roman" w:hAnsi="Times New Roman" w:cs="Times New Roman" w:eastAsia="Times New Roman" w:hint="default"/>
                <w:sz w:val="21"/>
                <w:szCs w:val="21"/>
              </w:rPr>
            </w:pPr>
            <w:r>
              <w:rPr>
                <w:rFonts w:ascii="Times New Roman"/>
                <w:sz w:val="21"/>
              </w:rPr>
              <w:t>37,970,010.05</w:t>
            </w:r>
          </w:p>
        </w:tc>
        <w:tc>
          <w:tcPr>
            <w:tcW w:w="1582"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before="51"/>
        <w:ind w:left="154" w:right="-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本期计提、收回或转回的坏账准备情况</w:t>
      </w:r>
    </w:p>
    <w:p>
      <w:pPr>
        <w:spacing w:line="338" w:lineRule="auto" w:before="103"/>
        <w:ind w:left="154" w:right="-14"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10,952,723.42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2"/>
          <w:szCs w:val="12"/>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6544" w:space="2285"/>
            <w:col w:w="2101"/>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before="51"/>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按欠款方归集的期末余额前五名的应收账款情况</w:t>
      </w:r>
    </w:p>
    <w:p>
      <w:pPr>
        <w:pStyle w:val="BodyText"/>
        <w:spacing w:line="357" w:lineRule="auto" w:before="132"/>
        <w:ind w:right="0" w:firstLine="480"/>
        <w:jc w:val="left"/>
      </w:pPr>
      <w:r>
        <w:rPr/>
        <w:t>期末余额前</w:t>
      </w:r>
      <w:r>
        <w:rPr>
          <w:rFonts w:ascii="宋体" w:hAnsi="宋体" w:cs="宋体" w:eastAsia="宋体" w:hint="default"/>
        </w:rPr>
        <w:t>5</w:t>
      </w:r>
      <w:r>
        <w:rPr/>
        <w:t>名的应收账款合计数为</w:t>
      </w:r>
      <w:r>
        <w:rPr>
          <w:rFonts w:ascii="宋体" w:hAnsi="宋体" w:cs="宋体" w:eastAsia="宋体" w:hint="default"/>
        </w:rPr>
        <w:t>78,976,643.61</w:t>
      </w:r>
      <w:r>
        <w:rPr/>
        <w:t>元，占应收账款期末余额合计数的比</w:t>
      </w:r>
      <w:r>
        <w:rPr>
          <w:spacing w:val="1"/>
        </w:rPr>
        <w:t> </w:t>
      </w:r>
      <w:r>
        <w:rPr/>
        <w:t>例为</w:t>
      </w:r>
      <w:r>
        <w:rPr>
          <w:rFonts w:ascii="宋体" w:hAnsi="宋体" w:cs="宋体" w:eastAsia="宋体" w:hint="default"/>
        </w:rPr>
        <w:t>23.20%</w:t>
      </w:r>
      <w:r>
        <w:rPr/>
        <w:t>，相应计提的坏账准备合计数为</w:t>
      </w:r>
      <w:r>
        <w:rPr>
          <w:rFonts w:ascii="宋体" w:hAnsi="宋体" w:cs="宋体" w:eastAsia="宋体" w:hint="default"/>
        </w:rPr>
        <w:t>8,286,217.30</w:t>
      </w:r>
      <w:r>
        <w:rPr/>
        <w:t>元。</w:t>
      </w:r>
    </w:p>
    <w:p>
      <w:pPr>
        <w:spacing w:line="240" w:lineRule="auto" w:before="8"/>
        <w:rPr>
          <w:rFonts w:ascii="宋体" w:hAnsi="宋体" w:cs="宋体" w:eastAsia="宋体" w:hint="default"/>
          <w:sz w:val="21"/>
          <w:szCs w:val="21"/>
        </w:rPr>
      </w:pPr>
    </w:p>
    <w:p>
      <w:pPr>
        <w:spacing w:before="0"/>
        <w:ind w:left="154" w:right="0" w:firstLine="0"/>
        <w:jc w:val="left"/>
        <w:rPr>
          <w:rFonts w:ascii="宋体" w:hAnsi="宋体" w:cs="宋体" w:eastAsia="宋体" w:hint="default"/>
          <w:sz w:val="21"/>
          <w:szCs w:val="21"/>
        </w:rPr>
      </w:pPr>
      <w:bookmarkStart w:name="2、其他应收款" w:id="360"/>
      <w:bookmarkEnd w:id="360"/>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、其他应收款</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202" w:type="dxa"/>
            <w:tcBorders>
              <w:top w:val="single" w:sz="4" w:space="0" w:color="000000"/>
              <w:left w:val="single" w:sz="13"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3,714,760.27</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67,519,391.57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57,956,026.39</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67,519,391.57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61,670,786.66</w:t>
            </w: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bookmarkStart w:name="（1）应收利息" w:id="361"/>
      <w:bookmarkEnd w:id="36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）应收利息</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应收利息分类</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77"/>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8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3,714,760.27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3,714,760.27</w:t>
            </w: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bookmarkStart w:name="（2）其他应收款" w:id="362"/>
      <w:bookmarkEnd w:id="36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）其他应收款</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其他应收款分类披露</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397"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71,875,7</w:t>
            </w:r>
          </w:p>
          <w:p>
            <w:pPr>
              <w:pStyle w:val="TableParagraph"/>
              <w:spacing w:line="240" w:lineRule="auto" w:before="106"/>
              <w:ind w:left="313" w:right="0"/>
              <w:jc w:val="left"/>
              <w:rPr>
                <w:rFonts w:ascii="Times New Roman" w:hAnsi="Times New Roman" w:cs="Times New Roman" w:eastAsia="Times New Roman" w:hint="default"/>
                <w:sz w:val="18"/>
                <w:szCs w:val="18"/>
              </w:rPr>
            </w:pPr>
            <w:r>
              <w:rPr>
                <w:rFonts w:ascii="Times New Roman"/>
                <w:sz w:val="18"/>
              </w:rPr>
              <w:t>47.06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4,356,35</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5.49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6.06%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67,519,39</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1.57</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60,850,</w:t>
            </w:r>
          </w:p>
          <w:p>
            <w:pPr>
              <w:pStyle w:val="TableParagraph"/>
              <w:spacing w:line="240" w:lineRule="auto" w:before="106"/>
              <w:ind w:left="126" w:right="0"/>
              <w:jc w:val="left"/>
              <w:rPr>
                <w:rFonts w:ascii="Times New Roman" w:hAnsi="Times New Roman" w:cs="Times New Roman" w:eastAsia="Times New Roman" w:hint="default"/>
                <w:sz w:val="18"/>
                <w:szCs w:val="18"/>
              </w:rPr>
            </w:pPr>
            <w:r>
              <w:rPr>
                <w:rFonts w:ascii="Times New Roman"/>
                <w:sz w:val="18"/>
              </w:rPr>
              <w:t>733.05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2,894,706</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.66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4.76%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57,956,026.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39</w:t>
            </w:r>
          </w:p>
        </w:tc>
      </w:tr>
      <w:tr>
        <w:trPr>
          <w:trHeight w:val="161"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71,875,7</w:t>
            </w:r>
          </w:p>
          <w:p>
            <w:pPr>
              <w:pStyle w:val="TableParagraph"/>
              <w:spacing w:line="240" w:lineRule="auto" w:before="106"/>
              <w:ind w:left="318" w:right="0"/>
              <w:jc w:val="left"/>
              <w:rPr>
                <w:rFonts w:ascii="Times New Roman" w:hAnsi="Times New Roman" w:cs="Times New Roman" w:eastAsia="Times New Roman" w:hint="default"/>
                <w:sz w:val="18"/>
                <w:szCs w:val="18"/>
              </w:rPr>
            </w:pPr>
            <w:r>
              <w:rPr>
                <w:rFonts w:ascii="Times New Roman"/>
                <w:sz w:val="18"/>
              </w:rPr>
              <w:t>47.06</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4,356,35</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5.49</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6.06%</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67,519,39</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1.57</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60,850,</w:t>
            </w:r>
          </w:p>
          <w:p>
            <w:pPr>
              <w:pStyle w:val="TableParagraph"/>
              <w:spacing w:line="240" w:lineRule="auto" w:before="106"/>
              <w:ind w:left="126" w:right="0"/>
              <w:jc w:val="left"/>
              <w:rPr>
                <w:rFonts w:ascii="Times New Roman" w:hAnsi="Times New Roman" w:cs="Times New Roman" w:eastAsia="Times New Roman" w:hint="default"/>
                <w:sz w:val="18"/>
                <w:szCs w:val="18"/>
              </w:rPr>
            </w:pPr>
            <w:r>
              <w:rPr>
                <w:rFonts w:ascii="Times New Roman"/>
                <w:sz w:val="18"/>
              </w:rPr>
              <w:t>733.05</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2,894,706</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.66</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4.76%</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57,956,026.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39</w:t>
            </w:r>
          </w:p>
        </w:tc>
      </w:tr>
      <w:tr>
        <w:trPr>
          <w:trHeight w:val="392"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line="338" w:lineRule="auto" w:before="117"/>
        <w:ind w:left="154" w:right="1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组合中，按账龄分析法计提坏账准备的其他应收款：</w:t>
      </w:r>
    </w:p>
    <w:p>
      <w:pPr>
        <w:spacing w:before="44"/>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475" w:space="4355"/>
            <w:col w:w="210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88"/>
        <w:gridCol w:w="2301"/>
        <w:gridCol w:w="2391"/>
        <w:gridCol w:w="2389"/>
      </w:tblGrid>
      <w:tr>
        <w:trPr>
          <w:trHeight w:val="402" w:hRule="exact"/>
        </w:trPr>
        <w:tc>
          <w:tcPr>
            <w:tcW w:w="24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8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88" w:type="dxa"/>
            <w:vMerge/>
            <w:tcBorders>
              <w:left w:val="single" w:sz="4" w:space="0" w:color="000000"/>
              <w:bottom w:val="single" w:sz="4" w:space="0" w:color="000000"/>
              <w:right w:val="single" w:sz="4" w:space="0" w:color="000000"/>
            </w:tcBorders>
            <w:shd w:val="clear" w:color="auto" w:fill="D2D2D2"/>
          </w:tcPr>
          <w:p>
            <w:pPr/>
          </w:p>
        </w:tc>
        <w:tc>
          <w:tcPr>
            <w:tcW w:w="2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98"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2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15,402,274.22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770,113.71</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15,402,274.22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770,113.71</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12,053,904.89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1,205,390.49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2,155,680.29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646,704.09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948,988.80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474,494.40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1,570,816.00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1,256,652.80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3,000.00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32,134,664.20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4,356,355.49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13.56%</w:t>
            </w:r>
          </w:p>
        </w:tc>
      </w:tr>
    </w:tbl>
    <w:p>
      <w:pPr>
        <w:spacing w:line="357" w:lineRule="auto" w:before="51"/>
        <w:ind w:left="154" w:right="6252"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组合中，采用余额百分比法计提坏账准备的其他应收款：</w:t>
      </w:r>
    </w:p>
    <w:p>
      <w:pPr>
        <w:spacing w:line="338" w:lineRule="auto" w:before="29"/>
        <w:ind w:left="154" w:right="66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组合中，采用其他方法计提坏账准备的其他应收款：</w:t>
      </w:r>
    </w:p>
    <w:p>
      <w:pPr>
        <w:spacing w:before="42"/>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2585"/>
        <w:gridCol w:w="2003"/>
        <w:gridCol w:w="2225"/>
        <w:gridCol w:w="1710"/>
      </w:tblGrid>
      <w:tr>
        <w:trPr>
          <w:trHeight w:val="347" w:hRule="exact"/>
        </w:trPr>
        <w:tc>
          <w:tcPr>
            <w:tcW w:w="2585" w:type="dxa"/>
            <w:vMerge w:val="restart"/>
            <w:tcBorders>
              <w:top w:val="single" w:sz="6" w:space="0" w:color="000000"/>
              <w:left w:val="single" w:sz="6" w:space="0" w:color="000000"/>
              <w:right w:val="single" w:sz="6" w:space="0" w:color="000000"/>
            </w:tcBorders>
          </w:tcPr>
          <w:p>
            <w:pPr>
              <w:pStyle w:val="TableParagraph"/>
              <w:spacing w:line="271" w:lineRule="exact"/>
              <w:ind w:left="212" w:right="0"/>
              <w:jc w:val="left"/>
              <w:rPr>
                <w:rFonts w:ascii="宋体" w:hAnsi="宋体" w:cs="宋体" w:eastAsia="宋体" w:hint="default"/>
                <w:sz w:val="21"/>
                <w:szCs w:val="21"/>
              </w:rPr>
            </w:pPr>
            <w:r>
              <w:rPr>
                <w:rFonts w:ascii="宋体" w:hAnsi="宋体" w:cs="宋体" w:eastAsia="宋体" w:hint="default"/>
                <w:sz w:val="21"/>
                <w:szCs w:val="21"/>
              </w:rPr>
              <w:t>组合名称</w:t>
            </w:r>
          </w:p>
        </w:tc>
        <w:tc>
          <w:tcPr>
            <w:tcW w:w="5938" w:type="dxa"/>
            <w:gridSpan w:val="3"/>
            <w:tcBorders>
              <w:top w:val="single" w:sz="6" w:space="0" w:color="000000"/>
              <w:left w:val="single" w:sz="6" w:space="0" w:color="000000"/>
              <w:bottom w:val="single" w:sz="6" w:space="0" w:color="000000"/>
              <w:right w:val="nil" w:sz="6" w:space="0" w:color="auto"/>
            </w:tcBorders>
          </w:tcPr>
          <w:p>
            <w:pPr>
              <w:pStyle w:val="TableParagraph"/>
              <w:spacing w:line="271" w:lineRule="exact"/>
              <w:ind w:right="6"/>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347" w:hRule="exact"/>
        </w:trPr>
        <w:tc>
          <w:tcPr>
            <w:tcW w:w="2585" w:type="dxa"/>
            <w:vMerge/>
            <w:tcBorders>
              <w:left w:val="single" w:sz="6" w:space="0" w:color="000000"/>
              <w:bottom w:val="single" w:sz="6" w:space="0" w:color="000000"/>
              <w:right w:val="single" w:sz="6" w:space="0" w:color="000000"/>
            </w:tcBorders>
          </w:tcPr>
          <w:p>
            <w:pPr/>
          </w:p>
        </w:tc>
        <w:tc>
          <w:tcPr>
            <w:tcW w:w="2003"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57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225"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685"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710" w:type="dxa"/>
            <w:tcBorders>
              <w:top w:val="single" w:sz="6" w:space="0" w:color="000000"/>
              <w:left w:val="single" w:sz="6" w:space="0" w:color="000000"/>
              <w:bottom w:val="single" w:sz="6" w:space="0" w:color="000000"/>
              <w:right w:val="nil" w:sz="6" w:space="0" w:color="auto"/>
            </w:tcBorders>
          </w:tcPr>
          <w:p>
            <w:pPr>
              <w:pStyle w:val="TableParagraph"/>
              <w:spacing w:line="287" w:lineRule="exact"/>
              <w:ind w:left="27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计提比例</w:t>
            </w:r>
            <w:r>
              <w:rPr>
                <w:rFonts w:ascii="Times New Roman" w:hAnsi="Times New Roman" w:cs="Times New Roman" w:eastAsia="Times New Roman" w:hint="default"/>
                <w:sz w:val="21"/>
                <w:szCs w:val="21"/>
              </w:rPr>
              <w:t>(%)</w:t>
            </w:r>
          </w:p>
        </w:tc>
      </w:tr>
      <w:tr>
        <w:trPr>
          <w:trHeight w:val="348" w:hRule="exact"/>
        </w:trPr>
        <w:tc>
          <w:tcPr>
            <w:tcW w:w="2585"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合并范围内关联往来组合</w:t>
            </w:r>
          </w:p>
        </w:tc>
        <w:tc>
          <w:tcPr>
            <w:tcW w:w="2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z w:val="21"/>
              </w:rPr>
              <w:t>39,741,082.86</w:t>
            </w:r>
          </w:p>
        </w:tc>
        <w:tc>
          <w:tcPr>
            <w:tcW w:w="2225" w:type="dxa"/>
            <w:tcBorders>
              <w:top w:val="single" w:sz="6" w:space="0" w:color="000000"/>
              <w:left w:val="single" w:sz="6" w:space="0" w:color="000000"/>
              <w:bottom w:val="single" w:sz="6" w:space="0" w:color="000000"/>
              <w:right w:val="single" w:sz="6" w:space="0" w:color="000000"/>
            </w:tcBorders>
          </w:tcPr>
          <w:p>
            <w:pPr/>
          </w:p>
        </w:tc>
        <w:tc>
          <w:tcPr>
            <w:tcW w:w="1710" w:type="dxa"/>
            <w:tcBorders>
              <w:top w:val="single" w:sz="6" w:space="0" w:color="000000"/>
              <w:left w:val="single" w:sz="6" w:space="0" w:color="000000"/>
              <w:bottom w:val="single" w:sz="6" w:space="0" w:color="000000"/>
              <w:right w:val="nil" w:sz="6" w:space="0" w:color="auto"/>
            </w:tcBorders>
          </w:tcPr>
          <w:p>
            <w:pPr/>
          </w:p>
        </w:tc>
      </w:tr>
      <w:tr>
        <w:trPr>
          <w:trHeight w:val="347" w:hRule="exact"/>
        </w:trPr>
        <w:tc>
          <w:tcPr>
            <w:tcW w:w="258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212" w:right="0"/>
              <w:jc w:val="left"/>
              <w:rPr>
                <w:rFonts w:ascii="宋体" w:hAnsi="宋体" w:cs="宋体" w:eastAsia="宋体" w:hint="default"/>
                <w:sz w:val="21"/>
                <w:szCs w:val="21"/>
              </w:rPr>
            </w:pPr>
            <w:r>
              <w:rPr>
                <w:rFonts w:ascii="宋体" w:hAnsi="宋体" w:cs="宋体" w:eastAsia="宋体" w:hint="default"/>
                <w:sz w:val="21"/>
                <w:szCs w:val="21"/>
              </w:rPr>
              <w:t>小</w:t>
            </w:r>
            <w:r>
              <w:rPr>
                <w:rFonts w:ascii="宋体" w:hAnsi="宋体" w:cs="宋体" w:eastAsia="宋体" w:hint="default"/>
                <w:spacing w:val="63"/>
                <w:sz w:val="21"/>
                <w:szCs w:val="21"/>
              </w:rPr>
              <w:t> </w:t>
            </w:r>
            <w:r>
              <w:rPr>
                <w:rFonts w:ascii="宋体" w:hAnsi="宋体" w:cs="宋体" w:eastAsia="宋体" w:hint="default"/>
                <w:sz w:val="21"/>
                <w:szCs w:val="21"/>
              </w:rPr>
              <w:t>计</w:t>
            </w:r>
          </w:p>
        </w:tc>
        <w:tc>
          <w:tcPr>
            <w:tcW w:w="2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z w:val="21"/>
              </w:rPr>
              <w:t>39,741,082.86</w:t>
            </w:r>
          </w:p>
        </w:tc>
        <w:tc>
          <w:tcPr>
            <w:tcW w:w="2225" w:type="dxa"/>
            <w:tcBorders>
              <w:top w:val="single" w:sz="6" w:space="0" w:color="000000"/>
              <w:left w:val="single" w:sz="6" w:space="0" w:color="000000"/>
              <w:bottom w:val="single" w:sz="6" w:space="0" w:color="000000"/>
              <w:right w:val="single" w:sz="6" w:space="0" w:color="000000"/>
            </w:tcBorders>
          </w:tcPr>
          <w:p>
            <w:pPr/>
          </w:p>
        </w:tc>
        <w:tc>
          <w:tcPr>
            <w:tcW w:w="1710" w:type="dxa"/>
            <w:tcBorders>
              <w:top w:val="single" w:sz="6" w:space="0" w:color="000000"/>
              <w:left w:val="single" w:sz="6" w:space="0" w:color="000000"/>
              <w:bottom w:val="single" w:sz="6" w:space="0" w:color="000000"/>
              <w:right w:val="nil" w:sz="6" w:space="0" w:color="auto"/>
            </w:tcBorders>
          </w:tcPr>
          <w:p>
            <w:pPr/>
          </w:p>
        </w:tc>
      </w:tr>
    </w:tbl>
    <w:p>
      <w:pPr>
        <w:spacing w:line="240" w:lineRule="auto" w:before="5"/>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747" w:footer="979" w:top="1060" w:bottom="1160" w:left="980" w:right="0"/>
        </w:sectPr>
      </w:pPr>
    </w:p>
    <w:p>
      <w:pPr>
        <w:spacing w:before="44"/>
        <w:ind w:left="154" w:right="177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本期计提、收回或转回的坏账准备情况</w:t>
      </w:r>
    </w:p>
    <w:p>
      <w:pPr>
        <w:spacing w:line="338" w:lineRule="auto" w:before="103"/>
        <w:ind w:left="154" w:right="-13"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1,461,648.83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58"/>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6454" w:space="2375"/>
            <w:col w:w="210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before="51"/>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其他应收款按款项性质分类情况</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21,571,663.88</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23,987,869.17</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4,625,365.49</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3,732,815.68</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39,741,082.86</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30,922,149.13</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应收软件退税</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4,675,118.49</w:t>
            </w:r>
          </w:p>
        </w:tc>
        <w:tc>
          <w:tcPr>
            <w:tcW w:w="31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1,262,516.34</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2,207,899.07</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71,875,747.06</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60,850,733.05</w:t>
            </w:r>
          </w:p>
        </w:tc>
      </w:tr>
    </w:tbl>
    <w:p>
      <w:pPr>
        <w:spacing w:before="51"/>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按欠款方归集的期末余额前五名的其他应收款情况</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3"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81" w:right="8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80"/>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168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云马智慧公司</w:t>
            </w:r>
          </w:p>
        </w:tc>
        <w:tc>
          <w:tcPr>
            <w:tcW w:w="155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2,750,600.00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1027" w:right="0"/>
              <w:jc w:val="left"/>
              <w:rPr>
                <w:rFonts w:ascii="Times New Roman" w:hAnsi="Times New Roman" w:cs="Times New Roman" w:eastAsia="Times New Roman" w:hint="default"/>
                <w:sz w:val="18"/>
                <w:szCs w:val="18"/>
              </w:rPr>
            </w:pPr>
            <w:r>
              <w:rPr>
                <w:rFonts w:ascii="Times New Roman"/>
                <w:sz w:val="18"/>
              </w:rPr>
              <w:t>18.15%</w:t>
            </w:r>
          </w:p>
        </w:tc>
        <w:tc>
          <w:tcPr>
            <w:tcW w:w="1615" w:type="dxa"/>
            <w:vMerge w:val="restart"/>
            <w:tcBorders>
              <w:top w:val="single" w:sz="4" w:space="0" w:color="000000"/>
              <w:left w:val="single" w:sz="4" w:space="0" w:color="000000"/>
              <w:right w:val="single" w:sz="4" w:space="0" w:color="000000"/>
            </w:tcBorders>
          </w:tcPr>
          <w:p>
            <w:pPr/>
          </w:p>
        </w:tc>
      </w:tr>
      <w:tr>
        <w:trPr>
          <w:trHeight w:val="402" w:hRule="exact"/>
        </w:trPr>
        <w:tc>
          <w:tcPr>
            <w:tcW w:w="1684" w:type="dxa"/>
            <w:vMerge/>
            <w:tcBorders>
              <w:left w:val="single" w:sz="4" w:space="0" w:color="000000"/>
              <w:right w:val="single" w:sz="4" w:space="0" w:color="000000"/>
            </w:tcBorders>
          </w:tcPr>
          <w:p>
            <w:pPr/>
          </w:p>
        </w:tc>
        <w:tc>
          <w:tcPr>
            <w:tcW w:w="1552" w:type="dxa"/>
            <w:vMerge/>
            <w:tcBorders>
              <w:left w:val="single" w:sz="4" w:space="0" w:color="000000"/>
              <w:right w:val="single" w:sz="4" w:space="0" w:color="000000"/>
            </w:tcBorders>
          </w:tcPr>
          <w:p>
            <w:pP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9,394,211.40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vMerge/>
            <w:tcBorders>
              <w:left w:val="single" w:sz="4" w:space="0" w:color="000000"/>
              <w:right w:val="single" w:sz="4" w:space="0" w:color="000000"/>
            </w:tcBorders>
          </w:tcPr>
          <w:p>
            <w:pPr/>
          </w:p>
        </w:tc>
        <w:tc>
          <w:tcPr>
            <w:tcW w:w="1615" w:type="dxa"/>
            <w:vMerge/>
            <w:tcBorders>
              <w:left w:val="single" w:sz="4" w:space="0" w:color="000000"/>
              <w:right w:val="single" w:sz="4" w:space="0" w:color="000000"/>
            </w:tcBorders>
          </w:tcPr>
          <w:p>
            <w:pPr/>
          </w:p>
        </w:tc>
      </w:tr>
      <w:tr>
        <w:trPr>
          <w:trHeight w:val="402" w:hRule="exact"/>
        </w:trPr>
        <w:tc>
          <w:tcPr>
            <w:tcW w:w="1684" w:type="dxa"/>
            <w:vMerge/>
            <w:tcBorders>
              <w:left w:val="single" w:sz="4" w:space="0" w:color="000000"/>
              <w:right w:val="single" w:sz="4" w:space="0" w:color="000000"/>
            </w:tcBorders>
          </w:tcPr>
          <w:p>
            <w:pPr/>
          </w:p>
        </w:tc>
        <w:tc>
          <w:tcPr>
            <w:tcW w:w="1552" w:type="dxa"/>
            <w:vMerge/>
            <w:tcBorders>
              <w:left w:val="single" w:sz="4" w:space="0" w:color="000000"/>
              <w:right w:val="single" w:sz="4" w:space="0" w:color="000000"/>
            </w:tcBorders>
          </w:tcPr>
          <w:p>
            <w:pP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vMerge/>
            <w:tcBorders>
              <w:left w:val="single" w:sz="4" w:space="0" w:color="000000"/>
              <w:right w:val="single" w:sz="4" w:space="0" w:color="000000"/>
            </w:tcBorders>
          </w:tcPr>
          <w:p>
            <w:pPr/>
          </w:p>
        </w:tc>
        <w:tc>
          <w:tcPr>
            <w:tcW w:w="1615" w:type="dxa"/>
            <w:vMerge/>
            <w:tcBorders>
              <w:left w:val="single" w:sz="4" w:space="0" w:color="000000"/>
              <w:right w:val="single" w:sz="4" w:space="0" w:color="000000"/>
            </w:tcBorders>
          </w:tcPr>
          <w:p>
            <w:pPr/>
          </w:p>
        </w:tc>
      </w:tr>
      <w:tr>
        <w:trPr>
          <w:trHeight w:val="402" w:hRule="exact"/>
        </w:trPr>
        <w:tc>
          <w:tcPr>
            <w:tcW w:w="1684" w:type="dxa"/>
            <w:vMerge/>
            <w:tcBorders>
              <w:left w:val="single" w:sz="4" w:space="0" w:color="000000"/>
              <w:bottom w:val="single" w:sz="4" w:space="0" w:color="000000"/>
              <w:right w:val="single" w:sz="4" w:space="0" w:color="000000"/>
            </w:tcBorders>
          </w:tcPr>
          <w:p>
            <w:pPr/>
          </w:p>
        </w:tc>
        <w:tc>
          <w:tcPr>
            <w:tcW w:w="1552" w:type="dxa"/>
            <w:vMerge/>
            <w:tcBorders>
              <w:left w:val="single" w:sz="4" w:space="0" w:color="000000"/>
              <w:bottom w:val="single" w:sz="4" w:space="0" w:color="000000"/>
              <w:right w:val="single" w:sz="4" w:space="0" w:color="000000"/>
            </w:tcBorders>
          </w:tcPr>
          <w:p>
            <w:pP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797,547.96</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vMerge/>
            <w:tcBorders>
              <w:left w:val="single" w:sz="4" w:space="0" w:color="000000"/>
              <w:bottom w:val="single" w:sz="4" w:space="0" w:color="000000"/>
              <w:right w:val="single" w:sz="4" w:space="0" w:color="000000"/>
            </w:tcBorders>
          </w:tcPr>
          <w:p>
            <w:pPr/>
          </w:p>
        </w:tc>
        <w:tc>
          <w:tcPr>
            <w:tcW w:w="1615" w:type="dxa"/>
            <w:vMerge/>
            <w:tcBorders>
              <w:left w:val="single" w:sz="4" w:space="0" w:color="000000"/>
              <w:bottom w:val="single" w:sz="4" w:space="0" w:color="000000"/>
              <w:right w:val="single" w:sz="4" w:space="0" w:color="000000"/>
            </w:tcBorders>
          </w:tcPr>
          <w:p>
            <w:pP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小兰智慧公司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9.74%</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8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正元数据公司</w:t>
            </w:r>
          </w:p>
        </w:tc>
        <w:tc>
          <w:tcPr>
            <w:tcW w:w="155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1,250,000.00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7.93%</w:t>
            </w:r>
          </w:p>
        </w:tc>
        <w:tc>
          <w:tcPr>
            <w:tcW w:w="1615" w:type="dxa"/>
            <w:vMerge w:val="restart"/>
            <w:tcBorders>
              <w:top w:val="single" w:sz="4" w:space="0" w:color="000000"/>
              <w:left w:val="single" w:sz="4" w:space="0" w:color="000000"/>
              <w:right w:val="single" w:sz="4" w:space="0" w:color="000000"/>
            </w:tcBorders>
          </w:tcPr>
          <w:p>
            <w:pPr/>
          </w:p>
        </w:tc>
      </w:tr>
      <w:tr>
        <w:trPr>
          <w:trHeight w:val="402" w:hRule="exact"/>
        </w:trPr>
        <w:tc>
          <w:tcPr>
            <w:tcW w:w="1684" w:type="dxa"/>
            <w:vMerge/>
            <w:tcBorders>
              <w:left w:val="single" w:sz="4" w:space="0" w:color="000000"/>
              <w:right w:val="single" w:sz="4" w:space="0" w:color="000000"/>
            </w:tcBorders>
          </w:tcPr>
          <w:p>
            <w:pPr/>
          </w:p>
        </w:tc>
        <w:tc>
          <w:tcPr>
            <w:tcW w:w="1552" w:type="dxa"/>
            <w:vMerge/>
            <w:tcBorders>
              <w:left w:val="single" w:sz="4" w:space="0" w:color="000000"/>
              <w:right w:val="single" w:sz="4" w:space="0" w:color="000000"/>
            </w:tcBorders>
          </w:tcPr>
          <w:p>
            <w:pP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105,646.77</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vMerge/>
            <w:tcBorders>
              <w:left w:val="single" w:sz="4" w:space="0" w:color="000000"/>
              <w:right w:val="single" w:sz="4" w:space="0" w:color="000000"/>
            </w:tcBorders>
          </w:tcPr>
          <w:p>
            <w:pPr/>
          </w:p>
        </w:tc>
        <w:tc>
          <w:tcPr>
            <w:tcW w:w="1615" w:type="dxa"/>
            <w:vMerge/>
            <w:tcBorders>
              <w:left w:val="single" w:sz="4" w:space="0" w:color="000000"/>
              <w:right w:val="single" w:sz="4" w:space="0" w:color="000000"/>
            </w:tcBorders>
          </w:tcPr>
          <w:p>
            <w:pPr/>
          </w:p>
        </w:tc>
      </w:tr>
      <w:tr>
        <w:trPr>
          <w:trHeight w:val="402" w:hRule="exact"/>
        </w:trPr>
        <w:tc>
          <w:tcPr>
            <w:tcW w:w="1684" w:type="dxa"/>
            <w:vMerge/>
            <w:tcBorders>
              <w:left w:val="single" w:sz="4" w:space="0" w:color="000000"/>
              <w:right w:val="single" w:sz="4" w:space="0" w:color="000000"/>
            </w:tcBorders>
          </w:tcPr>
          <w:p>
            <w:pPr/>
          </w:p>
        </w:tc>
        <w:tc>
          <w:tcPr>
            <w:tcW w:w="1552" w:type="dxa"/>
            <w:vMerge/>
            <w:tcBorders>
              <w:left w:val="single" w:sz="4" w:space="0" w:color="000000"/>
              <w:right w:val="single" w:sz="4" w:space="0" w:color="000000"/>
            </w:tcBorders>
          </w:tcPr>
          <w:p>
            <w:pP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3,374.00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vMerge/>
            <w:tcBorders>
              <w:left w:val="single" w:sz="4" w:space="0" w:color="000000"/>
              <w:right w:val="single" w:sz="4" w:space="0" w:color="000000"/>
            </w:tcBorders>
          </w:tcPr>
          <w:p>
            <w:pPr/>
          </w:p>
        </w:tc>
        <w:tc>
          <w:tcPr>
            <w:tcW w:w="1615" w:type="dxa"/>
            <w:vMerge/>
            <w:tcBorders>
              <w:left w:val="single" w:sz="4" w:space="0" w:color="000000"/>
              <w:right w:val="single" w:sz="4" w:space="0" w:color="000000"/>
            </w:tcBorders>
          </w:tcPr>
          <w:p>
            <w:pPr/>
          </w:p>
        </w:tc>
      </w:tr>
      <w:tr>
        <w:trPr>
          <w:trHeight w:val="402" w:hRule="exact"/>
        </w:trPr>
        <w:tc>
          <w:tcPr>
            <w:tcW w:w="1684" w:type="dxa"/>
            <w:vMerge/>
            <w:tcBorders>
              <w:left w:val="single" w:sz="4" w:space="0" w:color="000000"/>
              <w:bottom w:val="single" w:sz="4" w:space="0" w:color="000000"/>
              <w:right w:val="single" w:sz="4" w:space="0" w:color="000000"/>
            </w:tcBorders>
          </w:tcPr>
          <w:p>
            <w:pPr/>
          </w:p>
        </w:tc>
        <w:tc>
          <w:tcPr>
            <w:tcW w:w="1552" w:type="dxa"/>
            <w:vMerge/>
            <w:tcBorders>
              <w:left w:val="single" w:sz="4" w:space="0" w:color="000000"/>
              <w:bottom w:val="single" w:sz="4" w:space="0" w:color="000000"/>
              <w:right w:val="single" w:sz="4" w:space="0" w:color="000000"/>
            </w:tcBorders>
          </w:tcPr>
          <w:p>
            <w:pP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4,342,555.63</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614" w:type="dxa"/>
            <w:vMerge/>
            <w:tcBorders>
              <w:left w:val="single" w:sz="4" w:space="0" w:color="000000"/>
              <w:bottom w:val="single" w:sz="4" w:space="0" w:color="000000"/>
              <w:right w:val="single" w:sz="4" w:space="0" w:color="000000"/>
            </w:tcBorders>
          </w:tcPr>
          <w:p>
            <w:pPr/>
          </w:p>
        </w:tc>
        <w:tc>
          <w:tcPr>
            <w:tcW w:w="1615" w:type="dxa"/>
            <w:vMerge/>
            <w:tcBorders>
              <w:left w:val="single" w:sz="4" w:space="0" w:color="000000"/>
              <w:bottom w:val="single" w:sz="4" w:space="0" w:color="000000"/>
              <w:right w:val="single" w:sz="4" w:space="0" w:color="000000"/>
            </w:tcBorders>
          </w:tcPr>
          <w:p>
            <w:pP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杭州容博公司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5,649,000.00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7.86%</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9"/>
              <w:jc w:val="left"/>
              <w:rPr>
                <w:rFonts w:ascii="宋体" w:hAnsi="宋体" w:cs="宋体" w:eastAsia="宋体" w:hint="default"/>
                <w:sz w:val="18"/>
                <w:szCs w:val="18"/>
              </w:rPr>
            </w:pPr>
            <w:r>
              <w:rPr>
                <w:rFonts w:ascii="宋体" w:hAnsi="宋体" w:cs="宋体" w:eastAsia="宋体" w:hint="default"/>
                <w:sz w:val="18"/>
                <w:szCs w:val="18"/>
              </w:rPr>
              <w:t>国家税务总局杭州市 余杭区税务局</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4,675,118.49</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6.50%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233,755.92</w:t>
            </w:r>
          </w:p>
        </w:tc>
      </w:tr>
      <w:tr>
        <w:trPr>
          <w:trHeight w:val="403"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36,068,054.25</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50.18%</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233,755.92</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13"/>
        <w:rPr>
          <w:rFonts w:ascii="宋体" w:hAnsi="宋体" w:cs="宋体" w:eastAsia="宋体" w:hint="default"/>
          <w:sz w:val="25"/>
          <w:szCs w:val="25"/>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涉及政府补助的应收款项</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026"/>
        <w:gridCol w:w="1866"/>
        <w:gridCol w:w="1866"/>
        <w:gridCol w:w="1868"/>
        <w:gridCol w:w="1944"/>
      </w:tblGrid>
      <w:tr>
        <w:trPr>
          <w:trHeight w:val="714" w:hRule="exact"/>
        </w:trPr>
        <w:tc>
          <w:tcPr>
            <w:tcW w:w="20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47"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7"/>
              <w:jc w:val="righ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95" w:right="66" w:hanging="630"/>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r>
        <w:trPr>
          <w:trHeight w:val="1650" w:hRule="exact"/>
        </w:trPr>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191"/>
              <w:jc w:val="left"/>
              <w:rPr>
                <w:rFonts w:ascii="宋体" w:hAnsi="宋体" w:cs="宋体" w:eastAsia="宋体" w:hint="default"/>
                <w:sz w:val="18"/>
                <w:szCs w:val="18"/>
              </w:rPr>
            </w:pPr>
            <w:r>
              <w:rPr>
                <w:rFonts w:ascii="宋体" w:hAnsi="宋体" w:cs="宋体" w:eastAsia="宋体" w:hint="default"/>
                <w:sz w:val="18"/>
                <w:szCs w:val="18"/>
              </w:rPr>
              <w:t>国家税务总局杭州市余 杭区税务局</w:t>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13"/>
              <w:jc w:val="right"/>
              <w:rPr>
                <w:rFonts w:ascii="宋体" w:hAnsi="宋体" w:cs="宋体" w:eastAsia="宋体" w:hint="default"/>
                <w:sz w:val="18"/>
                <w:szCs w:val="18"/>
              </w:rPr>
            </w:pPr>
            <w:r>
              <w:rPr>
                <w:rFonts w:ascii="宋体" w:hAnsi="宋体" w:cs="宋体" w:eastAsia="宋体" w:hint="default"/>
                <w:sz w:val="18"/>
                <w:szCs w:val="18"/>
              </w:rPr>
              <w:t>软件产品增值税退税</w:t>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895" w:right="0"/>
              <w:jc w:val="left"/>
              <w:rPr>
                <w:rFonts w:ascii="Times New Roman" w:hAnsi="Times New Roman" w:cs="Times New Roman" w:eastAsia="Times New Roman" w:hint="default"/>
                <w:sz w:val="18"/>
                <w:szCs w:val="18"/>
              </w:rPr>
            </w:pPr>
            <w:r>
              <w:rPr>
                <w:rFonts w:ascii="Times New Roman"/>
                <w:sz w:val="18"/>
              </w:rPr>
              <w:t>4,675,118.49</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3"/>
              <w:jc w:val="both"/>
              <w:rPr>
                <w:rFonts w:ascii="Times New Roman" w:hAnsi="Times New Roman" w:cs="Times New Roman" w:eastAsia="Times New Roman" w:hint="default"/>
                <w:sz w:val="18"/>
                <w:szCs w:val="18"/>
              </w:rPr>
            </w:pPr>
            <w:r>
              <w:rPr>
                <w:rFonts w:ascii="宋体" w:hAnsi="宋体" w:cs="宋体" w:eastAsia="宋体" w:hint="default"/>
                <w:sz w:val="18"/>
                <w:szCs w:val="18"/>
              </w:rPr>
              <w:t>预计收取的时间：</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日；金额： </w:t>
            </w:r>
            <w:r>
              <w:rPr>
                <w:rFonts w:ascii="Times New Roman" w:hAnsi="Times New Roman" w:cs="Times New Roman" w:eastAsia="Times New Roman" w:hint="default"/>
                <w:spacing w:val="-3"/>
                <w:sz w:val="18"/>
                <w:szCs w:val="18"/>
              </w:rPr>
              <w:t>4675118.49</w:t>
            </w:r>
            <w:r>
              <w:rPr>
                <w:rFonts w:ascii="宋体" w:hAnsi="宋体" w:cs="宋体" w:eastAsia="宋体" w:hint="default"/>
                <w:spacing w:val="-3"/>
                <w:sz w:val="18"/>
                <w:szCs w:val="18"/>
              </w:rPr>
              <w:t>；依据：</w:t>
            </w:r>
            <w:r>
              <w:rPr>
                <w:rFonts w:ascii="Times New Roman" w:hAnsi="Times New Roman" w:cs="Times New Roman" w:eastAsia="Times New Roman" w:hint="default"/>
                <w:spacing w:val="-3"/>
                <w:sz w:val="18"/>
                <w:szCs w:val="18"/>
              </w:rPr>
              <w:t>2018</w:t>
            </w:r>
          </w:p>
          <w:p>
            <w:pPr>
              <w:pStyle w:val="TableParagraph"/>
              <w:spacing w:line="302" w:lineRule="auto" w:before="13"/>
              <w:ind w:left="22" w:right="146"/>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月软件产品增 值税退税。</w:t>
            </w:r>
          </w:p>
        </w:tc>
      </w:tr>
    </w:tbl>
    <w:p>
      <w:pPr>
        <w:spacing w:line="276" w:lineRule="exact" w:before="0"/>
        <w:ind w:left="154" w:right="0" w:firstLine="0"/>
        <w:jc w:val="left"/>
        <w:rPr>
          <w:rFonts w:ascii="宋体" w:hAnsi="宋体" w:cs="宋体" w:eastAsia="宋体" w:hint="default"/>
          <w:sz w:val="21"/>
          <w:szCs w:val="21"/>
        </w:rPr>
      </w:pPr>
      <w:r>
        <w:rPr>
          <w:rFonts w:ascii="宋体" w:hAnsi="宋体" w:cs="宋体" w:eastAsia="宋体" w:hint="default"/>
          <w:sz w:val="21"/>
          <w:szCs w:val="21"/>
        </w:rPr>
        <w:t>本公司已在</w:t>
      </w:r>
      <w:r>
        <w:rPr>
          <w:rFonts w:ascii="Times New Roman" w:hAnsi="Times New Roman" w:cs="Times New Roman" w:eastAsia="Times New Roman" w:hint="default"/>
          <w:sz w:val="21"/>
          <w:szCs w:val="21"/>
        </w:rPr>
        <w:t>2019</w:t>
      </w:r>
      <w:r>
        <w:rPr>
          <w:rFonts w:ascii="宋体" w:hAnsi="宋体" w:cs="宋体" w:eastAsia="宋体" w:hint="default"/>
          <w:sz w:val="21"/>
          <w:szCs w:val="21"/>
        </w:rPr>
        <w:t>年</w:t>
      </w:r>
      <w:r>
        <w:rPr>
          <w:rFonts w:ascii="Times New Roman" w:hAnsi="Times New Roman" w:cs="Times New Roman" w:eastAsia="Times New Roman" w:hint="default"/>
          <w:sz w:val="21"/>
          <w:szCs w:val="21"/>
        </w:rPr>
        <w:t>01</w:t>
      </w:r>
      <w:r>
        <w:rPr>
          <w:rFonts w:ascii="宋体" w:hAnsi="宋体" w:cs="宋体" w:eastAsia="宋体" w:hint="default"/>
          <w:sz w:val="21"/>
          <w:szCs w:val="21"/>
        </w:rPr>
        <w:t>月</w:t>
      </w:r>
      <w:r>
        <w:rPr>
          <w:rFonts w:ascii="Times New Roman" w:hAnsi="Times New Roman" w:cs="Times New Roman" w:eastAsia="Times New Roman" w:hint="default"/>
          <w:sz w:val="21"/>
          <w:szCs w:val="21"/>
        </w:rPr>
        <w:t>04</w:t>
      </w:r>
      <w:r>
        <w:rPr>
          <w:rFonts w:ascii="宋体" w:hAnsi="宋体" w:cs="宋体" w:eastAsia="宋体" w:hint="default"/>
          <w:sz w:val="21"/>
          <w:szCs w:val="21"/>
        </w:rPr>
        <w:t>日收到款项。</w:t>
      </w:r>
    </w:p>
    <w:p>
      <w:pPr>
        <w:spacing w:line="240" w:lineRule="auto" w:before="8"/>
        <w:rPr>
          <w:rFonts w:ascii="宋体" w:hAnsi="宋体" w:cs="宋体" w:eastAsia="宋体" w:hint="default"/>
          <w:sz w:val="24"/>
          <w:szCs w:val="24"/>
        </w:rPr>
      </w:pPr>
    </w:p>
    <w:p>
      <w:pPr>
        <w:spacing w:before="0"/>
        <w:ind w:left="154" w:right="0" w:firstLine="0"/>
        <w:jc w:val="left"/>
        <w:rPr>
          <w:rFonts w:ascii="宋体" w:hAnsi="宋体" w:cs="宋体" w:eastAsia="宋体" w:hint="default"/>
          <w:sz w:val="21"/>
          <w:szCs w:val="21"/>
        </w:rPr>
      </w:pPr>
      <w:bookmarkStart w:name="3、长期股权投资" w:id="363"/>
      <w:bookmarkEnd w:id="363"/>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、长期股权投资</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57"/>
        <w:gridCol w:w="1379"/>
        <w:gridCol w:w="1367"/>
        <w:gridCol w:w="1367"/>
        <w:gridCol w:w="1368"/>
        <w:gridCol w:w="1367"/>
        <w:gridCol w:w="1367"/>
      </w:tblGrid>
      <w:tr>
        <w:trPr>
          <w:trHeight w:val="206"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65,528,960.00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1,056,100.00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64,472,860.00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24,406,100.00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1,056,100.00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23,350,000.00</w:t>
            </w:r>
          </w:p>
        </w:tc>
      </w:tr>
      <w:tr>
        <w:trPr>
          <w:trHeight w:val="714"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62"/>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77,852,110.72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77,852,110.72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77,048,765.82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77,048,765.82</w:t>
            </w:r>
          </w:p>
        </w:tc>
      </w:tr>
      <w:tr>
        <w:trPr>
          <w:trHeight w:val="404"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143,381,070.72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1,056,100.00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142,324,970.72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101,454,865.82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1,056,100.00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100,398,765.82</w:t>
            </w: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bookmarkStart w:name="（1）对子公司投资" w:id="364"/>
      <w:bookmarkEnd w:id="36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）对子公司投资</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14"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68"/>
              <w:jc w:val="righ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99" w:right="58" w:hanging="541"/>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98"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33"/>
              <w:jc w:val="right"/>
              <w:rPr>
                <w:rFonts w:ascii="宋体" w:hAnsi="宋体" w:cs="宋体" w:eastAsia="宋体" w:hint="default"/>
                <w:sz w:val="18"/>
                <w:szCs w:val="18"/>
              </w:rPr>
            </w:pPr>
            <w:r>
              <w:rPr>
                <w:rFonts w:ascii="宋体" w:hAnsi="宋体" w:cs="宋体" w:eastAsia="宋体" w:hint="default"/>
                <w:sz w:val="18"/>
                <w:szCs w:val="18"/>
              </w:rPr>
              <w:t>广西筑波公司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5,910,000.00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5,910,000.00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33"/>
              <w:jc w:val="right"/>
              <w:rPr>
                <w:rFonts w:ascii="宋体" w:hAnsi="宋体" w:cs="宋体" w:eastAsia="宋体" w:hint="default"/>
                <w:sz w:val="18"/>
                <w:szCs w:val="18"/>
              </w:rPr>
            </w:pPr>
            <w:r>
              <w:rPr>
                <w:rFonts w:ascii="宋体" w:hAnsi="宋体" w:cs="宋体" w:eastAsia="宋体" w:hint="default"/>
                <w:sz w:val="18"/>
                <w:szCs w:val="18"/>
              </w:rPr>
              <w:t>南昌正元公司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33"/>
              <w:jc w:val="right"/>
              <w:rPr>
                <w:rFonts w:ascii="宋体" w:hAnsi="宋体" w:cs="宋体" w:eastAsia="宋体" w:hint="default"/>
                <w:sz w:val="18"/>
                <w:szCs w:val="18"/>
              </w:rPr>
            </w:pPr>
            <w:r>
              <w:rPr>
                <w:rFonts w:ascii="宋体" w:hAnsi="宋体" w:cs="宋体" w:eastAsia="宋体" w:hint="default"/>
                <w:sz w:val="18"/>
                <w:szCs w:val="18"/>
              </w:rPr>
              <w:t>青岛天高公司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33"/>
              <w:jc w:val="right"/>
              <w:rPr>
                <w:rFonts w:ascii="宋体" w:hAnsi="宋体" w:cs="宋体" w:eastAsia="宋体" w:hint="default"/>
                <w:sz w:val="18"/>
                <w:szCs w:val="18"/>
              </w:rPr>
            </w:pPr>
            <w:r>
              <w:rPr>
                <w:rFonts w:ascii="宋体" w:hAnsi="宋体" w:cs="宋体" w:eastAsia="宋体" w:hint="default"/>
                <w:sz w:val="18"/>
                <w:szCs w:val="18"/>
              </w:rPr>
              <w:t>正元数据公司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33"/>
              <w:jc w:val="right"/>
              <w:rPr>
                <w:rFonts w:ascii="宋体" w:hAnsi="宋体" w:cs="宋体" w:eastAsia="宋体" w:hint="default"/>
                <w:sz w:val="18"/>
                <w:szCs w:val="18"/>
              </w:rPr>
            </w:pPr>
            <w:r>
              <w:rPr>
                <w:rFonts w:ascii="宋体" w:hAnsi="宋体" w:cs="宋体" w:eastAsia="宋体" w:hint="default"/>
                <w:sz w:val="18"/>
                <w:szCs w:val="18"/>
              </w:rPr>
              <w:t>杭州容博公司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3,450,000.00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3,450,000.00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300,000.00</w:t>
            </w: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33"/>
              <w:jc w:val="right"/>
              <w:rPr>
                <w:rFonts w:ascii="宋体" w:hAnsi="宋体" w:cs="宋体" w:eastAsia="宋体" w:hint="default"/>
                <w:sz w:val="18"/>
                <w:szCs w:val="18"/>
              </w:rPr>
            </w:pPr>
            <w:r>
              <w:rPr>
                <w:rFonts w:ascii="宋体" w:hAnsi="宋体" w:cs="宋体" w:eastAsia="宋体" w:hint="default"/>
                <w:sz w:val="18"/>
                <w:szCs w:val="18"/>
              </w:rPr>
              <w:t>云马智慧公司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756,100.00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6,337,800.00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7,093,900.00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756,100.00</w:t>
            </w: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33"/>
              <w:jc w:val="right"/>
              <w:rPr>
                <w:rFonts w:ascii="宋体" w:hAnsi="宋体" w:cs="宋体" w:eastAsia="宋体" w:hint="default"/>
                <w:sz w:val="18"/>
                <w:szCs w:val="18"/>
              </w:rPr>
            </w:pPr>
            <w:r>
              <w:rPr>
                <w:rFonts w:ascii="宋体" w:hAnsi="宋体" w:cs="宋体" w:eastAsia="宋体" w:hint="default"/>
                <w:sz w:val="18"/>
                <w:szCs w:val="18"/>
              </w:rPr>
              <w:t>福建正元公司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2,550,000.00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33"/>
              <w:jc w:val="right"/>
              <w:rPr>
                <w:rFonts w:ascii="宋体" w:hAnsi="宋体" w:cs="宋体" w:eastAsia="宋体" w:hint="default"/>
                <w:sz w:val="18"/>
                <w:szCs w:val="18"/>
              </w:rPr>
            </w:pPr>
            <w:r>
              <w:rPr>
                <w:rFonts w:ascii="宋体" w:hAnsi="宋体" w:cs="宋体" w:eastAsia="宋体" w:hint="default"/>
                <w:sz w:val="18"/>
                <w:szCs w:val="18"/>
              </w:rPr>
              <w:t>校云智慧公司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2,550,000.00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33"/>
              <w:jc w:val="right"/>
              <w:rPr>
                <w:rFonts w:ascii="宋体" w:hAnsi="宋体" w:cs="宋体" w:eastAsia="宋体" w:hint="default"/>
                <w:sz w:val="18"/>
                <w:szCs w:val="18"/>
              </w:rPr>
            </w:pPr>
            <w:r>
              <w:rPr>
                <w:rFonts w:ascii="宋体" w:hAnsi="宋体" w:cs="宋体" w:eastAsia="宋体" w:hint="default"/>
                <w:sz w:val="18"/>
                <w:szCs w:val="18"/>
              </w:rPr>
              <w:t>四川正元公司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2,550,000.00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33"/>
              <w:jc w:val="right"/>
              <w:rPr>
                <w:rFonts w:ascii="宋体" w:hAnsi="宋体" w:cs="宋体" w:eastAsia="宋体" w:hint="default"/>
                <w:sz w:val="18"/>
                <w:szCs w:val="18"/>
              </w:rPr>
            </w:pPr>
            <w:r>
              <w:rPr>
                <w:rFonts w:ascii="宋体" w:hAnsi="宋体" w:cs="宋体" w:eastAsia="宋体" w:hint="default"/>
                <w:sz w:val="18"/>
                <w:szCs w:val="18"/>
              </w:rPr>
              <w:t>正元曦客公司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4,590,000.00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33"/>
              <w:jc w:val="right"/>
              <w:rPr>
                <w:rFonts w:ascii="宋体" w:hAnsi="宋体" w:cs="宋体" w:eastAsia="宋体" w:hint="default"/>
                <w:sz w:val="18"/>
                <w:szCs w:val="18"/>
              </w:rPr>
            </w:pPr>
            <w:r>
              <w:rPr>
                <w:rFonts w:ascii="宋体" w:hAnsi="宋体" w:cs="宋体" w:eastAsia="宋体" w:hint="default"/>
                <w:sz w:val="18"/>
                <w:szCs w:val="18"/>
              </w:rPr>
              <w:t>小兰智慧公司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25,500,000.00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25,500,000.00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33"/>
              <w:jc w:val="right"/>
              <w:rPr>
                <w:rFonts w:ascii="宋体" w:hAnsi="宋体" w:cs="宋体" w:eastAsia="宋体" w:hint="default"/>
                <w:sz w:val="18"/>
                <w:szCs w:val="18"/>
              </w:rPr>
            </w:pPr>
            <w:r>
              <w:rPr>
                <w:rFonts w:ascii="宋体" w:hAnsi="宋体" w:cs="宋体" w:eastAsia="宋体" w:hint="default"/>
                <w:sz w:val="18"/>
                <w:szCs w:val="18"/>
              </w:rPr>
              <w:t>坚果智慧公司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3,675,060.00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3,675,060.00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6"/>
        <w:gridCol w:w="1348"/>
        <w:gridCol w:w="1336"/>
        <w:gridCol w:w="1334"/>
        <w:gridCol w:w="1336"/>
        <w:gridCol w:w="1389"/>
        <w:gridCol w:w="1390"/>
      </w:tblGrid>
      <w:tr>
        <w:trPr>
          <w:trHeight w:val="402"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73" w:right="0"/>
              <w:jc w:val="left"/>
              <w:rPr>
                <w:rFonts w:ascii="Times New Roman" w:hAnsi="Times New Roman" w:cs="Times New Roman" w:eastAsia="Times New Roman" w:hint="default"/>
                <w:sz w:val="18"/>
                <w:szCs w:val="18"/>
              </w:rPr>
            </w:pPr>
            <w:r>
              <w:rPr>
                <w:rFonts w:ascii="Times New Roman"/>
                <w:sz w:val="18"/>
              </w:rPr>
              <w:t>24,406,100.00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7" w:right="0"/>
              <w:jc w:val="left"/>
              <w:rPr>
                <w:rFonts w:ascii="Times New Roman" w:hAnsi="Times New Roman" w:cs="Times New Roman" w:eastAsia="Times New Roman" w:hint="default"/>
                <w:sz w:val="18"/>
                <w:szCs w:val="18"/>
              </w:rPr>
            </w:pPr>
            <w:r>
              <w:rPr>
                <w:rFonts w:ascii="Times New Roman"/>
                <w:sz w:val="18"/>
              </w:rPr>
              <w:t>41,122,860.00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7" w:right="0"/>
              <w:jc w:val="left"/>
              <w:rPr>
                <w:rFonts w:ascii="Times New Roman" w:hAnsi="Times New Roman" w:cs="Times New Roman" w:eastAsia="Times New Roman" w:hint="default"/>
                <w:sz w:val="18"/>
                <w:szCs w:val="18"/>
              </w:rPr>
            </w:pPr>
            <w:r>
              <w:rPr>
                <w:rFonts w:ascii="Times New Roman"/>
                <w:sz w:val="18"/>
              </w:rPr>
              <w:t>65,528,960.00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1" w:right="0"/>
              <w:jc w:val="left"/>
              <w:rPr>
                <w:rFonts w:ascii="Times New Roman" w:hAnsi="Times New Roman" w:cs="Times New Roman" w:eastAsia="Times New Roman" w:hint="default"/>
                <w:sz w:val="18"/>
                <w:szCs w:val="18"/>
              </w:rPr>
            </w:pPr>
            <w:r>
              <w:rPr>
                <w:rFonts w:ascii="Times New Roman"/>
                <w:sz w:val="18"/>
              </w:rPr>
              <w:t>1,056,100.00</w:t>
            </w: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bookmarkStart w:name="（2）对联营、合营企业投资" w:id="365"/>
      <w:bookmarkEnd w:id="36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）对联营、合营企业投资</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杭州卓然</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61,441,76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3.58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-693,791.</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60,747,97</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2.28</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重庆汇贤</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13,932,72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2.99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1,549,062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15,481,78</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5.76</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无锡汇众</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1,674,279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-51,926.5</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1,622,352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.68</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77,048,76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5.82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803,344.9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77,852,11</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0.72</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77,048,76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5.82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803,344.9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77,852,11</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0.72</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bookmarkStart w:name="4、营业收入和营业成本" w:id="366"/>
      <w:bookmarkEnd w:id="366"/>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、营业收入和营业成本</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83"/>
        <w:gridCol w:w="1838"/>
        <w:gridCol w:w="1913"/>
        <w:gridCol w:w="1913"/>
        <w:gridCol w:w="1913"/>
      </w:tblGrid>
      <w:tr>
        <w:trPr>
          <w:trHeight w:val="206" w:hRule="exact"/>
        </w:trPr>
        <w:tc>
          <w:tcPr>
            <w:tcW w:w="1983" w:type="dxa"/>
            <w:tcBorders>
              <w:top w:val="single" w:sz="4" w:space="0" w:color="000000"/>
              <w:left w:val="single" w:sz="4" w:space="0" w:color="000000"/>
              <w:bottom w:val="nil" w:sz="6" w:space="0" w:color="auto"/>
              <w:right w:val="single" w:sz="4" w:space="0" w:color="000000"/>
            </w:tcBorders>
            <w:shd w:val="clear" w:color="auto" w:fill="D2D2D2"/>
          </w:tcPr>
          <w:p>
            <w:pPr/>
          </w:p>
        </w:tc>
        <w:tc>
          <w:tcPr>
            <w:tcW w:w="37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6" w:hRule="exact"/>
        </w:trPr>
        <w:tc>
          <w:tcPr>
            <w:tcW w:w="19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vMerge/>
            <w:tcBorders>
              <w:left w:val="single" w:sz="4" w:space="0" w:color="000000"/>
              <w:bottom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83" w:type="dxa"/>
            <w:vMerge/>
            <w:tcBorders>
              <w:left w:val="single" w:sz="4" w:space="0" w:color="000000"/>
              <w:bottom w:val="nil" w:sz="6" w:space="0" w:color="auto"/>
              <w:right w:val="single" w:sz="4" w:space="0" w:color="000000"/>
            </w:tcBorders>
            <w:shd w:val="clear" w:color="auto" w:fill="D2D2D2"/>
          </w:tcPr>
          <w:p>
            <w:pPr/>
          </w:p>
        </w:tc>
        <w:tc>
          <w:tcPr>
            <w:tcW w:w="18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443,349,748.18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276,242,453.45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355,615,883.70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217,053,313.72</w:t>
            </w:r>
          </w:p>
        </w:tc>
      </w:tr>
      <w:tr>
        <w:trPr>
          <w:trHeight w:val="403"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443,349,748.18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276,242,453.45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355,615,883.70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217,053,313.72</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spacing w:before="0"/>
        <w:ind w:left="154" w:right="0" w:firstLine="0"/>
        <w:jc w:val="left"/>
        <w:rPr>
          <w:rFonts w:ascii="宋体" w:hAnsi="宋体" w:cs="宋体" w:eastAsia="宋体" w:hint="default"/>
          <w:sz w:val="21"/>
          <w:szCs w:val="21"/>
        </w:rPr>
      </w:pPr>
      <w:bookmarkStart w:name="5、投资收益" w:id="367"/>
      <w:bookmarkEnd w:id="367"/>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、投资收益</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2,137,700.00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1,781,400.00</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803,344.90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398,827.37</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银行理财收益</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2,331,479.51</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1,737,868.90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5,272,524.41</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3,918,096.27</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十七、补充资料" w:id="368"/>
      <w:bookmarkEnd w:id="368"/>
      <w:r>
        <w:rPr>
          <w:b w:val="0"/>
          <w:bCs w:val="0"/>
        </w:rPr>
      </w:r>
      <w:r>
        <w:rPr/>
        <w:t>十七、补充资料</w:t>
      </w:r>
      <w:r>
        <w:rPr>
          <w:b w:val="0"/>
          <w:bCs w:val="0"/>
        </w:rPr>
      </w:r>
    </w:p>
    <w:p>
      <w:pPr>
        <w:spacing w:line="240" w:lineRule="auto" w:before="9"/>
        <w:rPr>
          <w:rFonts w:ascii="宋体" w:hAnsi="宋体" w:cs="宋体" w:eastAsia="宋体" w:hint="default"/>
          <w:b/>
          <w:bCs/>
          <w:sz w:val="24"/>
          <w:szCs w:val="24"/>
        </w:rPr>
      </w:pPr>
    </w:p>
    <w:p>
      <w:pPr>
        <w:spacing w:before="0"/>
        <w:ind w:left="574" w:right="0" w:firstLine="0"/>
        <w:jc w:val="left"/>
        <w:rPr>
          <w:rFonts w:ascii="宋体" w:hAnsi="宋体" w:cs="宋体" w:eastAsia="宋体" w:hint="default"/>
          <w:sz w:val="21"/>
          <w:szCs w:val="21"/>
        </w:rPr>
      </w:pPr>
      <w:bookmarkStart w:name="1、当期非经常性损益明细表" w:id="369"/>
      <w:bookmarkEnd w:id="369"/>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、当期非经常性损益明细表</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226,119.71</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固定资产处置收益</w:t>
            </w:r>
          </w:p>
        </w:tc>
      </w:tr>
      <w:tr>
        <w:trPr>
          <w:trHeight w:val="1026"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3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3,498,183.80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除增值税软件退税外的政府补助</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2,418,635.07</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银行保本理财收益</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-3,189,447.10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对外捐赠</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151,998.45</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-149,534.74</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2,951,027.77</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line="302" w:lineRule="auto" w:before="63"/>
        <w:ind w:left="154" w:right="1118"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6"/>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z w:val="18"/>
          <w:szCs w:val="18"/>
        </w:rPr>
        <w:t> 说明原因。</w:t>
      </w:r>
    </w:p>
    <w:p>
      <w:pPr>
        <w:spacing w:before="69"/>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spacing w:before="0"/>
        <w:ind w:left="154" w:right="0" w:firstLine="0"/>
        <w:jc w:val="left"/>
        <w:rPr>
          <w:rFonts w:ascii="宋体" w:hAnsi="宋体" w:cs="宋体" w:eastAsia="宋体" w:hint="default"/>
          <w:sz w:val="21"/>
          <w:szCs w:val="21"/>
        </w:rPr>
      </w:pPr>
      <w:bookmarkStart w:name="2、净资产收益率及每股收益" w:id="370"/>
      <w:bookmarkEnd w:id="370"/>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、净资产收益率及每股收益</w:t>
      </w:r>
      <w:r>
        <w:rPr>
          <w:rFonts w:ascii="宋体" w:hAnsi="宋体" w:cs="宋体" w:eastAsia="宋体" w:hint="default"/>
          <w:sz w:val="21"/>
          <w:szCs w:val="21"/>
        </w:rPr>
      </w:r>
    </w:p>
    <w:p>
      <w:pPr>
        <w:spacing w:line="240" w:lineRule="auto" w:before="10"/>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651"/>
        <w:gridCol w:w="3081"/>
        <w:gridCol w:w="1913"/>
        <w:gridCol w:w="1913"/>
      </w:tblGrid>
      <w:tr>
        <w:trPr>
          <w:trHeight w:val="206" w:hRule="exact"/>
        </w:trPr>
        <w:tc>
          <w:tcPr>
            <w:tcW w:w="2651"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1" w:hRule="exact"/>
        </w:trPr>
        <w:tc>
          <w:tcPr>
            <w:tcW w:w="26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65"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651" w:type="dxa"/>
            <w:vMerge/>
            <w:tcBorders>
              <w:left w:val="single" w:sz="4" w:space="0" w:color="000000"/>
              <w:bottom w:val="nil" w:sz="6" w:space="0" w:color="auto"/>
              <w:right w:val="single" w:sz="4" w:space="0" w:color="000000"/>
            </w:tcBorders>
            <w:shd w:val="clear" w:color="auto" w:fill="D2D2D2"/>
          </w:tcPr>
          <w:p>
            <w:pPr/>
          </w:p>
        </w:tc>
        <w:tc>
          <w:tcPr>
            <w:tcW w:w="3081"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5" w:hRule="exact"/>
        </w:trPr>
        <w:tc>
          <w:tcPr>
            <w:tcW w:w="2651"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8.93%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0.76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0.76</w:t>
            </w:r>
          </w:p>
        </w:tc>
      </w:tr>
      <w:tr>
        <w:trPr>
          <w:trHeight w:val="715"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8.41%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0.71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0.71</w:t>
            </w:r>
          </w:p>
        </w:tc>
      </w:tr>
    </w:tbl>
    <w:p>
      <w:pPr>
        <w:spacing w:line="240" w:lineRule="auto" w:before="2"/>
        <w:rPr>
          <w:rFonts w:ascii="宋体" w:hAnsi="宋体" w:cs="宋体" w:eastAsia="宋体" w:hint="default"/>
          <w:b/>
          <w:bCs/>
          <w:sz w:val="19"/>
          <w:szCs w:val="19"/>
        </w:rPr>
      </w:pPr>
    </w:p>
    <w:p>
      <w:pPr>
        <w:spacing w:before="35"/>
        <w:ind w:left="154" w:right="0" w:firstLine="0"/>
        <w:jc w:val="left"/>
        <w:rPr>
          <w:rFonts w:ascii="宋体" w:hAnsi="宋体" w:cs="宋体" w:eastAsia="宋体" w:hint="default"/>
          <w:sz w:val="21"/>
          <w:szCs w:val="21"/>
        </w:rPr>
      </w:pPr>
      <w:bookmarkStart w:name="3、境内外会计准则下会计数据差异" w:id="371"/>
      <w:bookmarkEnd w:id="371"/>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、境内外会计准则下会计数据差异</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bookmarkStart w:name="（1）同时按照国际会计准则与按中国会计准则披露的财务报告中净利润和净资产差异情况" w:id="372"/>
      <w:bookmarkEnd w:id="37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）同时按照国际会计准则与按中国会计准则披露的财务报告中净利润和净资产差异情况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spacing w:before="0"/>
        <w:ind w:left="154" w:right="0" w:firstLine="0"/>
        <w:jc w:val="left"/>
        <w:rPr>
          <w:rFonts w:ascii="宋体" w:hAnsi="宋体" w:cs="宋体" w:eastAsia="宋体" w:hint="default"/>
          <w:sz w:val="21"/>
          <w:szCs w:val="21"/>
        </w:rPr>
      </w:pPr>
      <w:bookmarkStart w:name="（2）同时按照境外会计准则与按中国会计准则披露的财务报告中净利润和净资产差异情况" w:id="373"/>
      <w:bookmarkEnd w:id="37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）同时按照境外会计准则与按中国会计准则披露的财务报告中净利润和净资产差异情况</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spacing w:line="259" w:lineRule="auto" w:before="35"/>
        <w:ind w:left="154" w:right="0" w:firstLine="0"/>
        <w:jc w:val="left"/>
        <w:rPr>
          <w:rFonts w:ascii="宋体" w:hAnsi="宋体" w:cs="宋体" w:eastAsia="宋体" w:hint="default"/>
          <w:sz w:val="21"/>
          <w:szCs w:val="21"/>
        </w:rPr>
      </w:pPr>
      <w:bookmarkStart w:name="（3）境内外会计准则下会计数据差异原因说明，对已经境外审计机构审计的数据进行差异" w:id="374"/>
      <w:bookmarkEnd w:id="37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）境内外会计准则下会计数据差异原因说明，对已经境外审计机构审计的数据进行差异调节的，应注</w:t>
      </w:r>
      <w:r>
        <w:rPr>
          <w:rFonts w:ascii="宋体" w:hAnsi="宋体" w:cs="宋体" w:eastAsia="宋体" w:hint="default"/>
          <w:b/>
          <w:bCs/>
          <w:spacing w:val="-74"/>
          <w:sz w:val="21"/>
          <w:szCs w:val="21"/>
        </w:rPr>
        <w:t> </w:t>
      </w:r>
      <w:r>
        <w:rPr>
          <w:rFonts w:ascii="宋体" w:hAnsi="宋体" w:cs="宋体" w:eastAsia="宋体" w:hint="default"/>
          <w:b/>
          <w:bCs/>
          <w:spacing w:val="-74"/>
          <w:sz w:val="21"/>
          <w:szCs w:val="21"/>
        </w:rPr>
      </w:r>
      <w:r>
        <w:rPr>
          <w:rFonts w:ascii="宋体" w:hAnsi="宋体" w:cs="宋体" w:eastAsia="宋体" w:hint="default"/>
          <w:b/>
          <w:bCs/>
          <w:sz w:val="21"/>
          <w:szCs w:val="21"/>
        </w:rPr>
        <w:t>明该境外机构的名称</w:t>
      </w:r>
      <w:r>
        <w:rPr>
          <w:rFonts w:ascii="宋体" w:hAnsi="宋体" w:cs="宋体" w:eastAsia="宋体" w:hint="default"/>
          <w:sz w:val="21"/>
          <w:szCs w:val="21"/>
        </w:rPr>
      </w:r>
    </w:p>
    <w:p>
      <w:pPr>
        <w:spacing w:after="0" w:line="259" w:lineRule="auto"/>
        <w:jc w:val="left"/>
        <w:rPr>
          <w:rFonts w:ascii="宋体" w:hAnsi="宋体" w:cs="宋体" w:eastAsia="宋体" w:hint="default"/>
          <w:sz w:val="21"/>
          <w:szCs w:val="21"/>
        </w:rPr>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0"/>
          <w:szCs w:val="20"/>
        </w:rPr>
      </w:pPr>
    </w:p>
    <w:p>
      <w:pPr>
        <w:pStyle w:val="Heading1"/>
        <w:spacing w:line="240" w:lineRule="auto"/>
        <w:ind w:left="3286" w:right="0"/>
        <w:jc w:val="left"/>
        <w:rPr>
          <w:b w:val="0"/>
          <w:bCs w:val="0"/>
        </w:rPr>
      </w:pPr>
      <w:bookmarkStart w:name="第十二节 备查文件目录" w:id="375"/>
      <w:bookmarkEnd w:id="375"/>
      <w:r>
        <w:rPr>
          <w:b w:val="0"/>
          <w:bCs w:val="0"/>
        </w:rPr>
      </w:r>
      <w:bookmarkStart w:name="_bookmark10" w:id="376"/>
      <w:bookmarkEnd w:id="376"/>
      <w:r>
        <w:rPr>
          <w:b w:val="0"/>
          <w:bCs w:val="0"/>
        </w:rPr>
      </w:r>
      <w:r>
        <w:rPr/>
        <w:t>第十二节</w:t>
      </w:r>
      <w:r>
        <w:rPr>
          <w:spacing w:val="-8"/>
        </w:rPr>
        <w:t> </w:t>
      </w:r>
      <w:r>
        <w:rPr/>
        <w:t>备查文件目录</w:t>
      </w:r>
      <w:r>
        <w:rPr>
          <w:b w:val="0"/>
          <w:bCs w:val="0"/>
        </w:rPr>
      </w:r>
    </w:p>
    <w:p>
      <w:pPr>
        <w:spacing w:line="240" w:lineRule="auto" w:before="10"/>
        <w:rPr>
          <w:rFonts w:ascii="宋体" w:hAnsi="宋体" w:cs="宋体" w:eastAsia="宋体" w:hint="default"/>
          <w:b/>
          <w:bCs/>
          <w:sz w:val="44"/>
          <w:szCs w:val="44"/>
        </w:rPr>
      </w:pPr>
    </w:p>
    <w:p>
      <w:pPr>
        <w:pStyle w:val="BodyText"/>
        <w:spacing w:line="357" w:lineRule="auto" w:before="0"/>
        <w:ind w:left="151" w:right="1395"/>
        <w:jc w:val="left"/>
      </w:pPr>
      <w:r>
        <w:rPr/>
        <w:t>一、载有法定代表人、主管会计工作负责人、会计机构负责人签名并盖公章的财务报表。 二、载有会计师事务所盖章、注册会计师签名并盖章的审计报告原件。 三、报告期内在中国证监会指定网站上公开披露过的所有公司文件的正本及公告原稿。 四、载有董事长签名的</w:t>
      </w:r>
      <w:r>
        <w:rPr>
          <w:rFonts w:ascii="宋体" w:hAnsi="宋体" w:cs="宋体" w:eastAsia="宋体" w:hint="default"/>
        </w:rPr>
        <w:t>2018</w:t>
      </w:r>
      <w:r>
        <w:rPr/>
        <w:t>年年度报告文本原件。</w:t>
      </w:r>
    </w:p>
    <w:p>
      <w:pPr>
        <w:pStyle w:val="BodyText"/>
        <w:spacing w:line="357" w:lineRule="auto"/>
        <w:ind w:left="151" w:right="5715"/>
        <w:jc w:val="left"/>
      </w:pPr>
      <w:r>
        <w:rPr/>
        <w:t>五、其他备查文件。 以上备查文件的备置地点：公司董事会办公室。</w:t>
      </w:r>
    </w:p>
    <w:sectPr>
      <w:pgSz w:w="11910" w:h="16840"/>
      <w:pgMar w:header="747" w:footer="979" w:top="106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10416" type="#_x0000_t75" stroked="false">
          <v:imagedata r:id="rId1" o:title=""/>
        </v:shape>
      </w:pict>
    </w:r>
    <w:r>
      <w:rPr/>
      <w:pict>
        <v:shape style="position:absolute;margin-left:533.179993pt;margin-top:795.517944pt;width:6.5pt;height:11pt;mso-position-horizontal-relative:page;mso-position-vertical-relative:page;z-index:-101039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10368" type="#_x0000_t75" stroked="false">
          <v:imagedata r:id="rId1" o:title=""/>
        </v:shape>
      </w:pict>
    </w:r>
    <w:r>
      <w:rPr/>
      <w:pict>
        <v:shape style="position:absolute;margin-left:527.679993pt;margin-top:781.957947pt;width:13pt;height:11pt;mso-position-horizontal-relative:page;mso-position-vertical-relative:page;z-index:-101034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10320" type="#_x0000_t75" stroked="false">
          <v:imagedata r:id="rId1" o:title=""/>
        </v:shape>
      </w:pict>
    </w:r>
    <w:r>
      <w:rPr/>
      <w:pict>
        <v:shape style="position:absolute;margin-left:524.179993pt;margin-top:781.957947pt;width:15.5pt;height:11pt;mso-position-horizontal-relative:page;mso-position-vertical-relative:page;z-index:-1010296"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10272" type="#_x0000_t75" stroked="false">
          <v:imagedata r:id="rId1" o:title=""/>
        </v:shape>
      </w:pict>
    </w:r>
    <w:r>
      <w:rPr/>
      <w:pict>
        <v:shape style="position:absolute;margin-left:523.179993pt;margin-top:781.957947pt;width:17.5pt;height:11pt;mso-position-horizontal-relative:page;mso-position-vertical-relative:page;z-index:-10102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26.160004pt;margin-top:36.325607pt;width:213.55pt;height:11.5pt;mso-position-horizontal-relative:page;mso-position-vertical-relative:page;z-index:-101044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浙江正元智慧科技股份有限公司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9"/>
      <w:ind w:left="154"/>
    </w:pPr>
    <w:rPr>
      <w:rFonts w:ascii="宋体" w:hAnsi="宋体" w:eastAsia="宋体"/>
      <w:b/>
      <w:bCs/>
      <w:sz w:val="24"/>
      <w:szCs w:val="24"/>
    </w:rPr>
  </w:style>
  <w:style w:styleId="BodyText" w:type="paragraph">
    <w:name w:val="Body Text"/>
    <w:basedOn w:val="Normal"/>
    <w:uiPriority w:val="1"/>
    <w:qFormat/>
    <w:pPr>
      <w:spacing w:before="36"/>
      <w:ind w:left="154"/>
    </w:pPr>
    <w:rPr>
      <w:rFonts w:ascii="宋体" w:hAnsi="宋体" w:eastAsia="宋体"/>
      <w:sz w:val="24"/>
      <w:szCs w:val="24"/>
    </w:rPr>
  </w:style>
  <w:style w:styleId="Heading1" w:type="paragraph">
    <w:name w:val="Heading 1"/>
    <w:basedOn w:val="Normal"/>
    <w:uiPriority w:val="1"/>
    <w:qFormat/>
    <w:pPr>
      <w:spacing w:before="1"/>
      <w:outlineLvl w:val="1"/>
    </w:pPr>
    <w:rPr>
      <w:rFonts w:ascii="宋体" w:hAnsi="宋体" w:eastAsia="宋体"/>
      <w:b/>
      <w:bCs/>
      <w:sz w:val="32"/>
      <w:szCs w:val="32"/>
    </w:rPr>
  </w:style>
  <w:style w:styleId="Heading2" w:type="paragraph">
    <w:name w:val="Heading 2"/>
    <w:basedOn w:val="Normal"/>
    <w:uiPriority w:val="1"/>
    <w:qFormat/>
    <w:pPr>
      <w:ind w:left="154"/>
      <w:outlineLvl w:val="2"/>
    </w:pPr>
    <w:rPr>
      <w:rFonts w:ascii="宋体" w:hAnsi="宋体" w:eastAsia="宋体"/>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yperlink" Target="http://www.hzsun.com/" TargetMode="External"/><Relationship Id="rId10" Type="http://schemas.openxmlformats.org/officeDocument/2006/relationships/hyperlink" Target="mailto:ir@hzsun.com" TargetMode="External"/><Relationship Id="rId11" Type="http://schemas.openxmlformats.org/officeDocument/2006/relationships/hyperlink" Target="http://www.cninfo.com.cn/" TargetMode="External"/><Relationship Id="rId12" Type="http://schemas.openxmlformats.org/officeDocument/2006/relationships/image" Target="media/image3.jpeg"/><Relationship Id="rId13" Type="http://schemas.openxmlformats.org/officeDocument/2006/relationships/footer" Target="footer3.xml"/><Relationship Id="rId14" Type="http://schemas.openxmlformats.org/officeDocument/2006/relationships/footer" Target="footer4.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浙江正元智慧科技股份有限公司</dc:creator>
  <dc:title>浙江正元智慧科技股份有限公司2018年年度报告全文</dc:title>
  <dcterms:created xsi:type="dcterms:W3CDTF">2020-05-04T20:41:57Z</dcterms:created>
  <dcterms:modified xsi:type="dcterms:W3CDTF">2020-05-04T20:41:57Z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2019-03-28T00:00:00Z</vt:filetime>
  </property>
  <property fmtid="{D5CDD505-2E9C-101B-9397-08002B2CF9AE}" pid="3" name="Creator">
    <vt:lpwstr>Microsoft® Office Word 2007</vt:lpwstr>
  </property>
  <property fmtid="{D5CDD505-2E9C-101B-9397-08002B2CF9AE}" pid="4" name="LastSaved">
    <vt:filetime>2020-05-04T00:00:00Z</vt:filetime>
  </property>
</Properties>
</file>