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9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spacing w:line="651"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08132" cy="41367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8132" cy="413670"/>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10"/>
        <w:rPr>
          <w:rFonts w:ascii="Times New Roman" w:hAnsi="Times New Roman" w:cs="Times New Roman" w:eastAsia="Times New Roman" w:hint="default"/>
          <w:sz w:val="13"/>
          <w:szCs w:val="13"/>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浙江正元智慧科技股份有限公司</w:t>
      </w:r>
      <w:r>
        <w:rPr>
          <w:rFonts w:ascii="宋体" w:hAnsi="宋体" w:cs="宋体" w:eastAsia="宋体" w:hint="default"/>
          <w:sz w:val="36"/>
          <w:szCs w:val="36"/>
        </w:rPr>
      </w:r>
    </w:p>
    <w:p>
      <w:pPr>
        <w:spacing w:line="240" w:lineRule="auto" w:before="1"/>
        <w:rPr>
          <w:rFonts w:ascii="宋体" w:hAnsi="宋体" w:cs="宋体" w:eastAsia="宋体" w:hint="default"/>
          <w:b/>
          <w:bCs/>
          <w:sz w:val="31"/>
          <w:szCs w:val="31"/>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0" w:right="973" w:firstLine="0"/>
        <w:jc w:val="center"/>
        <w:rPr>
          <w:rFonts w:ascii="Times New Roman" w:hAnsi="Times New Roman" w:cs="Times New Roman" w:eastAsia="Times New Roman" w:hint="default"/>
          <w:sz w:val="22"/>
          <w:szCs w:val="22"/>
        </w:rPr>
      </w:pPr>
      <w:r>
        <w:rPr>
          <w:rFonts w:ascii="Times New Roman"/>
          <w:b/>
          <w:sz w:val="22"/>
        </w:rPr>
        <w:t>2020-037</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1"/>
        <w:ind w:left="0" w:right="97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1" w:footer="979" w:top="1060" w:bottom="1160" w:left="980" w:right="0"/>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85" w:right="0"/>
        <w:jc w:val="left"/>
        <w:rPr>
          <w:b w:val="0"/>
          <w:bCs w:val="0"/>
        </w:rPr>
      </w:pPr>
      <w:bookmarkStart w:name="第一节重要提示、目录和释义" w:id="1"/>
      <w:bookmarkEnd w:id="1"/>
      <w:r>
        <w:rPr>
          <w:b w:val="0"/>
          <w:bCs w:val="0"/>
        </w:rPr>
      </w:r>
      <w:r>
        <w:rPr/>
        <w:t>第一节重要提示、目录和释义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5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公司负责人陈坚、主管会计工作负责人陈根清及会计机构负责人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包建军声明：保证年度报告中财务报告的真实、准确、完整。</w:t>
      </w:r>
      <w:r>
        <w:rPr>
          <w:rFonts w:ascii="宋体" w:hAnsi="宋体" w:cs="宋体" w:eastAsia="宋体" w:hint="default"/>
          <w:spacing w:val="2"/>
          <w:sz w:val="28"/>
          <w:szCs w:val="28"/>
        </w:rPr>
      </w:r>
    </w:p>
    <w:p>
      <w:pPr>
        <w:spacing w:line="475" w:lineRule="auto" w:before="148"/>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本报告涉及的发展战略及未来前瞻性陈述，不构成公司对投资者的实质承</w:t>
      </w:r>
      <w:r>
        <w:rPr>
          <w:rFonts w:ascii="宋体" w:hAnsi="宋体" w:cs="宋体" w:eastAsia="宋体" w:hint="default"/>
          <w:spacing w:val="4"/>
          <w:sz w:val="28"/>
          <w:szCs w:val="28"/>
        </w:rPr>
      </w:r>
    </w:p>
    <w:p>
      <w:pPr>
        <w:spacing w:line="350" w:lineRule="exact" w:before="0"/>
        <w:ind w:left="153"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诺。投资者及相关人士均应对此保持足够的风险认识，并且应当理解计划、预</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line="398" w:lineRule="auto" w:before="0"/>
        <w:ind w:left="153"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测与承诺之间的差异。公司在经营管理中可能面临的风险与对策举措已在本报</w:t>
      </w:r>
      <w:r>
        <w:rPr>
          <w:rFonts w:ascii="宋体" w:hAnsi="宋体" w:cs="宋体" w:eastAsia="宋体" w:hint="default"/>
          <w:b/>
          <w:bCs/>
          <w:w w:val="99"/>
          <w:sz w:val="28"/>
          <w:szCs w:val="28"/>
        </w:rPr>
        <w:t> </w:t>
      </w:r>
      <w:r>
        <w:rPr>
          <w:rFonts w:ascii="宋体" w:hAnsi="宋体" w:cs="宋体" w:eastAsia="宋体" w:hint="default"/>
          <w:b/>
          <w:bCs/>
          <w:w w:val="95"/>
          <w:sz w:val="28"/>
          <w:szCs w:val="28"/>
        </w:rPr>
        <w:t>告中第四节</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经营情况讨论与分析</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之</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九、公司未来发展的展望</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部分予以描述。</w:t>
      </w:r>
      <w:r>
        <w:rPr>
          <w:rFonts w:ascii="宋体" w:hAnsi="宋体" w:cs="宋体" w:eastAsia="宋体" w:hint="default"/>
          <w:b/>
          <w:bCs/>
          <w:spacing w:val="22"/>
          <w:w w:val="95"/>
          <w:sz w:val="28"/>
          <w:szCs w:val="28"/>
        </w:rPr>
        <w:t> </w:t>
      </w:r>
      <w:r>
        <w:rPr>
          <w:rFonts w:ascii="宋体" w:hAnsi="宋体" w:cs="宋体" w:eastAsia="宋体" w:hint="default"/>
          <w:b/>
          <w:bCs/>
          <w:spacing w:val="22"/>
          <w:w w:val="95"/>
          <w:sz w:val="28"/>
          <w:szCs w:val="28"/>
        </w:rPr>
      </w:r>
      <w:r>
        <w:rPr>
          <w:rFonts w:ascii="宋体" w:hAnsi="宋体" w:cs="宋体" w:eastAsia="宋体" w:hint="default"/>
          <w:b/>
          <w:bCs/>
          <w:sz w:val="28"/>
          <w:szCs w:val="28"/>
        </w:rPr>
        <w:t>敬请广大投资者关注，并注意投资风险。</w:t>
      </w:r>
      <w:r>
        <w:rPr>
          <w:rFonts w:ascii="宋体" w:hAnsi="宋体" w:cs="宋体" w:eastAsia="宋体" w:hint="default"/>
          <w:sz w:val="28"/>
          <w:szCs w:val="28"/>
        </w:rPr>
      </w:r>
    </w:p>
    <w:p>
      <w:pPr>
        <w:spacing w:before="16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公司经本次董事会审议通过的利润分配预案为：以截至</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16"/>
          <w:sz w:val="28"/>
          <w:szCs w:val="28"/>
        </w:rPr>
        <w:t> </w:t>
      </w:r>
      <w:r>
        <w:rPr>
          <w:rFonts w:ascii="宋体" w:hAnsi="宋体" w:cs="宋体" w:eastAsia="宋体" w:hint="default"/>
          <w:b/>
          <w:bCs/>
          <w:sz w:val="28"/>
          <w:szCs w:val="28"/>
        </w:rPr>
        <w:t>年</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月</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6"/>
          <w:sz w:val="28"/>
          <w:szCs w:val="28"/>
        </w:rPr>
        <w:t> </w:t>
      </w:r>
      <w:r>
        <w:rPr>
          <w:rFonts w:ascii="宋体" w:hAnsi="宋体" w:cs="宋体" w:eastAsia="宋体" w:hint="default"/>
          <w:b/>
          <w:bCs/>
          <w:sz w:val="28"/>
          <w:szCs w:val="28"/>
        </w:rPr>
        <w:t>日</w:t>
      </w:r>
      <w:r>
        <w:rPr>
          <w:rFonts w:ascii="宋体" w:hAnsi="宋体" w:cs="宋体" w:eastAsia="宋体" w:hint="default"/>
          <w:sz w:val="28"/>
          <w:szCs w:val="28"/>
        </w:rPr>
      </w:r>
    </w:p>
    <w:p>
      <w:pPr>
        <w:spacing w:before="237"/>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公司总股本</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126,666,667</w:t>
      </w:r>
      <w:r>
        <w:rPr>
          <w:rFonts w:ascii="Times New Roman" w:hAnsi="Times New Roman" w:cs="Times New Roman" w:eastAsia="Times New Roman" w:hint="default"/>
          <w:b/>
          <w:bCs/>
          <w:spacing w:val="-6"/>
          <w:sz w:val="28"/>
          <w:szCs w:val="28"/>
        </w:rPr>
        <w:t> </w:t>
      </w:r>
      <w:r>
        <w:rPr>
          <w:rFonts w:ascii="宋体" w:hAnsi="宋体" w:cs="宋体" w:eastAsia="宋体" w:hint="default"/>
          <w:b/>
          <w:bCs/>
          <w:spacing w:val="-4"/>
          <w:sz w:val="28"/>
          <w:szCs w:val="28"/>
        </w:rPr>
        <w:t>股为基数，向全体股东每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0.6</w:t>
      </w:r>
      <w:r>
        <w:rPr>
          <w:rFonts w:ascii="Times New Roman" w:hAnsi="Times New Roman" w:cs="Times New Roman" w:eastAsia="Times New Roman" w:hint="default"/>
          <w:b/>
          <w:bCs/>
          <w:spacing w:val="-11"/>
          <w:sz w:val="28"/>
          <w:szCs w:val="28"/>
        </w:rPr>
        <w:t> </w:t>
      </w:r>
      <w:r>
        <w:rPr>
          <w:rFonts w:ascii="宋体" w:hAnsi="宋体" w:cs="宋体" w:eastAsia="宋体" w:hint="default"/>
          <w:b/>
          <w:bCs/>
          <w:spacing w:val="-19"/>
          <w:sz w:val="28"/>
          <w:szCs w:val="28"/>
        </w:rPr>
        <w:t>元（含</w:t>
      </w:r>
      <w:r>
        <w:rPr>
          <w:rFonts w:ascii="宋体" w:hAnsi="宋体" w:cs="宋体" w:eastAsia="宋体" w:hint="default"/>
          <w:spacing w:val="-19"/>
          <w:sz w:val="28"/>
          <w:szCs w:val="28"/>
        </w:rPr>
      </w:r>
    </w:p>
    <w:p>
      <w:pPr>
        <w:spacing w:before="236"/>
        <w:ind w:left="153" w:right="0" w:firstLine="0"/>
        <w:jc w:val="left"/>
        <w:rPr>
          <w:rFonts w:ascii="宋体" w:hAnsi="宋体" w:cs="宋体" w:eastAsia="宋体" w:hint="default"/>
          <w:sz w:val="28"/>
          <w:szCs w:val="28"/>
        </w:rPr>
      </w:pPr>
      <w:r>
        <w:rPr>
          <w:rFonts w:ascii="宋体" w:hAnsi="宋体" w:cs="宋体" w:eastAsia="宋体" w:hint="default"/>
          <w:b/>
          <w:bCs/>
          <w:spacing w:val="4"/>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4"/>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4"/>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4"/>
          <w:w w:val="99"/>
          <w:sz w:val="28"/>
          <w:szCs w:val="28"/>
        </w:rPr>
        <w:t>股</w:t>
      </w:r>
      <w:r>
        <w:rPr>
          <w:rFonts w:ascii="宋体" w:hAnsi="宋体" w:cs="宋体" w:eastAsia="宋体" w:hint="default"/>
          <w:b/>
          <w:bCs/>
          <w:w w:val="99"/>
          <w:sz w:val="28"/>
          <w:szCs w:val="28"/>
        </w:rPr>
        <w:t>（</w:t>
      </w:r>
      <w:r>
        <w:rPr>
          <w:rFonts w:ascii="宋体" w:hAnsi="宋体" w:cs="宋体" w:eastAsia="宋体" w:hint="default"/>
          <w:b/>
          <w:bCs/>
          <w:spacing w:val="4"/>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35"/>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4"/>
          <w:w w:val="99"/>
          <w:sz w:val="28"/>
          <w:szCs w:val="28"/>
        </w:rPr>
        <w:t>以</w:t>
      </w:r>
      <w:r>
        <w:rPr>
          <w:rFonts w:ascii="宋体" w:hAnsi="宋体" w:cs="宋体" w:eastAsia="宋体" w:hint="default"/>
          <w:b/>
          <w:bCs/>
          <w:w w:val="99"/>
          <w:sz w:val="28"/>
          <w:szCs w:val="28"/>
        </w:rPr>
        <w:t>资</w:t>
      </w:r>
      <w:r>
        <w:rPr>
          <w:rFonts w:ascii="宋体" w:hAnsi="宋体" w:cs="宋体" w:eastAsia="宋体" w:hint="default"/>
          <w:b/>
          <w:bCs/>
          <w:spacing w:val="4"/>
          <w:w w:val="99"/>
          <w:sz w:val="28"/>
          <w:szCs w:val="28"/>
        </w:rPr>
        <w:t>本</w:t>
      </w:r>
      <w:r>
        <w:rPr>
          <w:rFonts w:ascii="宋体" w:hAnsi="宋体" w:cs="宋体" w:eastAsia="宋体" w:hint="default"/>
          <w:b/>
          <w:bCs/>
          <w:w w:val="99"/>
          <w:sz w:val="28"/>
          <w:szCs w:val="28"/>
        </w:rPr>
        <w:t>公积</w:t>
      </w:r>
      <w:r>
        <w:rPr>
          <w:rFonts w:ascii="宋体" w:hAnsi="宋体" w:cs="宋体" w:eastAsia="宋体" w:hint="default"/>
          <w:b/>
          <w:bCs/>
          <w:spacing w:val="4"/>
          <w:w w:val="99"/>
          <w:sz w:val="28"/>
          <w:szCs w:val="28"/>
        </w:rPr>
        <w:t>金向</w:t>
      </w:r>
      <w:r>
        <w:rPr>
          <w:rFonts w:ascii="宋体" w:hAnsi="宋体" w:cs="宋体" w:eastAsia="宋体" w:hint="default"/>
          <w:b/>
          <w:bCs/>
          <w:w w:val="99"/>
          <w:sz w:val="28"/>
          <w:szCs w:val="28"/>
        </w:rPr>
        <w:t>全</w:t>
      </w:r>
      <w:r>
        <w:rPr>
          <w:rFonts w:ascii="宋体" w:hAnsi="宋体" w:cs="宋体" w:eastAsia="宋体" w:hint="default"/>
          <w:b/>
          <w:bCs/>
          <w:spacing w:val="4"/>
          <w:w w:val="99"/>
          <w:sz w:val="28"/>
          <w:szCs w:val="28"/>
        </w:rPr>
        <w:t>体</w:t>
      </w:r>
      <w:r>
        <w:rPr>
          <w:rFonts w:ascii="宋体" w:hAnsi="宋体" w:cs="宋体" w:eastAsia="宋体" w:hint="default"/>
          <w:b/>
          <w:bCs/>
          <w:w w:val="99"/>
          <w:sz w:val="28"/>
          <w:szCs w:val="28"/>
        </w:rPr>
        <w:t>股</w:t>
      </w:r>
      <w:r>
        <w:rPr>
          <w:rFonts w:ascii="宋体" w:hAnsi="宋体" w:cs="宋体" w:eastAsia="宋体" w:hint="default"/>
          <w:b/>
          <w:bCs/>
          <w:spacing w:val="4"/>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0"/>
          <w:sz w:val="28"/>
          <w:szCs w:val="28"/>
        </w:rPr>
        <w:t> </w:t>
      </w:r>
      <w:r>
        <w:rPr>
          <w:rFonts w:ascii="Times New Roman" w:hAnsi="Times New Roman" w:cs="Times New Roman" w:eastAsia="Times New Roman" w:hint="default"/>
          <w:b/>
          <w:bCs/>
          <w:spacing w:val="-5"/>
          <w:w w:val="99"/>
          <w:sz w:val="28"/>
          <w:szCs w:val="28"/>
        </w:rPr>
        <w:t>1</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4"/>
          <w:w w:val="99"/>
          <w:sz w:val="28"/>
          <w:szCs w:val="28"/>
        </w:rPr>
        <w:t>股</w:t>
      </w:r>
      <w:r>
        <w:rPr>
          <w:rFonts w:ascii="宋体" w:hAnsi="宋体" w:cs="宋体" w:eastAsia="宋体" w:hint="default"/>
          <w:b/>
          <w:bCs/>
          <w:w w:val="99"/>
          <w:sz w:val="28"/>
          <w:szCs w:val="28"/>
        </w:rPr>
        <w:t>转增</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4"/>
          <w:w w:val="99"/>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1" w:top="1060" w:bottom="1160" w:left="980" w:right="0"/>
          <w:pgNumType w:start="2"/>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line="460" w:lineRule="exact" w:before="0"/>
        <w:ind w:left="0" w:right="974"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20"/>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70"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0"/>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5" w:val="right" w:leader="dot"/>
            </w:tabs>
            <w:spacing w:line="240" w:lineRule="auto" w:before="158"/>
            <w:ind w:right="0"/>
            <w:jc w:val="left"/>
            <w:rPr>
              <w:rFonts w:ascii="Times New Roman" w:hAnsi="Times New Roman" w:cs="Times New Roman" w:eastAsia="Times New Roman" w:hint="default"/>
              <w:b w:val="0"/>
              <w:bCs w:val="0"/>
            </w:rPr>
          </w:pPr>
          <w:hyperlink w:history="true" w:anchor="_bookmark2">
            <w:r>
              <w:rPr/>
              <w:t>第三节</w:t>
            </w:r>
            <w:r>
              <w:rPr>
                <w:spacing w:val="-20"/>
              </w:rPr>
              <w:t> </w:t>
            </w:r>
            <w:r>
              <w:rPr/>
              <w:t>公司业务概要</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0"/>
              </w:rPr>
              <w:t> </w:t>
            </w:r>
            <w:r>
              <w:rPr/>
              <w:t>经营情况讨论与分析</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4">
            <w:r>
              <w:rPr/>
              <w:t>第五节</w:t>
            </w:r>
            <w:r>
              <w:rPr>
                <w:spacing w:val="-20"/>
              </w:rPr>
              <w:t> </w:t>
            </w:r>
            <w:r>
              <w:rPr/>
              <w:t>重要事项</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0"/>
              </w:rPr>
              <w:t> </w:t>
            </w:r>
            <w:r>
              <w:rPr/>
              <w:t>股份变动及股东情况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5">
            <w:r>
              <w:rPr/>
              <w:t>第七节</w:t>
            </w:r>
            <w:r>
              <w:rPr>
                <w:spacing w:val="-21"/>
              </w:rPr>
              <w:t> </w:t>
            </w:r>
            <w:r>
              <w:rPr/>
              <w:t>优先股相关情况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20"/>
              </w:rPr>
              <w:t> </w:t>
            </w:r>
            <w:r>
              <w:rPr/>
              <w:t>可转换公司债券相关情况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6">
            <w:r>
              <w:rPr/>
              <w:t>第九节</w:t>
            </w:r>
            <w:r>
              <w:rPr>
                <w:spacing w:val="-21"/>
              </w:rPr>
              <w:t> </w:t>
            </w:r>
            <w:r>
              <w:rPr/>
              <w:t>董事、监事、高级管理人员和员工情况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20"/>
              </w:rPr>
              <w:t> </w:t>
            </w:r>
            <w:r>
              <w:rPr/>
              <w:t>公司治理</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8">
            <w:r>
              <w:rPr/>
              <w:t>第十一节</w:t>
            </w:r>
            <w:r>
              <w:rPr>
                <w:spacing w:val="-20"/>
              </w:rPr>
              <w:t> </w:t>
            </w:r>
            <w:r>
              <w:rPr/>
              <w:t>公司债券相关情况</w:t>
            </w:r>
            <w:r>
              <w:rPr>
                <w:rFonts w:ascii="Times New Roman" w:hAnsi="Times New Roman" w:cs="Times New Roman" w:eastAsia="Times New Roman" w:hint="default"/>
              </w:rPr>
              <w:tab/>
              <w:t>95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20"/>
              </w:rPr>
              <w:t> </w:t>
            </w:r>
            <w:r>
              <w:rPr/>
              <w:t>财务报告</w:t>
            </w:r>
            <w:r>
              <w:rPr>
                <w:rFonts w:ascii="Times New Roman" w:hAnsi="Times New Roman" w:cs="Times New Roman" w:eastAsia="Times New Roman" w:hint="default"/>
              </w:rPr>
              <w:tab/>
              <w:t>102</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10">
            <w:r>
              <w:rPr/>
              <w:t>第十三节</w:t>
            </w:r>
            <w:r>
              <w:rPr>
                <w:spacing w:val="-21"/>
              </w:rPr>
              <w:t> </w:t>
            </w:r>
            <w:r>
              <w:rPr/>
              <w:t>备查文件目录</w:t>
            </w:r>
            <w:r>
              <w:rPr>
                <w:rFonts w:ascii="Times New Roman" w:hAnsi="Times New Roman" w:cs="Times New Roman" w:eastAsia="Times New Roman" w:hint="default"/>
              </w:rPr>
              <w:tab/>
              <w:t>103</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1" w:footer="979" w:top="1060" w:bottom="1160" w:left="980" w:right="0"/>
        </w:sectPr>
      </w:pPr>
    </w:p>
    <w:p>
      <w:pPr>
        <w:spacing w:before="954"/>
        <w:ind w:left="0" w:right="97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537"/>
        <w:gridCol w:w="600"/>
        <w:gridCol w:w="5438"/>
      </w:tblGrid>
      <w:tr>
        <w:trPr>
          <w:trHeight w:val="403" w:hRule="exact"/>
        </w:trPr>
        <w:tc>
          <w:tcPr>
            <w:tcW w:w="3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正元智慧、本公司、公司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浙江正元智慧科技股份有限公司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杭州正元</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杭州正元企业管理咨询有限公司，现为公司控股股东</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易康投资</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杭州易康投资管理有限公司，现为公司股东</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正浩投资</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杭州正浩投资管理有限公司，现为公司股东</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合力创投</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浙江合力创业投资有限公司，现为公司股东</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盈瓯创投</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浙江盈瓯创业投资有限公司，现为公司股东</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乾盈投资</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杭州乾盈投资管理有限公司，现为公司股东</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连连投资</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浙江连连投资有限公司，现为公司股东</w:t>
            </w:r>
          </w:p>
        </w:tc>
      </w:tr>
      <w:tr>
        <w:trPr>
          <w:trHeight w:val="158" w:hRule="exact"/>
        </w:trPr>
        <w:tc>
          <w:tcPr>
            <w:tcW w:w="3537"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广西筑波</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3" w:space="0" w:color="D2D2D2"/>
              <w:right w:val="single" w:sz="4" w:space="0" w:color="000000"/>
            </w:tcBorders>
          </w:tcPr>
          <w:p>
            <w:pPr>
              <w:pStyle w:val="TableParagraph"/>
              <w:spacing w:line="300" w:lineRule="auto" w:before="54"/>
              <w:ind w:left="23" w:right="17"/>
              <w:jc w:val="left"/>
              <w:rPr>
                <w:rFonts w:ascii="宋体" w:hAnsi="宋体" w:cs="宋体" w:eastAsia="宋体" w:hint="default"/>
                <w:sz w:val="18"/>
                <w:szCs w:val="18"/>
              </w:rPr>
            </w:pPr>
            <w:r>
              <w:rPr>
                <w:rFonts w:ascii="宋体" w:hAnsi="宋体" w:cs="宋体" w:eastAsia="宋体" w:hint="default"/>
                <w:spacing w:val="-8"/>
                <w:w w:val="101"/>
                <w:sz w:val="18"/>
                <w:szCs w:val="18"/>
              </w:rPr>
              <w:t>广西筑波智慧科技有限公司（曾用名</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南宁筑波智慧科技有限公司</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w:t>
            </w:r>
            <w:r>
              <w:rPr>
                <w:rFonts w:ascii="宋体" w:hAnsi="宋体" w:cs="宋体" w:eastAsia="宋体" w:hint="default"/>
                <w:spacing w:val="-91"/>
                <w:w w:val="101"/>
                <w:sz w:val="18"/>
                <w:szCs w:val="18"/>
              </w:rPr>
              <w:t> </w:t>
            </w:r>
            <w:r>
              <w:rPr>
                <w:rFonts w:ascii="宋体" w:hAnsi="宋体" w:cs="宋体" w:eastAsia="宋体" w:hint="default"/>
                <w:sz w:val="18"/>
                <w:szCs w:val="18"/>
              </w:rPr>
              <w:t>本公司控股子公司</w:t>
            </w:r>
          </w:p>
        </w:tc>
      </w:tr>
      <w:tr>
        <w:trPr>
          <w:trHeight w:val="394" w:hRule="exact"/>
        </w:trPr>
        <w:tc>
          <w:tcPr>
            <w:tcW w:w="3537" w:type="dxa"/>
            <w:vMerge/>
            <w:tcBorders>
              <w:left w:val="single" w:sz="4" w:space="0" w:color="000000"/>
              <w:right w:val="single" w:sz="13"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3" w:space="0" w:color="D2D2D2"/>
              <w:right w:val="single" w:sz="4" w:space="0" w:color="000000"/>
            </w:tcBorders>
          </w:tcPr>
          <w:p>
            <w:pPr/>
          </w:p>
        </w:tc>
      </w:tr>
      <w:tr>
        <w:trPr>
          <w:trHeight w:val="158" w:hRule="exact"/>
        </w:trPr>
        <w:tc>
          <w:tcPr>
            <w:tcW w:w="3537" w:type="dxa"/>
            <w:vMerge/>
            <w:tcBorders>
              <w:left w:val="single" w:sz="4" w:space="0" w:color="000000"/>
              <w:bottom w:val="single" w:sz="4" w:space="0" w:color="000000"/>
              <w:right w:val="single" w:sz="13"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3" w:space="0" w:color="D2D2D2"/>
              <w:bottom w:val="single" w:sz="4" w:space="0" w:color="000000"/>
              <w:right w:val="single" w:sz="4" w:space="0" w:color="000000"/>
            </w:tcBorders>
          </w:tcPr>
          <w:p>
            <w:pP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青岛天高</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青岛天高智慧科技有限公司，本公司控股子公司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南昌正元</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南昌正元智慧科技有限公司，本公司控股子公司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正元数据</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浙江正元数据系统工程有限公司，本公司控股子公司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杭州容博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杭州容博教育科技有限公司，本公司控股子公司</w:t>
            </w:r>
          </w:p>
        </w:tc>
      </w:tr>
      <w:tr>
        <w:trPr>
          <w:trHeight w:val="163" w:hRule="exact"/>
        </w:trPr>
        <w:tc>
          <w:tcPr>
            <w:tcW w:w="3537" w:type="dxa"/>
            <w:vMerge w:val="restart"/>
            <w:tcBorders>
              <w:top w:val="single" w:sz="4" w:space="0" w:color="000000"/>
              <w:left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云马智慧</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0" w:space="0" w:color="D2D2D2"/>
              <w:right w:val="single" w:sz="4" w:space="0" w:color="000000"/>
            </w:tcBorders>
          </w:tcPr>
          <w:p>
            <w:pPr>
              <w:pStyle w:val="TableParagraph"/>
              <w:spacing w:line="304" w:lineRule="auto" w:before="53"/>
              <w:ind w:left="28" w:right="17"/>
              <w:jc w:val="left"/>
              <w:rPr>
                <w:rFonts w:ascii="宋体" w:hAnsi="宋体" w:cs="宋体" w:eastAsia="宋体" w:hint="default"/>
                <w:sz w:val="18"/>
                <w:szCs w:val="18"/>
              </w:rPr>
            </w:pPr>
            <w:r>
              <w:rPr>
                <w:rFonts w:ascii="宋体" w:hAnsi="宋体" w:cs="宋体" w:eastAsia="宋体" w:hint="default"/>
                <w:spacing w:val="-8"/>
                <w:w w:val="101"/>
                <w:sz w:val="18"/>
                <w:szCs w:val="18"/>
              </w:rPr>
              <w:t>浙江云马智慧科技有限公司（曾用名</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杭州捷卡智慧科技有限公司</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w:t>
            </w:r>
            <w:r>
              <w:rPr>
                <w:rFonts w:ascii="宋体" w:hAnsi="宋体" w:cs="宋体" w:eastAsia="宋体" w:hint="default"/>
                <w:spacing w:val="-91"/>
                <w:w w:val="101"/>
                <w:sz w:val="18"/>
                <w:szCs w:val="18"/>
              </w:rPr>
              <w:t> </w:t>
            </w:r>
            <w:r>
              <w:rPr>
                <w:rFonts w:ascii="宋体" w:hAnsi="宋体" w:cs="宋体" w:eastAsia="宋体" w:hint="default"/>
                <w:sz w:val="18"/>
                <w:szCs w:val="18"/>
              </w:rPr>
              <w:t>本公司控股子公司</w:t>
            </w:r>
          </w:p>
        </w:tc>
      </w:tr>
      <w:tr>
        <w:trPr>
          <w:trHeight w:val="394" w:hRule="exact"/>
        </w:trPr>
        <w:tc>
          <w:tcPr>
            <w:tcW w:w="3537" w:type="dxa"/>
            <w:vMerge/>
            <w:tcBorders>
              <w:left w:val="single" w:sz="4" w:space="0" w:color="000000"/>
              <w:right w:val="single" w:sz="10"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0" w:space="0" w:color="D2D2D2"/>
              <w:right w:val="single" w:sz="4" w:space="0" w:color="000000"/>
            </w:tcBorders>
          </w:tcPr>
          <w:p>
            <w:pPr/>
          </w:p>
        </w:tc>
      </w:tr>
      <w:tr>
        <w:trPr>
          <w:trHeight w:val="158" w:hRule="exact"/>
        </w:trPr>
        <w:tc>
          <w:tcPr>
            <w:tcW w:w="3537" w:type="dxa"/>
            <w:vMerge/>
            <w:tcBorders>
              <w:left w:val="single" w:sz="4" w:space="0" w:color="000000"/>
              <w:bottom w:val="single" w:sz="4" w:space="0" w:color="000000"/>
              <w:right w:val="single" w:sz="10"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0" w:space="0" w:color="D2D2D2"/>
              <w:bottom w:val="single" w:sz="4" w:space="0" w:color="000000"/>
              <w:right w:val="single" w:sz="4" w:space="0" w:color="000000"/>
            </w:tcBorders>
          </w:tcPr>
          <w:p>
            <w:pP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福建正元</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福建正元智慧信息科技有限公司，本公司控股子公司</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四川正元</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四川正元智慧科技有限公司，本公司控股子公司</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正元曦客</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浙江正元曦客科技有限公司，本公司控股子公司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校云智慧</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浙江校云智慧科技有限公司，本公司控股子公司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小兰智慧</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浙江小兰智慧科技有限公司，本公司控股子公司</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坚果智慧</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浙江坚果智慧科技有限公司，本公司控股子公司</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双旗智慧</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浙江双旗智慧科技有限公司，本公司控股子公司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无锡汇众</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无锡汇众智慧科技有限公司，本公司参股公司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重庆汇贤优策科技股份有限公司，本公司参股公司</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卓然实业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杭州卓然实业有限公司，本公司参股公司</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常电股份</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常州常工电子科技股份有限公司，本公司参股公司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正元医疗</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杭州正元医疗器械有限公司，陈坚控股公司</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24pt;margin-top:72.019981pt;width:479.5pt;height:689.7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4"/>
                    <w:gridCol w:w="5426"/>
                  </w:tblGrid>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校园一卡通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93"/>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一卡通系统在校园内的应用形态，实现学生、教师及职工的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一卡在</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手，走遍校园，一卡通用，一卡多用</w:t>
                        </w:r>
                        <w:r>
                          <w:rPr>
                            <w:rFonts w:ascii="Times New Roman" w:hAnsi="Times New Roman" w:cs="Times New Roman" w:eastAsia="Times New Roman" w:hint="default"/>
                            <w:sz w:val="18"/>
                            <w:szCs w:val="18"/>
                          </w:rPr>
                          <w:t>"</w:t>
                        </w:r>
                      </w:p>
                    </w:tc>
                  </w:tr>
                  <w:tr>
                    <w:trPr>
                      <w:trHeight w:val="258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数字化校园</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
                          <w:jc w:val="both"/>
                          <w:rPr>
                            <w:rFonts w:ascii="宋体" w:hAnsi="宋体" w:cs="宋体" w:eastAsia="宋体" w:hint="default"/>
                            <w:sz w:val="18"/>
                            <w:szCs w:val="18"/>
                          </w:rPr>
                        </w:pPr>
                        <w:r>
                          <w:rPr>
                            <w:rFonts w:ascii="宋体" w:hAnsi="宋体" w:cs="宋体" w:eastAsia="宋体" w:hint="default"/>
                            <w:spacing w:val="-4"/>
                            <w:sz w:val="18"/>
                            <w:szCs w:val="18"/>
                          </w:rPr>
                          <w:t>是校园信息化建设的高级阶段，以数字化信息和网络为基础，在计算</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机和网络技术上建立起来的对教学、科研、管理、技术服务、生活服</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务等校园信息的收集、处理、整合、存储、传输和应用，使数字资源</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得到充分优化。利用一种虚拟教育环境，通过实现从环境、资源到应</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用的全部数字化，在传统校园基础上构建一个数字空间，以拓展现实</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校园的时间和空间维度，提升传统校园的运行效率，扩展传统校园的</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业务功能，最终实现教育过程的全面信息化，从而达到提高管理水平</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和效率的目的</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3" w:right="18"/>
                          <w:jc w:val="both"/>
                          <w:rPr>
                            <w:rFonts w:ascii="宋体" w:hAnsi="宋体" w:cs="宋体" w:eastAsia="宋体" w:hint="default"/>
                            <w:sz w:val="18"/>
                            <w:szCs w:val="18"/>
                          </w:rPr>
                        </w:pPr>
                        <w:r>
                          <w:rPr>
                            <w:rFonts w:ascii="Times New Roman" w:hAnsi="Times New Roman" w:cs="Times New Roman" w:eastAsia="Times New Roman" w:hint="default"/>
                            <w:spacing w:val="-1"/>
                            <w:w w:val="101"/>
                            <w:sz w:val="18"/>
                            <w:szCs w:val="18"/>
                          </w:rPr>
                          <w:t>The</w:t>
                        </w:r>
                        <w:r>
                          <w:rPr>
                            <w:rFonts w:ascii="Times New Roman" w:hAnsi="Times New Roman" w:cs="Times New Roman" w:eastAsia="Times New Roman" w:hint="default"/>
                            <w:spacing w:val="11"/>
                            <w:w w:val="101"/>
                            <w:sz w:val="18"/>
                            <w:szCs w:val="18"/>
                          </w:rPr>
                          <w:t> </w:t>
                        </w:r>
                        <w:r>
                          <w:rPr>
                            <w:rFonts w:ascii="Times New Roman" w:hAnsi="Times New Roman" w:cs="Times New Roman" w:eastAsia="Times New Roman" w:hint="default"/>
                            <w:spacing w:val="-3"/>
                            <w:w w:val="101"/>
                            <w:sz w:val="18"/>
                            <w:szCs w:val="18"/>
                          </w:rPr>
                          <w:t>Internet</w:t>
                        </w:r>
                        <w:r>
                          <w:rPr>
                            <w:rFonts w:ascii="Times New Roman" w:hAnsi="Times New Roman" w:cs="Times New Roman" w:eastAsia="Times New Roman" w:hint="default"/>
                            <w:spacing w:val="12"/>
                            <w:w w:val="101"/>
                            <w:sz w:val="18"/>
                            <w:szCs w:val="18"/>
                          </w:rPr>
                          <w:t> </w:t>
                        </w:r>
                        <w:r>
                          <w:rPr>
                            <w:rFonts w:ascii="Times New Roman" w:hAnsi="Times New Roman" w:cs="Times New Roman" w:eastAsia="Times New Roman" w:hint="default"/>
                            <w:spacing w:val="-3"/>
                            <w:w w:val="101"/>
                            <w:sz w:val="18"/>
                            <w:szCs w:val="18"/>
                          </w:rPr>
                          <w:t>of</w:t>
                        </w:r>
                        <w:r>
                          <w:rPr>
                            <w:rFonts w:ascii="Times New Roman" w:hAnsi="Times New Roman" w:cs="Times New Roman" w:eastAsia="Times New Roman" w:hint="default"/>
                            <w:spacing w:val="1"/>
                            <w:w w:val="101"/>
                            <w:sz w:val="18"/>
                            <w:szCs w:val="18"/>
                          </w:rPr>
                          <w:t> </w:t>
                        </w:r>
                        <w:r>
                          <w:rPr>
                            <w:rFonts w:ascii="Times New Roman" w:hAnsi="Times New Roman" w:cs="Times New Roman" w:eastAsia="Times New Roman" w:hint="default"/>
                            <w:spacing w:val="-12"/>
                            <w:w w:val="101"/>
                            <w:sz w:val="18"/>
                            <w:szCs w:val="18"/>
                          </w:rPr>
                          <w:t>Things</w:t>
                        </w:r>
                        <w:r>
                          <w:rPr>
                            <w:rFonts w:ascii="宋体" w:hAnsi="宋体" w:cs="宋体" w:eastAsia="宋体" w:hint="default"/>
                            <w:spacing w:val="-12"/>
                            <w:w w:val="101"/>
                            <w:sz w:val="18"/>
                            <w:szCs w:val="18"/>
                          </w:rPr>
                          <w:t>，即物物相连的互联网，通过射频识别（</w:t>
                        </w:r>
                        <w:r>
                          <w:rPr>
                            <w:rFonts w:ascii="Times New Roman" w:hAnsi="Times New Roman" w:cs="Times New Roman" w:eastAsia="Times New Roman" w:hint="default"/>
                            <w:spacing w:val="-12"/>
                            <w:w w:val="101"/>
                            <w:sz w:val="18"/>
                            <w:szCs w:val="18"/>
                          </w:rPr>
                          <w:t>RFID</w:t>
                        </w:r>
                        <w:r>
                          <w:rPr>
                            <w:rFonts w:ascii="宋体" w:hAnsi="宋体" w:cs="宋体" w:eastAsia="宋体" w:hint="default"/>
                            <w:spacing w:val="-12"/>
                            <w:w w:val="101"/>
                            <w:sz w:val="18"/>
                            <w:szCs w:val="18"/>
                          </w:rPr>
                          <w:t>）、</w:t>
                        </w:r>
                        <w:r>
                          <w:rPr>
                            <w:rFonts w:ascii="宋体" w:hAnsi="宋体" w:cs="宋体" w:eastAsia="宋体" w:hint="default"/>
                            <w:spacing w:val="-91"/>
                            <w:w w:val="101"/>
                            <w:sz w:val="18"/>
                            <w:szCs w:val="18"/>
                          </w:rPr>
                          <w:t> </w:t>
                        </w:r>
                        <w:r>
                          <w:rPr>
                            <w:rFonts w:ascii="宋体" w:hAnsi="宋体" w:cs="宋体" w:eastAsia="宋体" w:hint="default"/>
                            <w:spacing w:val="-4"/>
                            <w:sz w:val="18"/>
                            <w:szCs w:val="18"/>
                          </w:rPr>
                          <w:t>红外感应器、全球定位系统、激光扫描器等信息传感设备，按约定的</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协议，把任何物体与互联网相连接，进行信息交换和通信，以实现对</w:t>
                        </w:r>
                        <w:r>
                          <w:rPr>
                            <w:rFonts w:ascii="宋体" w:hAnsi="宋体" w:cs="宋体" w:eastAsia="宋体" w:hint="default"/>
                            <w:spacing w:val="-3"/>
                            <w:sz w:val="18"/>
                            <w:szCs w:val="18"/>
                          </w:rPr>
                          <w:t> </w:t>
                        </w:r>
                        <w:r>
                          <w:rPr>
                            <w:rFonts w:ascii="宋体" w:hAnsi="宋体" w:cs="宋体" w:eastAsia="宋体" w:hint="default"/>
                            <w:spacing w:val="-3"/>
                            <w:sz w:val="18"/>
                            <w:szCs w:val="18"/>
                          </w:rPr>
                          <w:t>物体的智能化识别、定位、跟踪、监控和管理的一种网络</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Big </w:t>
                        </w:r>
                        <w:r>
                          <w:rPr>
                            <w:rFonts w:ascii="Times New Roman" w:hAnsi="Times New Roman" w:cs="Times New Roman" w:eastAsia="Times New Roman" w:hint="default"/>
                            <w:spacing w:val="-3"/>
                            <w:sz w:val="18"/>
                            <w:szCs w:val="18"/>
                          </w:rPr>
                          <w:t>Data</w:t>
                        </w:r>
                        <w:r>
                          <w:rPr>
                            <w:rFonts w:ascii="宋体" w:hAnsi="宋体" w:cs="宋体" w:eastAsia="宋体" w:hint="default"/>
                            <w:spacing w:val="-3"/>
                            <w:sz w:val="18"/>
                            <w:szCs w:val="18"/>
                          </w:rPr>
                          <w:t>，或称巨量资料，指的是所涉及的资料量规模巨大到无法通</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4"/>
                            <w:sz w:val="18"/>
                            <w:szCs w:val="18"/>
                          </w:rPr>
                          <w:t>过目前主流软件工具，在合理时间内达到撷取、管理、处理整理成为</w:t>
                        </w:r>
                        <w:r>
                          <w:rPr>
                            <w:rFonts w:ascii="宋体" w:hAnsi="宋体" w:cs="宋体" w:eastAsia="宋体" w:hint="default"/>
                            <w:spacing w:val="-3"/>
                            <w:sz w:val="18"/>
                            <w:szCs w:val="18"/>
                          </w:rPr>
                          <w:t> </w:t>
                        </w:r>
                        <w:r>
                          <w:rPr>
                            <w:rFonts w:ascii="宋体" w:hAnsi="宋体" w:cs="宋体" w:eastAsia="宋体" w:hint="default"/>
                            <w:spacing w:val="-3"/>
                            <w:sz w:val="18"/>
                            <w:szCs w:val="18"/>
                          </w:rPr>
                          <w:t>帮助企业经营决策更积极目的的资讯</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pacing w:val="-2"/>
                            <w:w w:val="101"/>
                            <w:sz w:val="18"/>
                            <w:szCs w:val="18"/>
                          </w:rPr>
                          <w:t>Cloud</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8"/>
                            <w:w w:val="101"/>
                            <w:sz w:val="18"/>
                            <w:szCs w:val="18"/>
                          </w:rPr>
                          <w:t>Computing</w:t>
                        </w:r>
                        <w:r>
                          <w:rPr>
                            <w:rFonts w:ascii="宋体" w:hAnsi="宋体" w:cs="宋体" w:eastAsia="宋体" w:hint="default"/>
                            <w:spacing w:val="-8"/>
                            <w:w w:val="101"/>
                            <w:sz w:val="18"/>
                            <w:szCs w:val="18"/>
                          </w:rPr>
                          <w:t>，是基于互联网的相关服务的增加、使用和交付模式</w:t>
                        </w:r>
                        <w:r>
                          <w:rPr>
                            <w:rFonts w:ascii="宋体" w:hAnsi="宋体" w:cs="宋体" w:eastAsia="宋体" w:hint="default"/>
                            <w:spacing w:val="-60"/>
                            <w:w w:val="101"/>
                            <w:sz w:val="18"/>
                            <w:szCs w:val="18"/>
                          </w:rPr>
                          <w:t> </w:t>
                        </w:r>
                        <w:r>
                          <w:rPr>
                            <w:rFonts w:ascii="宋体" w:hAnsi="宋体" w:cs="宋体" w:eastAsia="宋体" w:hint="default"/>
                            <w:spacing w:val="-60"/>
                            <w:w w:val="101"/>
                            <w:sz w:val="18"/>
                            <w:szCs w:val="18"/>
                          </w:rPr>
                        </w:r>
                        <w:r>
                          <w:rPr>
                            <w:rFonts w:ascii="宋体" w:hAnsi="宋体" w:cs="宋体" w:eastAsia="宋体" w:hint="default"/>
                            <w:spacing w:val="-4"/>
                            <w:sz w:val="18"/>
                            <w:szCs w:val="18"/>
                          </w:rPr>
                          <w:t>通常涉及通过互联网来提供动态易扩展且经常是虚拟化的资源，是分</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布式计算、并行计算、效用计算、网络存储、虚拟化、负载均衡、热</w:t>
                        </w:r>
                        <w:r>
                          <w:rPr>
                            <w:rFonts w:ascii="宋体" w:hAnsi="宋体" w:cs="宋体" w:eastAsia="宋体" w:hint="default"/>
                            <w:spacing w:val="-3"/>
                            <w:sz w:val="18"/>
                            <w:szCs w:val="18"/>
                          </w:rPr>
                          <w:t> </w:t>
                        </w:r>
                        <w:r>
                          <w:rPr>
                            <w:rFonts w:ascii="宋体" w:hAnsi="宋体" w:cs="宋体" w:eastAsia="宋体" w:hint="default"/>
                            <w:spacing w:val="-3"/>
                            <w:sz w:val="18"/>
                            <w:szCs w:val="18"/>
                          </w:rPr>
                          <w:t>备份冗余等传统计算机和网络技术发展融合的产物</w:t>
                        </w:r>
                      </w:p>
                    </w:tc>
                  </w:tr>
                  <w:tr>
                    <w:trPr>
                      <w:trHeight w:val="10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人工智能</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Artificial </w:t>
                        </w:r>
                        <w:r>
                          <w:rPr>
                            <w:rFonts w:ascii="Times New Roman" w:hAnsi="Times New Roman" w:cs="Times New Roman" w:eastAsia="Times New Roman" w:hint="default"/>
                            <w:spacing w:val="-3"/>
                            <w:sz w:val="18"/>
                            <w:szCs w:val="18"/>
                          </w:rPr>
                          <w:t>Intelligence</w:t>
                        </w:r>
                        <w:r>
                          <w:rPr>
                            <w:rFonts w:ascii="宋体" w:hAnsi="宋体" w:cs="宋体" w:eastAsia="宋体" w:hint="default"/>
                            <w:spacing w:val="-3"/>
                            <w:sz w:val="18"/>
                            <w:szCs w:val="18"/>
                          </w:rPr>
                          <w:t>，英文缩写为 </w:t>
                        </w:r>
                        <w:r>
                          <w:rPr>
                            <w:rFonts w:ascii="Times New Roman" w:hAnsi="Times New Roman" w:cs="Times New Roman" w:eastAsia="Times New Roman" w:hint="default"/>
                            <w:spacing w:val="-4"/>
                            <w:sz w:val="18"/>
                            <w:szCs w:val="18"/>
                          </w:rPr>
                          <w:t>AI</w:t>
                        </w:r>
                        <w:r>
                          <w:rPr>
                            <w:rFonts w:ascii="宋体" w:hAnsi="宋体" w:cs="宋体" w:eastAsia="宋体" w:hint="default"/>
                            <w:spacing w:val="-4"/>
                            <w:sz w:val="18"/>
                            <w:szCs w:val="18"/>
                          </w:rPr>
                          <w:t>。它是研究、开发用于模拟、延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伸和扩展人的智能的理论、方法、技术及应用系统的一门新的技术科</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学。</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智慧校园</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数字化校园结合物联网技术所形成的高端校园信息化形态</w:t>
                        </w:r>
                      </w:p>
                    </w:tc>
                  </w:tr>
                  <w:tr>
                    <w:trPr>
                      <w:trHeight w:val="19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4"/>
                          <w:jc w:val="both"/>
                          <w:rPr>
                            <w:rFonts w:ascii="宋体" w:hAnsi="宋体" w:cs="宋体" w:eastAsia="宋体" w:hint="default"/>
                            <w:sz w:val="18"/>
                            <w:szCs w:val="18"/>
                          </w:rPr>
                        </w:pPr>
                        <w:r>
                          <w:rPr>
                            <w:rFonts w:ascii="宋体" w:hAnsi="宋体" w:cs="宋体" w:eastAsia="宋体" w:hint="default"/>
                            <w:sz w:val="18"/>
                            <w:szCs w:val="18"/>
                          </w:rPr>
                          <w:t>指充分借助物联网、传感网，运用</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RFID</w:t>
                        </w:r>
                        <w:r>
                          <w:rPr>
                            <w:rFonts w:ascii="宋体" w:hAnsi="宋体" w:cs="宋体" w:eastAsia="宋体" w:hint="default"/>
                            <w:spacing w:val="-3"/>
                            <w:sz w:val="18"/>
                            <w:szCs w:val="18"/>
                          </w:rPr>
                          <w:t>、信息技术等，使城市的关</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键基础设施通过组成服务，使城市的服务更有效，为市民提供人与社</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会、人与人的和谐共处，涉及到智能楼宇、智能家居、路网监控、智</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能医院等数字生活等诸多领域，构建城市发展的智慧环境，形成基于</w:t>
                        </w:r>
                        <w:r>
                          <w:rPr>
                            <w:rFonts w:ascii="宋体" w:hAnsi="宋体" w:cs="宋体" w:eastAsia="宋体" w:hint="default"/>
                            <w:spacing w:val="-3"/>
                            <w:sz w:val="18"/>
                            <w:szCs w:val="18"/>
                          </w:rPr>
                          <w:t> </w:t>
                        </w:r>
                        <w:r>
                          <w:rPr>
                            <w:rFonts w:ascii="宋体" w:hAnsi="宋体" w:cs="宋体" w:eastAsia="宋体" w:hint="default"/>
                            <w:spacing w:val="-3"/>
                            <w:sz w:val="18"/>
                            <w:szCs w:val="18"/>
                          </w:rPr>
                          <w:t>海量信息和智能过滤处理的新的生活、产业发展、社会管理等模式，</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面向未来构建全新的城市形态</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智能卡</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带有微处理器芯片的</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卡，也称</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r>
                  <w:tr>
                    <w:trPr>
                      <w:trHeight w:val="258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建筑智能化</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8"/>
                          <w:jc w:val="both"/>
                          <w:rPr>
                            <w:rFonts w:ascii="宋体" w:hAnsi="宋体" w:cs="宋体" w:eastAsia="宋体" w:hint="default"/>
                            <w:sz w:val="18"/>
                            <w:szCs w:val="18"/>
                          </w:rPr>
                        </w:pPr>
                        <w:r>
                          <w:rPr>
                            <w:rFonts w:ascii="宋体" w:hAnsi="宋体" w:cs="宋体" w:eastAsia="宋体" w:hint="default"/>
                            <w:spacing w:val="-4"/>
                            <w:sz w:val="18"/>
                            <w:szCs w:val="18"/>
                          </w:rPr>
                          <w:t>是现代建筑技术与通讯技术相结合的产物，它的技术基础是现代化建</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7"/>
                            <w:w w:val="101"/>
                            <w:sz w:val="18"/>
                            <w:szCs w:val="18"/>
                          </w:rPr>
                          <w:t>筑技术（</w:t>
                        </w:r>
                        <w:r>
                          <w:rPr>
                            <w:rFonts w:ascii="Times New Roman" w:hAnsi="Times New Roman" w:cs="Times New Roman" w:eastAsia="Times New Roman" w:hint="default"/>
                            <w:spacing w:val="-7"/>
                            <w:w w:val="101"/>
                            <w:sz w:val="18"/>
                            <w:szCs w:val="18"/>
                          </w:rPr>
                          <w:t>Architecture</w:t>
                        </w:r>
                        <w:r>
                          <w:rPr>
                            <w:rFonts w:ascii="宋体" w:hAnsi="宋体" w:cs="宋体" w:eastAsia="宋体" w:hint="default"/>
                            <w:spacing w:val="-7"/>
                            <w:w w:val="101"/>
                            <w:sz w:val="18"/>
                            <w:szCs w:val="18"/>
                          </w:rPr>
                          <w:t>）、现代控制技术（</w:t>
                        </w:r>
                        <w:r>
                          <w:rPr>
                            <w:rFonts w:ascii="Times New Roman" w:hAnsi="Times New Roman" w:cs="Times New Roman" w:eastAsia="Times New Roman" w:hint="default"/>
                            <w:spacing w:val="-7"/>
                            <w:w w:val="101"/>
                            <w:sz w:val="18"/>
                            <w:szCs w:val="18"/>
                          </w:rPr>
                          <w:t>Control</w:t>
                        </w:r>
                        <w:r>
                          <w:rPr>
                            <w:rFonts w:ascii="宋体" w:hAnsi="宋体" w:cs="宋体" w:eastAsia="宋体" w:hint="default"/>
                            <w:spacing w:val="-7"/>
                            <w:w w:val="101"/>
                            <w:sz w:val="18"/>
                            <w:szCs w:val="18"/>
                          </w:rPr>
                          <w:t>）、计算机技术</w:t>
                        </w:r>
                        <w:r>
                          <w:rPr>
                            <w:rFonts w:ascii="宋体" w:hAnsi="宋体" w:cs="宋体" w:eastAsia="宋体" w:hint="default"/>
                            <w:spacing w:val="-7"/>
                            <w:sz w:val="18"/>
                            <w:szCs w:val="18"/>
                          </w:rPr>
                        </w:r>
                      </w:p>
                      <w:p>
                        <w:pPr>
                          <w:pStyle w:val="TableParagraph"/>
                          <w:spacing w:line="312" w:lineRule="auto" w:before="1"/>
                          <w:ind w:left="23" w:right="18"/>
                          <w:jc w:val="both"/>
                          <w:rPr>
                            <w:rFonts w:ascii="宋体" w:hAnsi="宋体" w:cs="宋体" w:eastAsia="宋体" w:hint="default"/>
                            <w:sz w:val="18"/>
                            <w:szCs w:val="18"/>
                          </w:rPr>
                        </w:pPr>
                        <w:r>
                          <w:rPr>
                            <w:rFonts w:ascii="宋体" w:hAnsi="宋体" w:cs="宋体" w:eastAsia="宋体" w:hint="default"/>
                            <w:spacing w:val="-11"/>
                            <w:w w:val="101"/>
                            <w:sz w:val="18"/>
                            <w:szCs w:val="18"/>
                          </w:rPr>
                          <w:t>（</w:t>
                        </w:r>
                        <w:r>
                          <w:rPr>
                            <w:rFonts w:ascii="Times New Roman" w:hAnsi="Times New Roman" w:cs="Times New Roman" w:eastAsia="Times New Roman" w:hint="default"/>
                            <w:spacing w:val="-11"/>
                            <w:w w:val="101"/>
                            <w:sz w:val="18"/>
                            <w:szCs w:val="18"/>
                          </w:rPr>
                          <w:t>Computer</w:t>
                        </w:r>
                        <w:r>
                          <w:rPr>
                            <w:rFonts w:ascii="宋体" w:hAnsi="宋体" w:cs="宋体" w:eastAsia="宋体" w:hint="default"/>
                            <w:spacing w:val="-11"/>
                            <w:w w:val="101"/>
                            <w:sz w:val="18"/>
                            <w:szCs w:val="18"/>
                          </w:rPr>
                          <w:t>）、通讯技术（</w:t>
                        </w:r>
                        <w:r>
                          <w:rPr>
                            <w:rFonts w:ascii="Times New Roman" w:hAnsi="Times New Roman" w:cs="Times New Roman" w:eastAsia="Times New Roman" w:hint="default"/>
                            <w:spacing w:val="-11"/>
                            <w:w w:val="101"/>
                            <w:sz w:val="18"/>
                            <w:szCs w:val="18"/>
                          </w:rPr>
                          <w:t>Communication</w:t>
                        </w:r>
                        <w:r>
                          <w:rPr>
                            <w:rFonts w:ascii="宋体" w:hAnsi="宋体" w:cs="宋体" w:eastAsia="宋体" w:hint="default"/>
                            <w:spacing w:val="-11"/>
                            <w:w w:val="101"/>
                            <w:sz w:val="18"/>
                            <w:szCs w:val="18"/>
                          </w:rPr>
                          <w:t>）、图像显示技术（</w:t>
                        </w:r>
                        <w:r>
                          <w:rPr>
                            <w:rFonts w:ascii="Times New Roman" w:hAnsi="Times New Roman" w:cs="Times New Roman" w:eastAsia="Times New Roman" w:hint="default"/>
                            <w:spacing w:val="-11"/>
                            <w:w w:val="101"/>
                            <w:sz w:val="18"/>
                            <w:szCs w:val="18"/>
                          </w:rPr>
                          <w:t>CRT</w:t>
                        </w:r>
                        <w:r>
                          <w:rPr>
                            <w:rFonts w:ascii="宋体" w:hAnsi="宋体" w:cs="宋体" w:eastAsia="宋体" w:hint="default"/>
                            <w:spacing w:val="-11"/>
                            <w:w w:val="101"/>
                            <w:sz w:val="18"/>
                            <w:szCs w:val="18"/>
                          </w:rPr>
                          <w:t>），</w:t>
                        </w:r>
                        <w:r>
                          <w:rPr>
                            <w:rFonts w:ascii="宋体" w:hAnsi="宋体" w:cs="宋体" w:eastAsia="宋体" w:hint="default"/>
                            <w:spacing w:val="-91"/>
                            <w:w w:val="101"/>
                            <w:sz w:val="18"/>
                            <w:szCs w:val="18"/>
                          </w:rPr>
                          <w:t> </w:t>
                        </w:r>
                        <w:r>
                          <w:rPr>
                            <w:rFonts w:ascii="宋体" w:hAnsi="宋体" w:cs="宋体" w:eastAsia="宋体" w:hint="default"/>
                            <w:spacing w:val="-3"/>
                            <w:sz w:val="18"/>
                            <w:szCs w:val="18"/>
                          </w:rPr>
                          <w:t>即所谓的</w:t>
                        </w:r>
                        <w:r>
                          <w:rPr>
                            <w:rFonts w:ascii="Times New Roman" w:hAnsi="Times New Roman" w:cs="Times New Roman" w:eastAsia="Times New Roman" w:hint="default"/>
                            <w:spacing w:val="-3"/>
                            <w:sz w:val="18"/>
                            <w:szCs w:val="18"/>
                          </w:rPr>
                          <w:t>"A+4C"</w:t>
                        </w:r>
                        <w:r>
                          <w:rPr>
                            <w:rFonts w:ascii="宋体" w:hAnsi="宋体" w:cs="宋体" w:eastAsia="宋体" w:hint="default"/>
                            <w:spacing w:val="-3"/>
                            <w:sz w:val="18"/>
                            <w:szCs w:val="18"/>
                          </w:rPr>
                          <w:t>技术。</w:t>
                        </w:r>
                        <w:r>
                          <w:rPr>
                            <w:rFonts w:ascii="Times New Roman" w:hAnsi="Times New Roman" w:cs="Times New Roman" w:eastAsia="Times New Roman" w:hint="default"/>
                            <w:spacing w:val="-3"/>
                            <w:sz w:val="18"/>
                            <w:szCs w:val="18"/>
                          </w:rPr>
                          <w:t>"A+4C"</w:t>
                        </w:r>
                        <w:r>
                          <w:rPr>
                            <w:rFonts w:ascii="宋体" w:hAnsi="宋体" w:cs="宋体" w:eastAsia="宋体" w:hint="default"/>
                            <w:spacing w:val="-3"/>
                            <w:sz w:val="18"/>
                            <w:szCs w:val="18"/>
                          </w:rPr>
                          <w:t>的发展，推动着智能建筑不断向集成</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4"/>
                            <w:sz w:val="18"/>
                            <w:szCs w:val="18"/>
                          </w:rPr>
                          <w:t>化发展的进程，并在一些现代化建筑中形成一种崭新形式的建筑弱电</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6"/>
                            <w:w w:val="101"/>
                            <w:sz w:val="18"/>
                            <w:szCs w:val="18"/>
                          </w:rPr>
                          <w:t>系统（建筑智能化系统），从而实现信息资源的共享和任务的综合管</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4"/>
                            <w:sz w:val="18"/>
                            <w:szCs w:val="18"/>
                          </w:rPr>
                          <w:t>理，充分体现智能建筑投资合理、安全、高效、舒适、便利、灵活的</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特点</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浙江正元智慧科技股份有限公司章程</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46"/>
        <w:ind w:left="0" w:right="1127"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37"/>
        <w:gridCol w:w="612"/>
        <w:gridCol w:w="5426"/>
      </w:tblGrid>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浙江正元智慧科技股份有限公司股东大会</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浙江正元智慧科技股份有限公司董事会</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浙江正元智慧科技股份有限公司监事会</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天健会计师事务所（特殊普通合伙）</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报告期、本期</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上年同期、上期</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元</w:t>
            </w:r>
            <w:r>
              <w:rPr>
                <w:rFonts w:ascii="宋体" w:hAnsi="宋体" w:cs="宋体" w:eastAsia="宋体" w:hint="default"/>
                <w:sz w:val="18"/>
                <w:szCs w:val="18"/>
              </w:rPr>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1"/>
        <w:spacing w:line="240" w:lineRule="auto"/>
        <w:ind w:left="2722" w:right="0"/>
        <w:jc w:val="left"/>
        <w:rPr>
          <w:b w:val="0"/>
          <w:bCs w:val="0"/>
        </w:rPr>
      </w:pPr>
      <w:bookmarkStart w:name="第二节公司简介和主要财务指标" w:id="2"/>
      <w:bookmarkEnd w:id="2"/>
      <w:r>
        <w:rPr>
          <w:b w:val="0"/>
          <w:bCs w:val="0"/>
        </w:rPr>
      </w:r>
      <w:bookmarkStart w:name="_bookmark0" w:id="3"/>
      <w:bookmarkEnd w:id="3"/>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1.190002pt;margin-top:114.575615pt;width:362.8pt;height:20.65pt;mso-position-horizontal-relative:page;mso-position-vertical-relative:paragraph;z-index:-1183672" coordorigin="3424,2292" coordsize="7256,413">
            <v:group style="position:absolute;left:3436;top:2304;width:2;height:389" coordorigin="3436,2304" coordsize="2,389">
              <v:shape style="position:absolute;left:3436;top:2304;width:2;height:389" coordorigin="3436,2304" coordsize="0,389" path="m3436,2304l3436,2692e" filled="false" stroked="true" strokeweight="1.2pt" strokecolor="#ffffff">
                <v:path arrowok="t"/>
              </v:shape>
            </v:group>
            <v:group style="position:absolute;left:3448;top:2304;width:7232;height:389" coordorigin="3448,2304" coordsize="7232,389">
              <v:shape style="position:absolute;left:3448;top:2304;width:7232;height:389" coordorigin="3448,2304" coordsize="7232,389" path="m3448,2692l10679,2692,10679,2304,3448,2304,3448,2692xe" filled="true" fillcolor="#ffffff" stroked="false">
                <v:path arrowok="t"/>
                <v:fill type="solid"/>
              </v:shape>
            </v:group>
            <w10:wrap type="none"/>
          </v:group>
        </w:pict>
      </w:r>
      <w:bookmarkStart w:name="一、公司信息" w:id="4"/>
      <w:bookmarkEnd w:id="4"/>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正元智慧</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300645</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浙江正元智慧科技股份有限公司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正元智慧</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3"/>
                <w:sz w:val="18"/>
              </w:rPr>
              <w:t>ZHEJIANG </w:t>
            </w:r>
            <w:r>
              <w:rPr>
                <w:rFonts w:ascii="Times New Roman"/>
                <w:sz w:val="18"/>
              </w:rPr>
              <w:t>ZHENGYUAN ZHIHUI TECHNOLOGY</w:t>
            </w:r>
            <w:r>
              <w:rPr>
                <w:rFonts w:ascii="Times New Roman"/>
                <w:spacing w:val="17"/>
                <w:sz w:val="18"/>
              </w:rPr>
              <w:t> </w:t>
            </w:r>
            <w:r>
              <w:rPr>
                <w:rFonts w:ascii="Times New Roman"/>
                <w:spacing w:val="-4"/>
                <w:sz w:val="18"/>
              </w:rPr>
              <w:t>CO.,LTD.</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3"/>
                <w:sz w:val="18"/>
              </w:rPr>
              <w:t>ZHENGYUAN</w:t>
            </w:r>
            <w:r>
              <w:rPr>
                <w:rFonts w:ascii="Times New Roman"/>
                <w:spacing w:val="20"/>
                <w:sz w:val="18"/>
              </w:rPr>
              <w:t> </w:t>
            </w:r>
            <w:r>
              <w:rPr>
                <w:rFonts w:ascii="Times New Roman"/>
                <w:sz w:val="18"/>
              </w:rPr>
              <w:t>ZHIHUI</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陈坚</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浙江省杭州市余杭区舒心路</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号正元智慧大厦</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层</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3"/>
                <w:sz w:val="18"/>
              </w:rPr>
              <w:t>311121</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浙江省杭州市余杭区舒心路</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号正元智慧大厦</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层</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3"/>
                <w:sz w:val="18"/>
              </w:rPr>
              <w:t>311121</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公司国际互联网网址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pacing w:val="-3"/>
                  <w:sz w:val="18"/>
                </w:rPr>
                <w:t>http://www.hzsun.com/</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ir@hzsun.com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周军辉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姚春梅</w:t>
            </w:r>
          </w:p>
        </w:tc>
      </w:tr>
      <w:tr>
        <w:trPr>
          <w:trHeight w:val="163" w:hRule="exact"/>
        </w:trPr>
        <w:tc>
          <w:tcPr>
            <w:tcW w:w="3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10" w:space="0" w:color="D2D2D2"/>
              <w:right w:val="single" w:sz="4" w:space="0" w:color="000000"/>
            </w:tcBorders>
          </w:tcPr>
          <w:p>
            <w:pPr>
              <w:pStyle w:val="TableParagraph"/>
              <w:spacing w:line="304" w:lineRule="auto" w:before="53"/>
              <w:ind w:left="16" w:right="94"/>
              <w:jc w:val="left"/>
              <w:rPr>
                <w:rFonts w:ascii="宋体" w:hAnsi="宋体" w:cs="宋体" w:eastAsia="宋体" w:hint="default"/>
                <w:sz w:val="18"/>
                <w:szCs w:val="18"/>
              </w:rPr>
            </w:pPr>
            <w:r>
              <w:rPr>
                <w:rFonts w:ascii="宋体" w:hAnsi="宋体" w:cs="宋体" w:eastAsia="宋体" w:hint="default"/>
                <w:spacing w:val="-3"/>
                <w:sz w:val="18"/>
                <w:szCs w:val="18"/>
              </w:rPr>
              <w:t>浙江省杭州市余杭区舒心路</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359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号正元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智慧大厦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3" w:type="dxa"/>
            <w:vMerge w:val="restart"/>
            <w:tcBorders>
              <w:top w:val="single" w:sz="4" w:space="0" w:color="000000"/>
              <w:left w:val="single" w:sz="4" w:space="0" w:color="000000"/>
              <w:right w:val="single" w:sz="4" w:space="0" w:color="000000"/>
            </w:tcBorders>
          </w:tcPr>
          <w:p>
            <w:pPr>
              <w:pStyle w:val="TableParagraph"/>
              <w:spacing w:line="304" w:lineRule="auto" w:before="53"/>
              <w:ind w:left="23" w:right="93"/>
              <w:jc w:val="left"/>
              <w:rPr>
                <w:rFonts w:ascii="宋体" w:hAnsi="宋体" w:cs="宋体" w:eastAsia="宋体" w:hint="default"/>
                <w:sz w:val="18"/>
                <w:szCs w:val="18"/>
              </w:rPr>
            </w:pPr>
            <w:r>
              <w:rPr>
                <w:rFonts w:ascii="宋体" w:hAnsi="宋体" w:cs="宋体" w:eastAsia="宋体" w:hint="default"/>
                <w:spacing w:val="-3"/>
                <w:sz w:val="18"/>
                <w:szCs w:val="18"/>
              </w:rPr>
              <w:t>浙江省杭州市余杭区舒心路</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359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号正元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智慧大厦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4" w:hRule="exact"/>
        </w:trPr>
        <w:tc>
          <w:tcPr>
            <w:tcW w:w="3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158" w:hRule="exact"/>
        </w:trPr>
        <w:tc>
          <w:tcPr>
            <w:tcW w:w="3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0571-88994988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0571-88994988</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0571-88994793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0571-88994793</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hyperlink r:id="rId10">
              <w:r>
                <w:rPr>
                  <w:rFonts w:ascii="Times New Roman"/>
                  <w:sz w:val="18"/>
                </w:rPr>
                <w:t>ir@hzsun.com</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ir@hzsun.com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3"/>
        <w:gridCol w:w="5587"/>
      </w:tblGrid>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98"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
                <w:sz w:val="18"/>
                <w:szCs w:val="18"/>
              </w:rPr>
              <w:t> </w:t>
            </w:r>
            <w:hyperlink r:id="rId11">
              <w:r>
                <w:rPr>
                  <w:rFonts w:ascii="Times New Roman" w:hAnsi="Times New Roman" w:cs="Times New Roman" w:eastAsia="Times New Roman" w:hint="default"/>
                  <w:spacing w:val="-3"/>
                  <w:sz w:val="18"/>
                  <w:szCs w:val="18"/>
                </w:rPr>
                <w:t>http://www.cninfo.com.cn</w:t>
              </w:r>
            </w:hyperlink>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天健会计师事务所（特殊普通合伙）</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杭州市钱江路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1366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号华润大厦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座</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潘晶晶、罗衡</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公司聘请的报告期内履行持续督导职责的保荐机构</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pacing w:val="-3"/>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中信证券大厦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黄新炎、秦国安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公司聘请的报告期内履行持续督导职责的财务顾问</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公司是否需追溯调整或重述以前年度会计数据</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8"/>
        <w:gridCol w:w="1738"/>
        <w:gridCol w:w="1738"/>
      </w:tblGrid>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751,054,482.81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566,836,544.20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448,922,268.58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45,069,467.75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50,353,782.16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41,968,856.74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40,601,210.90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47,402,754.39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38,668,528.08</w:t>
            </w:r>
          </w:p>
        </w:tc>
      </w:tr>
      <w:tr>
        <w:trPr>
          <w:trHeight w:val="71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-51,520,330.33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6,538,660.41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-40,020,741.39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0.3310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0.3310</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8.93%</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1,279,463,890.39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1,013,344,976.61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818,488,938.16</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621,759,309.12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584,691,496.40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544,406,054.04</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2593"/>
        <w:gridCol w:w="1755"/>
        <w:gridCol w:w="1738"/>
        <w:gridCol w:w="1738"/>
        <w:gridCol w:w="1733"/>
      </w:tblGrid>
      <w:tr>
        <w:trPr>
          <w:trHeight w:val="403" w:hRule="exact"/>
        </w:trPr>
        <w:tc>
          <w:tcPr>
            <w:tcW w:w="2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4" w:hRule="exact"/>
        </w:trPr>
        <w:tc>
          <w:tcPr>
            <w:tcW w:w="2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92,424,066.56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143,559,742.57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131,052,217.17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384,018,456.51</w:t>
            </w:r>
          </w:p>
        </w:tc>
      </w:tr>
      <w:tr>
        <w:trPr>
          <w:trHeight w:val="403" w:hRule="exact"/>
        </w:trPr>
        <w:tc>
          <w:tcPr>
            <w:tcW w:w="2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-2,630,365.89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4,849,814.42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3,861,608.52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38,988,410.70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2"/>
        <w:gridCol w:w="1743"/>
        <w:gridCol w:w="1738"/>
        <w:gridCol w:w="1738"/>
        <w:gridCol w:w="1733"/>
      </w:tblGrid>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-983,861.26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3"/>
                <w:sz w:val="18"/>
              </w:rPr>
              <w:t>3,764,111.35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3,432,770.67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34,388,190.14</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-138,591,859.99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-77,690,668.93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-59,724,040.89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224,486,239.48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上述财务指标或其加总数是否与公司已披露季度报告、半年度报告相关财务指标存在重大差异</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同时按照国际会计准则与按照中国会计准则披露的财务报告中净利润和净资产差异情况" w:id="11"/>
      <w:bookmarkEnd w:id="1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43" w:lineRule="auto" w:before="0"/>
        <w:ind w:left="153" w:right="18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公司报告期不存在按照国际会计准则与按照中国会计准则披露的财务报告中净利润和净资产差异情况。</w:t>
      </w:r>
    </w:p>
    <w:p>
      <w:pPr>
        <w:spacing w:line="240" w:lineRule="auto" w:before="5"/>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2、同时按照境外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18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公司报告期不存在按照境外会计准则与按照中国会计准则披露的财务报告中净利润和净资产差异情况。</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9"/>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5"/>
        <w:gridCol w:w="1530"/>
        <w:gridCol w:w="1522"/>
        <w:gridCol w:w="1522"/>
        <w:gridCol w:w="1709"/>
      </w:tblGrid>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-144,918.80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226,119.71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1,085.49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r>
      <w:tr>
        <w:trPr>
          <w:trHeight w:val="1022"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8,241,343.80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3,498,183.80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2,156,009.70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50"/>
              <w:jc w:val="left"/>
              <w:rPr>
                <w:rFonts w:ascii="宋体" w:hAnsi="宋体" w:cs="宋体" w:eastAsia="宋体" w:hint="default"/>
                <w:sz w:val="18"/>
                <w:szCs w:val="18"/>
              </w:rPr>
            </w:pPr>
            <w:r>
              <w:rPr>
                <w:rFonts w:ascii="宋体" w:hAnsi="宋体" w:cs="宋体" w:eastAsia="宋体" w:hint="default"/>
                <w:spacing w:val="-3"/>
                <w:sz w:val="18"/>
                <w:szCs w:val="18"/>
              </w:rPr>
              <w:t>除增值税软件退税外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的政府补助</w:t>
            </w:r>
          </w:p>
        </w:tc>
      </w:tr>
      <w:tr>
        <w:trPr>
          <w:trHeight w:val="404"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530" w:type="dxa"/>
            <w:tcBorders>
              <w:top w:val="single" w:sz="4" w:space="0" w:color="000000"/>
              <w:left w:val="single" w:sz="14" w:space="0" w:color="D2D2D2"/>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2,418,635.07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1,737,868.90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性金融资产、衍生金融资产、交易性金融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1,313,685.54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银行理财收益</w:t>
            </w: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-3,720,439.11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-3,189,447.10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5,465.28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主要系对外捐赠</w:t>
            </w:r>
          </w:p>
        </w:tc>
      </w:tr>
      <w:tr>
        <w:trPr>
          <w:trHeight w:val="39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559,403.01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151,998.45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414,419.24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662,011.57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-149,534.74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185,681.47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4,468,256.85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2,951,027.77</w:t>
            </w:r>
          </w:p>
        </w:tc>
        <w:tc>
          <w:tcPr>
            <w:tcW w:w="152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3,300,328.66</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58"/>
        <w:ind w:left="153" w:right="1151"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04" w:lineRule="auto" w:before="101"/>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公司报告期不存在将根据《公开发行证券的公司信息披露解释性公告第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非经常性损益》定义、列举的非经常性损益</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项目界定为经常性损益的项目的情形。</w:t>
      </w:r>
    </w:p>
    <w:p>
      <w:pPr>
        <w:spacing w:after="0" w:line="30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529" w:right="0"/>
        <w:jc w:val="left"/>
        <w:rPr>
          <w:b w:val="0"/>
          <w:bCs w:val="0"/>
        </w:rPr>
      </w:pPr>
      <w:bookmarkStart w:name="第三节公司业务概要" w:id="14"/>
      <w:bookmarkEnd w:id="14"/>
      <w:r>
        <w:rPr>
          <w:b w:val="0"/>
          <w:bCs w:val="0"/>
        </w:rPr>
      </w:r>
      <w:bookmarkStart w:name="_bookmark1" w:id="15"/>
      <w:bookmarkEnd w:id="15"/>
      <w:r>
        <w:rPr>
          <w:b w:val="0"/>
          <w:bCs w:val="0"/>
        </w:rPr>
      </w:r>
      <w:r>
        <w:rPr/>
        <w:t>第三节公司业务概要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line="355" w:lineRule="auto" w:before="127"/>
        <w:ind w:left="633" w:right="0" w:firstLine="0"/>
        <w:jc w:val="left"/>
        <w:rPr>
          <w:rFonts w:ascii="宋体" w:hAnsi="宋体" w:cs="宋体" w:eastAsia="宋体" w:hint="default"/>
          <w:sz w:val="24"/>
          <w:szCs w:val="24"/>
        </w:rPr>
      </w:pPr>
      <w:r>
        <w:rPr>
          <w:rFonts w:ascii="宋体" w:hAnsi="宋体" w:cs="宋体" w:eastAsia="宋体" w:hint="default"/>
          <w:b/>
          <w:bCs/>
          <w:sz w:val="24"/>
          <w:szCs w:val="24"/>
        </w:rPr>
        <w:t>（一）公司主营业务</w:t>
      </w:r>
      <w:r>
        <w:rPr>
          <w:rFonts w:ascii="宋体" w:hAnsi="宋体" w:cs="宋体" w:eastAsia="宋体" w:hint="default"/>
          <w:b/>
          <w:bCs/>
          <w:w w:val="99"/>
          <w:sz w:val="24"/>
          <w:szCs w:val="24"/>
        </w:rPr>
        <w:t> </w:t>
      </w:r>
      <w:r>
        <w:rPr>
          <w:rFonts w:ascii="宋体" w:hAnsi="宋体" w:cs="宋体" w:eastAsia="宋体" w:hint="default"/>
          <w:sz w:val="24"/>
          <w:szCs w:val="24"/>
        </w:rPr>
        <w:t>公司致力于校园信息化建设，发展于校园一卡通，现充分运用物联网、人工智能、大数</w:t>
      </w:r>
    </w:p>
    <w:p>
      <w:pPr>
        <w:pStyle w:val="BodyText"/>
        <w:spacing w:line="336" w:lineRule="auto" w:before="41"/>
        <w:ind w:right="1120"/>
        <w:jc w:val="both"/>
      </w:pPr>
      <w:r>
        <w:rPr>
          <w:spacing w:val="2"/>
        </w:rPr>
        <w:t>据、云计算、区块链等技术，提供智慧校园解决方案，构建线上线下、校内校外、</w:t>
      </w:r>
      <w:r>
        <w:rPr>
          <w:rFonts w:ascii="Times New Roman" w:hAnsi="Times New Roman" w:cs="Times New Roman" w:eastAsia="Times New Roman" w:hint="default"/>
          <w:spacing w:val="2"/>
        </w:rPr>
        <w:t>ToB/</w:t>
      </w:r>
      <w:r>
        <w:rPr>
          <w:rFonts w:ascii="宋体" w:hAnsi="宋体" w:cs="宋体" w:eastAsia="宋体" w:hint="default"/>
          <w:spacing w:val="2"/>
        </w:rPr>
        <w:t>T</w:t>
      </w:r>
      <w:r>
        <w:rPr>
          <w:rFonts w:ascii="Times New Roman" w:hAnsi="Times New Roman" w:cs="Times New Roman" w:eastAsia="Times New Roman" w:hint="default"/>
          <w:spacing w:val="2"/>
        </w:rPr>
        <w:t>oC</w:t>
      </w:r>
      <w:r>
        <w:rPr>
          <w:rFonts w:ascii="Times New Roman" w:hAnsi="Times New Roman" w:cs="Times New Roman" w:eastAsia="Times New Roman" w:hint="default"/>
          <w:spacing w:val="-49"/>
        </w:rPr>
        <w:t> </w:t>
      </w:r>
      <w:r>
        <w:rPr/>
        <w:t>一体化的智慧校园服务新生态。同时，也为军警、企事业等单位提供智慧化服务。</w:t>
      </w:r>
    </w:p>
    <w:p>
      <w:pPr>
        <w:spacing w:line="336" w:lineRule="auto" w:before="61"/>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、智慧一卡通系统建设</w:t>
      </w:r>
      <w:r>
        <w:rPr>
          <w:rFonts w:ascii="宋体" w:hAnsi="宋体" w:cs="宋体" w:eastAsia="宋体" w:hint="default"/>
          <w:b/>
          <w:bCs/>
          <w:w w:val="99"/>
          <w:sz w:val="24"/>
          <w:szCs w:val="24"/>
        </w:rPr>
        <w:t> </w:t>
      </w:r>
      <w:r>
        <w:rPr>
          <w:rFonts w:ascii="宋体" w:hAnsi="宋体" w:cs="宋体" w:eastAsia="宋体" w:hint="default"/>
          <w:sz w:val="24"/>
          <w:szCs w:val="24"/>
        </w:rPr>
        <w:t>智慧一卡通系统是在原有数字化校园一卡通应用的基础上，运用物联网、云计算、移动</w:t>
      </w:r>
    </w:p>
    <w:p>
      <w:pPr>
        <w:pStyle w:val="BodyText"/>
        <w:spacing w:line="357" w:lineRule="auto" w:before="60"/>
        <w:ind w:right="1134"/>
        <w:jc w:val="both"/>
      </w:pPr>
      <w:r>
        <w:rPr/>
        <w:t>互联、人工智能等技术，实现了一卡通服务的对象、方式、时间、地域的延伸和拓展，聚合</w:t>
      </w:r>
      <w:r>
        <w:rPr>
          <w:spacing w:val="-93"/>
        </w:rPr>
        <w:t> </w:t>
      </w:r>
      <w:r>
        <w:rPr>
          <w:spacing w:val="-93"/>
        </w:rPr>
      </w:r>
      <w:r>
        <w:rPr/>
        <w:t>一卡通、微信、支付宝、银行、银联、运营商等多种支付通道，充分发挥了互联、协同、便</w:t>
      </w:r>
      <w:r>
        <w:rPr>
          <w:spacing w:val="-93"/>
        </w:rPr>
        <w:t> </w:t>
      </w:r>
      <w:r>
        <w:rPr>
          <w:spacing w:val="-93"/>
        </w:rPr>
      </w:r>
      <w:r>
        <w:rPr>
          <w:spacing w:val="-6"/>
        </w:rPr>
        <w:t>捷的特性，很好的满足了智慧校园面向服务的需求，使得应用更加人性化、智能化、多样化。</w:t>
      </w:r>
      <w:r>
        <w:rPr>
          <w:spacing w:val="-86"/>
        </w:rPr>
        <w:t> </w:t>
      </w:r>
      <w:r>
        <w:rPr>
          <w:spacing w:val="-86"/>
        </w:rPr>
      </w:r>
      <w:r>
        <w:rPr/>
        <w:t>智慧一卡通是智慧校园的基础工程和重要组成部分，通过统一的电子支付和身份识别服务，</w:t>
      </w:r>
      <w:r>
        <w:rPr>
          <w:spacing w:val="-93"/>
        </w:rPr>
        <w:t> </w:t>
      </w:r>
      <w:r>
        <w:rPr>
          <w:spacing w:val="-93"/>
        </w:rPr>
      </w:r>
      <w:r>
        <w:rPr/>
        <w:t>拓展充实一卡通在教学、科研、管理、学习、生活等智慧校园场景下的深入应用，极大地提</w:t>
      </w:r>
      <w:r>
        <w:rPr>
          <w:spacing w:val="-93"/>
        </w:rPr>
        <w:t> </w:t>
      </w:r>
      <w:r>
        <w:rPr>
          <w:spacing w:val="-93"/>
        </w:rPr>
      </w:r>
      <w:r>
        <w:rPr/>
        <w:t>升了校园一卡通的智能化程度，丰富了卡基应用和泛卡基应用，紧密关联了校内外的场景消</w:t>
      </w:r>
      <w:r>
        <w:rPr>
          <w:spacing w:val="-91"/>
        </w:rPr>
        <w:t> </w:t>
      </w:r>
      <w:r>
        <w:rPr>
          <w:spacing w:val="-91"/>
        </w:rPr>
      </w:r>
      <w:r>
        <w:rPr/>
        <w:t>费、身份认证、财务结算和自助服务等各种应用，使传统校园一卡通的线下服务，扩展为线</w:t>
      </w:r>
      <w:r>
        <w:rPr>
          <w:spacing w:val="-93"/>
        </w:rPr>
        <w:t> </w:t>
      </w:r>
      <w:r>
        <w:rPr>
          <w:spacing w:val="-93"/>
        </w:rPr>
      </w:r>
      <w:r>
        <w:rPr/>
        <w:t>上线下协同服务，封闭应用服务提升为开放应用服务，特定区域服务拓展为无疆域服务，给</w:t>
      </w:r>
      <w:r>
        <w:rPr>
          <w:spacing w:val="-93"/>
        </w:rPr>
        <w:t> </w:t>
      </w:r>
      <w:r>
        <w:rPr>
          <w:spacing w:val="-93"/>
        </w:rPr>
      </w:r>
      <w:r>
        <w:rPr/>
        <w:t>校园带来更便捷、更高效、更安全、更协同的现代化生活。</w:t>
      </w:r>
    </w:p>
    <w:p>
      <w:pPr>
        <w:pStyle w:val="BodyText"/>
        <w:spacing w:line="340" w:lineRule="auto" w:before="34"/>
        <w:ind w:left="633" w:right="0"/>
        <w:jc w:val="left"/>
      </w:pPr>
      <w:r>
        <w:rPr>
          <w:rFonts w:ascii="Times New Roman" w:hAnsi="Times New Roman" w:cs="Times New Roman" w:eastAsia="Times New Roman" w:hint="default"/>
          <w:b/>
          <w:bCs/>
        </w:rPr>
        <w:t>2</w:t>
      </w:r>
      <w:r>
        <w:rPr>
          <w:rFonts w:ascii="宋体" w:hAnsi="宋体" w:cs="宋体" w:eastAsia="宋体" w:hint="default"/>
          <w:b/>
          <w:bCs/>
        </w:rPr>
        <w:t>、智慧校园建设</w:t>
      </w:r>
      <w:r>
        <w:rPr>
          <w:rFonts w:ascii="宋体" w:hAnsi="宋体" w:cs="宋体" w:eastAsia="宋体" w:hint="default"/>
          <w:b/>
          <w:bCs/>
          <w:w w:val="99"/>
        </w:rPr>
        <w:t> </w:t>
      </w:r>
      <w:r>
        <w:rPr>
          <w:spacing w:val="-3"/>
        </w:rPr>
        <w:t>公司依托于多年来积累的校园信息化服务及管理系统的经验，以校园一卡通为业务基础，</w:t>
      </w:r>
    </w:p>
    <w:p>
      <w:pPr>
        <w:pStyle w:val="BodyText"/>
        <w:spacing w:line="357" w:lineRule="auto" w:before="50"/>
        <w:ind w:right="1127"/>
        <w:jc w:val="both"/>
      </w:pPr>
      <w:r>
        <w:rPr>
          <w:spacing w:val="-5"/>
        </w:rPr>
        <w:t>主动适应智慧校园建设的新需求、新形态，研发了智慧易通平台，综合运用</w:t>
      </w:r>
      <w:r>
        <w:rPr>
          <w:color w:val="181F24"/>
          <w:spacing w:val="-5"/>
        </w:rPr>
        <w:t>物联网、云计算、</w:t>
      </w:r>
      <w:r>
        <w:rPr>
          <w:color w:val="181F24"/>
          <w:spacing w:val="-116"/>
        </w:rPr>
        <w:t> </w:t>
      </w:r>
      <w:r>
        <w:rPr>
          <w:color w:val="181F24"/>
          <w:spacing w:val="-116"/>
        </w:rPr>
      </w:r>
      <w:r>
        <w:rPr>
          <w:color w:val="181F24"/>
        </w:rPr>
        <w:t>移动互联、大数据、智能感知、商业智能</w:t>
      </w:r>
      <w:r>
        <w:rPr/>
        <w:t>等技术，全面感知校园物理环境，智能识别师生群</w:t>
      </w:r>
      <w:r>
        <w:rPr>
          <w:spacing w:val="-88"/>
        </w:rPr>
        <w:t> </w:t>
      </w:r>
      <w:r>
        <w:rPr>
          <w:spacing w:val="-88"/>
        </w:rPr>
      </w:r>
      <w:r>
        <w:rPr/>
        <w:t>体的生活、学习、工作情景和个体的特征，将学校物理空间和数字空间有机衔接起来，为师</w:t>
      </w:r>
      <w:r>
        <w:rPr>
          <w:spacing w:val="-93"/>
        </w:rPr>
        <w:t> </w:t>
      </w:r>
      <w:r>
        <w:rPr>
          <w:spacing w:val="-93"/>
        </w:rPr>
      </w:r>
      <w:r>
        <w:rPr/>
        <w:t>生建立智能开放的教育教学环境和便利舒适的生活环境，改变师生与学校资源、环境的交互</w:t>
      </w:r>
      <w:r>
        <w:rPr>
          <w:spacing w:val="-93"/>
        </w:rPr>
        <w:t> </w:t>
      </w:r>
      <w:r>
        <w:rPr>
          <w:spacing w:val="-93"/>
        </w:rPr>
      </w:r>
      <w:r>
        <w:rPr/>
        <w:t>方式，实现以人为本的个性化创新服务。</w:t>
      </w:r>
    </w:p>
    <w:p>
      <w:pPr>
        <w:pStyle w:val="BodyText"/>
        <w:spacing w:line="355" w:lineRule="auto" w:before="39"/>
        <w:ind w:right="0" w:firstLine="480"/>
        <w:jc w:val="left"/>
      </w:pPr>
      <w:r>
        <w:rPr/>
        <w:t>公司除了向客户提供智慧校园的电子支付类、身份识别类、访问控制类、水电节能类、 </w:t>
      </w:r>
      <w:r>
        <w:rPr>
          <w:spacing w:val="-6"/>
        </w:rPr>
        <w:t>自助服务类、金融服务类、校园事务类、学生事务类等服务外，进一步提供了校园数据治理、</w:t>
      </w:r>
    </w:p>
    <w:p>
      <w:pPr>
        <w:spacing w:after="0" w:line="355" w:lineRule="auto"/>
        <w:jc w:val="left"/>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57" w:lineRule="auto" w:before="26"/>
        <w:ind w:left="353" w:right="1132"/>
        <w:jc w:val="both"/>
      </w:pPr>
      <w:r>
        <w:rPr/>
        <w:t>应用治理、物联校园等智慧综合服务，实现管理精细化、决策精准化、数据价值最大化。通</w:t>
      </w:r>
      <w:r>
        <w:rPr>
          <w:spacing w:val="-93"/>
        </w:rPr>
        <w:t> </w:t>
      </w:r>
      <w:r>
        <w:rPr>
          <w:spacing w:val="-93"/>
        </w:rPr>
      </w:r>
      <w:r>
        <w:rPr/>
        <w:t>过信息技术与教育教学实践的深度融合，优化教学、教研、管理和服务等过程，提高教育教</w:t>
      </w:r>
      <w:r>
        <w:rPr>
          <w:spacing w:val="-89"/>
        </w:rPr>
        <w:t> </w:t>
      </w:r>
      <w:r>
        <w:rPr>
          <w:spacing w:val="-89"/>
        </w:rPr>
      </w:r>
      <w:r>
        <w:rPr/>
        <w:t>学质量和管理水平，促进师生全面发展。</w:t>
      </w:r>
    </w:p>
    <w:p>
      <w:pPr>
        <w:spacing w:line="340" w:lineRule="auto" w:before="34"/>
        <w:ind w:left="833" w:right="101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、智慧园区和行业智慧化建设</w:t>
      </w:r>
      <w:r>
        <w:rPr>
          <w:rFonts w:ascii="宋体" w:hAnsi="宋体" w:cs="宋体" w:eastAsia="宋体" w:hint="default"/>
          <w:b/>
          <w:bCs/>
          <w:w w:val="99"/>
          <w:sz w:val="24"/>
          <w:szCs w:val="24"/>
        </w:rPr>
        <w:t> </w:t>
      </w:r>
      <w:r>
        <w:rPr>
          <w:rFonts w:ascii="宋体" w:hAnsi="宋体" w:cs="宋体" w:eastAsia="宋体" w:hint="default"/>
          <w:sz w:val="24"/>
          <w:szCs w:val="24"/>
        </w:rPr>
        <w:t>公司通过综合应用物联网、移动互联网、大数据、云服务及人工智能等技术，积极拓展</w:t>
      </w:r>
    </w:p>
    <w:p>
      <w:pPr>
        <w:pStyle w:val="BodyText"/>
        <w:spacing w:line="357" w:lineRule="auto" w:before="50"/>
        <w:ind w:left="353" w:right="1136"/>
        <w:jc w:val="both"/>
      </w:pPr>
      <w:r>
        <w:rPr/>
        <w:t>智慧化应用。构建楼宇、园区及特定行业的智能、智慧综合管控与应用产品，提供一体化智</w:t>
      </w:r>
      <w:r>
        <w:rPr>
          <w:spacing w:val="-93"/>
        </w:rPr>
        <w:t> </w:t>
      </w:r>
      <w:r>
        <w:rPr>
          <w:spacing w:val="-93"/>
        </w:rPr>
      </w:r>
      <w:r>
        <w:rPr/>
        <w:t>慧解决方案；构建并实施智慧易通多园区服务平台，既面向行业或地域的多园区多客户提供</w:t>
      </w:r>
      <w:r>
        <w:rPr>
          <w:spacing w:val="-93"/>
        </w:rPr>
        <w:t> </w:t>
      </w:r>
      <w:r>
        <w:rPr>
          <w:spacing w:val="-93"/>
        </w:rPr>
      </w:r>
      <w:r>
        <w:rPr/>
        <w:t>统一的平台接入服务，又同时满足各用户独立的身份识别、支付交易等应用需求，目前已在</w:t>
      </w:r>
      <w:r>
        <w:rPr>
          <w:spacing w:val="-93"/>
        </w:rPr>
        <w:t> </w:t>
      </w:r>
      <w:r>
        <w:rPr>
          <w:spacing w:val="-93"/>
        </w:rPr>
      </w:r>
      <w:r>
        <w:rPr/>
        <w:t>电力、水利、医疗、政务等领域推进。</w:t>
      </w:r>
    </w:p>
    <w:p>
      <w:pPr>
        <w:spacing w:line="340" w:lineRule="auto" w:before="34"/>
        <w:ind w:left="833" w:right="101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、互联网运营服务</w:t>
      </w:r>
      <w:r>
        <w:rPr>
          <w:rFonts w:ascii="宋体" w:hAnsi="宋体" w:cs="宋体" w:eastAsia="宋体" w:hint="default"/>
          <w:b/>
          <w:bCs/>
          <w:w w:val="99"/>
          <w:sz w:val="24"/>
          <w:szCs w:val="24"/>
        </w:rPr>
        <w:t> </w:t>
      </w:r>
      <w:r>
        <w:rPr>
          <w:rFonts w:ascii="宋体" w:hAnsi="宋体" w:cs="宋体" w:eastAsia="宋体" w:hint="default"/>
          <w:sz w:val="24"/>
          <w:szCs w:val="24"/>
        </w:rPr>
        <w:t>公司基于不断拓展的智慧一卡通系统业务，拥有稳定的用户群体和庞大基数的持卡人，</w:t>
      </w:r>
    </w:p>
    <w:p>
      <w:pPr>
        <w:pStyle w:val="BodyText"/>
        <w:spacing w:line="357" w:lineRule="auto" w:before="50"/>
        <w:ind w:left="353" w:right="1136"/>
        <w:jc w:val="both"/>
      </w:pPr>
      <w:r>
        <w:rPr/>
        <w:t>通过创新服务形式与内容，不断丰富线上应用；加大对云平台的投入，进一步丰富基础教育</w:t>
      </w:r>
      <w:r>
        <w:rPr>
          <w:spacing w:val="-93"/>
        </w:rPr>
        <w:t> </w:t>
      </w:r>
      <w:r>
        <w:rPr>
          <w:spacing w:val="-93"/>
        </w:rPr>
      </w:r>
      <w:r>
        <w:rPr/>
        <w:t>领域的智慧校园、食品安全智能监管等产品线，推进在线教育平台运营；将移动支付技术和</w:t>
      </w:r>
      <w:r>
        <w:rPr>
          <w:spacing w:val="-93"/>
        </w:rPr>
        <w:t> </w:t>
      </w:r>
      <w:r>
        <w:rPr>
          <w:spacing w:val="-93"/>
        </w:rPr>
      </w:r>
      <w:r>
        <w:rPr/>
        <w:t>移动互联网特征相结合，采用多种方式将线下应用向线上拓展，以易校园平台为支撑，将智</w:t>
      </w:r>
      <w:r>
        <w:rPr>
          <w:spacing w:val="-93"/>
        </w:rPr>
        <w:t> </w:t>
      </w:r>
      <w:r>
        <w:rPr>
          <w:spacing w:val="-93"/>
        </w:rPr>
      </w:r>
      <w:r>
        <w:rPr/>
        <w:t>慧后勤、智慧洗衣、智慧公寓、智能水电等纳入智慧校园服务生态体系，相互促进、相互融</w:t>
      </w:r>
      <w:r>
        <w:rPr>
          <w:spacing w:val="-93"/>
        </w:rPr>
        <w:t> </w:t>
      </w:r>
      <w:r>
        <w:rPr>
          <w:spacing w:val="-93"/>
        </w:rPr>
      </w:r>
      <w:r>
        <w:rPr/>
        <w:t>合，增强用户粘性。</w:t>
      </w:r>
    </w:p>
    <w:p>
      <w:pPr>
        <w:spacing w:line="355" w:lineRule="auto" w:before="38"/>
        <w:ind w:left="833" w:right="1016" w:firstLine="0"/>
        <w:jc w:val="left"/>
        <w:rPr>
          <w:rFonts w:ascii="宋体" w:hAnsi="宋体" w:cs="宋体" w:eastAsia="宋体" w:hint="default"/>
          <w:sz w:val="24"/>
          <w:szCs w:val="24"/>
        </w:rPr>
      </w:pPr>
      <w:r>
        <w:rPr>
          <w:rFonts w:ascii="宋体" w:hAnsi="宋体" w:cs="宋体" w:eastAsia="宋体" w:hint="default"/>
          <w:b/>
          <w:bCs/>
          <w:color w:val="181F24"/>
          <w:sz w:val="24"/>
          <w:szCs w:val="24"/>
        </w:rPr>
        <w:t>（二）公司所处行业的基本情况</w:t>
      </w:r>
      <w:r>
        <w:rPr>
          <w:rFonts w:ascii="宋体" w:hAnsi="宋体" w:cs="宋体" w:eastAsia="宋体" w:hint="default"/>
          <w:b/>
          <w:bCs/>
          <w:color w:val="181F24"/>
          <w:w w:val="99"/>
          <w:sz w:val="24"/>
          <w:szCs w:val="24"/>
        </w:rPr>
        <w:t> </w:t>
      </w:r>
      <w:r>
        <w:rPr>
          <w:rFonts w:ascii="宋体" w:hAnsi="宋体" w:cs="宋体" w:eastAsia="宋体" w:hint="default"/>
          <w:sz w:val="24"/>
          <w:szCs w:val="24"/>
        </w:rPr>
        <w:t>公司所处行业为软件与信息技术服务业，其行政主管部门是国家工业和信息化部，同时</w:t>
      </w:r>
    </w:p>
    <w:p>
      <w:pPr>
        <w:pStyle w:val="BodyText"/>
        <w:spacing w:line="357" w:lineRule="auto" w:before="41"/>
        <w:ind w:left="353" w:right="1136"/>
        <w:jc w:val="both"/>
      </w:pPr>
      <w:r>
        <w:rPr/>
        <w:t>还受科学技术部、教育部及住房和城乡建设部等部委颁布的相关政策影响。随着国家大力推</w:t>
      </w:r>
      <w:r>
        <w:rPr>
          <w:spacing w:val="-93"/>
        </w:rPr>
        <w:t> </w:t>
      </w:r>
      <w:r>
        <w:rPr>
          <w:spacing w:val="-93"/>
        </w:rPr>
      </w:r>
      <w:r>
        <w:rPr/>
        <w:t>进信息化建设，有关智慧城市建设、教育信息化建设、智能化建设、节能化建设等方面均得</w:t>
      </w:r>
      <w:r>
        <w:rPr>
          <w:spacing w:val="-93"/>
        </w:rPr>
        <w:t> </w:t>
      </w:r>
      <w:r>
        <w:rPr>
          <w:spacing w:val="-93"/>
        </w:rPr>
      </w:r>
      <w:r>
        <w:rPr/>
        <w:t>到国家及地方政策的大力支持，有利于公司业务发展。</w:t>
      </w:r>
    </w:p>
    <w:tbl>
      <w:tblPr>
        <w:tblW w:w="0" w:type="auto"/>
        <w:jc w:val="left"/>
        <w:tblInd w:w="118" w:type="dxa"/>
        <w:tblLayout w:type="fixed"/>
        <w:tblCellMar>
          <w:top w:w="0" w:type="dxa"/>
          <w:left w:w="0" w:type="dxa"/>
          <w:bottom w:w="0" w:type="dxa"/>
          <w:right w:w="0" w:type="dxa"/>
        </w:tblCellMar>
        <w:tblLook w:val="01E0"/>
      </w:tblPr>
      <w:tblGrid>
        <w:gridCol w:w="816"/>
        <w:gridCol w:w="1983"/>
        <w:gridCol w:w="1297"/>
        <w:gridCol w:w="1172"/>
        <w:gridCol w:w="4836"/>
      </w:tblGrid>
      <w:tr>
        <w:trPr>
          <w:trHeight w:val="461"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left"/>
              <w:rPr>
                <w:rFonts w:ascii="宋体" w:hAnsi="宋体" w:cs="宋体" w:eastAsia="宋体" w:hint="default"/>
                <w:sz w:val="21"/>
                <w:szCs w:val="21"/>
              </w:rPr>
            </w:pPr>
            <w:r>
              <w:rPr>
                <w:rFonts w:ascii="宋体" w:hAnsi="宋体" w:cs="宋体" w:eastAsia="宋体" w:hint="default"/>
                <w:b/>
                <w:bCs/>
                <w:sz w:val="21"/>
                <w:szCs w:val="21"/>
              </w:rPr>
              <w:t>政策名称</w:t>
            </w:r>
            <w:r>
              <w:rPr>
                <w:rFonts w:ascii="宋体" w:hAnsi="宋体" w:cs="宋体" w:eastAsia="宋体" w:hint="default"/>
                <w:sz w:val="21"/>
                <w:szCs w:val="21"/>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0" w:right="0"/>
              <w:jc w:val="left"/>
              <w:rPr>
                <w:rFonts w:ascii="宋体" w:hAnsi="宋体" w:cs="宋体" w:eastAsia="宋体" w:hint="default"/>
                <w:sz w:val="21"/>
                <w:szCs w:val="21"/>
              </w:rPr>
            </w:pPr>
            <w:r>
              <w:rPr>
                <w:rFonts w:ascii="宋体" w:hAnsi="宋体" w:cs="宋体" w:eastAsia="宋体" w:hint="default"/>
                <w:b/>
                <w:bCs/>
                <w:sz w:val="21"/>
                <w:szCs w:val="21"/>
              </w:rPr>
              <w:t>颁布部门</w:t>
            </w:r>
            <w:r>
              <w:rPr>
                <w:rFonts w:ascii="宋体" w:hAnsi="宋体" w:cs="宋体" w:eastAsia="宋体" w:hint="default"/>
                <w:sz w:val="21"/>
                <w:szCs w:val="21"/>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1"/>
                <w:szCs w:val="21"/>
              </w:rPr>
            </w:pPr>
            <w:r>
              <w:rPr>
                <w:rFonts w:ascii="宋体" w:hAnsi="宋体" w:cs="宋体" w:eastAsia="宋体" w:hint="default"/>
                <w:b/>
                <w:bCs/>
                <w:sz w:val="21"/>
                <w:szCs w:val="21"/>
              </w:rPr>
              <w:t>颁布时间</w:t>
            </w:r>
            <w:r>
              <w:rPr>
                <w:rFonts w:ascii="宋体" w:hAnsi="宋体" w:cs="宋体" w:eastAsia="宋体" w:hint="default"/>
                <w:sz w:val="21"/>
                <w:szCs w:val="21"/>
              </w:rPr>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21"/>
                <w:szCs w:val="21"/>
              </w:rPr>
            </w:pPr>
            <w:r>
              <w:rPr>
                <w:rFonts w:ascii="宋体" w:hAnsi="宋体" w:cs="宋体" w:eastAsia="宋体" w:hint="default"/>
                <w:b/>
                <w:bCs/>
                <w:sz w:val="21"/>
                <w:szCs w:val="21"/>
              </w:rPr>
              <w:t>与行业相关内容</w:t>
            </w:r>
            <w:r>
              <w:rPr>
                <w:rFonts w:ascii="宋体" w:hAnsi="宋体" w:cs="宋体" w:eastAsia="宋体" w:hint="default"/>
                <w:sz w:val="21"/>
                <w:szCs w:val="21"/>
              </w:rPr>
            </w:r>
          </w:p>
        </w:tc>
      </w:tr>
      <w:tr>
        <w:trPr>
          <w:trHeight w:val="232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中</w:t>
            </w:r>
            <w:r>
              <w:rPr>
                <w:rFonts w:ascii="宋体" w:hAnsi="宋体" w:cs="宋体" w:eastAsia="宋体" w:hint="default"/>
                <w:spacing w:val="-72"/>
                <w:sz w:val="21"/>
                <w:szCs w:val="21"/>
              </w:rPr>
              <w:t> </w:t>
            </w:r>
            <w:r>
              <w:rPr>
                <w:rFonts w:ascii="宋体" w:hAnsi="宋体" w:cs="宋体" w:eastAsia="宋体" w:hint="default"/>
                <w:spacing w:val="16"/>
                <w:sz w:val="21"/>
                <w:szCs w:val="21"/>
              </w:rPr>
              <w:t>国教育现</w:t>
            </w:r>
            <w:r>
              <w:rPr>
                <w:rFonts w:ascii="宋体" w:hAnsi="宋体" w:cs="宋体" w:eastAsia="宋体" w:hint="default"/>
                <w:spacing w:val="-72"/>
                <w:sz w:val="21"/>
                <w:szCs w:val="21"/>
              </w:rPr>
              <w:t> </w:t>
            </w:r>
            <w:r>
              <w:rPr>
                <w:rFonts w:ascii="宋体" w:hAnsi="宋体" w:cs="宋体" w:eastAsia="宋体" w:hint="default"/>
                <w:spacing w:val="11"/>
                <w:sz w:val="21"/>
                <w:szCs w:val="21"/>
              </w:rPr>
              <w:t>代化</w:t>
            </w:r>
          </w:p>
          <w:p>
            <w:pPr>
              <w:pStyle w:val="TableParagraph"/>
              <w:spacing w:line="240" w:lineRule="auto" w:before="42"/>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2035</w:t>
            </w:r>
            <w:r>
              <w:rPr>
                <w:rFonts w:ascii="宋体" w:hAnsi="宋体" w:cs="宋体" w:eastAsia="宋体" w:hint="default"/>
                <w:sz w:val="21"/>
                <w:szCs w:val="21"/>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9" w:lineRule="auto"/>
              <w:ind w:left="331" w:right="110" w:hanging="212"/>
              <w:jc w:val="left"/>
              <w:rPr>
                <w:rFonts w:ascii="宋体" w:hAnsi="宋体" w:cs="宋体" w:eastAsia="宋体" w:hint="default"/>
                <w:sz w:val="21"/>
                <w:szCs w:val="21"/>
              </w:rPr>
            </w:pPr>
            <w:r>
              <w:rPr>
                <w:rFonts w:ascii="宋体" w:hAnsi="宋体" w:cs="宋体" w:eastAsia="宋体" w:hint="default"/>
                <w:sz w:val="21"/>
                <w:szCs w:val="21"/>
              </w:rPr>
              <w:t>中共中央、</w:t>
            </w:r>
            <w:r>
              <w:rPr>
                <w:rFonts w:ascii="宋体" w:hAnsi="宋体" w:cs="宋体" w:eastAsia="宋体" w:hint="default"/>
                <w:spacing w:val="-99"/>
                <w:sz w:val="21"/>
                <w:szCs w:val="21"/>
              </w:rPr>
              <w:t> </w:t>
            </w:r>
            <w:r>
              <w:rPr>
                <w:rFonts w:ascii="宋体" w:hAnsi="宋体" w:cs="宋体" w:eastAsia="宋体" w:hint="default"/>
                <w:sz w:val="21"/>
                <w:szCs w:val="21"/>
              </w:rPr>
              <w:t>国务院</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31"/>
                <w:szCs w:val="31"/>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9"/>
              <w:ind w:left="52" w:right="50"/>
              <w:jc w:val="both"/>
              <w:rPr>
                <w:rFonts w:ascii="宋体" w:hAnsi="宋体" w:cs="宋体" w:eastAsia="宋体" w:hint="default"/>
                <w:sz w:val="21"/>
                <w:szCs w:val="21"/>
              </w:rPr>
            </w:pPr>
            <w:r>
              <w:rPr>
                <w:rFonts w:ascii="宋体" w:hAnsi="宋体" w:cs="宋体" w:eastAsia="宋体" w:hint="default"/>
                <w:spacing w:val="2"/>
                <w:sz w:val="21"/>
                <w:szCs w:val="21"/>
              </w:rPr>
              <w:t>加快信息化时代教育变革。建设智能化校园，统筹</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建设一体化智能化教学、管理与服务平台；创新教</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育服务业态，建立数字教育资源共建共享机制，完</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善利益分配机制、知识产权保护制度和新型教育服</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务监管制；推进教育治理方式变革，加快形成现代</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化的教育管理与监测体系，推进管理精准化和决策</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科学化。</w:t>
            </w:r>
          </w:p>
        </w:tc>
      </w:tr>
      <w:tr>
        <w:trPr>
          <w:trHeight w:val="1085"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w w:val="100"/>
                <w:sz w:val="21"/>
              </w:rPr>
              <w:t>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73" w:lineRule="auto"/>
              <w:ind w:left="52" w:right="52"/>
              <w:jc w:val="left"/>
              <w:rPr>
                <w:rFonts w:ascii="宋体" w:hAnsi="宋体" w:cs="宋体" w:eastAsia="宋体" w:hint="default"/>
                <w:sz w:val="21"/>
                <w:szCs w:val="21"/>
              </w:rPr>
            </w:pPr>
            <w:r>
              <w:rPr>
                <w:rFonts w:ascii="宋体" w:hAnsi="宋体" w:cs="宋体" w:eastAsia="宋体" w:hint="default"/>
                <w:spacing w:val="11"/>
                <w:sz w:val="21"/>
                <w:szCs w:val="21"/>
              </w:rPr>
              <w:t>学校</w:t>
            </w:r>
            <w:r>
              <w:rPr>
                <w:rFonts w:ascii="宋体" w:hAnsi="宋体" w:cs="宋体" w:eastAsia="宋体" w:hint="default"/>
                <w:spacing w:val="-71"/>
                <w:sz w:val="21"/>
                <w:szCs w:val="21"/>
              </w:rPr>
              <w:t> </w:t>
            </w:r>
            <w:r>
              <w:rPr>
                <w:rFonts w:ascii="宋体" w:hAnsi="宋体" w:cs="宋体" w:eastAsia="宋体" w:hint="default"/>
                <w:spacing w:val="16"/>
                <w:sz w:val="21"/>
                <w:szCs w:val="21"/>
              </w:rPr>
              <w:t>食品安全</w:t>
            </w:r>
            <w:r>
              <w:rPr>
                <w:rFonts w:ascii="宋体" w:hAnsi="宋体" w:cs="宋体" w:eastAsia="宋体" w:hint="default"/>
                <w:spacing w:val="-71"/>
                <w:sz w:val="21"/>
                <w:szCs w:val="21"/>
              </w:rPr>
              <w:t> </w:t>
            </w:r>
            <w:r>
              <w:rPr>
                <w:rFonts w:ascii="宋体" w:hAnsi="宋体" w:cs="宋体" w:eastAsia="宋体" w:hint="default"/>
                <w:spacing w:val="11"/>
                <w:sz w:val="21"/>
                <w:szCs w:val="21"/>
              </w:rPr>
              <w:t>与营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养健康管理规定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0"/>
              <w:ind w:left="119" w:right="41" w:hanging="68"/>
              <w:jc w:val="both"/>
              <w:rPr>
                <w:rFonts w:ascii="宋体" w:hAnsi="宋体" w:cs="宋体" w:eastAsia="宋体" w:hint="default"/>
                <w:sz w:val="21"/>
                <w:szCs w:val="21"/>
              </w:rPr>
            </w:pPr>
            <w:r>
              <w:rPr>
                <w:rFonts w:ascii="宋体" w:hAnsi="宋体" w:cs="宋体" w:eastAsia="宋体" w:hint="default"/>
                <w:spacing w:val="-13"/>
                <w:sz w:val="21"/>
                <w:szCs w:val="21"/>
              </w:rPr>
              <w:t>教育部、市场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监督管理总</w:t>
            </w:r>
            <w:r>
              <w:rPr>
                <w:rFonts w:ascii="宋体" w:hAnsi="宋体" w:cs="宋体" w:eastAsia="宋体" w:hint="default"/>
                <w:w w:val="100"/>
                <w:sz w:val="21"/>
                <w:szCs w:val="21"/>
              </w:rPr>
              <w:t> </w:t>
            </w:r>
            <w:r>
              <w:rPr>
                <w:rFonts w:ascii="宋体" w:hAnsi="宋体" w:cs="宋体" w:eastAsia="宋体" w:hint="default"/>
                <w:sz w:val="21"/>
                <w:szCs w:val="21"/>
              </w:rPr>
              <w:t>局、卫健委</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0"/>
              <w:ind w:left="52" w:right="50"/>
              <w:jc w:val="left"/>
              <w:rPr>
                <w:rFonts w:ascii="宋体" w:hAnsi="宋体" w:cs="宋体" w:eastAsia="宋体" w:hint="default"/>
                <w:sz w:val="21"/>
                <w:szCs w:val="21"/>
              </w:rPr>
            </w:pPr>
            <w:r>
              <w:rPr>
                <w:rFonts w:ascii="宋体" w:hAnsi="宋体" w:cs="宋体" w:eastAsia="宋体" w:hint="default"/>
                <w:spacing w:val="2"/>
                <w:sz w:val="21"/>
                <w:szCs w:val="21"/>
              </w:rPr>
              <w:t>保障学生和教职工在校集中用餐的食品安全与营养</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健康，加强监督管理。</w:t>
            </w:r>
          </w:p>
        </w:tc>
      </w:tr>
    </w:tbl>
    <w:p>
      <w:pPr>
        <w:spacing w:after="0" w:line="276" w:lineRule="auto"/>
        <w:jc w:val="left"/>
        <w:rPr>
          <w:rFonts w:ascii="宋体" w:hAnsi="宋体" w:cs="宋体" w:eastAsia="宋体" w:hint="default"/>
          <w:sz w:val="21"/>
          <w:szCs w:val="21"/>
        </w:rPr>
        <w:sectPr>
          <w:pgSz w:w="11910" w:h="16840"/>
          <w:pgMar w:header="741" w:footer="979" w:top="1060" w:bottom="1160" w:left="780" w:right="0"/>
        </w:sectPr>
      </w:pPr>
    </w:p>
    <w:p>
      <w:pPr>
        <w:spacing w:line="240" w:lineRule="auto" w:before="0"/>
        <w:rPr>
          <w:rFonts w:ascii="宋体" w:hAnsi="宋体" w:cs="宋体" w:eastAsia="宋体" w:hint="default"/>
          <w:sz w:val="20"/>
          <w:szCs w:val="20"/>
        </w:rPr>
      </w:pPr>
      <w:r>
        <w:rPr/>
        <w:pict>
          <v:shape style="position:absolute;margin-left:44.903999pt;margin-top:72.019981pt;width:505.9pt;height:690.4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6"/>
                    <w:gridCol w:w="1983"/>
                    <w:gridCol w:w="1297"/>
                    <w:gridCol w:w="1172"/>
                    <w:gridCol w:w="4836"/>
                  </w:tblGrid>
                  <w:tr>
                    <w:trPr>
                      <w:trHeight w:val="456"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0"/>
                          <w:jc w:val="left"/>
                          <w:rPr>
                            <w:rFonts w:ascii="宋体" w:hAnsi="宋体" w:cs="宋体" w:eastAsia="宋体" w:hint="default"/>
                            <w:sz w:val="21"/>
                            <w:szCs w:val="21"/>
                          </w:rPr>
                        </w:pPr>
                        <w:r>
                          <w:rPr>
                            <w:rFonts w:ascii="宋体" w:hAnsi="宋体" w:cs="宋体" w:eastAsia="宋体" w:hint="default"/>
                            <w:b/>
                            <w:bCs/>
                            <w:sz w:val="21"/>
                            <w:szCs w:val="21"/>
                          </w:rPr>
                          <w:t>政策名称</w:t>
                        </w:r>
                        <w:r>
                          <w:rPr>
                            <w:rFonts w:ascii="宋体" w:hAnsi="宋体" w:cs="宋体" w:eastAsia="宋体" w:hint="default"/>
                            <w:sz w:val="21"/>
                            <w:szCs w:val="21"/>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颁布部门</w:t>
                        </w:r>
                        <w:r>
                          <w:rPr>
                            <w:rFonts w:ascii="宋体" w:hAnsi="宋体" w:cs="宋体" w:eastAsia="宋体" w:hint="default"/>
                            <w:sz w:val="21"/>
                            <w:szCs w:val="21"/>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颁布时间</w:t>
                        </w:r>
                        <w:r>
                          <w:rPr>
                            <w:rFonts w:ascii="宋体" w:hAnsi="宋体" w:cs="宋体" w:eastAsia="宋体" w:hint="default"/>
                            <w:sz w:val="21"/>
                            <w:szCs w:val="21"/>
                          </w:rPr>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hAnsi="宋体" w:cs="宋体" w:eastAsia="宋体" w:hint="default"/>
                            <w:b/>
                            <w:bCs/>
                            <w:sz w:val="21"/>
                            <w:szCs w:val="21"/>
                          </w:rPr>
                          <w:t>与行业相关内容</w:t>
                        </w:r>
                        <w:r>
                          <w:rPr>
                            <w:rFonts w:ascii="宋体" w:hAnsi="宋体" w:cs="宋体" w:eastAsia="宋体" w:hint="default"/>
                            <w:sz w:val="21"/>
                            <w:szCs w:val="21"/>
                          </w:rPr>
                        </w:r>
                      </w:p>
                    </w:tc>
                  </w:tr>
                  <w:tr>
                    <w:trPr>
                      <w:trHeight w:val="1397"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7"/>
                          <w:ind w:left="52" w:right="50"/>
                          <w:jc w:val="both"/>
                          <w:rPr>
                            <w:rFonts w:ascii="宋体" w:hAnsi="宋体" w:cs="宋体" w:eastAsia="宋体" w:hint="default"/>
                            <w:sz w:val="21"/>
                            <w:szCs w:val="21"/>
                          </w:rPr>
                        </w:pPr>
                        <w:r>
                          <w:rPr>
                            <w:rFonts w:ascii="宋体" w:hAnsi="宋体" w:cs="宋体" w:eastAsia="宋体" w:hint="default"/>
                            <w:spacing w:val="11"/>
                            <w:sz w:val="21"/>
                            <w:szCs w:val="21"/>
                          </w:rPr>
                          <w:t>关于</w:t>
                        </w:r>
                        <w:r>
                          <w:rPr>
                            <w:rFonts w:ascii="宋体" w:hAnsi="宋体" w:cs="宋体" w:eastAsia="宋体" w:hint="default"/>
                            <w:spacing w:val="-71"/>
                            <w:sz w:val="21"/>
                            <w:szCs w:val="21"/>
                          </w:rPr>
                          <w:t> </w:t>
                        </w:r>
                        <w:r>
                          <w:rPr>
                            <w:rFonts w:ascii="宋体" w:hAnsi="宋体" w:cs="宋体" w:eastAsia="宋体" w:hint="default"/>
                            <w:spacing w:val="16"/>
                            <w:sz w:val="21"/>
                            <w:szCs w:val="21"/>
                          </w:rPr>
                          <w:t>实施全国</w:t>
                        </w:r>
                        <w:r>
                          <w:rPr>
                            <w:rFonts w:ascii="宋体" w:hAnsi="宋体" w:cs="宋体" w:eastAsia="宋体" w:hint="default"/>
                            <w:spacing w:val="-71"/>
                            <w:sz w:val="21"/>
                            <w:szCs w:val="21"/>
                          </w:rPr>
                          <w:t> </w:t>
                        </w:r>
                        <w:r>
                          <w:rPr>
                            <w:rFonts w:ascii="宋体" w:hAnsi="宋体" w:cs="宋体" w:eastAsia="宋体" w:hint="default"/>
                            <w:spacing w:val="11"/>
                            <w:sz w:val="21"/>
                            <w:szCs w:val="21"/>
                          </w:rPr>
                          <w:t>中小</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1"/>
                            <w:sz w:val="21"/>
                            <w:szCs w:val="21"/>
                          </w:rPr>
                          <w:t>学教</w:t>
                        </w:r>
                        <w:r>
                          <w:rPr>
                            <w:rFonts w:ascii="宋体" w:hAnsi="宋体" w:cs="宋体" w:eastAsia="宋体" w:hint="default"/>
                            <w:spacing w:val="-71"/>
                            <w:sz w:val="21"/>
                            <w:szCs w:val="21"/>
                          </w:rPr>
                          <w:t> </w:t>
                        </w:r>
                        <w:r>
                          <w:rPr>
                            <w:rFonts w:ascii="宋体" w:hAnsi="宋体" w:cs="宋体" w:eastAsia="宋体" w:hint="default"/>
                            <w:spacing w:val="16"/>
                            <w:sz w:val="21"/>
                            <w:szCs w:val="21"/>
                          </w:rPr>
                          <w:t>师信息技</w:t>
                        </w:r>
                        <w:r>
                          <w:rPr>
                            <w:rFonts w:ascii="宋体" w:hAnsi="宋体" w:cs="宋体" w:eastAsia="宋体" w:hint="default"/>
                            <w:spacing w:val="-71"/>
                            <w:sz w:val="21"/>
                            <w:szCs w:val="21"/>
                          </w:rPr>
                          <w:t> </w:t>
                        </w:r>
                        <w:r>
                          <w:rPr>
                            <w:rFonts w:ascii="宋体" w:hAnsi="宋体" w:cs="宋体" w:eastAsia="宋体" w:hint="default"/>
                            <w:spacing w:val="11"/>
                            <w:sz w:val="21"/>
                            <w:szCs w:val="21"/>
                          </w:rPr>
                          <w:t>术应</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4"/>
                            <w:sz w:val="21"/>
                            <w:szCs w:val="21"/>
                          </w:rPr>
                          <w:t>用能力提升工程</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宋体" w:hAnsi="宋体" w:cs="宋体" w:eastAsia="宋体" w:hint="default"/>
                            <w:sz w:val="21"/>
                            <w:szCs w:val="21"/>
                          </w:rPr>
                          <w:t>的意见</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sz w:val="21"/>
                            <w:szCs w:val="21"/>
                          </w:rPr>
                          <w:t>教育部</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57"/>
                          <w:ind w:left="52" w:right="148"/>
                          <w:jc w:val="both"/>
                          <w:rPr>
                            <w:rFonts w:ascii="宋体" w:hAnsi="宋体" w:cs="宋体" w:eastAsia="宋体" w:hint="default"/>
                            <w:sz w:val="21"/>
                            <w:szCs w:val="21"/>
                          </w:rPr>
                        </w:pPr>
                        <w:r>
                          <w:rPr>
                            <w:rFonts w:ascii="宋体" w:hAnsi="宋体" w:cs="宋体" w:eastAsia="宋体" w:hint="default"/>
                            <w:spacing w:val="-6"/>
                            <w:sz w:val="21"/>
                            <w:szCs w:val="21"/>
                          </w:rPr>
                          <w:t>服务国家</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互联网</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、大数据、人工智能等重大战略</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推动教师主动适应信息化、人工智能等新技术变革</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积极有效开展教育教学。</w:t>
                        </w:r>
                      </w:p>
                    </w:tc>
                  </w:tr>
                  <w:tr>
                    <w:trPr>
                      <w:trHeight w:val="2016"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56" w:lineRule="auto" w:before="158"/>
                          <w:ind w:left="52" w:right="27"/>
                          <w:jc w:val="left"/>
                          <w:rPr>
                            <w:rFonts w:ascii="宋体" w:hAnsi="宋体" w:cs="宋体" w:eastAsia="宋体" w:hint="default"/>
                            <w:sz w:val="21"/>
                            <w:szCs w:val="21"/>
                          </w:rPr>
                        </w:pPr>
                        <w:r>
                          <w:rPr>
                            <w:rFonts w:ascii="宋体" w:hAnsi="宋体" w:cs="宋体" w:eastAsia="宋体" w:hint="default"/>
                            <w:spacing w:val="18"/>
                            <w:sz w:val="21"/>
                            <w:szCs w:val="21"/>
                          </w:rPr>
                          <w:t>教育部</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1"/>
                            <w:sz w:val="21"/>
                            <w:szCs w:val="21"/>
                          </w:rPr>
                          <w:t> </w:t>
                        </w:r>
                        <w:r>
                          <w:rPr>
                            <w:rFonts w:ascii="宋体" w:hAnsi="宋体" w:cs="宋体" w:eastAsia="宋体" w:hint="default"/>
                            <w:spacing w:val="18"/>
                            <w:sz w:val="21"/>
                            <w:szCs w:val="21"/>
                          </w:rPr>
                          <w:t>年工作</w:t>
                        </w:r>
                        <w:r>
                          <w:rPr>
                            <w:rFonts w:ascii="宋体" w:hAnsi="宋体" w:cs="宋体" w:eastAsia="宋体" w:hint="default"/>
                            <w:spacing w:val="-100"/>
                            <w:sz w:val="21"/>
                            <w:szCs w:val="21"/>
                          </w:rPr>
                          <w:t> </w:t>
                        </w:r>
                        <w:r>
                          <w:rPr>
                            <w:rFonts w:ascii="宋体" w:hAnsi="宋体" w:cs="宋体" w:eastAsia="宋体" w:hint="default"/>
                            <w:sz w:val="21"/>
                            <w:szCs w:val="21"/>
                          </w:rPr>
                          <w:t>要点</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sz w:val="21"/>
                            <w:szCs w:val="21"/>
                          </w:rPr>
                          <w:t>教育部</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7"/>
                          <w:ind w:left="52" w:right="46"/>
                          <w:jc w:val="both"/>
                          <w:rPr>
                            <w:rFonts w:ascii="宋体" w:hAnsi="宋体" w:cs="宋体" w:eastAsia="宋体" w:hint="default"/>
                            <w:sz w:val="21"/>
                            <w:szCs w:val="21"/>
                          </w:rPr>
                        </w:pPr>
                        <w:r>
                          <w:rPr>
                            <w:rFonts w:ascii="宋体" w:hAnsi="宋体" w:cs="宋体" w:eastAsia="宋体" w:hint="default"/>
                            <w:spacing w:val="2"/>
                            <w:sz w:val="21"/>
                            <w:szCs w:val="21"/>
                          </w:rPr>
                          <w:t>明确提出要推动信息技术与教育教学深度融合，推</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动教育信息化转段升级，提升师生信息素养；提出</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实施教育信息化</w:t>
                        </w:r>
                        <w:r>
                          <w:rPr>
                            <w:rFonts w:ascii="Times New Roman" w:hAnsi="Times New Roman" w:cs="Times New Roman" w:eastAsia="Times New Roman" w:hint="default"/>
                            <w:sz w:val="21"/>
                            <w:szCs w:val="21"/>
                          </w:rPr>
                          <w:t>2.0</w:t>
                        </w:r>
                        <w:r>
                          <w:rPr>
                            <w:rFonts w:ascii="宋体" w:hAnsi="宋体" w:cs="宋体" w:eastAsia="宋体" w:hint="default"/>
                            <w:sz w:val="21"/>
                            <w:szCs w:val="21"/>
                          </w:rPr>
                          <w:t>行动计划，研究中国智能教育发</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5"/>
                            <w:sz w:val="21"/>
                            <w:szCs w:val="21"/>
                          </w:rPr>
                          <w:t>展方案。启动</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智慧教育示范区</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建设。建立数字化资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
                            <w:sz w:val="21"/>
                            <w:szCs w:val="21"/>
                          </w:rPr>
                          <w:t>源进校园监管机制。推动</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互联网</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教育</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大平台建设</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等工作措施。</w:t>
                        </w:r>
                      </w:p>
                    </w:tc>
                  </w:tr>
                  <w:tr>
                    <w:trPr>
                      <w:trHeight w:val="1709"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64" w:lineRule="auto"/>
                          <w:ind w:left="52" w:right="5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0"/>
                            <w:sz w:val="21"/>
                            <w:szCs w:val="21"/>
                          </w:rPr>
                          <w:t> </w:t>
                        </w:r>
                        <w:r>
                          <w:rPr>
                            <w:rFonts w:ascii="宋体" w:hAnsi="宋体" w:cs="宋体" w:eastAsia="宋体" w:hint="default"/>
                            <w:spacing w:val="13"/>
                            <w:sz w:val="21"/>
                            <w:szCs w:val="21"/>
                          </w:rPr>
                          <w:t>教育信息化</w:t>
                        </w:r>
                        <w:r>
                          <w:rPr>
                            <w:rFonts w:ascii="宋体" w:hAnsi="宋体" w:cs="宋体" w:eastAsia="宋体" w:hint="default"/>
                            <w:spacing w:val="-78"/>
                            <w:sz w:val="21"/>
                            <w:szCs w:val="21"/>
                          </w:rPr>
                          <w:t> </w:t>
                        </w:r>
                        <w:r>
                          <w:rPr>
                            <w:rFonts w:ascii="Times New Roman" w:hAnsi="Times New Roman" w:cs="Times New Roman" w:eastAsia="Times New Roman" w:hint="default"/>
                            <w:spacing w:val="3"/>
                            <w:sz w:val="21"/>
                            <w:szCs w:val="21"/>
                          </w:rPr>
                          <w:t>2.0</w:t>
                        </w:r>
                        <w:r>
                          <w:rPr>
                            <w:rFonts w:ascii="宋体" w:hAnsi="宋体" w:cs="宋体" w:eastAsia="宋体" w:hint="default"/>
                            <w:spacing w:val="3"/>
                            <w:sz w:val="21"/>
                            <w:szCs w:val="21"/>
                          </w:rPr>
                          <w:t>行</w:t>
                        </w:r>
                        <w:r>
                          <w:rPr>
                            <w:rFonts w:ascii="宋体" w:hAnsi="宋体" w:cs="宋体" w:eastAsia="宋体" w:hint="default"/>
                            <w:spacing w:val="-101"/>
                            <w:sz w:val="21"/>
                            <w:szCs w:val="21"/>
                          </w:rPr>
                          <w:t> </w:t>
                        </w:r>
                        <w:r>
                          <w:rPr>
                            <w:rFonts w:ascii="宋体" w:hAnsi="宋体" w:cs="宋体" w:eastAsia="宋体" w:hint="default"/>
                            <w:sz w:val="21"/>
                            <w:szCs w:val="21"/>
                          </w:rPr>
                          <w:t>动</w:t>
                        </w:r>
                        <w:r>
                          <w:rPr>
                            <w:rFonts w:ascii="宋体" w:hAnsi="宋体" w:cs="宋体" w:eastAsia="宋体" w:hint="default"/>
                            <w:spacing w:val="-38"/>
                            <w:sz w:val="21"/>
                            <w:szCs w:val="21"/>
                          </w:rPr>
                          <w:t> </w:t>
                        </w:r>
                        <w:r>
                          <w:rPr>
                            <w:rFonts w:ascii="宋体" w:hAnsi="宋体" w:cs="宋体" w:eastAsia="宋体" w:hint="default"/>
                            <w:sz w:val="21"/>
                            <w:szCs w:val="21"/>
                          </w:rPr>
                          <w:t>计</w:t>
                        </w:r>
                        <w:r>
                          <w:rPr>
                            <w:rFonts w:ascii="宋体" w:hAnsi="宋体" w:cs="宋体" w:eastAsia="宋体" w:hint="default"/>
                            <w:spacing w:val="-42"/>
                            <w:sz w:val="21"/>
                            <w:szCs w:val="21"/>
                          </w:rPr>
                          <w:t> </w:t>
                        </w:r>
                        <w:r>
                          <w:rPr>
                            <w:rFonts w:ascii="宋体" w:hAnsi="宋体" w:cs="宋体" w:eastAsia="宋体" w:hint="default"/>
                            <w:sz w:val="21"/>
                            <w:szCs w:val="21"/>
                          </w:rPr>
                          <w:t>划</w:t>
                        </w:r>
                        <w:r>
                          <w:rPr>
                            <w:rFonts w:ascii="宋体" w:hAnsi="宋体" w:cs="宋体" w:eastAsia="宋体" w:hint="default"/>
                            <w:spacing w:val="-38"/>
                            <w:sz w:val="21"/>
                            <w:szCs w:val="21"/>
                          </w:rPr>
                          <w:t> </w:t>
                        </w:r>
                        <w:r>
                          <w:rPr>
                            <w:rFonts w:ascii="宋体" w:hAnsi="宋体" w:cs="宋体" w:eastAsia="宋体" w:hint="default"/>
                            <w:sz w:val="21"/>
                            <w:szCs w:val="21"/>
                          </w:rPr>
                          <w:t>》</w:t>
                        </w:r>
                        <w:r>
                          <w:rPr>
                            <w:rFonts w:ascii="宋体" w:hAnsi="宋体" w:cs="宋体" w:eastAsia="宋体" w:hint="default"/>
                            <w:spacing w:val="-42"/>
                            <w:sz w:val="21"/>
                            <w:szCs w:val="21"/>
                          </w:rPr>
                          <w:t> </w:t>
                        </w:r>
                        <w:r>
                          <w:rPr>
                            <w:rFonts w:ascii="宋体" w:hAnsi="宋体" w:cs="宋体" w:eastAsia="宋体" w:hint="default"/>
                            <w:sz w:val="21"/>
                            <w:szCs w:val="21"/>
                          </w:rPr>
                          <w:t>（</w:t>
                        </w:r>
                        <w:r>
                          <w:rPr>
                            <w:rFonts w:ascii="宋体" w:hAnsi="宋体" w:cs="宋体" w:eastAsia="宋体" w:hint="default"/>
                            <w:spacing w:val="-38"/>
                            <w:sz w:val="21"/>
                            <w:szCs w:val="21"/>
                          </w:rPr>
                          <w:t> </w:t>
                        </w:r>
                        <w:r>
                          <w:rPr>
                            <w:rFonts w:ascii="宋体" w:hAnsi="宋体" w:cs="宋体" w:eastAsia="宋体" w:hint="default"/>
                            <w:sz w:val="21"/>
                            <w:szCs w:val="21"/>
                          </w:rPr>
                          <w:t>教</w:t>
                        </w:r>
                        <w:r>
                          <w:rPr>
                            <w:rFonts w:ascii="宋体" w:hAnsi="宋体" w:cs="宋体" w:eastAsia="宋体" w:hint="default"/>
                            <w:spacing w:val="-42"/>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[2018]6</w:t>
                        </w:r>
                        <w:r>
                          <w:rPr>
                            <w:rFonts w:ascii="宋体" w:hAnsi="宋体" w:cs="宋体" w:eastAsia="宋体" w:hint="default"/>
                            <w:sz w:val="21"/>
                            <w:szCs w:val="21"/>
                          </w:rPr>
                          <w:t>号）</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8" w:right="0"/>
                          <w:jc w:val="center"/>
                          <w:rPr>
                            <w:rFonts w:ascii="宋体" w:hAnsi="宋体" w:cs="宋体" w:eastAsia="宋体" w:hint="default"/>
                            <w:sz w:val="21"/>
                            <w:szCs w:val="21"/>
                          </w:rPr>
                        </w:pPr>
                        <w:r>
                          <w:rPr>
                            <w:rFonts w:ascii="宋体" w:hAnsi="宋体" w:cs="宋体" w:eastAsia="宋体" w:hint="default"/>
                            <w:sz w:val="21"/>
                            <w:szCs w:val="21"/>
                          </w:rPr>
                          <w:t>教育部</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7"/>
                          <w:ind w:left="52" w:right="47"/>
                          <w:jc w:val="both"/>
                          <w:rPr>
                            <w:rFonts w:ascii="宋体" w:hAnsi="宋体" w:cs="宋体" w:eastAsia="宋体" w:hint="default"/>
                            <w:sz w:val="21"/>
                            <w:szCs w:val="21"/>
                          </w:rPr>
                        </w:pPr>
                        <w:r>
                          <w:rPr>
                            <w:rFonts w:ascii="宋体" w:hAnsi="宋体" w:cs="宋体" w:eastAsia="宋体" w:hint="default"/>
                            <w:spacing w:val="-5"/>
                            <w:w w:val="100"/>
                            <w:sz w:val="21"/>
                            <w:szCs w:val="21"/>
                          </w:rPr>
                          <w:t>到</w:t>
                        </w:r>
                        <w:r>
                          <w:rPr>
                            <w:rFonts w:ascii="Times New Roman" w:hAnsi="Times New Roman" w:cs="Times New Roman" w:eastAsia="Times New Roman" w:hint="default"/>
                            <w:spacing w:val="-5"/>
                            <w:w w:val="100"/>
                            <w:sz w:val="21"/>
                            <w:szCs w:val="21"/>
                          </w:rPr>
                          <w:t>2022</w:t>
                        </w:r>
                        <w:r>
                          <w:rPr>
                            <w:rFonts w:ascii="宋体" w:hAnsi="宋体" w:cs="宋体" w:eastAsia="宋体" w:hint="default"/>
                            <w:spacing w:val="-5"/>
                            <w:w w:val="100"/>
                            <w:sz w:val="21"/>
                            <w:szCs w:val="21"/>
                          </w:rPr>
                          <w:t>年基本实现</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三全两高一大</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的发展目标，继续</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5"/>
                            <w:sz w:val="21"/>
                            <w:szCs w:val="21"/>
                          </w:rPr>
                          <w:t>推进</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三通两平台</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，所有学校全部接入互联网，构建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
                            <w:sz w:val="21"/>
                            <w:szCs w:val="21"/>
                          </w:rPr>
                          <w:t>一体化的</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互联网</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教育</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大平台，逐步实现资源平台</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的互通，普及推广网络学习空间应用，组织师生利</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用网络空间开展教学和学习。</w:t>
                        </w:r>
                      </w:p>
                    </w:tc>
                  </w:tr>
                  <w:tr>
                    <w:trPr>
                      <w:trHeight w:val="2016"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61" w:lineRule="auto"/>
                          <w:ind w:left="52" w:right="5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z w:val="21"/>
                            <w:szCs w:val="21"/>
                          </w:rPr>
                          <w:t>教</w:t>
                        </w:r>
                        <w:r>
                          <w:rPr>
                            <w:rFonts w:ascii="宋体" w:hAnsi="宋体" w:cs="宋体" w:eastAsia="宋体" w:hint="default"/>
                            <w:spacing w:val="-73"/>
                            <w:sz w:val="21"/>
                            <w:szCs w:val="21"/>
                          </w:rPr>
                          <w:t> </w:t>
                        </w:r>
                        <w:r>
                          <w:rPr>
                            <w:rFonts w:ascii="宋体" w:hAnsi="宋体" w:cs="宋体" w:eastAsia="宋体" w:hint="default"/>
                            <w:spacing w:val="16"/>
                            <w:sz w:val="21"/>
                            <w:szCs w:val="21"/>
                          </w:rPr>
                          <w:t>师教育振</w:t>
                        </w:r>
                        <w:r>
                          <w:rPr>
                            <w:rFonts w:ascii="宋体" w:hAnsi="宋体" w:cs="宋体" w:eastAsia="宋体" w:hint="default"/>
                            <w:spacing w:val="-73"/>
                            <w:sz w:val="21"/>
                            <w:szCs w:val="21"/>
                          </w:rPr>
                          <w:t> </w:t>
                        </w:r>
                        <w:r>
                          <w:rPr>
                            <w:rFonts w:ascii="宋体" w:hAnsi="宋体" w:cs="宋体" w:eastAsia="宋体" w:hint="default"/>
                            <w:spacing w:val="11"/>
                            <w:sz w:val="21"/>
                            <w:szCs w:val="21"/>
                          </w:rPr>
                          <w:t>兴行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0"/>
                            <w:sz w:val="21"/>
                            <w:szCs w:val="21"/>
                          </w:rPr>
                          <w:t>动计划（</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2018-2022</w:t>
                        </w:r>
                        <w:r>
                          <w:rPr>
                            <w:rFonts w:ascii="Times New Roman" w:hAnsi="Times New Roman" w:cs="Times New Roman" w:eastAsia="Times New Roman" w:hint="default"/>
                            <w:w w:val="100"/>
                            <w:sz w:val="21"/>
                            <w:szCs w:val="21"/>
                          </w:rPr>
                          <w:t> </w:t>
                        </w:r>
                        <w:r>
                          <w:rPr>
                            <w:rFonts w:ascii="宋体" w:hAnsi="宋体" w:cs="宋体" w:eastAsia="宋体" w:hint="default"/>
                            <w:spacing w:val="-13"/>
                            <w:sz w:val="21"/>
                            <w:szCs w:val="21"/>
                          </w:rPr>
                          <w:t>年）》（教师〔</w:t>
                        </w:r>
                        <w:r>
                          <w:rPr>
                            <w:rFonts w:ascii="Times New Roman" w:hAnsi="Times New Roman" w:cs="Times New Roman" w:eastAsia="Times New Roman" w:hint="default"/>
                            <w:spacing w:val="-13"/>
                            <w:sz w:val="21"/>
                            <w:szCs w:val="21"/>
                          </w:rPr>
                          <w:t>2018</w:t>
                        </w:r>
                        <w:r>
                          <w:rPr>
                            <w:rFonts w:ascii="Times New Roman" w:hAnsi="Times New Roman" w:cs="Times New Roman" w:eastAsia="Times New Roman" w:hint="default"/>
                            <w:spacing w:val="-3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号）</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7"/>
                          <w:ind w:left="52" w:right="-34"/>
                          <w:jc w:val="left"/>
                          <w:rPr>
                            <w:rFonts w:ascii="宋体" w:hAnsi="宋体" w:cs="宋体" w:eastAsia="宋体" w:hint="default"/>
                            <w:sz w:val="21"/>
                            <w:szCs w:val="21"/>
                          </w:rPr>
                        </w:pPr>
                        <w:r>
                          <w:rPr>
                            <w:rFonts w:ascii="宋体" w:hAnsi="宋体" w:cs="宋体" w:eastAsia="宋体" w:hint="default"/>
                            <w:spacing w:val="-13"/>
                            <w:sz w:val="21"/>
                            <w:szCs w:val="21"/>
                          </w:rPr>
                          <w:t>教育部、国家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发展改革委、</w:t>
                        </w:r>
                        <w:r>
                          <w:rPr>
                            <w:rFonts w:ascii="宋体" w:hAnsi="宋体" w:cs="宋体" w:eastAsia="宋体" w:hint="default"/>
                            <w:spacing w:val="-98"/>
                            <w:sz w:val="21"/>
                            <w:szCs w:val="21"/>
                          </w:rPr>
                          <w:t> </w:t>
                        </w:r>
                        <w:r>
                          <w:rPr>
                            <w:rFonts w:ascii="宋体" w:hAnsi="宋体" w:cs="宋体" w:eastAsia="宋体" w:hint="default"/>
                            <w:spacing w:val="-13"/>
                            <w:sz w:val="21"/>
                            <w:szCs w:val="21"/>
                          </w:rPr>
                          <w:t>财政部、人力</w:t>
                        </w:r>
                      </w:p>
                      <w:p>
                        <w:pPr>
                          <w:pStyle w:val="TableParagraph"/>
                          <w:spacing w:line="273" w:lineRule="auto" w:before="10"/>
                          <w:ind w:left="52" w:right="41" w:hanging="22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6"/>
                            <w:sz w:val="21"/>
                            <w:szCs w:val="21"/>
                          </w:rPr>
                          <w:t> </w:t>
                        </w:r>
                        <w:r>
                          <w:rPr>
                            <w:rFonts w:ascii="宋体" w:hAnsi="宋体" w:cs="宋体" w:eastAsia="宋体" w:hint="default"/>
                            <w:sz w:val="21"/>
                            <w:szCs w:val="21"/>
                          </w:rPr>
                          <w:t>资源社会保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3"/>
                            <w:sz w:val="21"/>
                            <w:szCs w:val="21"/>
                          </w:rPr>
                          <w:t>障部、中央编</w:t>
                        </w:r>
                      </w:p>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w w:val="100"/>
                            <w:sz w:val="21"/>
                            <w:szCs w:val="21"/>
                          </w:rPr>
                          <w:t>办</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7"/>
                          <w:ind w:left="52" w:right="50"/>
                          <w:jc w:val="left"/>
                          <w:rPr>
                            <w:rFonts w:ascii="宋体" w:hAnsi="宋体" w:cs="宋体" w:eastAsia="宋体" w:hint="default"/>
                            <w:sz w:val="21"/>
                            <w:szCs w:val="21"/>
                          </w:rPr>
                        </w:pPr>
                        <w:r>
                          <w:rPr>
                            <w:rFonts w:ascii="宋体" w:hAnsi="宋体" w:cs="宋体" w:eastAsia="宋体" w:hint="default"/>
                            <w:spacing w:val="-6"/>
                            <w:w w:val="100"/>
                            <w:sz w:val="21"/>
                            <w:szCs w:val="21"/>
                          </w:rPr>
                          <w:t>针对</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互联网</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教师教育</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创新行动，充分利用云计算</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pacing w:val="2"/>
                            <w:sz w:val="21"/>
                            <w:szCs w:val="21"/>
                          </w:rPr>
                          <w:t>大数据、虚拟现实、人工智能等新技术，推进教师</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教育信息化教学服务平台建设和应用，推动以自主</w:t>
                        </w:r>
                        <w:r>
                          <w:rPr>
                            <w:rFonts w:ascii="宋体" w:hAnsi="宋体" w:cs="宋体" w:eastAsia="宋体" w:hint="default"/>
                            <w:w w:val="100"/>
                            <w:sz w:val="21"/>
                            <w:szCs w:val="21"/>
                          </w:rPr>
                          <w:t> </w:t>
                        </w:r>
                        <w:r>
                          <w:rPr>
                            <w:rFonts w:ascii="宋体" w:hAnsi="宋体" w:cs="宋体" w:eastAsia="宋体" w:hint="default"/>
                            <w:sz w:val="21"/>
                            <w:szCs w:val="21"/>
                          </w:rPr>
                          <w:t>合作、探究为主要特征的教学方式变革。</w:t>
                        </w:r>
                      </w:p>
                    </w:tc>
                  </w:tr>
                  <w:tr>
                    <w:trPr>
                      <w:trHeight w:val="170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7"/>
                          <w:ind w:left="52" w:right="50"/>
                          <w:jc w:val="both"/>
                          <w:rPr>
                            <w:rFonts w:ascii="宋体" w:hAnsi="宋体" w:cs="宋体" w:eastAsia="宋体" w:hint="default"/>
                            <w:sz w:val="21"/>
                            <w:szCs w:val="21"/>
                          </w:rPr>
                        </w:pPr>
                        <w:r>
                          <w:rPr>
                            <w:rFonts w:ascii="宋体" w:hAnsi="宋体" w:cs="宋体" w:eastAsia="宋体" w:hint="default"/>
                            <w:spacing w:val="5"/>
                            <w:sz w:val="21"/>
                            <w:szCs w:val="21"/>
                          </w:rPr>
                          <w:t>《教育部关于颁布</w:t>
                        </w:r>
                        <w:r>
                          <w:rPr>
                            <w:rFonts w:ascii="Times New Roman" w:hAnsi="Times New Roman" w:cs="Times New Roman" w:eastAsia="Times New Roman" w:hint="default"/>
                            <w:spacing w:val="5"/>
                            <w:sz w:val="21"/>
                            <w:szCs w:val="21"/>
                          </w:rPr>
                          <w:t>&lt;</w:t>
                        </w:r>
                        <w:r>
                          <w:rPr>
                            <w:rFonts w:ascii="Times New Roman" w:hAnsi="Times New Roman" w:cs="Times New Roman" w:eastAsia="Times New Roman" w:hint="default"/>
                            <w:spacing w:val="-33"/>
                            <w:sz w:val="21"/>
                            <w:szCs w:val="21"/>
                          </w:rPr>
                          <w:t> </w:t>
                        </w:r>
                        <w:r>
                          <w:rPr>
                            <w:rFonts w:ascii="宋体" w:hAnsi="宋体" w:cs="宋体" w:eastAsia="宋体" w:hint="default"/>
                            <w:spacing w:val="11"/>
                            <w:sz w:val="21"/>
                            <w:szCs w:val="21"/>
                          </w:rPr>
                          <w:t>中小</w:t>
                        </w:r>
                        <w:r>
                          <w:rPr>
                            <w:rFonts w:ascii="宋体" w:hAnsi="宋体" w:cs="宋体" w:eastAsia="宋体" w:hint="default"/>
                            <w:spacing w:val="-71"/>
                            <w:sz w:val="21"/>
                            <w:szCs w:val="21"/>
                          </w:rPr>
                          <w:t> </w:t>
                        </w:r>
                        <w:r>
                          <w:rPr>
                            <w:rFonts w:ascii="宋体" w:hAnsi="宋体" w:cs="宋体" w:eastAsia="宋体" w:hint="default"/>
                            <w:spacing w:val="16"/>
                            <w:sz w:val="21"/>
                            <w:szCs w:val="21"/>
                          </w:rPr>
                          <w:t>学数字校</w:t>
                        </w:r>
                        <w:r>
                          <w:rPr>
                            <w:rFonts w:ascii="宋体" w:hAnsi="宋体" w:cs="宋体" w:eastAsia="宋体" w:hint="default"/>
                            <w:spacing w:val="-71"/>
                            <w:sz w:val="21"/>
                            <w:szCs w:val="21"/>
                          </w:rPr>
                          <w:t> </w:t>
                        </w:r>
                        <w:r>
                          <w:rPr>
                            <w:rFonts w:ascii="宋体" w:hAnsi="宋体" w:cs="宋体" w:eastAsia="宋体" w:hint="default"/>
                            <w:spacing w:val="11"/>
                            <w:sz w:val="21"/>
                            <w:szCs w:val="21"/>
                          </w:rPr>
                          <w:t>园建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设规范（试行）</w:t>
                        </w:r>
                        <w:r>
                          <w:rPr>
                            <w:rFonts w:ascii="Times New Roman" w:hAnsi="Times New Roman" w:cs="Times New Roman" w:eastAsia="Times New Roman" w:hint="default"/>
                            <w:spacing w:val="5"/>
                            <w:sz w:val="21"/>
                            <w:szCs w:val="21"/>
                          </w:rPr>
                          <w:t>&gt;</w:t>
                        </w:r>
                        <w:r>
                          <w:rPr>
                            <w:rFonts w:ascii="宋体" w:hAnsi="宋体" w:cs="宋体" w:eastAsia="宋体" w:hint="default"/>
                            <w:spacing w:val="5"/>
                            <w:sz w:val="21"/>
                            <w:szCs w:val="21"/>
                          </w:rPr>
                          <w:t>的</w:t>
                        </w:r>
                        <w:r>
                          <w:rPr>
                            <w:rFonts w:ascii="宋体" w:hAnsi="宋体" w:cs="宋体" w:eastAsia="宋体" w:hint="default"/>
                            <w:spacing w:val="-85"/>
                            <w:sz w:val="21"/>
                            <w:szCs w:val="21"/>
                          </w:rPr>
                          <w:t> </w:t>
                        </w:r>
                        <w:r>
                          <w:rPr>
                            <w:rFonts w:ascii="宋体" w:hAnsi="宋体" w:cs="宋体" w:eastAsia="宋体" w:hint="default"/>
                            <w:spacing w:val="-6"/>
                            <w:sz w:val="21"/>
                            <w:szCs w:val="21"/>
                          </w:rPr>
                          <w:t>通知》（教技</w:t>
                        </w:r>
                        <w:r>
                          <w:rPr>
                            <w:rFonts w:ascii="Times New Roman" w:hAnsi="Times New Roman" w:cs="Times New Roman" w:eastAsia="Times New Roman" w:hint="default"/>
                            <w:spacing w:val="-6"/>
                            <w:sz w:val="21"/>
                            <w:szCs w:val="21"/>
                          </w:rPr>
                          <w:t>[2018]5</w:t>
                        </w:r>
                        <w:r>
                          <w:rPr>
                            <w:rFonts w:ascii="Times New Roman" w:hAnsi="Times New Roman" w:cs="Times New Roman" w:eastAsia="Times New Roman" w:hint="default"/>
                            <w:spacing w:val="-35"/>
                            <w:sz w:val="21"/>
                            <w:szCs w:val="21"/>
                          </w:rPr>
                          <w:t> </w:t>
                        </w:r>
                        <w:r>
                          <w:rPr>
                            <w:rFonts w:ascii="Times New Roman" w:hAnsi="Times New Roman" w:cs="Times New Roman" w:eastAsia="Times New Roman" w:hint="default"/>
                            <w:spacing w:val="-35"/>
                            <w:sz w:val="21"/>
                            <w:szCs w:val="21"/>
                          </w:rPr>
                        </w:r>
                        <w:r>
                          <w:rPr>
                            <w:rFonts w:ascii="宋体" w:hAnsi="宋体" w:cs="宋体" w:eastAsia="宋体" w:hint="default"/>
                            <w:sz w:val="21"/>
                            <w:szCs w:val="21"/>
                          </w:rPr>
                          <w:t>号）</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8" w:right="0"/>
                          <w:jc w:val="center"/>
                          <w:rPr>
                            <w:rFonts w:ascii="宋体" w:hAnsi="宋体" w:cs="宋体" w:eastAsia="宋体" w:hint="default"/>
                            <w:sz w:val="21"/>
                            <w:szCs w:val="21"/>
                          </w:rPr>
                        </w:pPr>
                        <w:r>
                          <w:rPr>
                            <w:rFonts w:ascii="宋体" w:hAnsi="宋体" w:cs="宋体" w:eastAsia="宋体" w:hint="default"/>
                            <w:sz w:val="21"/>
                            <w:szCs w:val="21"/>
                          </w:rPr>
                          <w:t>教育部</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7"/>
                          <w:ind w:left="52" w:right="47"/>
                          <w:jc w:val="both"/>
                          <w:rPr>
                            <w:rFonts w:ascii="宋体" w:hAnsi="宋体" w:cs="宋体" w:eastAsia="宋体" w:hint="default"/>
                            <w:sz w:val="21"/>
                            <w:szCs w:val="21"/>
                          </w:rPr>
                        </w:pPr>
                        <w:r>
                          <w:rPr>
                            <w:rFonts w:ascii="宋体" w:hAnsi="宋体" w:cs="宋体" w:eastAsia="宋体" w:hint="default"/>
                            <w:spacing w:val="2"/>
                            <w:sz w:val="21"/>
                            <w:szCs w:val="21"/>
                          </w:rPr>
                          <w:t>推动中小学数字校园建设与应用的指导性文件，对</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各地中小学校数字校园建设提出了建设的总目标和</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sz w:val="21"/>
                            <w:szCs w:val="21"/>
                          </w:rPr>
                          <w:t>总原则。提出</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四个建设目标</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，即实现校园环境数字</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化、信息系统互联互通、用户信息素养提升、学习</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方式和教育教学模式创新。</w:t>
                        </w:r>
                      </w:p>
                    </w:tc>
                  </w:tr>
                  <w:tr>
                    <w:trPr>
                      <w:trHeight w:val="202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66" w:lineRule="auto"/>
                          <w:ind w:left="52" w:right="4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z w:val="21"/>
                            <w:szCs w:val="21"/>
                          </w:rPr>
                          <w:t>教</w:t>
                        </w:r>
                        <w:r>
                          <w:rPr>
                            <w:rFonts w:ascii="宋体" w:hAnsi="宋体" w:cs="宋体" w:eastAsia="宋体" w:hint="default"/>
                            <w:spacing w:val="-73"/>
                            <w:sz w:val="21"/>
                            <w:szCs w:val="21"/>
                          </w:rPr>
                          <w:t> </w:t>
                        </w:r>
                        <w:r>
                          <w:rPr>
                            <w:rFonts w:ascii="宋体" w:hAnsi="宋体" w:cs="宋体" w:eastAsia="宋体" w:hint="default"/>
                            <w:spacing w:val="16"/>
                            <w:sz w:val="21"/>
                            <w:szCs w:val="21"/>
                          </w:rPr>
                          <w:t>育部办公</w:t>
                        </w:r>
                        <w:r>
                          <w:rPr>
                            <w:rFonts w:ascii="宋体" w:hAnsi="宋体" w:cs="宋体" w:eastAsia="宋体" w:hint="default"/>
                            <w:spacing w:val="-73"/>
                            <w:sz w:val="21"/>
                            <w:szCs w:val="21"/>
                          </w:rPr>
                          <w:t> </w:t>
                        </w:r>
                        <w:r>
                          <w:rPr>
                            <w:rFonts w:ascii="宋体" w:hAnsi="宋体" w:cs="宋体" w:eastAsia="宋体" w:hint="default"/>
                            <w:spacing w:val="11"/>
                            <w:sz w:val="21"/>
                            <w:szCs w:val="21"/>
                          </w:rPr>
                          <w:t>厅关</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于印发</w:t>
                        </w:r>
                        <w:r>
                          <w:rPr>
                            <w:rFonts w:ascii="Times New Roman" w:hAnsi="Times New Roman" w:cs="Times New Roman" w:eastAsia="Times New Roman" w:hint="default"/>
                            <w:spacing w:val="5"/>
                            <w:sz w:val="21"/>
                            <w:szCs w:val="21"/>
                          </w:rPr>
                          <w:t>&lt;2018</w:t>
                        </w:r>
                        <w:r>
                          <w:rPr>
                            <w:rFonts w:ascii="宋体" w:hAnsi="宋体" w:cs="宋体" w:eastAsia="宋体" w:hint="default"/>
                            <w:spacing w:val="5"/>
                            <w:sz w:val="21"/>
                            <w:szCs w:val="21"/>
                          </w:rPr>
                          <w:t>年教育</w:t>
                        </w:r>
                        <w:r>
                          <w:rPr>
                            <w:rFonts w:ascii="宋体" w:hAnsi="宋体" w:cs="宋体" w:eastAsia="宋体" w:hint="default"/>
                            <w:spacing w:val="-86"/>
                            <w:sz w:val="21"/>
                            <w:szCs w:val="21"/>
                          </w:rPr>
                          <w:t> </w:t>
                        </w:r>
                        <w:r>
                          <w:rPr>
                            <w:rFonts w:ascii="宋体" w:hAnsi="宋体" w:cs="宋体" w:eastAsia="宋体" w:hint="default"/>
                            <w:spacing w:val="11"/>
                            <w:sz w:val="21"/>
                            <w:szCs w:val="21"/>
                          </w:rPr>
                          <w:t>信息</w:t>
                        </w:r>
                        <w:r>
                          <w:rPr>
                            <w:rFonts w:ascii="宋体" w:hAnsi="宋体" w:cs="宋体" w:eastAsia="宋体" w:hint="default"/>
                            <w:spacing w:val="-72"/>
                            <w:sz w:val="21"/>
                            <w:szCs w:val="21"/>
                          </w:rPr>
                          <w:t> </w:t>
                        </w:r>
                        <w:r>
                          <w:rPr>
                            <w:rFonts w:ascii="宋体" w:hAnsi="宋体" w:cs="宋体" w:eastAsia="宋体" w:hint="default"/>
                            <w:spacing w:val="16"/>
                            <w:sz w:val="21"/>
                            <w:szCs w:val="21"/>
                          </w:rPr>
                          <w:t>化和网络</w:t>
                        </w:r>
                        <w:r>
                          <w:rPr>
                            <w:rFonts w:ascii="宋体" w:hAnsi="宋体" w:cs="宋体" w:eastAsia="宋体" w:hint="default"/>
                            <w:spacing w:val="-72"/>
                            <w:sz w:val="21"/>
                            <w:szCs w:val="21"/>
                          </w:rPr>
                          <w:t> </w:t>
                        </w:r>
                        <w:r>
                          <w:rPr>
                            <w:rFonts w:ascii="宋体" w:hAnsi="宋体" w:cs="宋体" w:eastAsia="宋体" w:hint="default"/>
                            <w:spacing w:val="11"/>
                            <w:sz w:val="21"/>
                            <w:szCs w:val="21"/>
                          </w:rPr>
                          <w:t>安全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工作要点</w:t>
                        </w:r>
                        <w:r>
                          <w:rPr>
                            <w:rFonts w:ascii="Times New Roman" w:hAnsi="Times New Roman" w:cs="Times New Roman" w:eastAsia="Times New Roman" w:hint="default"/>
                            <w:spacing w:val="5"/>
                            <w:sz w:val="21"/>
                            <w:szCs w:val="21"/>
                          </w:rPr>
                          <w:t>&gt;</w:t>
                        </w:r>
                        <w:r>
                          <w:rPr>
                            <w:rFonts w:ascii="宋体" w:hAnsi="宋体" w:cs="宋体" w:eastAsia="宋体" w:hint="default"/>
                            <w:spacing w:val="5"/>
                            <w:sz w:val="21"/>
                            <w:szCs w:val="21"/>
                          </w:rPr>
                          <w:t>的通知》</w:t>
                        </w:r>
                      </w:p>
                      <w:p>
                        <w:pPr>
                          <w:pStyle w:val="TableParagraph"/>
                          <w:spacing w:line="240" w:lineRule="auto"/>
                          <w:ind w:left="52" w:right="0"/>
                          <w:jc w:val="both"/>
                          <w:rPr>
                            <w:rFonts w:ascii="宋体" w:hAnsi="宋体" w:cs="宋体" w:eastAsia="宋体" w:hint="default"/>
                            <w:sz w:val="21"/>
                            <w:szCs w:val="21"/>
                          </w:rPr>
                        </w:pPr>
                        <w:r>
                          <w:rPr>
                            <w:rFonts w:ascii="宋体" w:hAnsi="宋体" w:cs="宋体" w:eastAsia="宋体" w:hint="default"/>
                            <w:spacing w:val="-2"/>
                            <w:sz w:val="21"/>
                            <w:szCs w:val="21"/>
                          </w:rPr>
                          <w:t>（教技厅</w:t>
                        </w:r>
                        <w:r>
                          <w:rPr>
                            <w:rFonts w:ascii="Times New Roman" w:hAnsi="Times New Roman" w:cs="Times New Roman" w:eastAsia="Times New Roman" w:hint="default"/>
                            <w:spacing w:val="-2"/>
                            <w:sz w:val="21"/>
                            <w:szCs w:val="21"/>
                          </w:rPr>
                          <w:t>[2018]1</w:t>
                        </w:r>
                        <w:r>
                          <w:rPr>
                            <w:rFonts w:ascii="宋体" w:hAnsi="宋体" w:cs="宋体" w:eastAsia="宋体" w:hint="default"/>
                            <w:spacing w:val="-2"/>
                            <w:sz w:val="21"/>
                            <w:szCs w:val="21"/>
                          </w:rPr>
                          <w:t>号）</w:t>
                        </w:r>
                        <w:r>
                          <w:rPr>
                            <w:rFonts w:ascii="宋体" w:hAnsi="宋体" w:cs="宋体" w:eastAsia="宋体" w:hint="default"/>
                            <w:sz w:val="21"/>
                            <w:szCs w:val="21"/>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sz w:val="21"/>
                            <w:szCs w:val="21"/>
                          </w:rPr>
                          <w:t>教育部</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7"/>
                          <w:ind w:left="52" w:right="50"/>
                          <w:jc w:val="both"/>
                          <w:rPr>
                            <w:rFonts w:ascii="宋体" w:hAnsi="宋体" w:cs="宋体" w:eastAsia="宋体" w:hint="default"/>
                            <w:sz w:val="21"/>
                            <w:szCs w:val="21"/>
                          </w:rPr>
                        </w:pPr>
                        <w:r>
                          <w:rPr>
                            <w:rFonts w:ascii="宋体" w:hAnsi="宋体" w:cs="宋体" w:eastAsia="宋体" w:hint="default"/>
                            <w:spacing w:val="2"/>
                            <w:sz w:val="21"/>
                            <w:szCs w:val="21"/>
                          </w:rPr>
                          <w:t>围绕解决教育改革发展的重大问题，以促进教育公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平、提高教育质量为重点，发展</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互联网</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教育</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，实</w:t>
                        </w:r>
                        <w:r>
                          <w:rPr>
                            <w:rFonts w:ascii="宋体" w:hAnsi="宋体" w:cs="宋体" w:eastAsia="宋体" w:hint="default"/>
                            <w:spacing w:val="-55"/>
                            <w:sz w:val="21"/>
                            <w:szCs w:val="21"/>
                          </w:rPr>
                          <w:t> </w:t>
                        </w:r>
                        <w:r>
                          <w:rPr>
                            <w:rFonts w:ascii="宋体" w:hAnsi="宋体" w:cs="宋体" w:eastAsia="宋体" w:hint="default"/>
                            <w:spacing w:val="2"/>
                            <w:sz w:val="21"/>
                            <w:szCs w:val="21"/>
                          </w:rPr>
                          <w:t>现教育信息化的转段升级。要求完善教育信息化基</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础环境建设，充分发挥地方与学校的积极性与主动</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性，引导各级各类学校结合实际特色发展，开展数</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字校园、智慧校园建设与应用。</w:t>
                        </w:r>
                      </w:p>
                    </w:tc>
                  </w:tr>
                  <w:tr>
                    <w:trPr>
                      <w:trHeight w:val="2017"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66" w:lineRule="auto"/>
                          <w:ind w:left="52" w:right="27"/>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0"/>
                            <w:sz w:val="21"/>
                            <w:szCs w:val="21"/>
                          </w:rPr>
                          <w:t> </w:t>
                        </w:r>
                        <w:r>
                          <w:rPr>
                            <w:rFonts w:ascii="宋体" w:hAnsi="宋体" w:cs="宋体" w:eastAsia="宋体" w:hint="default"/>
                            <w:spacing w:val="21"/>
                            <w:sz w:val="21"/>
                            <w:szCs w:val="21"/>
                          </w:rPr>
                          <w:t>年教育工作</w:t>
                        </w:r>
                        <w:r>
                          <w:rPr>
                            <w:rFonts w:ascii="宋体" w:hAnsi="宋体" w:cs="宋体" w:eastAsia="宋体" w:hint="default"/>
                            <w:spacing w:val="-98"/>
                            <w:sz w:val="21"/>
                            <w:szCs w:val="21"/>
                          </w:rPr>
                          <w:t> </w:t>
                        </w:r>
                        <w:r>
                          <w:rPr>
                            <w:rFonts w:ascii="宋体" w:hAnsi="宋体" w:cs="宋体" w:eastAsia="宋体" w:hint="default"/>
                            <w:spacing w:val="-4"/>
                            <w:sz w:val="21"/>
                            <w:szCs w:val="21"/>
                          </w:rPr>
                          <w:t>总体要求》（教政法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Times New Roman" w:hAnsi="Times New Roman" w:cs="Times New Roman" w:eastAsia="Times New Roman" w:hint="default"/>
                            <w:sz w:val="21"/>
                            <w:szCs w:val="21"/>
                          </w:rPr>
                          <w:t>[2018]1</w:t>
                        </w:r>
                        <w:r>
                          <w:rPr>
                            <w:rFonts w:ascii="宋体" w:hAnsi="宋体" w:cs="宋体" w:eastAsia="宋体" w:hint="default"/>
                            <w:sz w:val="21"/>
                            <w:szCs w:val="21"/>
                          </w:rPr>
                          <w:t>号）</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sz w:val="21"/>
                            <w:szCs w:val="21"/>
                          </w:rPr>
                          <w:t>教育部</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7"/>
                          <w:ind w:left="52" w:right="46"/>
                          <w:jc w:val="both"/>
                          <w:rPr>
                            <w:rFonts w:ascii="宋体" w:hAnsi="宋体" w:cs="宋体" w:eastAsia="宋体" w:hint="default"/>
                            <w:sz w:val="21"/>
                            <w:szCs w:val="21"/>
                          </w:rPr>
                        </w:pPr>
                        <w:r>
                          <w:rPr>
                            <w:rFonts w:ascii="宋体" w:hAnsi="宋体" w:cs="宋体" w:eastAsia="宋体" w:hint="default"/>
                            <w:sz w:val="21"/>
                            <w:szCs w:val="21"/>
                          </w:rPr>
                          <w:t>要求深入推进教育信息化。启动教育信息化</w:t>
                        </w:r>
                        <w:r>
                          <w:rPr>
                            <w:rFonts w:ascii="Times New Roman" w:hAnsi="Times New Roman" w:cs="Times New Roman" w:eastAsia="Times New Roman" w:hint="default"/>
                            <w:sz w:val="21"/>
                            <w:szCs w:val="21"/>
                          </w:rPr>
                          <w:t>2.0</w:t>
                        </w:r>
                        <w:r>
                          <w:rPr>
                            <w:rFonts w:ascii="宋体" w:hAnsi="宋体" w:cs="宋体" w:eastAsia="宋体" w:hint="default"/>
                            <w:sz w:val="21"/>
                            <w:szCs w:val="21"/>
                          </w:rPr>
                          <w:t>行动</w:t>
                        </w:r>
                        <w:r>
                          <w:rPr>
                            <w:rFonts w:ascii="宋体" w:hAnsi="宋体" w:cs="宋体" w:eastAsia="宋体" w:hint="default"/>
                            <w:spacing w:val="-62"/>
                            <w:sz w:val="21"/>
                            <w:szCs w:val="21"/>
                          </w:rPr>
                          <w:t> </w:t>
                        </w:r>
                        <w:r>
                          <w:rPr>
                            <w:rFonts w:ascii="宋体" w:hAnsi="宋体" w:cs="宋体" w:eastAsia="宋体" w:hint="default"/>
                            <w:spacing w:val="2"/>
                            <w:sz w:val="21"/>
                            <w:szCs w:val="21"/>
                          </w:rPr>
                          <w:t>计划，实施宽带卫星联校试点行动、大教育资源共</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享计划、百区千校万课信息化示范工程、网络扶智</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工程，推进智慧教育创新示范，普及推广网络学习</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空间应用。加强基础教育信息化顶层设计，更好服</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务师生和教育管理工作。</w:t>
                        </w:r>
                      </w:p>
                    </w:tc>
                  </w:tr>
                  <w:tr>
                    <w:trPr>
                      <w:trHeight w:val="461"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关</w:t>
                        </w:r>
                        <w:r>
                          <w:rPr>
                            <w:rFonts w:ascii="宋体" w:hAnsi="宋体" w:cs="宋体" w:eastAsia="宋体" w:hint="default"/>
                            <w:spacing w:val="-72"/>
                            <w:sz w:val="21"/>
                            <w:szCs w:val="21"/>
                          </w:rPr>
                          <w:t> </w:t>
                        </w:r>
                        <w:r>
                          <w:rPr>
                            <w:rFonts w:ascii="宋体" w:hAnsi="宋体" w:cs="宋体" w:eastAsia="宋体" w:hint="default"/>
                            <w:spacing w:val="16"/>
                            <w:sz w:val="21"/>
                            <w:szCs w:val="21"/>
                          </w:rPr>
                          <w:t>于推进网</w:t>
                        </w:r>
                        <w:r>
                          <w:rPr>
                            <w:rFonts w:ascii="宋体" w:hAnsi="宋体" w:cs="宋体" w:eastAsia="宋体" w:hint="default"/>
                            <w:spacing w:val="-72"/>
                            <w:sz w:val="21"/>
                            <w:szCs w:val="21"/>
                          </w:rPr>
                          <w:t> </w:t>
                        </w:r>
                        <w:r>
                          <w:rPr>
                            <w:rFonts w:ascii="宋体" w:hAnsi="宋体" w:cs="宋体" w:eastAsia="宋体" w:hint="default"/>
                            <w:spacing w:val="11"/>
                            <w:sz w:val="21"/>
                            <w:szCs w:val="21"/>
                          </w:rPr>
                          <w:t>络扶</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 w:right="0"/>
                          <w:jc w:val="center"/>
                          <w:rPr>
                            <w:rFonts w:ascii="宋体" w:hAnsi="宋体" w:cs="宋体" w:eastAsia="宋体" w:hint="default"/>
                            <w:sz w:val="21"/>
                            <w:szCs w:val="21"/>
                          </w:rPr>
                        </w:pPr>
                        <w:r>
                          <w:rPr>
                            <w:rFonts w:ascii="宋体" w:hAnsi="宋体" w:cs="宋体" w:eastAsia="宋体" w:hint="default"/>
                            <w:sz w:val="21"/>
                            <w:szCs w:val="21"/>
                          </w:rPr>
                          <w:t>工信部</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pacing w:val="2"/>
                            <w:sz w:val="21"/>
                            <w:szCs w:val="21"/>
                          </w:rPr>
                          <w:t>加强贫困地区各类学校高速宽带网络建设，实现两</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before="36"/>
        <w:ind w:left="0" w:right="844"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before="37"/>
        <w:ind w:left="0" w:right="845"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36"/>
        <w:ind w:left="0" w:right="844"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8"/>
        <w:rPr>
          <w:rFonts w:ascii="宋体" w:hAnsi="宋体" w:cs="宋体" w:eastAsia="宋体" w:hint="default"/>
          <w:sz w:val="23"/>
          <w:szCs w:val="23"/>
        </w:rPr>
      </w:pPr>
    </w:p>
    <w:p>
      <w:pPr>
        <w:spacing w:before="36"/>
        <w:ind w:left="0" w:right="845"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741" w:footer="979" w:top="1060" w:bottom="1160" w:left="7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36"/>
        <w:ind w:left="0" w:right="845" w:firstLine="0"/>
        <w:jc w:val="right"/>
        <w:rPr>
          <w:rFonts w:ascii="宋体" w:hAnsi="宋体" w:cs="宋体" w:eastAsia="宋体" w:hint="default"/>
          <w:sz w:val="21"/>
          <w:szCs w:val="21"/>
        </w:rPr>
      </w:pPr>
      <w:r>
        <w:rPr/>
        <w:pict>
          <v:shape style="position:absolute;margin-left:44.903999pt;margin-top:-37.776329pt;width:505.9pt;height:292.9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6"/>
                    <w:gridCol w:w="1983"/>
                    <w:gridCol w:w="1297"/>
                    <w:gridCol w:w="1172"/>
                    <w:gridCol w:w="4836"/>
                  </w:tblGrid>
                  <w:tr>
                    <w:trPr>
                      <w:trHeight w:val="456"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0"/>
                          <w:jc w:val="left"/>
                          <w:rPr>
                            <w:rFonts w:ascii="宋体" w:hAnsi="宋体" w:cs="宋体" w:eastAsia="宋体" w:hint="default"/>
                            <w:sz w:val="21"/>
                            <w:szCs w:val="21"/>
                          </w:rPr>
                        </w:pPr>
                        <w:r>
                          <w:rPr>
                            <w:rFonts w:ascii="宋体" w:hAnsi="宋体" w:cs="宋体" w:eastAsia="宋体" w:hint="default"/>
                            <w:b/>
                            <w:bCs/>
                            <w:sz w:val="21"/>
                            <w:szCs w:val="21"/>
                          </w:rPr>
                          <w:t>政策名称</w:t>
                        </w:r>
                        <w:r>
                          <w:rPr>
                            <w:rFonts w:ascii="宋体" w:hAnsi="宋体" w:cs="宋体" w:eastAsia="宋体" w:hint="default"/>
                            <w:sz w:val="21"/>
                            <w:szCs w:val="21"/>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颁布部门</w:t>
                        </w:r>
                        <w:r>
                          <w:rPr>
                            <w:rFonts w:ascii="宋体" w:hAnsi="宋体" w:cs="宋体" w:eastAsia="宋体" w:hint="default"/>
                            <w:sz w:val="21"/>
                            <w:szCs w:val="21"/>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颁布时间</w:t>
                        </w:r>
                        <w:r>
                          <w:rPr>
                            <w:rFonts w:ascii="宋体" w:hAnsi="宋体" w:cs="宋体" w:eastAsia="宋体" w:hint="default"/>
                            <w:sz w:val="21"/>
                            <w:szCs w:val="21"/>
                          </w:rPr>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hAnsi="宋体" w:cs="宋体" w:eastAsia="宋体" w:hint="default"/>
                            <w:b/>
                            <w:bCs/>
                            <w:sz w:val="21"/>
                            <w:szCs w:val="21"/>
                          </w:rPr>
                          <w:t>与行业相关内容</w:t>
                        </w:r>
                        <w:r>
                          <w:rPr>
                            <w:rFonts w:ascii="宋体" w:hAnsi="宋体" w:cs="宋体" w:eastAsia="宋体" w:hint="default"/>
                            <w:sz w:val="21"/>
                            <w:szCs w:val="21"/>
                          </w:rPr>
                        </w:r>
                      </w:p>
                    </w:tc>
                  </w:tr>
                  <w:tr>
                    <w:trPr>
                      <w:trHeight w:val="1354" w:hRule="exact"/>
                    </w:trPr>
                    <w:tc>
                      <w:tcPr>
                        <w:tcW w:w="816"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2" w:right="0"/>
                          <w:jc w:val="both"/>
                          <w:rPr>
                            <w:rFonts w:ascii="宋体" w:hAnsi="宋体" w:cs="宋体" w:eastAsia="宋体" w:hint="default"/>
                            <w:sz w:val="21"/>
                            <w:szCs w:val="21"/>
                          </w:rPr>
                        </w:pPr>
                        <w:r>
                          <w:rPr>
                            <w:rFonts w:ascii="宋体" w:hAnsi="宋体" w:cs="宋体" w:eastAsia="宋体" w:hint="default"/>
                            <w:sz w:val="21"/>
                            <w:szCs w:val="21"/>
                          </w:rPr>
                          <w:t>贫 的 实 施 方</w:t>
                        </w:r>
                        <w:r>
                          <w:rPr>
                            <w:rFonts w:ascii="宋体" w:hAnsi="宋体" w:cs="宋体" w:eastAsia="宋体" w:hint="default"/>
                            <w:spacing w:val="82"/>
                            <w:sz w:val="21"/>
                            <w:szCs w:val="21"/>
                          </w:rPr>
                          <w:t> </w:t>
                        </w:r>
                        <w:r>
                          <w:rPr>
                            <w:rFonts w:ascii="宋体" w:hAnsi="宋体" w:cs="宋体" w:eastAsia="宋体" w:hint="default"/>
                            <w:sz w:val="21"/>
                            <w:szCs w:val="21"/>
                          </w:rPr>
                          <w:t>案</w:t>
                        </w:r>
                      </w:p>
                      <w:p>
                        <w:pPr>
                          <w:pStyle w:val="TableParagraph"/>
                          <w:spacing w:line="259" w:lineRule="auto" w:before="37"/>
                          <w:ind w:left="52" w:right="51"/>
                          <w:jc w:val="both"/>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2018-2020</w:t>
                        </w:r>
                        <w:r>
                          <w:rPr>
                            <w:rFonts w:ascii="宋体" w:hAnsi="宋体" w:cs="宋体" w:eastAsia="宋体" w:hint="default"/>
                            <w:spacing w:val="-8"/>
                            <w:sz w:val="21"/>
                            <w:szCs w:val="21"/>
                          </w:rPr>
                          <w:t>）》（工</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信部通信〔</w:t>
                        </w:r>
                        <w:r>
                          <w:rPr>
                            <w:rFonts w:ascii="Times New Roman" w:hAnsi="Times New Roman" w:cs="Times New Roman" w:eastAsia="Times New Roman" w:hint="default"/>
                            <w:spacing w:val="-4"/>
                            <w:sz w:val="21"/>
                            <w:szCs w:val="21"/>
                          </w:rPr>
                          <w:t>2018</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83</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号）</w:t>
                        </w:r>
                      </w:p>
                    </w:tc>
                    <w:tc>
                      <w:tcPr>
                        <w:tcW w:w="1297"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4"/>
                          <w:ind w:left="52" w:right="50"/>
                          <w:jc w:val="left"/>
                          <w:rPr>
                            <w:rFonts w:ascii="宋体" w:hAnsi="宋体" w:cs="宋体" w:eastAsia="宋体" w:hint="default"/>
                            <w:sz w:val="21"/>
                            <w:szCs w:val="21"/>
                          </w:rPr>
                        </w:pPr>
                        <w:r>
                          <w:rPr>
                            <w:rFonts w:ascii="宋体" w:hAnsi="宋体" w:cs="宋体" w:eastAsia="宋体" w:hint="default"/>
                            <w:spacing w:val="2"/>
                            <w:sz w:val="21"/>
                            <w:szCs w:val="21"/>
                          </w:rPr>
                          <w:t>类学校（乡村小规模学校和乡镇寄宿制学校）宽带</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网络全覆盖。配合教育部门加强远程教育应用推广</w:t>
                        </w:r>
                        <w:r>
                          <w:rPr>
                            <w:rFonts w:ascii="宋体" w:hAnsi="宋体" w:cs="宋体" w:eastAsia="宋体" w:hint="default"/>
                            <w:w w:val="100"/>
                            <w:sz w:val="21"/>
                            <w:szCs w:val="21"/>
                          </w:rPr>
                          <w:t> </w:t>
                        </w:r>
                        <w:r>
                          <w:rPr>
                            <w:rFonts w:ascii="宋体" w:hAnsi="宋体" w:cs="宋体" w:eastAsia="宋体" w:hint="default"/>
                            <w:sz w:val="21"/>
                            <w:szCs w:val="21"/>
                          </w:rPr>
                          <w:t>推动优质教育资源在贫困地区的共享应用。</w:t>
                        </w:r>
                      </w:p>
                    </w:tc>
                  </w:tr>
                  <w:tr>
                    <w:trPr>
                      <w:trHeight w:val="2333"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66" w:lineRule="auto"/>
                          <w:ind w:left="52" w:right="2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0"/>
                            <w:sz w:val="21"/>
                            <w:szCs w:val="21"/>
                          </w:rPr>
                          <w:t> </w:t>
                        </w:r>
                        <w:r>
                          <w:rPr>
                            <w:rFonts w:ascii="宋体" w:hAnsi="宋体" w:cs="宋体" w:eastAsia="宋体" w:hint="default"/>
                            <w:sz w:val="21"/>
                            <w:szCs w:val="21"/>
                          </w:rPr>
                          <w:t>国</w:t>
                        </w:r>
                        <w:r>
                          <w:rPr>
                            <w:rFonts w:ascii="宋体" w:hAnsi="宋体" w:cs="宋体" w:eastAsia="宋体" w:hint="default"/>
                            <w:spacing w:val="-74"/>
                            <w:sz w:val="21"/>
                            <w:szCs w:val="21"/>
                          </w:rPr>
                          <w:t> </w:t>
                        </w:r>
                        <w:r>
                          <w:rPr>
                            <w:rFonts w:ascii="宋体" w:hAnsi="宋体" w:cs="宋体" w:eastAsia="宋体" w:hint="default"/>
                            <w:spacing w:val="16"/>
                            <w:sz w:val="21"/>
                            <w:szCs w:val="21"/>
                          </w:rPr>
                          <w:t>务院关于</w:t>
                        </w:r>
                        <w:r>
                          <w:rPr>
                            <w:rFonts w:ascii="宋体" w:hAnsi="宋体" w:cs="宋体" w:eastAsia="宋体" w:hint="default"/>
                            <w:spacing w:val="-74"/>
                            <w:sz w:val="21"/>
                            <w:szCs w:val="21"/>
                          </w:rPr>
                          <w:t> </w:t>
                        </w:r>
                        <w:r>
                          <w:rPr>
                            <w:rFonts w:ascii="宋体" w:hAnsi="宋体" w:cs="宋体" w:eastAsia="宋体" w:hint="default"/>
                            <w:spacing w:val="11"/>
                            <w:sz w:val="21"/>
                            <w:szCs w:val="21"/>
                          </w:rPr>
                          <w:t>印发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国家</w:t>
                        </w:r>
                        <w:r>
                          <w:rPr>
                            <w:rFonts w:ascii="宋体" w:hAnsi="宋体" w:cs="宋体" w:eastAsia="宋体" w:hint="default"/>
                            <w:spacing w:val="-73"/>
                            <w:sz w:val="21"/>
                            <w:szCs w:val="21"/>
                          </w:rPr>
                          <w:t> </w:t>
                        </w:r>
                        <w:r>
                          <w:rPr>
                            <w:rFonts w:ascii="宋体" w:hAnsi="宋体" w:cs="宋体" w:eastAsia="宋体" w:hint="default"/>
                            <w:spacing w:val="16"/>
                            <w:sz w:val="21"/>
                            <w:szCs w:val="21"/>
                          </w:rPr>
                          <w:t>教育事业</w:t>
                        </w:r>
                        <w:r>
                          <w:rPr>
                            <w:rFonts w:ascii="宋体" w:hAnsi="宋体" w:cs="宋体" w:eastAsia="宋体" w:hint="default"/>
                            <w:spacing w:val="-73"/>
                            <w:sz w:val="21"/>
                            <w:szCs w:val="21"/>
                          </w:rPr>
                          <w:t> </w:t>
                        </w:r>
                        <w:r>
                          <w:rPr>
                            <w:rFonts w:ascii="宋体" w:hAnsi="宋体" w:cs="宋体" w:eastAsia="宋体" w:hint="default"/>
                            <w:spacing w:val="11"/>
                            <w:sz w:val="21"/>
                            <w:szCs w:val="21"/>
                          </w:rPr>
                          <w:t>发展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6"/>
                            <w:sz w:val="21"/>
                            <w:szCs w:val="21"/>
                          </w:rPr>
                          <w:t> </w:t>
                        </w:r>
                        <w:r>
                          <w:rPr>
                            <w:rFonts w:ascii="宋体" w:hAnsi="宋体" w:cs="宋体" w:eastAsia="宋体" w:hint="default"/>
                            <w:spacing w:val="17"/>
                            <w:sz w:val="21"/>
                            <w:szCs w:val="21"/>
                          </w:rPr>
                          <w:t>十三五</w:t>
                        </w:r>
                        <w:r>
                          <w:rPr>
                            <w:rFonts w:ascii="Times New Roman" w:hAnsi="Times New Roman" w:cs="Times New Roman" w:eastAsia="Times New Roman" w:hint="default"/>
                            <w:spacing w:val="17"/>
                            <w:sz w:val="21"/>
                            <w:szCs w:val="21"/>
                          </w:rPr>
                          <w:t>”</w:t>
                        </w:r>
                        <w:r>
                          <w:rPr>
                            <w:rFonts w:ascii="Times New Roman" w:hAnsi="Times New Roman" w:cs="Times New Roman" w:eastAsia="Times New Roman" w:hint="default"/>
                            <w:spacing w:val="-23"/>
                            <w:sz w:val="21"/>
                            <w:szCs w:val="21"/>
                          </w:rPr>
                          <w:t> </w:t>
                        </w:r>
                        <w:r>
                          <w:rPr>
                            <w:rFonts w:ascii="宋体" w:hAnsi="宋体" w:cs="宋体" w:eastAsia="宋体" w:hint="default"/>
                            <w:spacing w:val="17"/>
                            <w:sz w:val="21"/>
                            <w:szCs w:val="21"/>
                          </w:rPr>
                          <w:t>规划的通</w:t>
                        </w:r>
                        <w:r>
                          <w:rPr>
                            <w:rFonts w:ascii="宋体" w:hAnsi="宋体" w:cs="宋体" w:eastAsia="宋体" w:hint="default"/>
                            <w:spacing w:val="-98"/>
                            <w:sz w:val="21"/>
                            <w:szCs w:val="21"/>
                          </w:rPr>
                          <w:t> </w:t>
                        </w:r>
                        <w:r>
                          <w:rPr>
                            <w:rFonts w:ascii="宋体" w:hAnsi="宋体" w:cs="宋体" w:eastAsia="宋体" w:hint="default"/>
                            <w:spacing w:val="-1"/>
                            <w:sz w:val="21"/>
                            <w:szCs w:val="21"/>
                          </w:rPr>
                          <w:t>知》（国发〔</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w:t>
                        </w:r>
                        <w:r>
                          <w:rPr>
                            <w:rFonts w:ascii="宋体" w:hAnsi="宋体" w:cs="宋体" w:eastAsia="宋体" w:hint="default"/>
                            <w:spacing w:val="-94"/>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号）</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sz w:val="21"/>
                            <w:szCs w:val="21"/>
                          </w:rPr>
                          <w:t>国务院</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31"/>
                            <w:szCs w:val="31"/>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7"/>
                          <w:ind w:left="52" w:right="47"/>
                          <w:jc w:val="left"/>
                          <w:rPr>
                            <w:rFonts w:ascii="宋体" w:hAnsi="宋体" w:cs="宋体" w:eastAsia="宋体" w:hint="default"/>
                            <w:sz w:val="21"/>
                            <w:szCs w:val="21"/>
                          </w:rPr>
                        </w:pPr>
                        <w:r>
                          <w:rPr>
                            <w:rFonts w:ascii="宋体" w:hAnsi="宋体" w:cs="宋体" w:eastAsia="宋体" w:hint="default"/>
                            <w:spacing w:val="2"/>
                            <w:sz w:val="21"/>
                            <w:szCs w:val="21"/>
                          </w:rPr>
                          <w:t>拓展教育新形态，以教育信息化推动教育现代化，</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积极促进信息技术与教育的融合创新发展，努力构</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建网络化、数字化、个性化、终身化的教育体系；</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1"/>
                            <w:sz w:val="21"/>
                            <w:szCs w:val="21"/>
                          </w:rPr>
                          <w:t>积极发展</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互联网</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教育</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，优化校园育人环境，创建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平安校园，巩固高等学校后勤改革成果，推进学校</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公共安全视频监控建设及联网应用工作，加强人防</w:t>
                        </w:r>
                        <w:r>
                          <w:rPr>
                            <w:rFonts w:ascii="宋体" w:hAnsi="宋体" w:cs="宋体" w:eastAsia="宋体" w:hint="default"/>
                            <w:w w:val="100"/>
                            <w:sz w:val="21"/>
                            <w:szCs w:val="21"/>
                          </w:rPr>
                          <w:t> </w:t>
                        </w:r>
                        <w:r>
                          <w:rPr>
                            <w:rFonts w:ascii="宋体" w:hAnsi="宋体" w:cs="宋体" w:eastAsia="宋体" w:hint="default"/>
                            <w:sz w:val="21"/>
                            <w:szCs w:val="21"/>
                          </w:rPr>
                          <w:t>物防、技防设施建设。</w:t>
                        </w:r>
                      </w:p>
                    </w:tc>
                  </w:tr>
                  <w:tr>
                    <w:trPr>
                      <w:trHeight w:val="1705"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7"/>
                          <w:ind w:left="52" w:right="5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z w:val="21"/>
                            <w:szCs w:val="21"/>
                          </w:rPr>
                          <w:t>教</w:t>
                        </w:r>
                        <w:r>
                          <w:rPr>
                            <w:rFonts w:ascii="宋体" w:hAnsi="宋体" w:cs="宋体" w:eastAsia="宋体" w:hint="default"/>
                            <w:spacing w:val="-73"/>
                            <w:sz w:val="21"/>
                            <w:szCs w:val="21"/>
                          </w:rPr>
                          <w:t> </w:t>
                        </w:r>
                        <w:r>
                          <w:rPr>
                            <w:rFonts w:ascii="宋体" w:hAnsi="宋体" w:cs="宋体" w:eastAsia="宋体" w:hint="default"/>
                            <w:spacing w:val="16"/>
                            <w:sz w:val="21"/>
                            <w:szCs w:val="21"/>
                          </w:rPr>
                          <w:t>育部关于</w:t>
                        </w:r>
                        <w:r>
                          <w:rPr>
                            <w:rFonts w:ascii="宋体" w:hAnsi="宋体" w:cs="宋体" w:eastAsia="宋体" w:hint="default"/>
                            <w:spacing w:val="-73"/>
                            <w:sz w:val="21"/>
                            <w:szCs w:val="21"/>
                          </w:rPr>
                          <w:t> </w:t>
                        </w:r>
                        <w:r>
                          <w:rPr>
                            <w:rFonts w:ascii="宋体" w:hAnsi="宋体" w:cs="宋体" w:eastAsia="宋体" w:hint="default"/>
                            <w:spacing w:val="11"/>
                            <w:sz w:val="21"/>
                            <w:szCs w:val="21"/>
                          </w:rPr>
                          <w:t>数字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教育</w:t>
                        </w:r>
                        <w:r>
                          <w:rPr>
                            <w:rFonts w:ascii="宋体" w:hAnsi="宋体" w:cs="宋体" w:eastAsia="宋体" w:hint="default"/>
                            <w:spacing w:val="-71"/>
                            <w:sz w:val="21"/>
                            <w:szCs w:val="21"/>
                          </w:rPr>
                          <w:t> </w:t>
                        </w:r>
                        <w:r>
                          <w:rPr>
                            <w:rFonts w:ascii="宋体" w:hAnsi="宋体" w:cs="宋体" w:eastAsia="宋体" w:hint="default"/>
                            <w:spacing w:val="16"/>
                            <w:sz w:val="21"/>
                            <w:szCs w:val="21"/>
                          </w:rPr>
                          <w:t>资源公共</w:t>
                        </w:r>
                        <w:r>
                          <w:rPr>
                            <w:rFonts w:ascii="宋体" w:hAnsi="宋体" w:cs="宋体" w:eastAsia="宋体" w:hint="default"/>
                            <w:spacing w:val="-71"/>
                            <w:sz w:val="21"/>
                            <w:szCs w:val="21"/>
                          </w:rPr>
                          <w:t> </w:t>
                        </w:r>
                        <w:r>
                          <w:rPr>
                            <w:rFonts w:ascii="宋体" w:hAnsi="宋体" w:cs="宋体" w:eastAsia="宋体" w:hint="default"/>
                            <w:spacing w:val="11"/>
                            <w:sz w:val="21"/>
                            <w:szCs w:val="21"/>
                          </w:rPr>
                          <w:t>服务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1"/>
                            <w:sz w:val="21"/>
                            <w:szCs w:val="21"/>
                          </w:rPr>
                          <w:t>体系</w:t>
                        </w:r>
                        <w:r>
                          <w:rPr>
                            <w:rFonts w:ascii="宋体" w:hAnsi="宋体" w:cs="宋体" w:eastAsia="宋体" w:hint="default"/>
                            <w:spacing w:val="-71"/>
                            <w:sz w:val="21"/>
                            <w:szCs w:val="21"/>
                          </w:rPr>
                          <w:t> </w:t>
                        </w:r>
                        <w:r>
                          <w:rPr>
                            <w:rFonts w:ascii="宋体" w:hAnsi="宋体" w:cs="宋体" w:eastAsia="宋体" w:hint="default"/>
                            <w:spacing w:val="16"/>
                            <w:sz w:val="21"/>
                            <w:szCs w:val="21"/>
                          </w:rPr>
                          <w:t>建设与应</w:t>
                        </w:r>
                        <w:r>
                          <w:rPr>
                            <w:rFonts w:ascii="宋体" w:hAnsi="宋体" w:cs="宋体" w:eastAsia="宋体" w:hint="default"/>
                            <w:spacing w:val="-71"/>
                            <w:sz w:val="21"/>
                            <w:szCs w:val="21"/>
                          </w:rPr>
                          <w:t> </w:t>
                        </w:r>
                        <w:r>
                          <w:rPr>
                            <w:rFonts w:ascii="宋体" w:hAnsi="宋体" w:cs="宋体" w:eastAsia="宋体" w:hint="default"/>
                            <w:spacing w:val="11"/>
                            <w:sz w:val="21"/>
                            <w:szCs w:val="21"/>
                          </w:rPr>
                          <w:t>用的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1"/>
                            <w:sz w:val="21"/>
                            <w:szCs w:val="21"/>
                          </w:rPr>
                          <w:t>指导</w:t>
                        </w:r>
                        <w:r>
                          <w:rPr>
                            <w:rFonts w:ascii="宋体" w:hAnsi="宋体" w:cs="宋体" w:eastAsia="宋体" w:hint="default"/>
                            <w:spacing w:val="-71"/>
                            <w:sz w:val="21"/>
                            <w:szCs w:val="21"/>
                          </w:rPr>
                          <w:t> </w:t>
                        </w:r>
                        <w:r>
                          <w:rPr>
                            <w:rFonts w:ascii="宋体" w:hAnsi="宋体" w:cs="宋体" w:eastAsia="宋体" w:hint="default"/>
                            <w:spacing w:val="16"/>
                            <w:sz w:val="21"/>
                            <w:szCs w:val="21"/>
                          </w:rPr>
                          <w:t>意见》（</w:t>
                        </w:r>
                        <w:r>
                          <w:rPr>
                            <w:rFonts w:ascii="宋体" w:hAnsi="宋体" w:cs="宋体" w:eastAsia="宋体" w:hint="default"/>
                            <w:spacing w:val="-71"/>
                            <w:sz w:val="21"/>
                            <w:szCs w:val="21"/>
                          </w:rPr>
                          <w:t> </w:t>
                        </w:r>
                        <w:r>
                          <w:rPr>
                            <w:rFonts w:ascii="宋体" w:hAnsi="宋体" w:cs="宋体" w:eastAsia="宋体" w:hint="default"/>
                            <w:spacing w:val="11"/>
                            <w:sz w:val="21"/>
                            <w:szCs w:val="21"/>
                          </w:rPr>
                          <w:t>教技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Times New Roman" w:hAnsi="Times New Roman" w:cs="Times New Roman" w:eastAsia="Times New Roman" w:hint="default"/>
                            <w:sz w:val="21"/>
                            <w:szCs w:val="21"/>
                          </w:rPr>
                          <w:t>[2017]7</w:t>
                        </w:r>
                        <w:r>
                          <w:rPr>
                            <w:rFonts w:ascii="宋体" w:hAnsi="宋体" w:cs="宋体" w:eastAsia="宋体" w:hint="default"/>
                            <w:sz w:val="21"/>
                            <w:szCs w:val="21"/>
                          </w:rPr>
                          <w:t>号）</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8" w:right="0"/>
                          <w:jc w:val="center"/>
                          <w:rPr>
                            <w:rFonts w:ascii="宋体" w:hAnsi="宋体" w:cs="宋体" w:eastAsia="宋体" w:hint="default"/>
                            <w:sz w:val="21"/>
                            <w:szCs w:val="21"/>
                          </w:rPr>
                        </w:pPr>
                        <w:r>
                          <w:rPr>
                            <w:rFonts w:ascii="宋体" w:hAnsi="宋体" w:cs="宋体" w:eastAsia="宋体" w:hint="default"/>
                            <w:sz w:val="21"/>
                            <w:szCs w:val="21"/>
                          </w:rPr>
                          <w:t>教育部</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0"/>
                          <w:jc w:val="both"/>
                          <w:rPr>
                            <w:rFonts w:ascii="宋体" w:hAnsi="宋体" w:cs="宋体" w:eastAsia="宋体" w:hint="default"/>
                            <w:sz w:val="21"/>
                            <w:szCs w:val="21"/>
                          </w:rPr>
                        </w:pPr>
                        <w:r>
                          <w:rPr>
                            <w:rFonts w:ascii="宋体" w:hAnsi="宋体" w:cs="宋体" w:eastAsia="宋体" w:hint="default"/>
                            <w:sz w:val="21"/>
                            <w:szCs w:val="21"/>
                          </w:rPr>
                          <w:t>为深入贯彻落实党的十九大精神，积极推进</w:t>
                        </w:r>
                        <w:r>
                          <w:rPr>
                            <w:rFonts w:ascii="Times New Roman" w:hAnsi="Times New Roman" w:cs="Times New Roman" w:eastAsia="Times New Roman" w:hint="default"/>
                            <w:sz w:val="21"/>
                            <w:szCs w:val="21"/>
                          </w:rPr>
                          <w:t>“</w:t>
                        </w:r>
                        <w:r>
                          <w:rPr>
                            <w:rFonts w:ascii="宋体" w:hAnsi="宋体" w:cs="宋体" w:eastAsia="宋体" w:hint="default"/>
                            <w:sz w:val="21"/>
                            <w:szCs w:val="21"/>
                          </w:rPr>
                          <w:t>互联网</w:t>
                        </w:r>
                      </w:p>
                      <w:p>
                        <w:pPr>
                          <w:pStyle w:val="TableParagraph"/>
                          <w:spacing w:line="266" w:lineRule="auto" w:before="16"/>
                          <w:ind w:left="52" w:right="5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行动，切实加快教育信息化进程，以教育信息化</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支撑和引领教育现代化，服务教育强国建设，现就</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加强数字教育资源公共服务体系建设与应用。</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36"/>
        <w:ind w:left="0" w:right="845"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360" w:lineRule="auto" w:before="26"/>
        <w:ind w:left="833" w:right="1016" w:firstLine="0"/>
        <w:jc w:val="left"/>
        <w:rPr>
          <w:rFonts w:ascii="宋体" w:hAnsi="宋体" w:cs="宋体" w:eastAsia="宋体" w:hint="default"/>
          <w:sz w:val="24"/>
          <w:szCs w:val="24"/>
        </w:rPr>
      </w:pPr>
      <w:r>
        <w:rPr>
          <w:rFonts w:ascii="宋体" w:hAnsi="宋体" w:cs="宋体" w:eastAsia="宋体" w:hint="default"/>
          <w:b/>
          <w:bCs/>
          <w:color w:val="181F24"/>
          <w:sz w:val="24"/>
          <w:szCs w:val="24"/>
        </w:rPr>
        <w:t>（三）公司在行业中的竞争地位</w:t>
      </w:r>
      <w:r>
        <w:rPr>
          <w:rFonts w:ascii="宋体" w:hAnsi="宋体" w:cs="宋体" w:eastAsia="宋体" w:hint="default"/>
          <w:b/>
          <w:bCs/>
          <w:color w:val="181F24"/>
          <w:w w:val="99"/>
          <w:sz w:val="24"/>
          <w:szCs w:val="24"/>
        </w:rPr>
        <w:t> </w:t>
      </w:r>
      <w:r>
        <w:rPr>
          <w:rFonts w:ascii="宋体" w:hAnsi="宋体" w:cs="宋体" w:eastAsia="宋体" w:hint="default"/>
          <w:sz w:val="24"/>
          <w:szCs w:val="24"/>
        </w:rPr>
        <w:t>公司以创新为引领，以提供场景化智慧应用为目标，不断丰富和完善产品，及时推出各</w:t>
      </w:r>
    </w:p>
    <w:p>
      <w:pPr>
        <w:pStyle w:val="BodyText"/>
        <w:spacing w:line="350" w:lineRule="auto" w:before="31"/>
        <w:ind w:left="353" w:right="1016"/>
        <w:jc w:val="left"/>
      </w:pPr>
      <w:r>
        <w:rPr/>
        <w:t>种行业解决方案，持续保持在行业内的竞争优势。公司对智慧易通平台进行了优化和扩展，</w:t>
      </w:r>
      <w:r>
        <w:rPr>
          <w:spacing w:val="-93"/>
        </w:rPr>
        <w:t> </w:t>
      </w:r>
      <w:r>
        <w:rPr>
          <w:spacing w:val="-93"/>
        </w:rPr>
      </w:r>
      <w:r>
        <w:rPr>
          <w:spacing w:val="-5"/>
        </w:rPr>
        <w:t>完善了运维监控、聚合支付、人脸识别等功能并实现全场景应用；推出了智慧易通多园区版，</w:t>
      </w:r>
      <w:r>
        <w:rPr/>
        <w:t> 提供一卡通云服务中心、分级运营管理中心，同时支持公共服务和私有服务、实体卡和虚拟</w:t>
      </w:r>
      <w:r>
        <w:rPr>
          <w:spacing w:val="-93"/>
        </w:rPr>
        <w:t> </w:t>
      </w:r>
      <w:r>
        <w:rPr>
          <w:spacing w:val="-93"/>
        </w:rPr>
      </w:r>
      <w:r>
        <w:rPr/>
        <w:t>卡深度融合，并实现基于电子支付和身份识别能力开放的广泛集成；推出了智慧校园</w:t>
      </w:r>
      <w:r>
        <w:rPr>
          <w:rFonts w:ascii="Times New Roman" w:hAnsi="Times New Roman" w:cs="Times New Roman" w:eastAsia="Times New Roman" w:hint="default"/>
        </w:rPr>
        <w:t>“</w:t>
      </w:r>
      <w:r>
        <w:rPr/>
        <w:t>一站式 服务平台</w:t>
      </w:r>
      <w:r>
        <w:rPr>
          <w:rFonts w:ascii="Times New Roman" w:hAnsi="Times New Roman" w:cs="Times New Roman" w:eastAsia="Times New Roman" w:hint="default"/>
        </w:rPr>
        <w:t>”</w:t>
      </w:r>
      <w:r>
        <w:rPr/>
        <w:t>，作为师生访问学校信息资源的统一入口，是学校碎片化轻应用的快速构建平台，</w:t>
      </w:r>
      <w:r>
        <w:rPr>
          <w:spacing w:val="-81"/>
        </w:rPr>
        <w:t> </w:t>
      </w:r>
      <w:r>
        <w:rPr>
          <w:spacing w:val="-81"/>
        </w:rPr>
      </w:r>
      <w:r>
        <w:rPr/>
        <w:t>在业务流程引擎的支撑下随时响应业务变化；推出了具备离线交易能力的集卡、码、脸一体</w:t>
      </w:r>
      <w:r>
        <w:rPr>
          <w:spacing w:val="-91"/>
        </w:rPr>
        <w:t> </w:t>
      </w:r>
      <w:r>
        <w:rPr>
          <w:spacing w:val="-91"/>
        </w:rPr>
      </w:r>
      <w:r>
        <w:rPr/>
        <w:t>化的消费</w:t>
      </w:r>
      <w:r>
        <w:rPr>
          <w:rFonts w:ascii="Times New Roman" w:hAnsi="Times New Roman" w:cs="Times New Roman" w:eastAsia="Times New Roman" w:hint="default"/>
        </w:rPr>
        <w:t>POS</w:t>
      </w:r>
      <w:r>
        <w:rPr/>
        <w:t>机、门禁机，扫码刷卡一体化的</w:t>
      </w:r>
      <w:r>
        <w:rPr>
          <w:rFonts w:ascii="Times New Roman" w:hAnsi="Times New Roman" w:cs="Times New Roman" w:eastAsia="Times New Roman" w:hint="default"/>
        </w:rPr>
        <w:t>NB-IoT</w:t>
      </w:r>
      <w:r>
        <w:rPr/>
        <w:t>物联网水控机等多款智能终端，其中基</w:t>
      </w:r>
      <w:r>
        <w:rPr>
          <w:spacing w:val="-94"/>
        </w:rPr>
        <w:t> </w:t>
      </w:r>
      <w:r>
        <w:rPr>
          <w:spacing w:val="-94"/>
        </w:rPr>
      </w:r>
      <w:r>
        <w:rPr/>
        <w:t>于动态人脸识别布控技术在智慧公寓中的创新特色应用，在行业内竞争优势明显；针对智慧</w:t>
      </w:r>
      <w:r>
        <w:rPr>
          <w:spacing w:val="-93"/>
        </w:rPr>
        <w:t> </w:t>
      </w:r>
      <w:r>
        <w:rPr>
          <w:spacing w:val="-93"/>
        </w:rPr>
      </w:r>
      <w:r>
        <w:rPr/>
        <w:t>校园场景下的多种细分领域和综合层面的需求形成智慧化解决方案，集合智能电控，智能水</w:t>
      </w:r>
      <w:r>
        <w:rPr>
          <w:spacing w:val="-93"/>
        </w:rPr>
        <w:t> </w:t>
      </w:r>
      <w:r>
        <w:rPr>
          <w:spacing w:val="-93"/>
        </w:rPr>
      </w:r>
      <w:r>
        <w:rPr/>
        <w:t>控，智慧洗衣机等校园常用功能，打造智慧校园生活服务新生态。</w:t>
      </w:r>
    </w:p>
    <w:p>
      <w:pPr>
        <w:pStyle w:val="BodyText"/>
        <w:spacing w:line="357" w:lineRule="auto" w:before="41"/>
        <w:ind w:left="353" w:right="1128" w:firstLine="480"/>
        <w:jc w:val="both"/>
      </w:pPr>
      <w:r>
        <w:rPr/>
        <w:t>与中国建设银行合作的校园</w:t>
      </w:r>
      <w:r>
        <w:rPr>
          <w:rFonts w:ascii="宋体" w:hAnsi="宋体" w:cs="宋体" w:eastAsia="宋体" w:hint="default"/>
        </w:rPr>
        <w:t>e</w:t>
      </w:r>
      <w:r>
        <w:rPr/>
        <w:t>码通、与中国工商银行合作的易校园工银</w:t>
      </w:r>
      <w:r>
        <w:rPr>
          <w:rFonts w:ascii="宋体" w:hAnsi="宋体" w:cs="宋体" w:eastAsia="宋体" w:hint="default"/>
        </w:rPr>
        <w:t>e</w:t>
      </w:r>
      <w:r>
        <w:rPr/>
        <w:t>钱包、与中国银 </w:t>
      </w:r>
      <w:r>
        <w:rPr>
          <w:spacing w:val="-2"/>
        </w:rPr>
        <w:t>行合作的园区餐卡、与中国银联合作的</w:t>
      </w:r>
      <w:r>
        <w:rPr>
          <w:rFonts w:ascii="宋体" w:hAnsi="宋体" w:cs="宋体" w:eastAsia="宋体" w:hint="default"/>
          <w:spacing w:val="-2"/>
        </w:rPr>
        <w:t>K12</w:t>
      </w:r>
      <w:r>
        <w:rPr>
          <w:spacing w:val="-2"/>
        </w:rPr>
        <w:t>支付代扣及平安校园等产品在全国得到推广和广泛</w:t>
      </w:r>
      <w:r>
        <w:rPr>
          <w:spacing w:val="-117"/>
        </w:rPr>
        <w:t> </w:t>
      </w:r>
      <w:r>
        <w:rPr/>
        <w:t>应用，使得公司在金融生态合作上继续保持行业领先。</w:t>
      </w:r>
    </w:p>
    <w:p>
      <w:pPr>
        <w:spacing w:after="0" w:line="357" w:lineRule="auto"/>
        <w:jc w:val="both"/>
        <w:sectPr>
          <w:pgSz w:w="11910" w:h="16840"/>
          <w:pgMar w:header="741" w:footer="979" w:top="1060" w:bottom="1160" w:left="7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主要资产重大变化情况" w:id="18"/>
      <w:bookmarkEnd w:id="1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4"/>
        <w:gridCol w:w="6516"/>
      </w:tblGrid>
      <w:tr>
        <w:trPr>
          <w:trHeight w:val="182"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主要系报告期子公司小兰智慧购入固定资产所致。</w:t>
            </w:r>
          </w:p>
        </w:tc>
      </w:tr>
      <w:tr>
        <w:trPr>
          <w:trHeight w:val="404"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主要系报告期正元智慧大厦装修工程投入所致。</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主要系报告期银行理财产品减少所致。</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主要系报告期收入较上年同期增长所致。</w:t>
            </w:r>
          </w:p>
        </w:tc>
      </w:tr>
      <w:tr>
        <w:trPr>
          <w:trHeight w:val="398"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主要系报告期在手订单增加未完成项目增加所致。</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主要系报告期留抵税额增加所致。</w:t>
            </w:r>
          </w:p>
        </w:tc>
      </w:tr>
      <w:tr>
        <w:trPr>
          <w:trHeight w:val="40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主要系报告期追加对卓然实业的投资和常电股份的投资所致。</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主要系报告期子公司小兰智慧新增洗衣房装修费增加所致。</w:t>
            </w:r>
          </w:p>
        </w:tc>
      </w:tr>
      <w:tr>
        <w:trPr>
          <w:trHeight w:val="398"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主要系报告期应收账款坏账准备和可抵扣亏损带来的可抵扣暂时性差异增加所致。</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主要系报告期尚未安装的小兰智慧洗衣资产增加所致。</w:t>
            </w:r>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bookmarkStart w:name="2、主要境外资产情况" w:id="19"/>
      <w:bookmarkEnd w:id="1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8"/>
        <w:rPr>
          <w:rFonts w:ascii="宋体" w:hAnsi="宋体" w:cs="宋体" w:eastAsia="宋体" w:hint="default"/>
          <w:b/>
          <w:bCs/>
          <w:sz w:val="29"/>
          <w:szCs w:val="29"/>
        </w:rPr>
      </w:pPr>
    </w:p>
    <w:p>
      <w:pPr>
        <w:pStyle w:val="BodyText"/>
        <w:spacing w:line="355" w:lineRule="auto"/>
        <w:ind w:left="633" w:right="1151"/>
        <w:jc w:val="left"/>
      </w:pPr>
      <w:r>
        <w:rPr/>
        <w:t>（一）研发实力及技术优势 公司是国家火炬计划重点高新技术企业、国家规划布局内重点软件企业，运用物联网、</w:t>
      </w:r>
    </w:p>
    <w:p>
      <w:pPr>
        <w:pStyle w:val="BodyText"/>
        <w:spacing w:line="352" w:lineRule="auto" w:before="41"/>
        <w:ind w:right="0"/>
        <w:jc w:val="left"/>
      </w:pPr>
      <w:r>
        <w:rPr/>
        <w:t>云计算、移动互联、大数据、智能感知、商业智能等技术，在为客户提供智慧校园的电子支 </w:t>
      </w:r>
      <w:r>
        <w:rPr>
          <w:spacing w:val="-5"/>
        </w:rPr>
        <w:t>付、身份识别、访问控制、水电节能、校园事务等服务的基础上，进一步实现校园数据治理、</w:t>
      </w:r>
      <w:r>
        <w:rPr/>
        <w:t> 应用治理、物联管理等智慧场景。结合前期预研成果，着力进行校园</w:t>
      </w:r>
      <w:r>
        <w:rPr>
          <w:rFonts w:ascii="Times New Roman" w:hAnsi="Times New Roman" w:cs="Times New Roman" w:eastAsia="Times New Roman" w:hint="default"/>
        </w:rPr>
        <w:t>IoE</w:t>
      </w:r>
      <w:r>
        <w:rPr/>
        <w:t>综合服务平台设计、</w:t>
      </w:r>
      <w:r>
        <w:rPr>
          <w:spacing w:val="-71"/>
        </w:rPr>
        <w:t> </w:t>
      </w:r>
      <w:r>
        <w:rPr/>
        <w:t>研发工作，为学生和校园管理者提供更加便利舒适的生活环境和智能开放的教育教学氛围，</w:t>
      </w:r>
      <w:r>
        <w:rPr/>
        <w:t> 改变师生与学校资源、环境的交互方式，提供以人为本、管理精细化、数据价值最大化的品 质服务。智慧校园服务作为智慧校园的重要组成部分，与师生、员工的日常生活、学习息息 相关，是学校教育质量、人才培养、生活保障的重要影响因素。公司把握智慧校园服务体系 </w:t>
      </w:r>
      <w:r>
        <w:rPr>
          <w:spacing w:val="-8"/>
        </w:rPr>
        <w:t>构建的重点方向，建设智慧场景丰富、操作便捷、数据治理更加优化的校园</w:t>
      </w:r>
      <w:r>
        <w:rPr>
          <w:rFonts w:ascii="Times New Roman" w:hAnsi="Times New Roman" w:cs="Times New Roman" w:eastAsia="Times New Roman" w:hint="default"/>
          <w:spacing w:val="-8"/>
        </w:rPr>
        <w:t>IoE</w:t>
      </w:r>
      <w:r>
        <w:rPr>
          <w:spacing w:val="-8"/>
        </w:rPr>
        <w:t>综合服务平台，</w:t>
      </w:r>
      <w:r>
        <w:rPr>
          <w:spacing w:val="-80"/>
        </w:rPr>
        <w:t> </w:t>
      </w:r>
      <w:r>
        <w:rPr/>
        <w:t>向用户提供符合政策导向的优质校园服务，推动公司步入新一轮成长周期。</w:t>
      </w:r>
    </w:p>
    <w:p>
      <w:pPr>
        <w:pStyle w:val="BodyText"/>
        <w:spacing w:line="240" w:lineRule="auto" w:before="38"/>
        <w:ind w:left="633" w:right="0"/>
        <w:jc w:val="left"/>
      </w:pPr>
      <w:r>
        <w:rPr/>
        <w:t>公司注重引进高素质研发人才，核心技术人员具有丰富的专业经验，在智慧校园、智慧</w:t>
      </w:r>
    </w:p>
    <w:p>
      <w:pPr>
        <w:spacing w:after="0" w:line="240" w:lineRule="auto"/>
        <w:jc w:val="left"/>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36" w:lineRule="auto" w:before="26"/>
        <w:ind w:right="1151"/>
        <w:jc w:val="left"/>
      </w:pPr>
      <w:r>
        <w:rPr/>
        <w:t>园区与行业智能化建设等领域具有较强的技术创新能力。截至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日，公司共有研 发人员</w:t>
      </w:r>
      <w:r>
        <w:rPr>
          <w:rFonts w:ascii="Times New Roman" w:hAnsi="Times New Roman" w:cs="Times New Roman" w:eastAsia="Times New Roman" w:hint="default"/>
        </w:rPr>
        <w:t>427</w:t>
      </w:r>
      <w:r>
        <w:rPr/>
        <w:t>人，占职工总数的</w:t>
      </w:r>
      <w:r>
        <w:rPr>
          <w:rFonts w:ascii="Times New Roman" w:hAnsi="Times New Roman" w:cs="Times New Roman" w:eastAsia="Times New Roman" w:hint="default"/>
        </w:rPr>
        <w:t>34.72%</w:t>
      </w:r>
      <w:r>
        <w:rPr/>
        <w:t>；拥有软件著作权</w:t>
      </w:r>
      <w:r>
        <w:rPr>
          <w:rFonts w:ascii="Times New Roman" w:hAnsi="Times New Roman" w:cs="Times New Roman" w:eastAsia="Times New Roman" w:hint="default"/>
        </w:rPr>
        <w:t>448</w:t>
      </w:r>
      <w:r>
        <w:rPr/>
        <w:t>项、专利权</w:t>
      </w:r>
      <w:r>
        <w:rPr>
          <w:rFonts w:ascii="Times New Roman" w:hAnsi="Times New Roman" w:cs="Times New Roman" w:eastAsia="Times New Roman" w:hint="default"/>
        </w:rPr>
        <w:t>42</w:t>
      </w:r>
      <w:r>
        <w:rPr/>
        <w:t>项、商标权</w:t>
      </w:r>
      <w:r>
        <w:rPr>
          <w:rFonts w:ascii="Times New Roman" w:hAnsi="Times New Roman" w:cs="Times New Roman" w:eastAsia="Times New Roman" w:hint="default"/>
        </w:rPr>
        <w:t>70</w:t>
      </w:r>
      <w:r>
        <w:rPr/>
        <w:t>项。</w:t>
      </w:r>
    </w:p>
    <w:p>
      <w:pPr>
        <w:pStyle w:val="BodyText"/>
        <w:spacing w:line="355" w:lineRule="auto" w:before="32"/>
        <w:ind w:left="633" w:right="1151"/>
        <w:jc w:val="left"/>
      </w:pPr>
      <w:r>
        <w:rPr/>
        <w:t>（二）稳固的客户资源和完善的营销网络 公司在发展过程中注重与客户建立紧密的合作关系，共同发展、共同成长，逐步形成了</w:t>
      </w:r>
    </w:p>
    <w:p>
      <w:pPr>
        <w:pStyle w:val="BodyText"/>
        <w:spacing w:line="357" w:lineRule="auto" w:before="41"/>
        <w:ind w:right="1168"/>
        <w:jc w:val="both"/>
      </w:pPr>
      <w:r>
        <w:rPr/>
        <w:t>良好的美誉度和较强的品牌影响力。经过长期的市场经营与运维服务，公司在国内区域市场 份额得到了进一步的扩大，积累并沉淀了一大批优质客户。除在教育行业拥有广泛的市场基 础外，公司还在电力、医疗、政府、军警等其他领域也有成功的行业案例。公司通过对已有 客户的优质服务，不断实现产品迭代，延伸产品服务链，在增强客户黏性的同时，实现公司 主营业务的持续稳定增长。</w:t>
      </w:r>
    </w:p>
    <w:p>
      <w:pPr>
        <w:pStyle w:val="BodyText"/>
        <w:spacing w:line="357" w:lineRule="auto" w:before="34"/>
        <w:ind w:right="1167" w:firstLine="480"/>
        <w:jc w:val="both"/>
      </w:pPr>
      <w:r>
        <w:rPr/>
        <w:t>公司实行直销的销售模式，便于公司自主掌控市场资源。在营销方面，公司多管齐下， 积极开辟新区域新市场，全国营销网络体系进一步完善。同时，公司与区域型、产品型优势 企业进行合作，实现市场的快速切入与扩张。公司坚持根据地式的市场建设策略，逐步形成 了若干密集、稳固、平稳增长的用户群，使公司拥有更大的市场主动权，同时又可整合资源 开展行业拓展。</w:t>
      </w:r>
    </w:p>
    <w:p>
      <w:pPr>
        <w:pStyle w:val="BodyText"/>
        <w:spacing w:line="355" w:lineRule="auto" w:before="38"/>
        <w:ind w:left="633" w:right="1151"/>
        <w:jc w:val="left"/>
      </w:pPr>
      <w:r>
        <w:rPr/>
        <w:t>（三）具备多层次的盈利模式 公司经过多年的发展，结合行业发展趋势和客户的多层次需求，运用自身的竞争优势和</w:t>
      </w:r>
    </w:p>
    <w:p>
      <w:pPr>
        <w:pStyle w:val="BodyText"/>
        <w:spacing w:line="350" w:lineRule="auto" w:before="41"/>
        <w:ind w:right="0"/>
        <w:jc w:val="left"/>
      </w:pPr>
      <w:r>
        <w:rPr/>
        <w:t>可持续发展能力，逐步形成了多层次的盈利模式：研发的智慧易通等核心平台，包含电子支 付、访问控制、水电节能、金融服务、管理服务、移动服务、管理决策、系统集成等八大类 应用软件产品，同时涵盖集卡、码、脸识别为一体的智能化终端及多款无线物联网节水控制 器等硬件产品。通过为</w:t>
      </w:r>
      <w:r>
        <w:rPr>
          <w:rFonts w:ascii="Times New Roman" w:hAnsi="Times New Roman" w:cs="Times New Roman" w:eastAsia="Times New Roman" w:hint="default"/>
        </w:rPr>
        <w:t>B</w:t>
      </w:r>
      <w:r>
        <w:rPr/>
        <w:t>端客户提供多样化的解决方案，向客户提供智能化软硬件产品并完 成项目建设，取得项目收益；建立成熟的客户服务体系，拥有稳定的售后服务队伍。项目建 设完成后，通过为用户提供优质高效的产品售后服务，开展后续产品延伸销售，实现服务收 益；通过整合高校运营资源，提供自助洗衣等服务，开展线下运营。通过采用</w:t>
      </w:r>
      <w:r>
        <w:rPr>
          <w:rFonts w:ascii="Times New Roman" w:hAnsi="Times New Roman" w:cs="Times New Roman" w:eastAsia="Times New Roman" w:hint="default"/>
        </w:rPr>
        <w:t>BOT</w:t>
      </w:r>
      <w:r>
        <w:rPr/>
        <w:t>模式向高 校提供无线网络运营、水电运营等增值服务及整体解决方案。通过构建公共云服务平台，为 </w:t>
      </w:r>
      <w:r>
        <w:rPr>
          <w:rFonts w:ascii="Times New Roman" w:hAnsi="Times New Roman" w:cs="Times New Roman" w:eastAsia="Times New Roman" w:hint="default"/>
          <w:spacing w:val="2"/>
        </w:rPr>
        <w:t>C</w:t>
      </w:r>
      <w:r>
        <w:rPr>
          <w:spacing w:val="2"/>
        </w:rPr>
        <w:t>端用户提供精准、高效、便捷的线上线下一体化服务，公司业务从</w:t>
      </w:r>
      <w:r>
        <w:rPr>
          <w:rFonts w:ascii="Times New Roman" w:hAnsi="Times New Roman" w:cs="Times New Roman" w:eastAsia="Times New Roman" w:hint="default"/>
          <w:spacing w:val="2"/>
        </w:rPr>
        <w:t>ToB</w:t>
      </w:r>
      <w:r>
        <w:rPr>
          <w:spacing w:val="2"/>
        </w:rPr>
        <w:t>到</w:t>
      </w:r>
      <w:r>
        <w:rPr>
          <w:rFonts w:ascii="Times New Roman" w:hAnsi="Times New Roman" w:cs="Times New Roman" w:eastAsia="Times New Roman" w:hint="default"/>
          <w:spacing w:val="2"/>
        </w:rPr>
        <w:t>ToC</w:t>
      </w:r>
      <w:r>
        <w:rPr>
          <w:spacing w:val="2"/>
        </w:rPr>
        <w:t>的服务延伸，</w:t>
      </w:r>
      <w:r>
        <w:rPr>
          <w:spacing w:val="-114"/>
        </w:rPr>
        <w:t> </w:t>
      </w:r>
      <w:r>
        <w:rPr/>
        <w:t>实现运营收益。</w:t>
      </w:r>
    </w:p>
    <w:p>
      <w:pPr>
        <w:pStyle w:val="BodyText"/>
        <w:spacing w:line="355" w:lineRule="auto" w:before="46"/>
        <w:ind w:left="633" w:right="1151"/>
        <w:jc w:val="left"/>
      </w:pPr>
      <w:r>
        <w:rPr/>
        <w:t>（四）健全的客户服务体系优势 公司拥有行业领先的建筑智能化设计甲级、施工一级、安防一级等专业资质和专业实施</w:t>
      </w:r>
    </w:p>
    <w:p>
      <w:pPr>
        <w:pStyle w:val="BodyText"/>
        <w:spacing w:line="240" w:lineRule="auto" w:before="41"/>
        <w:ind w:right="0"/>
        <w:jc w:val="left"/>
      </w:pPr>
      <w:r>
        <w:rPr/>
        <w:t>能力，在软件开发、硬件设计、生产制造、智能化系统设计、施工、运维管理方面实现全业</w:t>
      </w:r>
    </w:p>
    <w:p>
      <w:pPr>
        <w:spacing w:after="0" w:line="240" w:lineRule="auto"/>
        <w:jc w:val="left"/>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55" w:lineRule="auto" w:before="26"/>
        <w:ind w:right="1130"/>
        <w:jc w:val="both"/>
      </w:pPr>
      <w:r>
        <w:rPr/>
        <w:t>务场景的配套，具备更强的专业优势和交付能力。深入了解客户状况，形成了多层面的互动 交流沟通机制与客户服务应急保障机制，建立了成熟的客户服务体系；明确客户服务标准， 组建稳定的客户服务队伍，实现了扁平化响应机制，运用全国呼叫中心、属地化服务、驻场 </w:t>
      </w:r>
      <w:r>
        <w:rPr>
          <w:spacing w:val="-5"/>
        </w:rPr>
        <w:t>服务、远程服务、在线服务云平台等多种方式及时处理客户的问题；健全客户服务督查机制，</w:t>
      </w:r>
      <w:r>
        <w:rPr/>
        <w:t> 重新对</w:t>
      </w:r>
      <w:r>
        <w:rPr>
          <w:rFonts w:ascii="Times New Roman" w:hAnsi="Times New Roman" w:cs="Times New Roman" w:eastAsia="Times New Roman" w:hint="default"/>
        </w:rPr>
        <w:t>ITSS</w:t>
      </w:r>
      <w:r>
        <w:rPr/>
        <w:t>服务体系进行个性化流程规划，建立客户服务反馈与检查机制，加强对客户服务 的后台回访，对服务过程、质量、记录进行定期巡查和不定期抽查，针对客户满意度进行反 馈、记录、考核，提升整体服务效率和客户满意度，确保为客户提供优质高效的服务。</w:t>
      </w:r>
    </w:p>
    <w:p>
      <w:pPr>
        <w:pStyle w:val="BodyText"/>
        <w:spacing w:line="360" w:lineRule="auto" w:before="36"/>
        <w:ind w:left="633" w:right="1124"/>
        <w:jc w:val="left"/>
      </w:pPr>
      <w:r>
        <w:rPr/>
        <w:t>（五）智慧校园服务生态建设优势 </w:t>
      </w:r>
      <w:r>
        <w:rPr>
          <w:spacing w:val="-2"/>
        </w:rPr>
        <w:t>公司运用物联网、移动互联网、大数据、云计算、区块链等技术，搭建校园</w:t>
      </w:r>
      <w:r>
        <w:rPr>
          <w:rFonts w:ascii="Times New Roman" w:hAnsi="Times New Roman" w:cs="Times New Roman" w:eastAsia="Times New Roman" w:hint="default"/>
          <w:spacing w:val="-2"/>
        </w:rPr>
        <w:t>IoE</w:t>
      </w:r>
      <w:r>
        <w:rPr>
          <w:spacing w:val="-2"/>
        </w:rPr>
        <w:t>物联网综</w:t>
      </w:r>
    </w:p>
    <w:p>
      <w:pPr>
        <w:pStyle w:val="BodyText"/>
        <w:spacing w:line="357" w:lineRule="auto" w:before="1"/>
        <w:ind w:right="1128"/>
        <w:jc w:val="both"/>
      </w:pPr>
      <w:r>
        <w:rPr/>
        <w:t>合服务平台，聚力构建智慧校园服务新生态，形成物物互联、人物互通的泛在物联网络，奠 定平台基础、数据基础，从一卡通向物联网运营服务转型升级，向物联网产业深度拓展。积 </w:t>
      </w:r>
      <w:r>
        <w:rPr>
          <w:spacing w:val="-5"/>
        </w:rPr>
        <w:t>极打造智慧校园生活场景化服务的多样性、应用的智能性，以云服务为基础全力推进易校园，</w:t>
      </w:r>
      <w:r>
        <w:rPr>
          <w:spacing w:val="-116"/>
        </w:rPr>
        <w:t> </w:t>
      </w:r>
      <w:r>
        <w:rPr>
          <w:spacing w:val="-116"/>
        </w:rPr>
      </w:r>
      <w:r>
        <w:rPr>
          <w:spacing w:val="-6"/>
        </w:rPr>
        <w:t>以一卡通为基础叠加自助洗衣等其他校园服务，实现了智慧校园的餐饮、住宿、用水、用电、</w:t>
      </w:r>
      <w:r>
        <w:rPr>
          <w:spacing w:val="-82"/>
        </w:rPr>
        <w:t> </w:t>
      </w:r>
      <w:r>
        <w:rPr>
          <w:spacing w:val="-82"/>
        </w:rPr>
      </w:r>
      <w:r>
        <w:rPr>
          <w:spacing w:val="-5"/>
        </w:rPr>
        <w:t>洗衣、饮水等全场景的校园服务生态，线上线下相促相融，智慧校园服务生态建设优势初显。</w:t>
      </w:r>
    </w:p>
    <w:p>
      <w:pPr>
        <w:pStyle w:val="BodyText"/>
        <w:spacing w:line="355" w:lineRule="auto" w:before="38"/>
        <w:ind w:left="633" w:right="1151"/>
        <w:jc w:val="left"/>
      </w:pPr>
      <w:r>
        <w:rPr/>
        <w:t>（六）独特的企业文化与团队建设优势 公司坚持以军魂锻造执行力、以创新塑造竞争力，坚持“心怀客户、坦荡诚信、主动担</w:t>
      </w:r>
    </w:p>
    <w:p>
      <w:pPr>
        <w:pStyle w:val="BodyText"/>
        <w:spacing w:line="350" w:lineRule="auto" w:before="41"/>
        <w:ind w:right="1125"/>
        <w:jc w:val="both"/>
      </w:pPr>
      <w:r>
        <w:rPr/>
        <w:t>当、求实创新、共创共享”的价值观，坚持“知识分子革命化，革命分子知识化”的育才理 </w:t>
      </w:r>
      <w:r>
        <w:rPr>
          <w:spacing w:val="-5"/>
        </w:rPr>
        <w:t>念，全面打造具有军人特质的企业文化。公司管理上强调以人为本，注重引才、育才、用才，</w:t>
      </w:r>
      <w:r>
        <w:rPr/>
        <w:t> 关注员工成长与发展，细化职岗薪酬体系，优化以市场为导向的考核激励制度，进一步完善 </w:t>
      </w:r>
      <w:r>
        <w:rPr>
          <w:spacing w:val="-2"/>
        </w:rPr>
        <w:t>人力资源体系建设。出台奖励政策，鼓励员工参加执业资格考试与职称认定。继续办好</w:t>
      </w:r>
      <w:r>
        <w:rPr>
          <w:rFonts w:ascii="Times New Roman" w:hAnsi="Times New Roman" w:cs="Times New Roman" w:eastAsia="Times New Roman" w:hint="default"/>
          <w:spacing w:val="-2"/>
        </w:rPr>
        <w:t>“</w:t>
      </w:r>
      <w:r>
        <w:rPr>
          <w:spacing w:val="-2"/>
        </w:rPr>
        <w:t>正元</w:t>
      </w:r>
      <w:r>
        <w:rPr>
          <w:spacing w:val="-113"/>
        </w:rPr>
        <w:t> </w:t>
      </w:r>
      <w:r>
        <w:rPr>
          <w:spacing w:val="-2"/>
        </w:rPr>
        <w:t>学堂</w:t>
      </w:r>
      <w:r>
        <w:rPr>
          <w:rFonts w:ascii="Times New Roman" w:hAnsi="Times New Roman" w:cs="Times New Roman" w:eastAsia="Times New Roman" w:hint="default"/>
          <w:spacing w:val="-2"/>
        </w:rPr>
        <w:t>”</w:t>
      </w:r>
      <w:r>
        <w:rPr>
          <w:spacing w:val="-2"/>
        </w:rPr>
        <w:t>，定期开展新员工军训，以及研发、技术、营销、管理多层级培训和专项培训，提高队</w:t>
      </w:r>
      <w:r>
        <w:rPr>
          <w:spacing w:val="-104"/>
        </w:rPr>
        <w:t> </w:t>
      </w:r>
      <w:r>
        <w:rPr>
          <w:spacing w:val="-104"/>
        </w:rPr>
      </w:r>
      <w:r>
        <w:rPr/>
        <w:t>伍素质，以满足公司快速发展过程中对人才的需求。</w:t>
      </w:r>
    </w:p>
    <w:p>
      <w:pPr>
        <w:spacing w:after="0" w:line="350"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043" w:right="0"/>
        <w:jc w:val="left"/>
        <w:rPr>
          <w:b w:val="0"/>
          <w:bCs w:val="0"/>
        </w:rPr>
      </w:pPr>
      <w:bookmarkStart w:name="第四节经营情况讨论与分析" w:id="21"/>
      <w:bookmarkEnd w:id="21"/>
      <w:r>
        <w:rPr>
          <w:b w:val="0"/>
          <w:bCs w:val="0"/>
        </w:rPr>
      </w:r>
      <w:bookmarkStart w:name="_bookmark2" w:id="22"/>
      <w:bookmarkEnd w:id="22"/>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both"/>
        <w:rPr>
          <w:b w:val="0"/>
          <w:bCs w:val="0"/>
        </w:rPr>
      </w:pPr>
      <w:bookmarkStart w:name="一、概述" w:id="23"/>
      <w:bookmarkEnd w:id="23"/>
      <w:r>
        <w:rPr>
          <w:b w:val="0"/>
          <w:bCs w:val="0"/>
        </w:rPr>
      </w:r>
      <w:r>
        <w:rPr/>
        <w:t>一、概述</w:t>
      </w:r>
      <w:r>
        <w:rPr>
          <w:b w:val="0"/>
          <w:bCs w:val="0"/>
        </w:rPr>
      </w:r>
    </w:p>
    <w:p>
      <w:pPr>
        <w:spacing w:line="240" w:lineRule="auto" w:before="7"/>
        <w:rPr>
          <w:rFonts w:ascii="宋体" w:hAnsi="宋体" w:cs="宋体" w:eastAsia="宋体" w:hint="default"/>
          <w:b/>
          <w:bCs/>
          <w:sz w:val="29"/>
          <w:szCs w:val="29"/>
        </w:rPr>
      </w:pPr>
    </w:p>
    <w:p>
      <w:pPr>
        <w:pStyle w:val="BodyText"/>
        <w:spacing w:line="357" w:lineRule="auto"/>
        <w:ind w:right="1165" w:firstLine="480"/>
        <w:jc w:val="both"/>
      </w:pPr>
      <w:r>
        <w:rPr/>
        <w:t>报告期内，面对技术迭代加速、行业竞争加剧的市场环境，公司坚持“以新应变、以质 应变、以合应变、以快应变”的发展理念，积极应对风险，有效把握机遇，制定发展战略， 拓展全国市场，理顺研发体系，规范管理运营，全面促进转型升级，初步形成协同发展新生 态。</w:t>
      </w:r>
    </w:p>
    <w:p>
      <w:pPr>
        <w:pStyle w:val="BodyText"/>
        <w:spacing w:line="357" w:lineRule="auto" w:before="38"/>
        <w:ind w:right="1132" w:firstLine="480"/>
        <w:jc w:val="both"/>
      </w:pPr>
      <w:r>
        <w:rPr>
          <w:spacing w:val="-2"/>
        </w:rPr>
        <w:t>报告期内，公司实现营业收入</w:t>
      </w:r>
      <w:r>
        <w:rPr>
          <w:rFonts w:ascii="宋体" w:hAnsi="宋体" w:cs="宋体" w:eastAsia="宋体" w:hint="default"/>
          <w:spacing w:val="-2"/>
        </w:rPr>
        <w:t>75,105.45</w:t>
      </w:r>
      <w:r>
        <w:rPr>
          <w:spacing w:val="-2"/>
        </w:rPr>
        <w:t>万元，比上年同期增长</w:t>
      </w:r>
      <w:r>
        <w:rPr>
          <w:rFonts w:ascii="宋体" w:hAnsi="宋体" w:cs="宋体" w:eastAsia="宋体" w:hint="default"/>
          <w:spacing w:val="-2"/>
        </w:rPr>
        <w:t>32.50%</w:t>
      </w:r>
      <w:r>
        <w:rPr>
          <w:spacing w:val="-2"/>
        </w:rPr>
        <w:t>；实现归属于上市</w:t>
      </w:r>
      <w:r>
        <w:rPr/>
        <w:t> 公司股东的净利润</w:t>
      </w:r>
      <w:r>
        <w:rPr>
          <w:rFonts w:ascii="宋体" w:hAnsi="宋体" w:cs="宋体" w:eastAsia="宋体" w:hint="default"/>
        </w:rPr>
        <w:t>4,506.95</w:t>
      </w:r>
      <w:r>
        <w:rPr/>
        <w:t>万元，比上年同期下降</w:t>
      </w:r>
      <w:r>
        <w:rPr>
          <w:rFonts w:ascii="宋体" w:hAnsi="宋体" w:cs="宋体" w:eastAsia="宋体" w:hint="default"/>
        </w:rPr>
        <w:t>10.49%</w:t>
      </w:r>
      <w:r>
        <w:rPr/>
        <w:t>；扣非后归属于上市公司股东的净 利润</w:t>
      </w:r>
      <w:r>
        <w:rPr>
          <w:rFonts w:ascii="宋体" w:hAnsi="宋体" w:cs="宋体" w:eastAsia="宋体" w:hint="default"/>
        </w:rPr>
        <w:t>4,060.12</w:t>
      </w:r>
      <w:r>
        <w:rPr/>
        <w:t>万元，下降了</w:t>
      </w:r>
      <w:r>
        <w:rPr>
          <w:rFonts w:ascii="宋体" w:hAnsi="宋体" w:cs="宋体" w:eastAsia="宋体" w:hint="default"/>
        </w:rPr>
        <w:t>14.35%</w:t>
      </w:r>
      <w:r>
        <w:rPr/>
        <w:t>。报告期内公司营业收入较上年有所增加，归属于上市公 司股东的净利润较上年同期有一定的下降。</w:t>
      </w:r>
    </w:p>
    <w:p>
      <w:pPr>
        <w:pStyle w:val="BodyText"/>
        <w:spacing w:line="357" w:lineRule="auto" w:before="38"/>
        <w:ind w:right="1128" w:firstLine="480"/>
        <w:jc w:val="both"/>
      </w:pPr>
      <w:r>
        <w:rPr/>
        <w:t>报告期内，公司实施了</w:t>
      </w:r>
      <w:r>
        <w:rPr>
          <w:rFonts w:ascii="宋体" w:hAnsi="宋体" w:cs="宋体" w:eastAsia="宋体" w:hint="default"/>
        </w:rPr>
        <w:t>2018</w:t>
      </w:r>
      <w:r>
        <w:rPr/>
        <w:t>年度利润分配方案，以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66,666,667</w:t>
      </w:r>
      <w:r>
        <w:rPr/>
        <w:t>股 </w:t>
      </w:r>
      <w:r>
        <w:rPr>
          <w:spacing w:val="-2"/>
        </w:rPr>
        <w:t>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1.50</w:t>
      </w:r>
      <w:r>
        <w:rPr>
          <w:spacing w:val="-2"/>
        </w:rPr>
        <w:t>元（含税），送红股</w:t>
      </w:r>
      <w:r>
        <w:rPr>
          <w:rFonts w:ascii="宋体" w:hAnsi="宋体" w:cs="宋体" w:eastAsia="宋体" w:hint="default"/>
          <w:spacing w:val="-2"/>
        </w:rPr>
        <w:t>0</w:t>
      </w:r>
      <w:r>
        <w:rPr>
          <w:spacing w:val="-2"/>
        </w:rPr>
        <w:t>股（含税），以资本公积</w:t>
      </w:r>
      <w:r>
        <w:rPr>
          <w:spacing w:val="-117"/>
        </w:rPr>
        <w:t> </w:t>
      </w:r>
      <w:r>
        <w:rPr>
          <w:spacing w:val="-117"/>
        </w:rPr>
      </w:r>
      <w:r>
        <w:rPr/>
        <w:t>金向全体股东每</w:t>
      </w:r>
      <w:r>
        <w:rPr>
          <w:rFonts w:ascii="宋体" w:hAnsi="宋体" w:cs="宋体" w:eastAsia="宋体" w:hint="default"/>
        </w:rPr>
        <w:t>10</w:t>
      </w:r>
      <w:r>
        <w:rPr/>
        <w:t>股转增</w:t>
      </w:r>
      <w:r>
        <w:rPr>
          <w:rFonts w:ascii="宋体" w:hAnsi="宋体" w:cs="宋体" w:eastAsia="宋体" w:hint="default"/>
        </w:rPr>
        <w:t>9</w:t>
      </w:r>
      <w:r>
        <w:rPr/>
        <w:t>股。</w:t>
      </w:r>
    </w:p>
    <w:p>
      <w:pPr>
        <w:spacing w:line="360" w:lineRule="auto" w:before="34"/>
        <w:ind w:left="633" w:right="1151" w:firstLine="0"/>
        <w:jc w:val="left"/>
        <w:rPr>
          <w:rFonts w:ascii="宋体" w:hAnsi="宋体" w:cs="宋体" w:eastAsia="宋体" w:hint="default"/>
          <w:sz w:val="24"/>
          <w:szCs w:val="24"/>
        </w:rPr>
      </w:pPr>
      <w:r>
        <w:rPr>
          <w:rFonts w:ascii="宋体" w:hAnsi="宋体" w:cs="宋体" w:eastAsia="宋体" w:hint="default"/>
          <w:b/>
          <w:bCs/>
          <w:sz w:val="24"/>
          <w:szCs w:val="24"/>
        </w:rPr>
        <w:t>（一）加快转型升级步伐，积极推进战略实行。</w:t>
      </w:r>
      <w:r>
        <w:rPr>
          <w:rFonts w:ascii="宋体" w:hAnsi="宋体" w:cs="宋体" w:eastAsia="宋体" w:hint="default"/>
          <w:b/>
          <w:bCs/>
          <w:w w:val="99"/>
          <w:sz w:val="24"/>
          <w:szCs w:val="24"/>
        </w:rPr>
        <w:t> </w:t>
      </w:r>
      <w:r>
        <w:rPr>
          <w:rFonts w:ascii="宋体" w:hAnsi="宋体" w:cs="宋体" w:eastAsia="宋体" w:hint="default"/>
          <w:sz w:val="24"/>
          <w:szCs w:val="24"/>
        </w:rPr>
        <w:t>积极运用物联网、移动互联网、大数据、区块链等技术，加快向物联网产业深度拓展，</w:t>
      </w:r>
    </w:p>
    <w:p>
      <w:pPr>
        <w:pStyle w:val="BodyText"/>
        <w:spacing w:line="357" w:lineRule="auto" w:before="31"/>
        <w:ind w:right="1130"/>
        <w:jc w:val="both"/>
      </w:pPr>
      <w:r>
        <w:rPr>
          <w:spacing w:val="-6"/>
        </w:rPr>
        <w:t>以“让科技使工作生活更智慧”为使命，致力于构建智慧校园服务新生态，成为行业引领者。</w:t>
      </w:r>
      <w:r>
        <w:rPr>
          <w:spacing w:val="-82"/>
        </w:rPr>
        <w:t> </w:t>
      </w:r>
      <w:r>
        <w:rPr>
          <w:spacing w:val="-82"/>
        </w:rPr>
      </w:r>
      <w:r>
        <w:rPr/>
        <w:t>不断加大研发投入，积极引进大数据、物联网等高端人才和技术骨干；加强与重点高校、企 业等合作，以人工智能、区块链等新技术为重点，与知名企业共同探讨教育行业应用落地方 案；积极将无感知技术、边缘计算技术用于公司硬件产品，将云服务纳入平台架构，加快从 一卡通企业向物联网企业转型升级；结合战略发展方向，申请发行可转换公司债券用于校园 </w:t>
      </w:r>
      <w:r>
        <w:rPr>
          <w:rFonts w:ascii="宋体" w:hAnsi="宋体" w:cs="宋体" w:eastAsia="宋体" w:hint="default"/>
          <w:spacing w:val="-2"/>
        </w:rPr>
        <w:t>IoE</w:t>
      </w:r>
      <w:r>
        <w:rPr>
          <w:spacing w:val="-2"/>
        </w:rPr>
        <w:t>综合服务平台和自助洗衣生活服务平台的研发及推广；加大对外投资，参股常工电子，合</w:t>
      </w:r>
      <w:r>
        <w:rPr>
          <w:spacing w:val="-118"/>
        </w:rPr>
        <w:t> </w:t>
      </w:r>
      <w:r>
        <w:rPr>
          <w:spacing w:val="-118"/>
        </w:rPr>
      </w:r>
      <w:r>
        <w:rPr/>
        <w:t>作成立双旗智慧，实现多项业务融合共促、协同发展，扩大行业领先优势，促进构建智慧校</w:t>
      </w:r>
      <w:r>
        <w:rPr/>
        <w:t> 园服务生态，助推公司战略实行。</w:t>
      </w:r>
    </w:p>
    <w:p>
      <w:pPr>
        <w:spacing w:line="360" w:lineRule="auto" w:before="34"/>
        <w:ind w:left="633" w:right="1151" w:firstLine="0"/>
        <w:jc w:val="left"/>
        <w:rPr>
          <w:rFonts w:ascii="宋体" w:hAnsi="宋体" w:cs="宋体" w:eastAsia="宋体" w:hint="default"/>
          <w:sz w:val="24"/>
          <w:szCs w:val="24"/>
        </w:rPr>
      </w:pPr>
      <w:r>
        <w:rPr>
          <w:rFonts w:ascii="宋体" w:hAnsi="宋体" w:cs="宋体" w:eastAsia="宋体" w:hint="default"/>
          <w:b/>
          <w:bCs/>
          <w:sz w:val="24"/>
          <w:szCs w:val="24"/>
        </w:rPr>
        <w:t>（二）加大市场拓展力度，主营业务稳健增长。</w:t>
      </w:r>
      <w:r>
        <w:rPr>
          <w:rFonts w:ascii="宋体" w:hAnsi="宋体" w:cs="宋体" w:eastAsia="宋体" w:hint="default"/>
          <w:b/>
          <w:bCs/>
          <w:w w:val="99"/>
          <w:sz w:val="24"/>
          <w:szCs w:val="24"/>
        </w:rPr>
        <w:t> </w:t>
      </w:r>
      <w:r>
        <w:rPr>
          <w:rFonts w:ascii="宋体" w:hAnsi="宋体" w:cs="宋体" w:eastAsia="宋体" w:hint="default"/>
          <w:sz w:val="24"/>
          <w:szCs w:val="24"/>
        </w:rPr>
        <w:t>牢牢把握浙江市场主动权，华东市场、西北市场积极拓展新区域新用户，山东市场自主</w:t>
      </w:r>
    </w:p>
    <w:p>
      <w:pPr>
        <w:pStyle w:val="BodyText"/>
        <w:spacing w:line="360" w:lineRule="auto" w:before="32"/>
        <w:ind w:right="1168"/>
        <w:jc w:val="both"/>
      </w:pPr>
      <w:r>
        <w:rPr/>
        <w:t>产品推广力度进一步加大，广西市场采取灵活的组合销售方式，销售业绩明显提升；上海市 场拓展了一批高端用户，四川、福建、辽宁、陕西、河北、湖北、湖南等市场呈现出良好的</w:t>
      </w:r>
    </w:p>
    <w:p>
      <w:pPr>
        <w:spacing w:after="0" w:line="360"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57" w:lineRule="auto" w:before="26"/>
        <w:ind w:right="1130"/>
        <w:jc w:val="both"/>
      </w:pPr>
      <w:r>
        <w:rPr>
          <w:spacing w:val="-5"/>
        </w:rPr>
        <w:t>扩张态势，公司全年新增高校用户近百家，全国市场占有率明显提升；在中国科学技术大学、</w:t>
      </w:r>
      <w:r>
        <w:rPr/>
        <w:t> 上海外国语大学、中国人民解放军第二军医大学、合肥工业大学、西安电子科技大学等一批 “双一流”高校部署了智慧易通系统，取得兰州大学信息化应用治理项目及河北工程大学、 福建闽江学院、山东师范大学等一批千万级一卡通项目，重点项目有效把控，项目规模进一 步扩大，市场影响力明显提升。</w:t>
      </w:r>
    </w:p>
    <w:p>
      <w:pPr>
        <w:spacing w:line="360" w:lineRule="auto" w:before="34"/>
        <w:ind w:left="633" w:right="1151" w:firstLine="0"/>
        <w:jc w:val="left"/>
        <w:rPr>
          <w:rFonts w:ascii="宋体" w:hAnsi="宋体" w:cs="宋体" w:eastAsia="宋体" w:hint="default"/>
          <w:sz w:val="24"/>
          <w:szCs w:val="24"/>
        </w:rPr>
      </w:pPr>
      <w:r>
        <w:rPr>
          <w:rFonts w:ascii="宋体" w:hAnsi="宋体" w:cs="宋体" w:eastAsia="宋体" w:hint="default"/>
          <w:b/>
          <w:bCs/>
          <w:sz w:val="24"/>
          <w:szCs w:val="24"/>
        </w:rPr>
        <w:t>（三）有效开展协同整合，加快构建服务生态。</w:t>
      </w:r>
      <w:r>
        <w:rPr>
          <w:rFonts w:ascii="宋体" w:hAnsi="宋体" w:cs="宋体" w:eastAsia="宋体" w:hint="default"/>
          <w:b/>
          <w:bCs/>
          <w:w w:val="99"/>
          <w:sz w:val="24"/>
          <w:szCs w:val="24"/>
        </w:rPr>
        <w:t> </w:t>
      </w:r>
      <w:r>
        <w:rPr>
          <w:rFonts w:ascii="宋体" w:hAnsi="宋体" w:cs="宋体" w:eastAsia="宋体" w:hint="default"/>
          <w:sz w:val="24"/>
          <w:szCs w:val="24"/>
        </w:rPr>
        <w:t>通过紧密协同公司内部资源，云马智慧易校园</w:t>
      </w:r>
      <w:r>
        <w:rPr>
          <w:rFonts w:ascii="宋体" w:hAnsi="宋体" w:cs="宋体" w:eastAsia="宋体" w:hint="default"/>
          <w:sz w:val="24"/>
          <w:szCs w:val="24"/>
        </w:rPr>
        <w:t>App</w:t>
      </w:r>
      <w:r>
        <w:rPr>
          <w:rFonts w:ascii="宋体" w:hAnsi="宋体" w:cs="宋体" w:eastAsia="宋体" w:hint="default"/>
          <w:sz w:val="24"/>
          <w:szCs w:val="24"/>
        </w:rPr>
        <w:t>自上线以来用户数快速突破</w:t>
      </w:r>
      <w:r>
        <w:rPr>
          <w:rFonts w:ascii="宋体" w:hAnsi="宋体" w:cs="宋体" w:eastAsia="宋体" w:hint="default"/>
          <w:sz w:val="24"/>
          <w:szCs w:val="24"/>
        </w:rPr>
        <w:t>300</w:t>
      </w:r>
      <w:r>
        <w:rPr>
          <w:rFonts w:ascii="宋体" w:hAnsi="宋体" w:cs="宋体" w:eastAsia="宋体" w:hint="default"/>
          <w:sz w:val="24"/>
          <w:szCs w:val="24"/>
        </w:rPr>
        <w:t>万、公</w:t>
      </w:r>
    </w:p>
    <w:p>
      <w:pPr>
        <w:pStyle w:val="BodyText"/>
        <w:spacing w:line="357" w:lineRule="auto" w:before="31"/>
        <w:ind w:right="1127"/>
        <w:jc w:val="both"/>
      </w:pPr>
      <w:r>
        <w:rPr/>
        <w:t>众号用户突破</w:t>
      </w:r>
      <w:r>
        <w:rPr>
          <w:rFonts w:ascii="宋体" w:hAnsi="宋体" w:cs="宋体" w:eastAsia="宋体" w:hint="default"/>
        </w:rPr>
        <w:t>500</w:t>
      </w:r>
      <w:r>
        <w:rPr/>
        <w:t>万</w:t>
      </w:r>
      <w:r>
        <w:rPr>
          <w:rFonts w:ascii="宋体" w:hAnsi="宋体" w:cs="宋体" w:eastAsia="宋体" w:hint="default"/>
        </w:rPr>
        <w:t>,</w:t>
      </w:r>
      <w:r>
        <w:rPr/>
        <w:t>小兰智慧全年高校自助洗衣业务新增用户近百家、装机近万台，双旗智 慧在成立的第一年即成功拿下北京大学、复旦大学、北京航天航空大学、西安交通大学等一 批知名院校智慧公寓系统建设项目，协同效应快速凸显；此外，容博教育和钉钉合作，打造 面向基础教育的县区级一站式服务平台，在原有业务的基础上形成了新的业务形态；坚果智 </w:t>
      </w:r>
      <w:r>
        <w:rPr>
          <w:spacing w:val="-5"/>
        </w:rPr>
        <w:t>慧通过和政府资源合作，打造面向教育行业的食品安全监管平台，形成了食品监管行业的“智</w:t>
      </w:r>
      <w:r>
        <w:rPr>
          <w:spacing w:val="-115"/>
        </w:rPr>
        <w:t> </w:t>
      </w:r>
      <w:r>
        <w:rPr>
          <w:spacing w:val="-115"/>
        </w:rPr>
      </w:r>
      <w:r>
        <w:rPr/>
        <w:t>能</w:t>
      </w:r>
      <w:r>
        <w:rPr>
          <w:rFonts w:ascii="宋体" w:hAnsi="宋体" w:cs="宋体" w:eastAsia="宋体" w:hint="default"/>
        </w:rPr>
        <w:t>+</w:t>
      </w:r>
      <w:r>
        <w:rPr/>
        <w:t>”产品业态。</w:t>
      </w:r>
    </w:p>
    <w:p>
      <w:pPr>
        <w:pStyle w:val="BodyText"/>
        <w:spacing w:line="357" w:lineRule="auto" w:before="34"/>
        <w:ind w:right="1130" w:firstLine="480"/>
        <w:jc w:val="both"/>
      </w:pPr>
      <w:r>
        <w:rPr>
          <w:spacing w:val="-6"/>
        </w:rPr>
        <w:t>积极整合行业市场资源，主动融合上下游生态，与中国工商银行总行签订战略合作协议，</w:t>
      </w:r>
      <w:r>
        <w:rPr/>
        <w:t> 与腾讯微校合作商共建生态圈，成为腾讯财付通校园支付终端机具供应商，与支付宝共同研 究校企共建合作新模式，与百度就区块链技术在教育行业的应用开展合作，与行业领先的人 工智能厂商合作开展平台对接、算法导入。</w:t>
      </w:r>
    </w:p>
    <w:p>
      <w:pPr>
        <w:spacing w:line="360" w:lineRule="auto" w:before="34"/>
        <w:ind w:left="633" w:right="1151" w:firstLine="0"/>
        <w:jc w:val="left"/>
        <w:rPr>
          <w:rFonts w:ascii="宋体" w:hAnsi="宋体" w:cs="宋体" w:eastAsia="宋体" w:hint="default"/>
          <w:sz w:val="24"/>
          <w:szCs w:val="24"/>
        </w:rPr>
      </w:pPr>
      <w:r>
        <w:rPr>
          <w:rFonts w:ascii="宋体" w:hAnsi="宋体" w:cs="宋体" w:eastAsia="宋体" w:hint="default"/>
          <w:b/>
          <w:bCs/>
          <w:sz w:val="24"/>
          <w:szCs w:val="24"/>
        </w:rPr>
        <w:t>（四）研发效率不断提升，产品体系不断丰富。</w:t>
      </w:r>
      <w:r>
        <w:rPr>
          <w:rFonts w:ascii="宋体" w:hAnsi="宋体" w:cs="宋体" w:eastAsia="宋体" w:hint="default"/>
          <w:b/>
          <w:bCs/>
          <w:w w:val="99"/>
          <w:sz w:val="24"/>
          <w:szCs w:val="24"/>
        </w:rPr>
        <w:t> </w:t>
      </w:r>
      <w:r>
        <w:rPr>
          <w:rFonts w:ascii="宋体" w:hAnsi="宋体" w:cs="宋体" w:eastAsia="宋体" w:hint="default"/>
          <w:sz w:val="24"/>
          <w:szCs w:val="24"/>
        </w:rPr>
        <w:t>改进研发流程，加强产品整体策划能力，提高客户需求响应速度，提升产品快速交付能</w:t>
      </w:r>
    </w:p>
    <w:p>
      <w:pPr>
        <w:pStyle w:val="BodyText"/>
        <w:spacing w:line="357" w:lineRule="auto" w:before="31"/>
        <w:ind w:right="1127"/>
        <w:jc w:val="both"/>
      </w:pPr>
      <w:r>
        <w:rPr/>
        <w:t>力。贴近客户需求，丰富产品体系。发布易通多园区云平台并在房地产行业及多家上市公司 上线应用；聚合支付平台接入了支付宝、微信、银联及各大主流银行的支付渠道，完成线上</w:t>
      </w:r>
      <w:r>
        <w:rPr>
          <w:spacing w:val="-117"/>
        </w:rPr>
        <w:t> </w:t>
      </w:r>
      <w:r>
        <w:rPr>
          <w:spacing w:val="-117"/>
        </w:rPr>
      </w:r>
      <w:r>
        <w:rPr>
          <w:spacing w:val="-5"/>
        </w:rPr>
        <w:t>线下全渠道收款、充值等业务，为多商户、多渠道的统一收款、充值、对账、结算提供服务；</w:t>
      </w:r>
      <w:r>
        <w:rPr>
          <w:spacing w:val="-116"/>
        </w:rPr>
        <w:t> </w:t>
      </w:r>
      <w:r>
        <w:rPr>
          <w:spacing w:val="-116"/>
        </w:rPr>
      </w:r>
      <w:r>
        <w:rPr/>
        <w:t>及时推出卡码脸一体的消费、门禁终端及预约水控终端，快速部署应用复杂环境，提升用户 </w:t>
      </w:r>
      <w:r>
        <w:rPr>
          <w:spacing w:val="-3"/>
        </w:rPr>
        <w:t>体验感、产品稳定性；研发了财付通</w:t>
      </w:r>
      <w:r>
        <w:rPr>
          <w:rFonts w:ascii="宋体" w:hAnsi="宋体" w:cs="宋体" w:eastAsia="宋体" w:hint="default"/>
          <w:spacing w:val="-3"/>
        </w:rPr>
        <w:t>POS</w:t>
      </w:r>
      <w:r>
        <w:rPr>
          <w:spacing w:val="-3"/>
        </w:rPr>
        <w:t>机并在腾讯总部上线应用，智慧晨检仪和电子秤被多</w:t>
      </w:r>
      <w:r>
        <w:rPr>
          <w:spacing w:val="-80"/>
        </w:rPr>
        <w:t> </w:t>
      </w:r>
      <w:r>
        <w:rPr>
          <w:spacing w:val="-80"/>
        </w:rPr>
      </w:r>
      <w:r>
        <w:rPr/>
        <w:t>家客户使用，市场反馈效果良好。</w:t>
      </w:r>
    </w:p>
    <w:p>
      <w:pPr>
        <w:spacing w:line="360" w:lineRule="auto" w:before="34"/>
        <w:ind w:left="633" w:right="1151" w:firstLine="0"/>
        <w:jc w:val="left"/>
        <w:rPr>
          <w:rFonts w:ascii="宋体" w:hAnsi="宋体" w:cs="宋体" w:eastAsia="宋体" w:hint="default"/>
          <w:sz w:val="24"/>
          <w:szCs w:val="24"/>
        </w:rPr>
      </w:pPr>
      <w:r>
        <w:rPr>
          <w:rFonts w:ascii="宋体" w:hAnsi="宋体" w:cs="宋体" w:eastAsia="宋体" w:hint="default"/>
          <w:b/>
          <w:bCs/>
          <w:sz w:val="24"/>
          <w:szCs w:val="24"/>
        </w:rPr>
        <w:t>（五）持续优化管理流程，提升组织运行效能。</w:t>
      </w:r>
      <w:r>
        <w:rPr>
          <w:rFonts w:ascii="宋体" w:hAnsi="宋体" w:cs="宋体" w:eastAsia="宋体" w:hint="default"/>
          <w:b/>
          <w:bCs/>
          <w:w w:val="99"/>
          <w:sz w:val="24"/>
          <w:szCs w:val="24"/>
        </w:rPr>
        <w:t> </w:t>
      </w:r>
      <w:r>
        <w:rPr>
          <w:rFonts w:ascii="宋体" w:hAnsi="宋体" w:cs="宋体" w:eastAsia="宋体" w:hint="default"/>
          <w:sz w:val="24"/>
          <w:szCs w:val="24"/>
        </w:rPr>
        <w:t>加大信息化投入，优化审批流程，搭建资金系统提升资金使用效率，推行管理软件加强</w:t>
      </w:r>
    </w:p>
    <w:p>
      <w:pPr>
        <w:pStyle w:val="BodyText"/>
        <w:spacing w:line="360" w:lineRule="auto" w:before="32"/>
        <w:ind w:right="1168"/>
        <w:jc w:val="both"/>
      </w:pPr>
      <w:r>
        <w:rPr/>
        <w:t>销售管理与客户管理，引入企业商旅平台加强差旅管理；规范工程项目管理，进一步完善工 程管理体系，提升基层单位工程交付能力；加强项目督查审计，实施项目管理评审，重点对</w:t>
      </w:r>
    </w:p>
    <w:p>
      <w:pPr>
        <w:spacing w:after="0" w:line="360"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57" w:lineRule="auto" w:before="26"/>
        <w:ind w:right="1130"/>
        <w:jc w:val="both"/>
      </w:pPr>
      <w:r>
        <w:rPr>
          <w:spacing w:val="-5"/>
        </w:rPr>
        <w:t>实际工程量、计价合理性等方面进行核查；加大中高级人才引进力度，优化各岗位任职资格；</w:t>
      </w:r>
      <w:r>
        <w:rPr/>
        <w:t> 推行后勤管理人员的绩效考核，实现考核全员覆盖；继续加强研发、营销、管理各类人员的 </w:t>
      </w:r>
      <w:r>
        <w:rPr>
          <w:spacing w:val="-5"/>
        </w:rPr>
        <w:t>实操培训，引进前沿科技、营销理论及传统文化等外部课程；注重新员工的入职关怀与指导，</w:t>
      </w:r>
      <w:r>
        <w:rPr/>
        <w:t> 细化人力资源各模块工作，进一步完善人力资源管理体系。</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主营业务分析" w:id="24"/>
      <w:bookmarkEnd w:id="24"/>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3" w:right="6287"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3"/>
          <w:sz w:val="18"/>
          <w:szCs w:val="18"/>
        </w:rPr>
        <w:t>参见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经营情况讨论与分析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一、概述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相关内容。</w:t>
      </w:r>
      <w:r>
        <w:rPr>
          <w:rFonts w:ascii="宋体" w:hAnsi="宋体" w:cs="宋体" w:eastAsia="宋体" w:hint="default"/>
          <w:spacing w:val="-15"/>
          <w:sz w:val="18"/>
          <w:szCs w:val="18"/>
        </w:rPr>
        <w:t> </w:t>
      </w:r>
      <w:r>
        <w:rPr>
          <w:rFonts w:ascii="宋体" w:hAnsi="宋体" w:cs="宋体" w:eastAsia="宋体" w:hint="default"/>
          <w:spacing w:val="-15"/>
          <w:sz w:val="18"/>
          <w:szCs w:val="18"/>
        </w:rPr>
      </w:r>
      <w:bookmarkStart w:name="2、收入与成本" w:id="26"/>
      <w:bookmarkEnd w:id="26"/>
      <w:r>
        <w:rPr>
          <w:rFonts w:ascii="宋体" w:hAnsi="宋体" w:cs="宋体" w:eastAsia="宋体" w:hint="default"/>
          <w:spacing w:val="-15"/>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29"/>
        <w:ind w:left="153" w:right="0" w:firstLine="0"/>
        <w:jc w:val="left"/>
        <w:rPr>
          <w:rFonts w:ascii="宋体" w:hAnsi="宋体" w:cs="宋体" w:eastAsia="宋体" w:hint="default"/>
          <w:sz w:val="21"/>
          <w:szCs w:val="21"/>
        </w:rPr>
      </w:pPr>
      <w:bookmarkStart w:name="（1）营业收入构成" w:id="27"/>
      <w:bookmarkEnd w:id="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2"/>
        <w:gridCol w:w="1597"/>
        <w:gridCol w:w="1588"/>
        <w:gridCol w:w="1597"/>
      </w:tblGrid>
      <w:tr>
        <w:trPr>
          <w:trHeight w:val="207"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4"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pacing w:val="-1"/>
                <w:sz w:val="18"/>
              </w:rPr>
              <w:t>751,054,482.81</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566,836,544.20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32.50%</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企事业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275,236,106.55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222,476,696.05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39.25%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23.71%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475,818,376.26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63.35%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344,359,848.15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60.75%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38.17%</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系统建设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578,696,288.29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432,989,377.18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76.39%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33.65%</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运营和服务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98,567,175.84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55,480,491.31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77.66%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智能管控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73,791,018.68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78,366,675.71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13.82%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-5.84%</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11,739,218.28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14,955,465.79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-21.51%</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27,298,460.89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9,841,398.15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177.38%</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532,794,482.36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70.94%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398,182,984.67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pacing w:val="-1"/>
                <w:sz w:val="18"/>
              </w:rPr>
              <w:t>70.25%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33.81%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55,596,176.74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42,633,291.63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30.41%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29,801,088.00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55,271,683.56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-46.08%</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65,203,294.82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29,616,352.72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120.16%</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28,621,761.72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16,335,367.68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pacing w:val="-1"/>
                <w:sz w:val="18"/>
              </w:rPr>
              <w:t>2.88%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75.21%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05"/>
        <w:gridCol w:w="1008"/>
        <w:gridCol w:w="1013"/>
        <w:gridCol w:w="1008"/>
        <w:gridCol w:w="1013"/>
        <w:gridCol w:w="1004"/>
        <w:gridCol w:w="1004"/>
        <w:gridCol w:w="1004"/>
        <w:gridCol w:w="1003"/>
      </w:tblGrid>
      <w:tr>
        <w:trPr>
          <w:trHeight w:val="206" w:hRule="exact"/>
        </w:trPr>
        <w:tc>
          <w:tcPr>
            <w:tcW w:w="1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401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192" w:hRule="exact"/>
        </w:trPr>
        <w:tc>
          <w:tcPr>
            <w:tcW w:w="1505" w:type="dxa"/>
            <w:vMerge w:val="restart"/>
            <w:tcBorders>
              <w:top w:val="nil" w:sz="6" w:space="0" w:color="auto"/>
              <w:left w:val="single" w:sz="4" w:space="0" w:color="000000"/>
              <w:right w:val="single" w:sz="4" w:space="0" w:color="000000"/>
            </w:tcBorders>
            <w:shd w:val="clear" w:color="auto" w:fill="D2D2D2"/>
          </w:tcPr>
          <w:p>
            <w:pPr/>
          </w:p>
        </w:tc>
        <w:tc>
          <w:tcPr>
            <w:tcW w:w="4043" w:type="dxa"/>
            <w:gridSpan w:val="4"/>
            <w:vMerge/>
            <w:tcBorders>
              <w:left w:val="single" w:sz="4" w:space="0" w:color="000000"/>
              <w:bottom w:val="single" w:sz="4" w:space="0" w:color="000000"/>
              <w:right w:val="single" w:sz="4" w:space="0" w:color="000000"/>
            </w:tcBorders>
            <w:shd w:val="clear" w:color="auto" w:fill="D2D2D2"/>
          </w:tcPr>
          <w:p>
            <w:pPr/>
          </w:p>
        </w:tc>
        <w:tc>
          <w:tcPr>
            <w:tcW w:w="4014"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05"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2" w:hRule="exact"/>
        </w:trPr>
        <w:tc>
          <w:tcPr>
            <w:tcW w:w="1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8" w:space="0" w:color="D2D2D2"/>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92,424,066.5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143,559,742.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131,052,217.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17</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384,018,456.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62,912,298.8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103,995,462.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2"/>
                <w:sz w:val="18"/>
              </w:rPr>
              <w:t>112,729,018.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287,199,764.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r>
      <w:tr>
        <w:trPr>
          <w:trHeight w:val="394" w:hRule="exact"/>
        </w:trPr>
        <w:tc>
          <w:tcPr>
            <w:tcW w:w="15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8" w:space="0" w:color="D2D2D2"/>
              <w:right w:val="single" w:sz="4" w:space="0" w:color="000000"/>
            </w:tcBorders>
          </w:tcPr>
          <w:p>
            <w:pPr/>
          </w:p>
        </w:tc>
        <w:tc>
          <w:tcPr>
            <w:tcW w:w="1013"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58" w:hRule="exact"/>
        </w:trPr>
        <w:tc>
          <w:tcPr>
            <w:tcW w:w="1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8" w:space="0" w:color="D2D2D2"/>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5"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6"/>
              <w:jc w:val="left"/>
              <w:rPr>
                <w:rFonts w:ascii="宋体" w:hAnsi="宋体" w:cs="宋体" w:eastAsia="宋体" w:hint="default"/>
                <w:sz w:val="18"/>
                <w:szCs w:val="18"/>
              </w:rPr>
            </w:pPr>
            <w:r>
              <w:rPr>
                <w:rFonts w:ascii="宋体" w:hAnsi="宋体" w:cs="宋体" w:eastAsia="宋体" w:hint="default"/>
                <w:spacing w:val="-2"/>
                <w:sz w:val="18"/>
                <w:szCs w:val="18"/>
              </w:rPr>
              <w:t>归属于上市公司股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东的净利润</w:t>
            </w:r>
          </w:p>
        </w:tc>
        <w:tc>
          <w:tcPr>
            <w:tcW w:w="100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-2,630,365.8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4,849,814.42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3,861,608.52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38,988,410.7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-3,284,821.5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4,414,208.03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3,388,882.29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45,835,513.3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说明经营季节性（或周期性）发生的原因及波动风险</w:t>
      </w:r>
    </w:p>
    <w:p>
      <w:pPr>
        <w:pStyle w:val="BodyText"/>
        <w:spacing w:line="357" w:lineRule="auto" w:before="146"/>
        <w:ind w:right="1168" w:firstLine="480"/>
        <w:jc w:val="both"/>
      </w:pPr>
      <w:r>
        <w:rPr/>
        <w:t>公司主营业务中教育行业占比较高，存在比较明显的季节性特征：因为校园项目建设受 学校寒暑假的影响，通常在第一季度启动建设计划，第二季度完成项目的商务谈判及合同确 认，在第三季度进入项目实施高峰，完成发货、安装、调试及验收等工作，在第四季度进入 收入确认及款项回收高峰。上述季节性特征使得公司的采购、生产、发货、安装、验收和收 付款出现明显的季节性波动，存在生产经营季节性风险。</w:t>
      </w:r>
    </w:p>
    <w:p>
      <w:pPr>
        <w:spacing w:line="240" w:lineRule="auto" w:before="5"/>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占公司营业收入或营业利润10%以上的行业、产品或地区情况"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153" w:right="-13"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35"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70" w:space="40"/>
            <w:col w:w="182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4"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分客户所处行业</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企事业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275,236,106.55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164,201,553.64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23.71%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27.49%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-1.77%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475,818,376.26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302,566,486.78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42.35%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-1.86%</w:t>
            </w:r>
          </w:p>
        </w:tc>
      </w:tr>
      <w:tr>
        <w:trPr>
          <w:trHeight w:val="398"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系统建设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578,696,288.29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356,513,768.93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33.65%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32.90%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运营和服务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98,567,175.84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47,122,876.20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402.09%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-30.89%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智能管控</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73,791,018.68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63,131,395.29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-5.84%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-0.90%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-4.26%</w:t>
            </w:r>
          </w:p>
        </w:tc>
      </w:tr>
      <w:tr>
        <w:trPr>
          <w:trHeight w:val="398"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27,298,460.89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19,209,284.72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177.38%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220.78%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-9.52%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532,794,482.36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325,917,031.83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33.81%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38.51%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-2.08%</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55,596,176.74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36,266,714.10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69.68%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-15.10%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29,801,088.00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2"/>
                <w:sz w:val="18"/>
              </w:rPr>
              <w:t>17,399,161.09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-46.08%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-62.12%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24.72%</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65,203,294.82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38,215,060.28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120.16%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157.44%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-8.49%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28,621,761.72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21,660,891.62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101.44%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-9.85%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公司主营业务数据统计口径在报告期发生调整的情况下，公司最近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年按报告期末口径调整后的主营业务数据</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公司实物销售收入是否大于劳务收入"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4）公司已签订的重大销售合同截至本报告期的履行情况"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营业成本构成"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系统建设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329,749,022.30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70.65%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249,827,155.26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31.99%</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系统建设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施工费用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26,764,746.63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18,424,759.09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45.27%</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运营和服务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5,611,270.72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9,385,373.92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402.09%</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运营和服务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设备使用及管理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8,476,954.86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运营和服务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5,611,270.72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智能管控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56,200,816.90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59,488,312.82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-5.53%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智能管控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施工费用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6,930,578.39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4,218,851.57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64.28%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1" w:footer="979" w:top="1060" w:bottom="1160" w:left="980" w:right="0"/>
        </w:sectPr>
      </w:pPr>
    </w:p>
    <w:p>
      <w:pPr>
        <w:spacing w:line="240" w:lineRule="auto" w:before="12"/>
        <w:rPr>
          <w:rFonts w:ascii="宋体" w:hAnsi="宋体" w:cs="宋体" w:eastAsia="宋体" w:hint="default"/>
          <w:sz w:val="15"/>
          <w:szCs w:val="15"/>
        </w:rPr>
      </w:pPr>
    </w:p>
    <w:p>
      <w:pPr>
        <w:spacing w:line="343" w:lineRule="auto" w:before="0"/>
        <w:ind w:left="153" w:right="-13"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spacing w:before="0"/>
        <w:ind w:left="-35"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70" w:space="40"/>
            <w:col w:w="182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418,984,489.82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318,700,842.00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31.47%</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施工费用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33,695,325.02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22,643,610.66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48.81%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5,611,270.72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设备使用及管理费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8,476,954.86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6）报告期内合并范围是否发生变动"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9"/>
          <w:szCs w:val="29"/>
        </w:rPr>
      </w:pPr>
    </w:p>
    <w:p>
      <w:pPr>
        <w:pStyle w:val="BodyText"/>
        <w:spacing w:line="240" w:lineRule="auto" w:before="26"/>
        <w:ind w:left="633" w:right="0"/>
        <w:jc w:val="left"/>
      </w:pPr>
      <w:r>
        <w:rPr/>
        <w:t>较</w:t>
      </w:r>
      <w:r>
        <w:rPr>
          <w:rFonts w:ascii="Times New Roman" w:hAnsi="Times New Roman" w:cs="Times New Roman" w:eastAsia="Times New Roman" w:hint="default"/>
        </w:rPr>
        <w:t>2018</w:t>
      </w:r>
      <w:r>
        <w:rPr/>
        <w:t>年度财务报表相比，公司</w:t>
      </w:r>
      <w:r>
        <w:rPr>
          <w:rFonts w:ascii="Times New Roman" w:hAnsi="Times New Roman" w:cs="Times New Roman" w:eastAsia="Times New Roman" w:hint="default"/>
        </w:rPr>
        <w:t>2019</w:t>
      </w:r>
      <w:r>
        <w:rPr/>
        <w:t>年财务报表合并范围新增</w:t>
      </w:r>
      <w:r>
        <w:rPr>
          <w:rFonts w:ascii="Times New Roman" w:hAnsi="Times New Roman" w:cs="Times New Roman" w:eastAsia="Times New Roman" w:hint="default"/>
        </w:rPr>
        <w:t>1</w:t>
      </w:r>
      <w:r>
        <w:rPr/>
        <w:t>家，为双旗智慧。</w:t>
      </w:r>
    </w:p>
    <w:p>
      <w:pPr>
        <w:spacing w:line="240" w:lineRule="auto" w:before="0"/>
        <w:rPr>
          <w:rFonts w:ascii="宋体" w:hAnsi="宋体" w:cs="宋体" w:eastAsia="宋体" w:hint="default"/>
          <w:sz w:val="29"/>
          <w:szCs w:val="29"/>
        </w:rPr>
      </w:pPr>
    </w:p>
    <w:p>
      <w:pPr>
        <w:spacing w:before="0"/>
        <w:ind w:left="153" w:right="0" w:firstLine="0"/>
        <w:jc w:val="left"/>
        <w:rPr>
          <w:rFonts w:ascii="宋体" w:hAnsi="宋体" w:cs="宋体" w:eastAsia="宋体" w:hint="default"/>
          <w:sz w:val="21"/>
          <w:szCs w:val="21"/>
        </w:rPr>
      </w:pPr>
      <w:bookmarkStart w:name="（7）公司报告期内业务、产品或服务发生重大变化或调整有关情况"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8）主要销售客户和主要供应商情况"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248,411,261.47</w:t>
            </w:r>
          </w:p>
        </w:tc>
      </w:tr>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33.08%</w:t>
            </w:r>
          </w:p>
        </w:tc>
      </w:tr>
      <w:tr>
        <w:trPr>
          <w:trHeight w:val="716"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大客户资料</w:t>
      </w:r>
    </w:p>
    <w:p>
      <w:pPr>
        <w:spacing w:line="240" w:lineRule="auto" w:before="7"/>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802"/>
        <w:gridCol w:w="3303"/>
        <w:gridCol w:w="2324"/>
        <w:gridCol w:w="3146"/>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759"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82,879,665.03</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3"/>
                <w:sz w:val="18"/>
              </w:rPr>
              <w:t>11.04%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61,919,345.00</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8.24%</w:t>
            </w:r>
          </w:p>
        </w:tc>
      </w:tr>
      <w:tr>
        <w:trPr>
          <w:trHeight w:val="399"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3"/>
                <w:sz w:val="18"/>
              </w:rPr>
              <w:t>42,496,111.15</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5.66%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40,568,869.84</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5.40%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20,547,270.45</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2.74%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248,411,261.47</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33.08%</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3" w:lineRule="auto" w:before="115"/>
        <w:ind w:left="153" w:right="84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公司主要供应商情况</w:t>
      </w:r>
    </w:p>
    <w:tbl>
      <w:tblPr>
        <w:tblW w:w="0" w:type="auto"/>
        <w:jc w:val="left"/>
        <w:tblInd w:w="210" w:type="dxa"/>
        <w:tblLayout w:type="fixed"/>
        <w:tblCellMar>
          <w:top w:w="0" w:type="dxa"/>
          <w:left w:w="0" w:type="dxa"/>
          <w:bottom w:w="0" w:type="dxa"/>
          <w:right w:w="0" w:type="dxa"/>
        </w:tblCellMar>
        <w:tblLook w:val="01E0"/>
      </w:tblPr>
      <w:tblGrid>
        <w:gridCol w:w="4194"/>
        <w:gridCol w:w="5323"/>
      </w:tblGrid>
      <w:tr>
        <w:trPr>
          <w:trHeight w:val="403" w:hRule="exact"/>
        </w:trPr>
        <w:tc>
          <w:tcPr>
            <w:tcW w:w="4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62,982,687.80</w:t>
            </w:r>
          </w:p>
        </w:tc>
      </w:tr>
      <w:tr>
        <w:trPr>
          <w:trHeight w:val="404" w:hRule="exact"/>
        </w:trPr>
        <w:tc>
          <w:tcPr>
            <w:tcW w:w="4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12.41%</w:t>
            </w:r>
          </w:p>
        </w:tc>
      </w:tr>
      <w:tr>
        <w:trPr>
          <w:trHeight w:val="710" w:hRule="exact"/>
        </w:trPr>
        <w:tc>
          <w:tcPr>
            <w:tcW w:w="4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76"/>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937"/>
        <w:gridCol w:w="3169"/>
        <w:gridCol w:w="2324"/>
        <w:gridCol w:w="3146"/>
      </w:tblGrid>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759"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4"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14,876,359.66</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2.93%</w:t>
            </w:r>
          </w:p>
        </w:tc>
      </w:tr>
      <w:tr>
        <w:trPr>
          <w:trHeight w:val="398"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14,421,150.46</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2.84%</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12,727,130.48</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2.51%</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12,037,989.31</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2.37%</w:t>
            </w:r>
          </w:p>
        </w:tc>
      </w:tr>
      <w:tr>
        <w:trPr>
          <w:trHeight w:val="404"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8,920,057.89</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1.76%</w:t>
            </w:r>
          </w:p>
        </w:tc>
      </w:tr>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62,982,687.80</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12.41%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主要供应商其他情况说明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费用" w:id="35"/>
      <w:bookmarkEnd w:id="3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38"/>
        <w:gridCol w:w="1637"/>
        <w:gridCol w:w="1460"/>
        <w:gridCol w:w="2919"/>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3"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8"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78,851,385.01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52,459,315.55</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50.31%</w:t>
            </w:r>
          </w:p>
        </w:tc>
        <w:tc>
          <w:tcPr>
            <w:tcW w:w="2919" w:type="dxa"/>
            <w:vMerge w:val="restart"/>
            <w:tcBorders>
              <w:top w:val="single" w:sz="4" w:space="0" w:color="000000"/>
              <w:left w:val="single" w:sz="4" w:space="0" w:color="000000"/>
              <w:right w:val="single" w:sz="4" w:space="0" w:color="000000"/>
            </w:tcBorders>
          </w:tcPr>
          <w:p>
            <w:pPr>
              <w:pStyle w:val="TableParagraph"/>
              <w:spacing w:line="321"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主要系公司加大市场业务拓展，销售</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人员薪酬增加所致。</w:t>
            </w:r>
          </w:p>
        </w:tc>
      </w:tr>
      <w:tr>
        <w:trPr>
          <w:trHeight w:val="394"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8"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58"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8"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54" w:right="0"/>
              <w:jc w:val="left"/>
              <w:rPr>
                <w:rFonts w:ascii="Times New Roman" w:hAnsi="Times New Roman" w:cs="Times New Roman" w:eastAsia="Times New Roman" w:hint="default"/>
                <w:sz w:val="18"/>
                <w:szCs w:val="18"/>
              </w:rPr>
            </w:pPr>
            <w:r>
              <w:rPr>
                <w:rFonts w:ascii="Times New Roman"/>
                <w:sz w:val="18"/>
              </w:rPr>
              <w:t>60,537,527.36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51,104,839.47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18.46%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54" w:right="0"/>
              <w:jc w:val="left"/>
              <w:rPr>
                <w:rFonts w:ascii="Times New Roman" w:hAnsi="Times New Roman" w:cs="Times New Roman" w:eastAsia="Times New Roman" w:hint="default"/>
                <w:sz w:val="18"/>
                <w:szCs w:val="18"/>
              </w:rPr>
            </w:pPr>
            <w:r>
              <w:rPr>
                <w:rFonts w:ascii="Times New Roman"/>
                <w:sz w:val="18"/>
              </w:rPr>
              <w:t>15,634,537.55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6,327,186.79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147.10%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主要系银行贷款利息增加所致。</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54" w:right="0"/>
              <w:jc w:val="left"/>
              <w:rPr>
                <w:rFonts w:ascii="Times New Roman" w:hAnsi="Times New Roman" w:cs="Times New Roman" w:eastAsia="Times New Roman" w:hint="default"/>
                <w:sz w:val="18"/>
                <w:szCs w:val="18"/>
              </w:rPr>
            </w:pPr>
            <w:r>
              <w:rPr>
                <w:rFonts w:ascii="Times New Roman"/>
                <w:sz w:val="18"/>
              </w:rPr>
              <w:t>89,692,806.47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70,388,151.77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27.43%</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4、研发投入" w:id="36"/>
      <w:bookmarkEnd w:id="3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57" w:lineRule="auto" w:before="127"/>
        <w:ind w:right="1168" w:firstLine="480"/>
        <w:jc w:val="both"/>
      </w:pPr>
      <w:r>
        <w:rPr/>
        <w:t>公司是国家火炬计划重点高新技术企业、国家规划布局内重点软件企业，并被认定为浙 江省省级企业研究院。公司近年来不断引进优秀的技术人才，行业专业经验丰富，在智能卡 应用、校园信息化、互联网等业务领域具有较强的技术创新能力。</w:t>
      </w:r>
    </w:p>
    <w:p>
      <w:pPr>
        <w:pStyle w:val="BodyText"/>
        <w:spacing w:line="357" w:lineRule="auto" w:before="38"/>
        <w:ind w:right="1168" w:firstLine="480"/>
        <w:jc w:val="both"/>
      </w:pPr>
      <w:r>
        <w:rPr/>
        <w:t>报告期内，公司改进研发流程，成立专职需求开发、项目管理、流程监控小组，提升研 发效率；加大研发投入力度，丰富软件平台，健全产品体系，从原来的智慧一卡通体系，逐 步上升到了以物联网为基础，以人工智能、大数据、云服务为支撑的智慧校园、智慧园区体 系。</w:t>
      </w:r>
      <w:r>
        <w:rPr>
          <w:rFonts w:ascii="Times New Roman" w:hAnsi="Times New Roman" w:cs="Times New Roman" w:eastAsia="Times New Roman" w:hint="default"/>
        </w:rPr>
        <w:t>2019</w:t>
      </w:r>
      <w:r>
        <w:rPr/>
        <w:t>年度公司研发投入金额占营业收入比例为</w:t>
      </w:r>
      <w:r>
        <w:rPr>
          <w:rFonts w:ascii="Times New Roman" w:hAnsi="Times New Roman" w:cs="Times New Roman" w:eastAsia="Times New Roman" w:hint="default"/>
        </w:rPr>
        <w:t>11.94%</w:t>
      </w:r>
      <w:r>
        <w:rPr/>
        <w:t>。</w:t>
      </w:r>
    </w:p>
    <w:p>
      <w:pPr>
        <w:spacing w:before="2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近三年公司研发投入金额及占营业收入的比例</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380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346</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39.23%</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89,692,806.47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70,388,151.77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55,405,696.81</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11.94%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12.34%</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研发支出资本化的金额（元）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9,662,692.63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710"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81"/>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润的比重</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研发投入总额占营业收入的比重较上年发生显著变化的原因</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240" w:lineRule="auto" w:before="127"/>
        <w:ind w:left="633" w:right="0"/>
        <w:jc w:val="left"/>
      </w:pPr>
      <w:r>
        <w:rPr/>
        <w:t>本公司本年度研发投入总额为</w:t>
      </w:r>
      <w:r>
        <w:rPr>
          <w:rFonts w:ascii="Times New Roman" w:hAnsi="Times New Roman" w:cs="Times New Roman" w:eastAsia="Times New Roman" w:hint="default"/>
        </w:rPr>
        <w:t>89,692,806.47</w:t>
      </w:r>
      <w:r>
        <w:rPr/>
        <w:t>元，占营业收入的比例为</w:t>
      </w:r>
      <w:r>
        <w:rPr>
          <w:rFonts w:ascii="Times New Roman" w:hAnsi="Times New Roman" w:cs="Times New Roman" w:eastAsia="Times New Roman" w:hint="default"/>
        </w:rPr>
        <w:t>11.94%</w:t>
      </w:r>
      <w:r>
        <w:rPr/>
        <w:t>研发投入总</w:t>
      </w:r>
    </w:p>
    <w:p>
      <w:pPr>
        <w:spacing w:after="0" w:line="240" w:lineRule="auto"/>
        <w:jc w:val="left"/>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240" w:lineRule="auto" w:before="26"/>
        <w:ind w:right="0"/>
        <w:jc w:val="left"/>
      </w:pPr>
      <w:r>
        <w:rPr/>
        <w:t>额占营业收入的比重较上年未发生显著变化。</w:t>
      </w:r>
    </w:p>
    <w:p>
      <w:pPr>
        <w:spacing w:line="240" w:lineRule="auto" w:before="0"/>
        <w:rPr>
          <w:rFonts w:ascii="宋体" w:hAnsi="宋体" w:cs="宋体" w:eastAsia="宋体" w:hint="default"/>
          <w:sz w:val="24"/>
          <w:szCs w:val="24"/>
        </w:rPr>
      </w:pPr>
    </w:p>
    <w:p>
      <w:pPr>
        <w:spacing w:before="162"/>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研发投入资本化率大幅变动的原因及其合理性说明</w:t>
      </w:r>
    </w:p>
    <w:p>
      <w:pPr>
        <w:spacing w:before="12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40" w:lineRule="auto" w:before="127"/>
        <w:ind w:right="0" w:firstLine="48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月末，公司教育云核心基础平台搭建完成并取得相关软著证书，标志研究阶段已</w:t>
      </w:r>
      <w:r>
        <w:rPr/>
        <w:t> 完成。</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月开始根据客户需求进行平台及软件升级改造，项目进入开发阶段。</w:t>
      </w:r>
    </w:p>
    <w:p>
      <w:pPr>
        <w:spacing w:line="240" w:lineRule="auto" w:before="12"/>
        <w:rPr>
          <w:rFonts w:ascii="宋体" w:hAnsi="宋体" w:cs="宋体" w:eastAsia="宋体" w:hint="default"/>
          <w:sz w:val="22"/>
          <w:szCs w:val="22"/>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61" w:right="0"/>
              <w:jc w:val="left"/>
              <w:rPr>
                <w:rFonts w:ascii="宋体" w:hAnsi="宋体" w:cs="宋体" w:eastAsia="宋体" w:hint="default"/>
                <w:sz w:val="18"/>
                <w:szCs w:val="18"/>
              </w:rPr>
            </w:pPr>
            <w:r>
              <w:rPr>
                <w:rFonts w:ascii="宋体" w:hAnsi="宋体" w:cs="宋体" w:eastAsia="宋体" w:hint="default"/>
                <w:spacing w:val="-3"/>
                <w:sz w:val="18"/>
                <w:szCs w:val="18"/>
              </w:rPr>
              <w:t>研发资本化金额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pacing w:val="-3"/>
                <w:sz w:val="18"/>
                <w:szCs w:val="18"/>
              </w:rPr>
              <w:t>相关项目的基本情况</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321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智慧教育云核心平台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16" w:right="0"/>
              <w:jc w:val="left"/>
              <w:rPr>
                <w:rFonts w:ascii="Times New Roman" w:hAnsi="Times New Roman" w:cs="Times New Roman" w:eastAsia="Times New Roman" w:hint="default"/>
                <w:sz w:val="18"/>
                <w:szCs w:val="18"/>
              </w:rPr>
            </w:pPr>
            <w:r>
              <w:rPr>
                <w:rFonts w:ascii="Times New Roman"/>
                <w:sz w:val="18"/>
              </w:rPr>
              <w:t>9,662,692.63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3"/>
              <w:jc w:val="left"/>
              <w:rPr>
                <w:rFonts w:ascii="宋体" w:hAnsi="宋体" w:cs="宋体" w:eastAsia="宋体" w:hint="default"/>
                <w:sz w:val="18"/>
                <w:szCs w:val="18"/>
              </w:rPr>
            </w:pPr>
            <w:r>
              <w:rPr>
                <w:rFonts w:ascii="宋体" w:hAnsi="宋体" w:cs="宋体" w:eastAsia="宋体" w:hint="default"/>
                <w:spacing w:val="-3"/>
                <w:sz w:val="18"/>
                <w:szCs w:val="18"/>
              </w:rPr>
              <w:t>智慧教育云核心平台是一个</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开放的、创新的、协作的和智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能的综合信息服务平台，通过</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此平台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园区内的人员可以定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制基于角色的个性化服务</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全</w:t>
            </w:r>
            <w:r>
              <w:rPr>
                <w:rFonts w:ascii="宋体" w:hAnsi="宋体" w:cs="宋体" w:eastAsia="宋体" w:hint="default"/>
                <w:spacing w:val="-46"/>
                <w:sz w:val="18"/>
                <w:szCs w:val="18"/>
              </w:rPr>
              <w:t> </w:t>
            </w:r>
            <w:r>
              <w:rPr>
                <w:rFonts w:ascii="宋体" w:hAnsi="宋体" w:cs="宋体" w:eastAsia="宋体" w:hint="default"/>
                <w:spacing w:val="-3"/>
                <w:sz w:val="18"/>
                <w:szCs w:val="18"/>
              </w:rPr>
              <w:t>面感知不同的信息资源</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获得</w:t>
            </w:r>
            <w:r>
              <w:rPr>
                <w:rFonts w:ascii="宋体" w:hAnsi="宋体" w:cs="宋体" w:eastAsia="宋体" w:hint="default"/>
                <w:spacing w:val="-44"/>
                <w:sz w:val="18"/>
                <w:szCs w:val="18"/>
              </w:rPr>
              <w:t> </w:t>
            </w:r>
            <w:r>
              <w:rPr>
                <w:rFonts w:ascii="宋体" w:hAnsi="宋体" w:cs="宋体" w:eastAsia="宋体" w:hint="default"/>
                <w:spacing w:val="-3"/>
                <w:sz w:val="18"/>
                <w:szCs w:val="18"/>
              </w:rPr>
              <w:t>互动、共享、协作的学习、工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作和生活环境</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实现信息资源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的有效采集、分析、应用和服</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5、现金流" w:id="37"/>
      <w:bookmarkEnd w:id="3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772,234,804.45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679,237,123.91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13.69%</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823,755,134.78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672,698,463.50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22.46%</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-51,520,330.33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6,538,660.41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-887.93%</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230,386,110.54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301,915,493.31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-23.69%</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316,192,337.57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381,167,333.57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-17.05%</w:t>
            </w:r>
          </w:p>
        </w:tc>
      </w:tr>
      <w:tr>
        <w:trPr>
          <w:trHeight w:val="716"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81"/>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-85,806,227.03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-79,251,840.26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8.27%</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545,507,066.52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283,590,451.38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92.36%</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394,726,494.03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165,321,284.72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138.76%</w:t>
            </w:r>
          </w:p>
        </w:tc>
      </w:tr>
      <w:tr>
        <w:trPr>
          <w:trHeight w:val="716"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81"/>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150,780,572.49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118,269,166.66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27.49%</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13,454,015.13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45,555,986.81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-70.47%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相关数据同比发生重大变动的主要影响因素说明</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36" w:lineRule="auto" w:before="132"/>
        <w:ind w:right="0" w:firstLine="480"/>
        <w:jc w:val="left"/>
      </w:pPr>
      <w:r>
        <w:rPr>
          <w:spacing w:val="-3"/>
        </w:rPr>
        <w:t>经营活动产生的现金流量净额比上年减少</w:t>
      </w:r>
      <w:r>
        <w:rPr>
          <w:rFonts w:ascii="Times New Roman" w:hAnsi="Times New Roman" w:cs="Times New Roman" w:eastAsia="Times New Roman" w:hint="default"/>
          <w:spacing w:val="-3"/>
        </w:rPr>
        <w:t>887.93%</w:t>
      </w:r>
      <w:r>
        <w:rPr>
          <w:spacing w:val="-3"/>
        </w:rPr>
        <w:t>，主要系报告期公司回款不及预期；公</w:t>
      </w:r>
      <w:r>
        <w:rPr/>
        <w:t> </w:t>
      </w:r>
      <w:r>
        <w:rPr>
          <w:spacing w:val="-6"/>
        </w:rPr>
        <w:t>司项目增加，存货增加，使得付现采购增加；业务拓展和研发投入，使得付现职工薪酬增加。</w:t>
      </w:r>
    </w:p>
    <w:p>
      <w:pPr>
        <w:spacing w:before="111"/>
        <w:ind w:left="51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报告期内公司经营活动产生的现金净流量与本年度净利润存在重大差异的原因说明</w:t>
      </w:r>
    </w:p>
    <w:p>
      <w:pPr>
        <w:spacing w:line="240" w:lineRule="auto" w:before="8"/>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52" w:lineRule="auto" w:before="132"/>
        <w:ind w:right="0" w:firstLine="480"/>
        <w:jc w:val="left"/>
      </w:pPr>
      <w:r>
        <w:rPr/>
        <w:t>报告期内公司经营活动产生的现金净流量为</w:t>
      </w:r>
      <w:r>
        <w:rPr>
          <w:rFonts w:ascii="Times New Roman" w:hAnsi="Times New Roman" w:cs="Times New Roman" w:eastAsia="Times New Roman" w:hint="default"/>
        </w:rPr>
        <w:t>-5,152.03</w:t>
      </w:r>
      <w:r>
        <w:rPr/>
        <w:t>万元，本年度净利润</w:t>
      </w:r>
      <w:r>
        <w:rPr>
          <w:rFonts w:ascii="Times New Roman" w:hAnsi="Times New Roman" w:cs="Times New Roman" w:eastAsia="Times New Roman" w:hint="default"/>
        </w:rPr>
        <w:t>4,506.95</w:t>
      </w:r>
      <w:r>
        <w:rPr/>
        <w:t>万元，</w:t>
      </w:r>
      <w:r>
        <w:rPr>
          <w:spacing w:val="4"/>
        </w:rPr>
        <w:t> </w:t>
      </w:r>
      <w:r>
        <w:rPr/>
        <w:t>存在重大差异的主要原因是公司项目大部分在第三季度开始实施，此时公司需要按照项目需</w:t>
      </w:r>
      <w:r>
        <w:rPr>
          <w:spacing w:val="-92"/>
        </w:rPr>
        <w:t> </w:t>
      </w:r>
      <w:r>
        <w:rPr>
          <w:spacing w:val="-92"/>
        </w:rPr>
      </w:r>
      <w:r>
        <w:rPr/>
        <w:t>求进行采购，并支付货款；公司在项目取得验收报告后确认销售收入，销售收款受客户结算</w:t>
      </w:r>
      <w:r>
        <w:rPr>
          <w:spacing w:val="-93"/>
        </w:rPr>
        <w:t> </w:t>
      </w:r>
      <w:r>
        <w:rPr>
          <w:spacing w:val="-93"/>
        </w:rPr>
      </w:r>
      <w:r>
        <w:rPr/>
        <w:t>及付款审批流程的影响，应收账款回收存在一定的滞后，随着公司业务规模的扩大，经营活</w:t>
      </w:r>
      <w:r>
        <w:rPr>
          <w:spacing w:val="-93"/>
        </w:rPr>
        <w:t> </w:t>
      </w:r>
      <w:r>
        <w:rPr>
          <w:spacing w:val="-93"/>
        </w:rPr>
      </w:r>
      <w:r>
        <w:rPr/>
        <w:t>动现金流量流入的增长慢于经营活动现金流量流出的增长，导致本期现金流量净流出较大。</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0"/>
        <w:rPr>
          <w:rFonts w:ascii="宋体" w:hAnsi="宋体" w:cs="宋体" w:eastAsia="宋体" w:hint="default"/>
          <w:b/>
          <w:bCs/>
          <w:sz w:val="24"/>
          <w:szCs w:val="24"/>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2"/>
        <w:gridCol w:w="1916"/>
        <w:gridCol w:w="1628"/>
        <w:gridCol w:w="2166"/>
        <w:gridCol w:w="2338"/>
      </w:tblGrid>
      <w:tr>
        <w:trPr>
          <w:trHeight w:val="427"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82"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31"/>
              <w:jc w:val="right"/>
              <w:rPr>
                <w:rFonts w:ascii="宋体" w:hAnsi="宋体" w:cs="宋体" w:eastAsia="宋体" w:hint="default"/>
                <w:sz w:val="18"/>
                <w:szCs w:val="18"/>
              </w:rPr>
            </w:pPr>
            <w:r>
              <w:rPr>
                <w:rFonts w:ascii="宋体" w:hAnsi="宋体" w:cs="宋体" w:eastAsia="宋体" w:hint="default"/>
                <w:spacing w:val="-2"/>
                <w:sz w:val="18"/>
                <w:szCs w:val="18"/>
              </w:rPr>
              <w:t>形成原因说明</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85" w:hRule="exact"/>
        </w:trPr>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17" w:space="0" w:color="D2D2D2"/>
              <w:left w:val="single" w:sz="8" w:space="0" w:color="D2D2D2"/>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2,201,320.52</w:t>
            </w:r>
          </w:p>
        </w:tc>
        <w:tc>
          <w:tcPr>
            <w:tcW w:w="1628" w:type="dxa"/>
            <w:vMerge w:val="restart"/>
            <w:tcBorders>
              <w:top w:val="single" w:sz="17" w:space="0" w:color="D2D2D2"/>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w:t>
            </w:r>
          </w:p>
        </w:tc>
        <w:tc>
          <w:tcPr>
            <w:tcW w:w="2166" w:type="dxa"/>
            <w:vMerge w:val="restart"/>
            <w:tcBorders>
              <w:top w:val="single" w:sz="17" w:space="0" w:color="D2D2D2"/>
              <w:left w:val="single" w:sz="4" w:space="0" w:color="000000"/>
              <w:right w:val="single" w:sz="4" w:space="0" w:color="000000"/>
            </w:tcBorders>
          </w:tcPr>
          <w:p>
            <w:pPr>
              <w:pStyle w:val="TableParagraph"/>
              <w:spacing w:line="316" w:lineRule="auto" w:before="58"/>
              <w:ind w:left="23" w:right="147"/>
              <w:jc w:val="left"/>
              <w:rPr>
                <w:rFonts w:ascii="宋体" w:hAnsi="宋体" w:cs="宋体" w:eastAsia="宋体" w:hint="default"/>
                <w:sz w:val="18"/>
                <w:szCs w:val="18"/>
              </w:rPr>
            </w:pPr>
            <w:r>
              <w:rPr>
                <w:rFonts w:ascii="宋体" w:hAnsi="宋体" w:cs="宋体" w:eastAsia="宋体" w:hint="default"/>
                <w:spacing w:val="-3"/>
                <w:sz w:val="18"/>
                <w:szCs w:val="18"/>
              </w:rPr>
              <w:t>主要系银行理财收益和对</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联营企业的投资收益。</w:t>
            </w:r>
          </w:p>
        </w:tc>
        <w:tc>
          <w:tcPr>
            <w:tcW w:w="2338" w:type="dxa"/>
            <w:vMerge w:val="restart"/>
            <w:tcBorders>
              <w:top w:val="single" w:sz="17" w:space="0" w:color="D2D2D2"/>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89" w:hRule="exact"/>
        </w:trPr>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8"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163" w:hRule="exact"/>
        </w:trPr>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8"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r>
        <w:trPr>
          <w:trHeight w:val="46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5"/>
              <w:ind w:right="13"/>
              <w:jc w:val="right"/>
              <w:rPr>
                <w:rFonts w:ascii="Times New Roman" w:hAnsi="Times New Roman" w:cs="Times New Roman" w:eastAsia="Times New Roman" w:hint="default"/>
                <w:sz w:val="18"/>
                <w:szCs w:val="18"/>
              </w:rPr>
            </w:pPr>
            <w:r>
              <w:rPr>
                <w:rFonts w:ascii="Times New Roman"/>
                <w:spacing w:val="-1"/>
                <w:sz w:val="18"/>
              </w:rPr>
              <w:t>3,794,468.77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pacing w:val="-1"/>
                <w:sz w:val="18"/>
              </w:rPr>
              <w:t>8.48%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07"/>
              <w:jc w:val="right"/>
              <w:rPr>
                <w:rFonts w:ascii="宋体" w:hAnsi="宋体" w:cs="宋体" w:eastAsia="宋体" w:hint="default"/>
                <w:sz w:val="18"/>
                <w:szCs w:val="18"/>
              </w:rPr>
            </w:pPr>
            <w:r>
              <w:rPr>
                <w:rFonts w:ascii="宋体" w:hAnsi="宋体" w:cs="宋体" w:eastAsia="宋体" w:hint="default"/>
                <w:spacing w:val="-3"/>
                <w:sz w:val="18"/>
                <w:szCs w:val="18"/>
              </w:rPr>
              <w:t>主要系对外捐赠等。</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522"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31,918,905.61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47"/>
              <w:jc w:val="left"/>
              <w:rPr>
                <w:rFonts w:ascii="宋体" w:hAnsi="宋体" w:cs="宋体" w:eastAsia="宋体" w:hint="default"/>
                <w:sz w:val="18"/>
                <w:szCs w:val="18"/>
              </w:rPr>
            </w:pPr>
            <w:r>
              <w:rPr>
                <w:rFonts w:ascii="宋体" w:hAnsi="宋体" w:cs="宋体" w:eastAsia="宋体" w:hint="default"/>
                <w:spacing w:val="-3"/>
                <w:sz w:val="18"/>
                <w:szCs w:val="18"/>
              </w:rPr>
              <w:t>主要系取得的增值税即征</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即退。</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-20,703,473.56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-46.27%</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47"/>
              <w:jc w:val="left"/>
              <w:rPr>
                <w:rFonts w:ascii="宋体" w:hAnsi="宋体" w:cs="宋体" w:eastAsia="宋体" w:hint="default"/>
                <w:sz w:val="18"/>
                <w:szCs w:val="18"/>
              </w:rPr>
            </w:pPr>
            <w:r>
              <w:rPr>
                <w:rFonts w:ascii="宋体" w:hAnsi="宋体" w:cs="宋体" w:eastAsia="宋体" w:hint="default"/>
                <w:spacing w:val="-3"/>
                <w:sz w:val="18"/>
                <w:szCs w:val="18"/>
              </w:rPr>
              <w:t>主要系对应收账款和其他</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应收款的减值准备。</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资产构成重大变动情况" w:id="40"/>
      <w:bookmarkEnd w:id="4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14"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年起首次执行新金融工具准则、新收入准则或新租赁准则且调整执行当年年初财务报表相关项目</w:t>
      </w:r>
    </w:p>
    <w:p>
      <w:pPr>
        <w:spacing w:before="101"/>
        <w:ind w:left="153"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31" w:space="390"/>
            <w:col w:w="2009"/>
          </w:cols>
        </w:sectPr>
      </w:pP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9"/>
        <w:gridCol w:w="1167"/>
        <w:gridCol w:w="1049"/>
        <w:gridCol w:w="1208"/>
        <w:gridCol w:w="1052"/>
        <w:gridCol w:w="811"/>
        <w:gridCol w:w="2920"/>
      </w:tblGrid>
      <w:tr>
        <w:trPr>
          <w:trHeight w:val="418"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2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29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9" w:type="dxa"/>
            <w:vMerge w:val="restart"/>
            <w:tcBorders>
              <w:top w:val="nil" w:sz="6" w:space="0" w:color="auto"/>
              <w:left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7"/>
              <w:ind w:left="436" w:right="58"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7"/>
              <w:ind w:left="436" w:right="6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8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4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4"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9"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2D2D2"/>
          </w:tcPr>
          <w:p>
            <w:pPr/>
          </w:p>
        </w:tc>
        <w:tc>
          <w:tcPr>
            <w:tcW w:w="811" w:type="dxa"/>
            <w:vMerge/>
            <w:tcBorders>
              <w:left w:val="single" w:sz="4" w:space="0" w:color="000000"/>
              <w:bottom w:val="nil" w:sz="6" w:space="0" w:color="auto"/>
              <w:right w:val="single" w:sz="4" w:space="0" w:color="000000"/>
            </w:tcBorders>
            <w:shd w:val="clear" w:color="auto" w:fill="D2D2D2"/>
          </w:tcPr>
          <w:p>
            <w:pPr/>
          </w:p>
        </w:tc>
        <w:tc>
          <w:tcPr>
            <w:tcW w:w="2920" w:type="dxa"/>
            <w:vMerge/>
            <w:tcBorders>
              <w:left w:val="single" w:sz="4" w:space="0" w:color="000000"/>
              <w:bottom w:val="nil" w:sz="6" w:space="0" w:color="auto"/>
              <w:right w:val="single" w:sz="4" w:space="0" w:color="000000"/>
            </w:tcBorders>
            <w:shd w:val="clear" w:color="auto" w:fill="D2D2D2"/>
          </w:tcPr>
          <w:p>
            <w:pPr/>
          </w:p>
        </w:tc>
      </w:tr>
      <w:tr>
        <w:trPr>
          <w:trHeight w:val="230" w:hRule="exact"/>
        </w:trPr>
        <w:tc>
          <w:tcPr>
            <w:tcW w:w="1369" w:type="dxa"/>
            <w:vMerge w:val="restart"/>
            <w:tcBorders>
              <w:top w:val="nil" w:sz="6" w:space="0" w:color="auto"/>
              <w:left w:val="single" w:sz="4" w:space="0" w:color="000000"/>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11" w:type="dxa"/>
            <w:vMerge w:val="restart"/>
            <w:tcBorders>
              <w:top w:val="nil" w:sz="6" w:space="0" w:color="auto"/>
              <w:left w:val="single" w:sz="4" w:space="0" w:color="000000"/>
              <w:right w:val="single" w:sz="4" w:space="0" w:color="000000"/>
            </w:tcBorders>
            <w:shd w:val="clear" w:color="auto" w:fill="D2D2D2"/>
          </w:tcPr>
          <w:p>
            <w:pPr/>
          </w:p>
        </w:tc>
        <w:tc>
          <w:tcPr>
            <w:tcW w:w="2920"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811" w:type="dxa"/>
            <w:vMerge/>
            <w:tcBorders>
              <w:left w:val="single" w:sz="4" w:space="0" w:color="000000"/>
              <w:bottom w:val="single" w:sz="4" w:space="0" w:color="000000"/>
              <w:right w:val="single" w:sz="4" w:space="0" w:color="000000"/>
            </w:tcBorders>
            <w:shd w:val="clear" w:color="auto" w:fill="D2D2D2"/>
          </w:tcPr>
          <w:p>
            <w:pPr/>
          </w:p>
        </w:tc>
        <w:tc>
          <w:tcPr>
            <w:tcW w:w="2920" w:type="dxa"/>
            <w:vMerge/>
            <w:tcBorders>
              <w:left w:val="single" w:sz="4" w:space="0" w:color="000000"/>
              <w:bottom w:val="single" w:sz="4" w:space="0" w:color="000000"/>
              <w:right w:val="single" w:sz="4" w:space="0" w:color="000000"/>
            </w:tcBorders>
            <w:shd w:val="clear" w:color="auto" w:fill="D2D2D2"/>
          </w:tcPr>
          <w:p>
            <w:pPr/>
          </w:p>
        </w:tc>
      </w:tr>
      <w:tr>
        <w:trPr>
          <w:trHeight w:val="46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8"/>
              <w:ind w:left="83" w:right="0"/>
              <w:jc w:val="left"/>
              <w:rPr>
                <w:rFonts w:ascii="Times New Roman" w:hAnsi="Times New Roman" w:cs="Times New Roman" w:eastAsia="Times New Roman" w:hint="default"/>
                <w:sz w:val="18"/>
                <w:szCs w:val="18"/>
              </w:rPr>
            </w:pPr>
            <w:r>
              <w:rPr>
                <w:rFonts w:ascii="Times New Roman"/>
                <w:sz w:val="18"/>
              </w:rPr>
              <w:t>241,748,570.9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75" w:right="0"/>
              <w:jc w:val="left"/>
              <w:rPr>
                <w:rFonts w:ascii="Times New Roman" w:hAnsi="Times New Roman" w:cs="Times New Roman" w:eastAsia="Times New Roman" w:hint="default"/>
                <w:sz w:val="18"/>
                <w:szCs w:val="18"/>
              </w:rPr>
            </w:pPr>
            <w:r>
              <w:rPr>
                <w:rFonts w:ascii="Times New Roman"/>
                <w:sz w:val="18"/>
              </w:rPr>
              <w:t>18.89%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0" w:right="0"/>
              <w:jc w:val="left"/>
              <w:rPr>
                <w:rFonts w:ascii="Times New Roman" w:hAnsi="Times New Roman" w:cs="Times New Roman" w:eastAsia="Times New Roman" w:hint="default"/>
                <w:sz w:val="18"/>
                <w:szCs w:val="18"/>
              </w:rPr>
            </w:pPr>
            <w:r>
              <w:rPr>
                <w:rFonts w:ascii="Times New Roman"/>
                <w:sz w:val="18"/>
              </w:rPr>
              <w:t>224,257,088.55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75" w:right="0"/>
              <w:jc w:val="left"/>
              <w:rPr>
                <w:rFonts w:ascii="Times New Roman" w:hAnsi="Times New Roman" w:cs="Times New Roman" w:eastAsia="Times New Roman" w:hint="default"/>
                <w:sz w:val="18"/>
                <w:szCs w:val="18"/>
              </w:rPr>
            </w:pPr>
            <w:r>
              <w:rPr>
                <w:rFonts w:ascii="Times New Roman"/>
                <w:sz w:val="18"/>
              </w:rPr>
              <w:t>22.13%</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54" w:right="0"/>
              <w:jc w:val="left"/>
              <w:rPr>
                <w:rFonts w:ascii="Times New Roman" w:hAnsi="Times New Roman" w:cs="Times New Roman" w:eastAsia="Times New Roman" w:hint="default"/>
                <w:sz w:val="18"/>
                <w:szCs w:val="18"/>
              </w:rPr>
            </w:pPr>
            <w:r>
              <w:rPr>
                <w:rFonts w:ascii="Times New Roman"/>
                <w:sz w:val="18"/>
              </w:rPr>
              <w:t>-3.24%</w:t>
            </w:r>
          </w:p>
        </w:tc>
        <w:tc>
          <w:tcPr>
            <w:tcW w:w="29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167"/>
        <w:gridCol w:w="1061"/>
        <w:gridCol w:w="1196"/>
        <w:gridCol w:w="1061"/>
        <w:gridCol w:w="802"/>
        <w:gridCol w:w="2920"/>
      </w:tblGrid>
      <w:tr>
        <w:trPr>
          <w:trHeight w:val="46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425,875,216.6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33.29%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314,762,606.52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31.06%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主要系报告期收入较上年同期增长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所致。</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213,483,773.7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168,680,057.50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16.65%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0.04%</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129,514,870.2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79,078,151.51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7.80%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主要系报告期追加对卓然实业的投</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资和常电股份的投资所致。</w:t>
            </w:r>
          </w:p>
        </w:tc>
      </w:tr>
      <w:tr>
        <w:trPr>
          <w:trHeight w:val="46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Times New Roman" w:hAnsi="Times New Roman" w:cs="Times New Roman" w:eastAsia="Times New Roman" w:hint="default"/>
                <w:sz w:val="18"/>
                <w:szCs w:val="18"/>
              </w:rPr>
            </w:pPr>
            <w:r>
              <w:rPr>
                <w:rFonts w:ascii="Times New Roman"/>
                <w:spacing w:val="-1"/>
                <w:sz w:val="18"/>
              </w:rPr>
              <w:t>53,420,013.35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4"/>
              <w:jc w:val="right"/>
              <w:rPr>
                <w:rFonts w:ascii="Times New Roman" w:hAnsi="Times New Roman" w:cs="Times New Roman" w:eastAsia="Times New Roman" w:hint="default"/>
                <w:sz w:val="18"/>
                <w:szCs w:val="18"/>
              </w:rPr>
            </w:pPr>
            <w:r>
              <w:rPr>
                <w:rFonts w:ascii="Times New Roman"/>
                <w:spacing w:val="-1"/>
                <w:sz w:val="18"/>
              </w:rPr>
              <w:t>4.18%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Times New Roman" w:hAnsi="Times New Roman" w:cs="Times New Roman" w:eastAsia="Times New Roman" w:hint="default"/>
                <w:sz w:val="18"/>
                <w:szCs w:val="18"/>
              </w:rPr>
            </w:pPr>
            <w:r>
              <w:rPr>
                <w:rFonts w:ascii="Times New Roman"/>
                <w:spacing w:val="-1"/>
                <w:sz w:val="18"/>
              </w:rPr>
              <w:t>29,965,366.76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4"/>
              <w:jc w:val="right"/>
              <w:rPr>
                <w:rFonts w:ascii="Times New Roman" w:hAnsi="Times New Roman" w:cs="Times New Roman" w:eastAsia="Times New Roman" w:hint="default"/>
                <w:sz w:val="18"/>
                <w:szCs w:val="18"/>
              </w:rPr>
            </w:pPr>
            <w:r>
              <w:rPr>
                <w:rFonts w:ascii="Times New Roman"/>
                <w:spacing w:val="-1"/>
                <w:sz w:val="18"/>
              </w:rPr>
              <w:t>2.96%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pacing w:val="-1"/>
                <w:sz w:val="18"/>
              </w:rPr>
              <w:t>1.22%</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17,298,317.52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4"/>
              <w:jc w:val="right"/>
              <w:rPr>
                <w:rFonts w:ascii="Times New Roman" w:hAnsi="Times New Roman" w:cs="Times New Roman" w:eastAsia="Times New Roman" w:hint="default"/>
                <w:sz w:val="18"/>
                <w:szCs w:val="18"/>
              </w:rPr>
            </w:pPr>
            <w:r>
              <w:rPr>
                <w:rFonts w:ascii="Times New Roman"/>
                <w:spacing w:val="-1"/>
                <w:sz w:val="18"/>
              </w:rPr>
              <w:t>1.35%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7,833,188.58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4"/>
              <w:jc w:val="right"/>
              <w:rPr>
                <w:rFonts w:ascii="Times New Roman" w:hAnsi="Times New Roman" w:cs="Times New Roman" w:eastAsia="Times New Roman" w:hint="default"/>
                <w:sz w:val="18"/>
                <w:szCs w:val="18"/>
              </w:rPr>
            </w:pPr>
            <w:r>
              <w:rPr>
                <w:rFonts w:ascii="Times New Roman"/>
                <w:spacing w:val="-1"/>
                <w:sz w:val="18"/>
              </w:rPr>
              <w:t>0.77%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0.58%</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325,978,790.6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25.48%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167,418,148.64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16.52%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主要系报告期对外投资，营运资金增</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加所致。</w:t>
            </w:r>
          </w:p>
        </w:tc>
      </w:tr>
      <w:tr>
        <w:trPr>
          <w:trHeight w:val="46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right="17"/>
              <w:jc w:val="right"/>
              <w:rPr>
                <w:rFonts w:ascii="Times New Roman" w:hAnsi="Times New Roman" w:cs="Times New Roman" w:eastAsia="Times New Roman" w:hint="default"/>
                <w:sz w:val="18"/>
                <w:szCs w:val="18"/>
              </w:rPr>
            </w:pPr>
            <w:r>
              <w:rPr>
                <w:rFonts w:ascii="Times New Roman"/>
                <w:spacing w:val="-1"/>
                <w:sz w:val="18"/>
              </w:rPr>
              <w:t>5,000,002.00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4"/>
              <w:jc w:val="right"/>
              <w:rPr>
                <w:rFonts w:ascii="Times New Roman" w:hAnsi="Times New Roman" w:cs="Times New Roman" w:eastAsia="Times New Roman" w:hint="default"/>
                <w:sz w:val="18"/>
                <w:szCs w:val="18"/>
              </w:rPr>
            </w:pPr>
            <w:r>
              <w:rPr>
                <w:rFonts w:ascii="Times New Roman"/>
                <w:spacing w:val="-1"/>
                <w:sz w:val="18"/>
              </w:rPr>
              <w:t>0.39%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pacing w:val="-1"/>
                <w:sz w:val="18"/>
              </w:rPr>
              <w:t>0.39%</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9"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4.93%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-4.07%</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主要系报告期银行理财产品减少所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致。</w:t>
            </w:r>
          </w:p>
        </w:tc>
      </w:tr>
      <w:tr>
        <w:trPr>
          <w:trHeight w:val="46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15,268,384.81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4"/>
              <w:jc w:val="right"/>
              <w:rPr>
                <w:rFonts w:ascii="Times New Roman" w:hAnsi="Times New Roman" w:cs="Times New Roman" w:eastAsia="Times New Roman" w:hint="default"/>
                <w:sz w:val="18"/>
                <w:szCs w:val="18"/>
              </w:rPr>
            </w:pPr>
            <w:r>
              <w:rPr>
                <w:rFonts w:ascii="Times New Roman"/>
                <w:spacing w:val="-1"/>
                <w:sz w:val="18"/>
              </w:rPr>
              <w:t>1.19%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2"/>
                <w:sz w:val="18"/>
              </w:rPr>
              <w:t>10,359,767.11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4"/>
              <w:jc w:val="right"/>
              <w:rPr>
                <w:rFonts w:ascii="Times New Roman" w:hAnsi="Times New Roman" w:cs="Times New Roman" w:eastAsia="Times New Roman" w:hint="default"/>
                <w:sz w:val="18"/>
                <w:szCs w:val="18"/>
              </w:rPr>
            </w:pPr>
            <w:r>
              <w:rPr>
                <w:rFonts w:ascii="Times New Roman"/>
                <w:spacing w:val="-1"/>
                <w:sz w:val="18"/>
              </w:rPr>
              <w:t>1.02%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0.17%</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22,693,695.16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5,066,260.82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0.50%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85"/>
              <w:jc w:val="left"/>
              <w:rPr>
                <w:rFonts w:ascii="宋体" w:hAnsi="宋体" w:cs="宋体" w:eastAsia="宋体" w:hint="default"/>
                <w:sz w:val="18"/>
                <w:szCs w:val="18"/>
              </w:rPr>
            </w:pPr>
            <w:r>
              <w:rPr>
                <w:rFonts w:ascii="宋体" w:hAnsi="宋体" w:cs="宋体" w:eastAsia="宋体" w:hint="default"/>
                <w:spacing w:val="-3"/>
                <w:sz w:val="18"/>
                <w:szCs w:val="18"/>
              </w:rPr>
              <w:t>主要系报告期子公司小兰智慧新增</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洗衣房装修费增加所致。</w:t>
            </w:r>
          </w:p>
        </w:tc>
      </w:tr>
      <w:tr>
        <w:trPr>
          <w:trHeight w:val="46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17,666,345.41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4"/>
              <w:jc w:val="right"/>
              <w:rPr>
                <w:rFonts w:ascii="Times New Roman" w:hAnsi="Times New Roman" w:cs="Times New Roman" w:eastAsia="Times New Roman" w:hint="default"/>
                <w:sz w:val="18"/>
                <w:szCs w:val="18"/>
              </w:rPr>
            </w:pPr>
            <w:r>
              <w:rPr>
                <w:rFonts w:ascii="Times New Roman"/>
                <w:spacing w:val="-1"/>
                <w:sz w:val="18"/>
              </w:rPr>
              <w:t>1.38%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2"/>
                <w:sz w:val="18"/>
              </w:rPr>
              <w:t>11,864,816.31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4"/>
              <w:jc w:val="right"/>
              <w:rPr>
                <w:rFonts w:ascii="Times New Roman" w:hAnsi="Times New Roman" w:cs="Times New Roman" w:eastAsia="Times New Roman" w:hint="default"/>
                <w:sz w:val="18"/>
                <w:szCs w:val="18"/>
              </w:rPr>
            </w:pPr>
            <w:r>
              <w:rPr>
                <w:rFonts w:ascii="Times New Roman"/>
                <w:spacing w:val="-1"/>
                <w:sz w:val="18"/>
              </w:rPr>
              <w:t>1.17%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0.21%</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2"/>
                <w:sz w:val="18"/>
              </w:rPr>
              <w:t>11,226,208.96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4"/>
              <w:jc w:val="right"/>
              <w:rPr>
                <w:rFonts w:ascii="Times New Roman" w:hAnsi="Times New Roman" w:cs="Times New Roman" w:eastAsia="Times New Roman" w:hint="default"/>
                <w:sz w:val="18"/>
                <w:szCs w:val="18"/>
              </w:rPr>
            </w:pPr>
            <w:r>
              <w:rPr>
                <w:rFonts w:ascii="Times New Roman"/>
                <w:spacing w:val="-1"/>
                <w:sz w:val="18"/>
              </w:rPr>
              <w:t>0.88%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1"/>
                <w:sz w:val="18"/>
              </w:rPr>
              <w:t>5,082,007.12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4"/>
              <w:jc w:val="right"/>
              <w:rPr>
                <w:rFonts w:ascii="Times New Roman" w:hAnsi="Times New Roman" w:cs="Times New Roman" w:eastAsia="Times New Roman" w:hint="default"/>
                <w:sz w:val="18"/>
                <w:szCs w:val="18"/>
              </w:rPr>
            </w:pPr>
            <w:r>
              <w:rPr>
                <w:rFonts w:ascii="Times New Roman"/>
                <w:spacing w:val="-1"/>
                <w:sz w:val="18"/>
              </w:rPr>
              <w:t>0.50%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0.38%</w:t>
            </w:r>
          </w:p>
        </w:tc>
        <w:tc>
          <w:tcPr>
            <w:tcW w:w="29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以公允价值计量的资产和负债" w:id="41"/>
      <w:bookmarkEnd w:id="4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63"/>
        <w:gridCol w:w="1029"/>
        <w:gridCol w:w="1056"/>
        <w:gridCol w:w="1195"/>
        <w:gridCol w:w="926"/>
        <w:gridCol w:w="1208"/>
        <w:gridCol w:w="1051"/>
        <w:gridCol w:w="922"/>
        <w:gridCol w:w="1215"/>
      </w:tblGrid>
      <w:tr>
        <w:trPr>
          <w:trHeight w:val="163" w:hRule="exact"/>
        </w:trPr>
        <w:tc>
          <w:tcPr>
            <w:tcW w:w="963" w:type="dxa"/>
            <w:vMerge w:val="restart"/>
            <w:tcBorders>
              <w:top w:val="single" w:sz="4" w:space="0" w:color="000000"/>
              <w:left w:val="single" w:sz="4" w:space="0" w:color="000000"/>
              <w:right w:val="single" w:sz="4" w:space="0" w:color="000000"/>
            </w:tcBorders>
            <w:shd w:val="clear" w:color="auto" w:fill="D2D2D2"/>
          </w:tcPr>
          <w:p>
            <w:pPr/>
          </w:p>
        </w:tc>
        <w:tc>
          <w:tcPr>
            <w:tcW w:w="1029" w:type="dxa"/>
            <w:vMerge w:val="restart"/>
            <w:tcBorders>
              <w:top w:val="single" w:sz="4" w:space="0" w:color="000000"/>
              <w:left w:val="single" w:sz="4" w:space="0" w:color="000000"/>
              <w:right w:val="single" w:sz="4" w:space="0" w:color="000000"/>
            </w:tcBorders>
            <w:shd w:val="clear" w:color="auto" w:fill="D2D2D2"/>
          </w:tcPr>
          <w:p>
            <w:pPr/>
          </w:p>
        </w:tc>
        <w:tc>
          <w:tcPr>
            <w:tcW w:w="10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51" w:right="46"/>
              <w:jc w:val="center"/>
              <w:rPr>
                <w:rFonts w:ascii="宋体" w:hAnsi="宋体" w:cs="宋体" w:eastAsia="宋体" w:hint="default"/>
                <w:sz w:val="18"/>
                <w:szCs w:val="18"/>
              </w:rPr>
            </w:pPr>
            <w:r>
              <w:rPr>
                <w:rFonts w:ascii="宋体" w:hAnsi="宋体" w:cs="宋体" w:eastAsia="宋体" w:hint="default"/>
                <w:spacing w:val="-2"/>
                <w:sz w:val="18"/>
                <w:szCs w:val="18"/>
              </w:rPr>
              <w:t>计入权益的累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计公允价值变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动</w:t>
            </w: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vMerge w:val="restart"/>
            <w:tcBorders>
              <w:top w:val="single" w:sz="4" w:space="0" w:color="000000"/>
              <w:left w:val="single" w:sz="4" w:space="0" w:color="000000"/>
              <w:right w:val="single" w:sz="4" w:space="0" w:color="000000"/>
            </w:tcBorders>
            <w:shd w:val="clear" w:color="auto" w:fill="D2D2D2"/>
          </w:tcPr>
          <w:p>
            <w:pPr/>
          </w:p>
        </w:tc>
        <w:tc>
          <w:tcPr>
            <w:tcW w:w="1215" w:type="dxa"/>
            <w:vMerge w:val="restart"/>
            <w:tcBorders>
              <w:top w:val="single" w:sz="4" w:space="0" w:color="000000"/>
              <w:left w:val="single" w:sz="4" w:space="0" w:color="000000"/>
              <w:right w:val="single" w:sz="4" w:space="0" w:color="000000"/>
            </w:tcBorders>
            <w:shd w:val="clear" w:color="auto" w:fill="D2D2D2"/>
          </w:tcPr>
          <w:p>
            <w:pPr/>
          </w:p>
        </w:tc>
      </w:tr>
      <w:tr>
        <w:trPr>
          <w:trHeight w:val="154" w:hRule="exact"/>
        </w:trPr>
        <w:tc>
          <w:tcPr>
            <w:tcW w:w="963" w:type="dxa"/>
            <w:vMerge/>
            <w:tcBorders>
              <w:left w:val="single" w:sz="4" w:space="0" w:color="000000"/>
              <w:bottom w:val="nil" w:sz="6" w:space="0" w:color="auto"/>
              <w:right w:val="single" w:sz="4" w:space="0" w:color="000000"/>
            </w:tcBorders>
            <w:shd w:val="clear" w:color="auto" w:fill="D2D2D2"/>
          </w:tcPr>
          <w:p>
            <w:pPr/>
          </w:p>
        </w:tc>
        <w:tc>
          <w:tcPr>
            <w:tcW w:w="1029" w:type="dxa"/>
            <w:vMerge/>
            <w:tcBorders>
              <w:left w:val="single" w:sz="4" w:space="0" w:color="000000"/>
              <w:bottom w:val="nil" w:sz="6" w:space="0" w:color="auto"/>
              <w:right w:val="single" w:sz="4" w:space="0" w:color="000000"/>
            </w:tcBorders>
            <w:shd w:val="clear" w:color="auto" w:fill="D2D2D2"/>
          </w:tcPr>
          <w:p>
            <w:pPr/>
          </w:p>
        </w:tc>
        <w:tc>
          <w:tcPr>
            <w:tcW w:w="10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71" w:right="71"/>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1195"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92" w:right="88" w:hanging="92"/>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的减值</w:t>
            </w:r>
          </w:p>
        </w:tc>
        <w:tc>
          <w:tcPr>
            <w:tcW w:w="1208" w:type="dxa"/>
            <w:vMerge/>
            <w:tcBorders>
              <w:left w:val="single" w:sz="4" w:space="0" w:color="000000"/>
              <w:bottom w:val="nil" w:sz="6" w:space="0" w:color="auto"/>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430" w:right="65" w:hanging="360"/>
              <w:jc w:val="left"/>
              <w:rPr>
                <w:rFonts w:ascii="宋体" w:hAnsi="宋体" w:cs="宋体" w:eastAsia="宋体" w:hint="default"/>
                <w:sz w:val="18"/>
                <w:szCs w:val="18"/>
              </w:rPr>
            </w:pPr>
            <w:r>
              <w:rPr>
                <w:rFonts w:ascii="宋体" w:hAnsi="宋体" w:cs="宋体" w:eastAsia="宋体" w:hint="default"/>
                <w:spacing w:val="-2"/>
                <w:sz w:val="18"/>
                <w:szCs w:val="18"/>
              </w:rPr>
              <w:t>本期出售金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922" w:type="dxa"/>
            <w:vMerge/>
            <w:tcBorders>
              <w:left w:val="single" w:sz="4" w:space="0" w:color="000000"/>
              <w:bottom w:val="nil" w:sz="6" w:space="0" w:color="auto"/>
              <w:right w:val="single" w:sz="4" w:space="0" w:color="000000"/>
            </w:tcBorders>
            <w:shd w:val="clear" w:color="auto" w:fill="D2D2D2"/>
          </w:tcPr>
          <w:p>
            <w:pPr/>
          </w:p>
        </w:tc>
        <w:tc>
          <w:tcPr>
            <w:tcW w:w="1215"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3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5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051"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12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4" w:hRule="exact"/>
        </w:trPr>
        <w:tc>
          <w:tcPr>
            <w:tcW w:w="963" w:type="dxa"/>
            <w:vMerge w:val="restart"/>
            <w:tcBorders>
              <w:top w:val="nil" w:sz="6" w:space="0" w:color="auto"/>
              <w:left w:val="single" w:sz="4" w:space="0" w:color="000000"/>
              <w:right w:val="single" w:sz="4" w:space="0" w:color="000000"/>
            </w:tcBorders>
            <w:shd w:val="clear" w:color="auto" w:fill="D2D2D2"/>
          </w:tcPr>
          <w:p>
            <w:pPr/>
          </w:p>
        </w:tc>
        <w:tc>
          <w:tcPr>
            <w:tcW w:w="1029" w:type="dxa"/>
            <w:vMerge w:val="restart"/>
            <w:tcBorders>
              <w:top w:val="nil" w:sz="6" w:space="0" w:color="auto"/>
              <w:left w:val="single" w:sz="4" w:space="0" w:color="000000"/>
              <w:right w:val="single" w:sz="4" w:space="0" w:color="000000"/>
            </w:tcBorders>
            <w:shd w:val="clear" w:color="auto" w:fill="D2D2D2"/>
          </w:tcPr>
          <w:p>
            <w:pPr/>
          </w:p>
        </w:tc>
        <w:tc>
          <w:tcPr>
            <w:tcW w:w="105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c>
          <w:tcPr>
            <w:tcW w:w="1215"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963" w:type="dxa"/>
            <w:vMerge/>
            <w:tcBorders>
              <w:left w:val="single" w:sz="4" w:space="0" w:color="000000"/>
              <w:bottom w:val="single" w:sz="4" w:space="0" w:color="000000"/>
              <w:right w:val="single" w:sz="4" w:space="0" w:color="000000"/>
            </w:tcBorders>
            <w:shd w:val="clear" w:color="auto" w:fill="D2D2D2"/>
          </w:tcPr>
          <w:p>
            <w:pPr/>
          </w:p>
        </w:tc>
        <w:tc>
          <w:tcPr>
            <w:tcW w:w="1029" w:type="dxa"/>
            <w:vMerge/>
            <w:tcBorders>
              <w:left w:val="single" w:sz="4" w:space="0" w:color="000000"/>
              <w:bottom w:val="single" w:sz="4" w:space="0" w:color="000000"/>
              <w:right w:val="single" w:sz="4" w:space="0" w:color="000000"/>
            </w:tcBorders>
            <w:shd w:val="clear" w:color="auto" w:fill="D2D2D2"/>
          </w:tcPr>
          <w:p>
            <w:pPr/>
          </w:p>
        </w:tc>
        <w:tc>
          <w:tcPr>
            <w:tcW w:w="10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5" w:hRule="exact"/>
        </w:trPr>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融资产（不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含衍生金融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2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189,000,000.00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228,000,000.</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00</w:t>
            </w:r>
          </w:p>
        </w:tc>
        <w:tc>
          <w:tcPr>
            <w:tcW w:w="92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11,000,000.00</w:t>
            </w:r>
          </w:p>
        </w:tc>
      </w:tr>
      <w:tr>
        <w:trPr>
          <w:trHeight w:val="715" w:hRule="exact"/>
        </w:trPr>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工具投资</w:t>
            </w:r>
          </w:p>
        </w:tc>
        <w:tc>
          <w:tcPr>
            <w:tcW w:w="1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216,000.00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216,000.00</w:t>
            </w:r>
          </w:p>
        </w:tc>
      </w:tr>
      <w:tr>
        <w:trPr>
          <w:trHeight w:val="716" w:hRule="exact"/>
        </w:trPr>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36"/>
              <w:jc w:val="left"/>
              <w:rPr>
                <w:rFonts w:ascii="宋体" w:hAnsi="宋体" w:cs="宋体" w:eastAsia="宋体" w:hint="default"/>
                <w:sz w:val="18"/>
                <w:szCs w:val="18"/>
              </w:rPr>
            </w:pPr>
            <w:r>
              <w:rPr>
                <w:rFonts w:ascii="宋体" w:hAnsi="宋体" w:cs="宋体" w:eastAsia="宋体" w:hint="default"/>
                <w:spacing w:val="-2"/>
                <w:sz w:val="18"/>
                <w:szCs w:val="18"/>
              </w:rPr>
              <w:t>金融资产小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w:t>
            </w:r>
          </w:p>
        </w:tc>
        <w:tc>
          <w:tcPr>
            <w:tcW w:w="1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50,216,000.0</w:t>
            </w:r>
          </w:p>
          <w:p>
            <w:pPr>
              <w:pStyle w:val="TableParagraph"/>
              <w:spacing w:line="240" w:lineRule="auto" w:before="110"/>
              <w:ind w:right="2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189,000,000.00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228,000,000.</w:t>
            </w:r>
          </w:p>
          <w:p>
            <w:pPr>
              <w:pStyle w:val="TableParagraph"/>
              <w:spacing w:line="240" w:lineRule="auto" w:before="110"/>
              <w:ind w:right="7"/>
              <w:jc w:val="right"/>
              <w:rPr>
                <w:rFonts w:ascii="Times New Roman" w:hAnsi="Times New Roman" w:cs="Times New Roman" w:eastAsia="Times New Roman" w:hint="default"/>
                <w:sz w:val="18"/>
                <w:szCs w:val="18"/>
              </w:rPr>
            </w:pPr>
            <w:r>
              <w:rPr>
                <w:rFonts w:ascii="Times New Roman"/>
                <w:sz w:val="18"/>
              </w:rPr>
              <w:t>00</w:t>
            </w:r>
          </w:p>
        </w:tc>
        <w:tc>
          <w:tcPr>
            <w:tcW w:w="92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11,216,000.00</w:t>
            </w:r>
          </w:p>
        </w:tc>
      </w:tr>
      <w:tr>
        <w:trPr>
          <w:trHeight w:val="40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center"/>
              <w:rPr>
                <w:rFonts w:ascii="宋体" w:hAnsi="宋体" w:cs="宋体" w:eastAsia="宋体" w:hint="default"/>
                <w:sz w:val="18"/>
                <w:szCs w:val="18"/>
              </w:rPr>
            </w:pPr>
            <w:r>
              <w:rPr>
                <w:rFonts w:ascii="宋体" w:hAnsi="宋体" w:cs="宋体" w:eastAsia="宋体" w:hint="default"/>
                <w:sz w:val="18"/>
                <w:szCs w:val="18"/>
              </w:rPr>
              <w:t>应收款项</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1,942,145.00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center"/>
              <w:rPr>
                <w:rFonts w:ascii="Times New Roman" w:hAnsi="Times New Roman" w:cs="Times New Roman" w:eastAsia="Times New Roman" w:hint="default"/>
                <w:sz w:val="18"/>
                <w:szCs w:val="18"/>
              </w:rPr>
            </w:pPr>
            <w:r>
              <w:rPr>
                <w:rFonts w:ascii="Times New Roman"/>
                <w:sz w:val="18"/>
              </w:rPr>
              <w:t>178,768.49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2,120,913.49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80"/>
        <w:gridCol w:w="1018"/>
        <w:gridCol w:w="1061"/>
        <w:gridCol w:w="1196"/>
        <w:gridCol w:w="932"/>
        <w:gridCol w:w="1196"/>
        <w:gridCol w:w="1061"/>
        <w:gridCol w:w="917"/>
        <w:gridCol w:w="1215"/>
      </w:tblGrid>
      <w:tr>
        <w:trPr>
          <w:trHeight w:val="360"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融资</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52,158,145.0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189,000,000.00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228,000,000.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178,768.49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13,336,913.49</w:t>
            </w:r>
          </w:p>
        </w:tc>
      </w:tr>
      <w:tr>
        <w:trPr>
          <w:trHeight w:val="403" w:hRule="exact"/>
        </w:trPr>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7" w:right="0"/>
              <w:jc w:val="lef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其他变动的内容</w:t>
      </w:r>
    </w:p>
    <w:p>
      <w:pPr>
        <w:pStyle w:val="BodyText"/>
        <w:spacing w:line="240" w:lineRule="auto" w:before="145"/>
        <w:ind w:left="633" w:right="0"/>
        <w:jc w:val="left"/>
      </w:pPr>
      <w:r>
        <w:rPr/>
        <w:t>应收款项融资中的其他变动为银行承兑汇票收到和到期承兑或背书的净额。</w:t>
      </w:r>
    </w:p>
    <w:p>
      <w:pPr>
        <w:spacing w:before="16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报告期内公司主要资产计量属性是否发生重大变化</w:t>
      </w:r>
    </w:p>
    <w:p>
      <w:pPr>
        <w:spacing w:before="12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spacing w:line="506" w:lineRule="auto" w:before="0"/>
        <w:ind w:left="153" w:right="7272" w:firstLine="0"/>
        <w:jc w:val="left"/>
        <w:rPr>
          <w:rFonts w:ascii="宋体" w:hAnsi="宋体" w:cs="宋体" w:eastAsia="宋体" w:hint="default"/>
          <w:sz w:val="21"/>
          <w:szCs w:val="21"/>
        </w:rPr>
      </w:pPr>
      <w:r>
        <w:rPr/>
        <w:pict>
          <v:shape style="position:absolute;margin-left:56.424pt;margin-top:47.06366pt;width:482.85pt;height:104.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8"/>
                    <w:gridCol w:w="2843"/>
                    <w:gridCol w:w="3962"/>
                  </w:tblGrid>
                  <w:tr>
                    <w:trPr>
                      <w:trHeight w:val="519" w:hRule="exact"/>
                    </w:trPr>
                    <w:tc>
                      <w:tcPr>
                        <w:tcW w:w="28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1113"/>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9"/>
                            <w:sz w:val="21"/>
                            <w:szCs w:val="21"/>
                          </w:rPr>
                          <w:t> </w:t>
                        </w:r>
                        <w:r>
                          <w:rPr>
                            <w:rFonts w:ascii="宋体" w:hAnsi="宋体" w:cs="宋体" w:eastAsia="宋体" w:hint="default"/>
                            <w:sz w:val="21"/>
                            <w:szCs w:val="21"/>
                          </w:rPr>
                          <w:t>目</w:t>
                        </w:r>
                      </w:p>
                    </w:tc>
                    <w:tc>
                      <w:tcPr>
                        <w:tcW w:w="2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792"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52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41"/>
                          <w:jc w:val="right"/>
                          <w:rPr>
                            <w:rFonts w:ascii="Times New Roman" w:hAnsi="Times New Roman" w:cs="Times New Roman" w:eastAsia="Times New Roman" w:hint="default"/>
                            <w:sz w:val="21"/>
                            <w:szCs w:val="21"/>
                          </w:rPr>
                        </w:pPr>
                        <w:r>
                          <w:rPr>
                            <w:rFonts w:ascii="Times New Roman"/>
                            <w:sz w:val="21"/>
                          </w:rPr>
                          <w:t>7,151,702.13</w:t>
                        </w:r>
                      </w:p>
                    </w:tc>
                    <w:tc>
                      <w:tcPr>
                        <w:tcW w:w="3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 w:right="0"/>
                          <w:jc w:val="left"/>
                          <w:rPr>
                            <w:rFonts w:ascii="宋体" w:hAnsi="宋体" w:cs="宋体" w:eastAsia="宋体" w:hint="default"/>
                            <w:sz w:val="21"/>
                            <w:szCs w:val="21"/>
                          </w:rPr>
                        </w:pPr>
                        <w:r>
                          <w:rPr>
                            <w:rFonts w:ascii="宋体" w:hAnsi="宋体" w:cs="宋体" w:eastAsia="宋体" w:hint="default"/>
                            <w:sz w:val="21"/>
                            <w:szCs w:val="21"/>
                          </w:rPr>
                          <w:t>汇票、保函保证金等</w:t>
                        </w:r>
                      </w:p>
                    </w:tc>
                  </w:tr>
                  <w:tr>
                    <w:trPr>
                      <w:trHeight w:val="51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41"/>
                          <w:jc w:val="right"/>
                          <w:rPr>
                            <w:rFonts w:ascii="Times New Roman" w:hAnsi="Times New Roman" w:cs="Times New Roman" w:eastAsia="Times New Roman" w:hint="default"/>
                            <w:sz w:val="21"/>
                            <w:szCs w:val="21"/>
                          </w:rPr>
                        </w:pPr>
                        <w:r>
                          <w:rPr>
                            <w:rFonts w:ascii="Times New Roman"/>
                            <w:sz w:val="21"/>
                          </w:rPr>
                          <w:t>33,922,381.90</w:t>
                        </w:r>
                      </w:p>
                    </w:tc>
                    <w:tc>
                      <w:tcPr>
                        <w:tcW w:w="3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524" w:hRule="exact"/>
                    </w:trPr>
                    <w:tc>
                      <w:tcPr>
                        <w:tcW w:w="28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1113"/>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9"/>
                            <w:sz w:val="21"/>
                            <w:szCs w:val="21"/>
                          </w:rPr>
                          <w:t> </w:t>
                        </w:r>
                        <w:r>
                          <w:rPr>
                            <w:rFonts w:ascii="宋体" w:hAnsi="宋体" w:cs="宋体" w:eastAsia="宋体" w:hint="default"/>
                            <w:sz w:val="21"/>
                            <w:szCs w:val="21"/>
                          </w:rPr>
                          <w:t>计</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41"/>
                          <w:jc w:val="right"/>
                          <w:rPr>
                            <w:rFonts w:ascii="Times New Roman" w:hAnsi="Times New Roman" w:cs="Times New Roman" w:eastAsia="Times New Roman" w:hint="default"/>
                            <w:sz w:val="21"/>
                            <w:szCs w:val="21"/>
                          </w:rPr>
                        </w:pPr>
                        <w:r>
                          <w:rPr>
                            <w:rFonts w:ascii="Times New Roman"/>
                            <w:sz w:val="21"/>
                          </w:rPr>
                          <w:t>41,074,084.03</w:t>
                        </w:r>
                      </w:p>
                    </w:tc>
                    <w:tc>
                      <w:tcPr>
                        <w:tcW w:w="396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bookmarkStart w:name="3、截至报告期末的资产权利受限情况" w:id="42"/>
      <w:bookmarkEnd w:id="4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100"/>
          <w:sz w:val="21"/>
          <w:szCs w:val="21"/>
        </w:rPr>
        <w:t> </w:t>
      </w:r>
      <w:r>
        <w:rPr>
          <w:rFonts w:ascii="宋体" w:hAnsi="宋体" w:cs="宋体" w:eastAsia="宋体" w:hint="default"/>
          <w:sz w:val="21"/>
          <w:szCs w:val="21"/>
        </w:rPr>
        <w:t>所有权或使用权受到限制的资产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338" w:lineRule="auto" w:before="26"/>
        <w:ind w:right="1124" w:firstLine="480"/>
        <w:jc w:val="both"/>
      </w:pPr>
      <w:r>
        <w:rPr/>
        <w:t>注：青岛天高于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日与上海浦东发展银行股份有限公司青岛分行最高额人民 </w:t>
      </w:r>
      <w:r>
        <w:rPr>
          <w:spacing w:val="-2"/>
        </w:rPr>
        <w:t>币</w:t>
      </w:r>
      <w:r>
        <w:rPr>
          <w:rFonts w:ascii="Times New Roman" w:hAnsi="Times New Roman" w:cs="Times New Roman" w:eastAsia="Times New Roman" w:hint="default"/>
          <w:spacing w:val="-2"/>
        </w:rPr>
        <w:t>1,100.00</w:t>
      </w:r>
      <w:r>
        <w:rPr>
          <w:spacing w:val="-2"/>
        </w:rPr>
        <w:t>万元的质押合同，将青岛天高自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日起至</w:t>
      </w:r>
      <w:r>
        <w:rPr>
          <w:rFonts w:ascii="Times New Roman" w:hAnsi="Times New Roman" w:cs="Times New Roman" w:eastAsia="Times New Roman" w:hint="default"/>
          <w:spacing w:val="-2"/>
        </w:rPr>
        <w:t>2022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日止内因全部销</w:t>
      </w:r>
      <w:r>
        <w:rPr>
          <w:spacing w:val="-95"/>
        </w:rPr>
        <w:t> </w:t>
      </w:r>
      <w:r>
        <w:rPr/>
        <w:t>售发生的（包括已发生和将发生的）所有应收账款用于质押。截至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日，青岛天</w:t>
      </w:r>
      <w:r>
        <w:rPr>
          <w:spacing w:val="-90"/>
        </w:rPr>
        <w:t> </w:t>
      </w:r>
      <w:r>
        <w:rPr>
          <w:spacing w:val="-90"/>
        </w:rPr>
      </w:r>
      <w:r>
        <w:rPr>
          <w:spacing w:val="2"/>
        </w:rPr>
        <w:t>高在上海浦东发展银行股份有限公司青岛分行的贷款余额为</w:t>
      </w:r>
      <w:r>
        <w:rPr>
          <w:rFonts w:ascii="Times New Roman" w:hAnsi="Times New Roman" w:cs="Times New Roman" w:eastAsia="Times New Roman" w:hint="default"/>
          <w:spacing w:val="2"/>
        </w:rPr>
        <w:t>150.00</w:t>
      </w:r>
      <w:r>
        <w:rPr>
          <w:spacing w:val="2"/>
        </w:rPr>
        <w:t>万元，应收账款质押余额</w:t>
      </w:r>
      <w:r>
        <w:rPr>
          <w:spacing w:val="-115"/>
        </w:rPr>
        <w:t> </w:t>
      </w:r>
      <w:r>
        <w:rPr>
          <w:spacing w:val="-115"/>
        </w:rPr>
      </w:r>
      <w:r>
        <w:rPr>
          <w:rFonts w:ascii="Times New Roman" w:hAnsi="Times New Roman" w:cs="Times New Roman" w:eastAsia="Times New Roman" w:hint="default"/>
        </w:rPr>
        <w:t>33,922,381.90</w:t>
      </w:r>
      <w:r>
        <w:rPr/>
        <w:t>元。</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总体情况" w:id="44"/>
      <w:bookmarkEnd w:id="4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报告期内获取的重大的股权投资情况" w:id="45"/>
      <w:bookmarkEnd w:id="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报告期内正在进行的重大的非股权投资情况" w:id="46"/>
      <w:bookmarkEnd w:id="4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4、以公允价值计量的金融资产" w:id="47"/>
      <w:bookmarkEnd w:id="4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募集资金使用情况" w:id="48"/>
      <w:bookmarkEnd w:id="4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募集资金总体使用情况" w:id="49"/>
      <w:bookmarkEnd w:id="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46"/>
        <w:ind w:left="0" w:right="709" w:firstLine="0"/>
        <w:jc w:val="right"/>
        <w:rPr>
          <w:rFonts w:ascii="宋体" w:hAnsi="宋体" w:cs="宋体" w:eastAsia="宋体" w:hint="default"/>
          <w:sz w:val="18"/>
          <w:szCs w:val="18"/>
        </w:rPr>
      </w:pPr>
      <w:r>
        <w:rPr/>
        <w:pict>
          <v:shape style="position:absolute;margin-left:38.664001pt;margin-top:-128.118271pt;width:518.4pt;height:276.8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8"/>
                    <w:gridCol w:w="869"/>
                    <w:gridCol w:w="874"/>
                    <w:gridCol w:w="869"/>
                    <w:gridCol w:w="869"/>
                    <w:gridCol w:w="869"/>
                    <w:gridCol w:w="874"/>
                    <w:gridCol w:w="869"/>
                    <w:gridCol w:w="869"/>
                    <w:gridCol w:w="869"/>
                    <w:gridCol w:w="1373"/>
                  </w:tblGrid>
                  <w:tr>
                    <w:trPr>
                      <w:trHeight w:val="1340" w:hRule="exact"/>
                    </w:trPr>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54" w:right="60" w:hanging="178"/>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1"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2"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5"/>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用途的募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集资金总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2"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用途及去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30" w:right="46" w:hanging="178"/>
                          <w:jc w:val="left"/>
                          <w:rPr>
                            <w:rFonts w:ascii="宋体" w:hAnsi="宋体" w:cs="宋体" w:eastAsia="宋体" w:hint="default"/>
                            <w:sz w:val="18"/>
                            <w:szCs w:val="18"/>
                          </w:rPr>
                        </w:pPr>
                        <w:r>
                          <w:rPr>
                            <w:rFonts w:ascii="宋体" w:hAnsi="宋体" w:cs="宋体" w:eastAsia="宋体" w:hint="default"/>
                            <w:spacing w:val="-3"/>
                            <w:sz w:val="18"/>
                            <w:szCs w:val="18"/>
                          </w:rPr>
                          <w:t>闲置两年以上募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集资金金额</w:t>
                        </w:r>
                      </w:p>
                    </w:tc>
                  </w:tr>
                  <w:tr>
                    <w:trPr>
                      <w:trHeight w:val="403"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首发上市</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15,822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4,122.63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center"/>
                          <w:rPr>
                            <w:rFonts w:ascii="Times New Roman" w:hAnsi="Times New Roman" w:cs="Times New Roman" w:eastAsia="Times New Roman" w:hint="default"/>
                            <w:sz w:val="18"/>
                            <w:szCs w:val="18"/>
                          </w:rPr>
                        </w:pPr>
                        <w:r>
                          <w:rPr>
                            <w:rFonts w:ascii="Times New Roman"/>
                            <w:sz w:val="18"/>
                          </w:rPr>
                          <w:t>16,206.28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15,822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4,122.63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center"/>
                          <w:rPr>
                            <w:rFonts w:ascii="Times New Roman" w:hAnsi="Times New Roman" w:cs="Times New Roman" w:eastAsia="Times New Roman" w:hint="default"/>
                            <w:sz w:val="18"/>
                            <w:szCs w:val="18"/>
                          </w:rPr>
                        </w:pPr>
                        <w:r>
                          <w:rPr>
                            <w:rFonts w:ascii="Times New Roman"/>
                            <w:sz w:val="18"/>
                          </w:rPr>
                          <w:t>16,206.28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69"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7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9" w:hRule="exact"/>
                    </w:trPr>
                    <w:tc>
                      <w:tcPr>
                        <w:tcW w:w="1035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2981" w:hRule="exact"/>
                    </w:trPr>
                    <w:tc>
                      <w:tcPr>
                        <w:tcW w:w="10353"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51"/>
                          <w:jc w:val="both"/>
                          <w:rPr>
                            <w:rFonts w:ascii="宋体" w:hAnsi="宋体" w:cs="宋体" w:eastAsia="宋体" w:hint="default"/>
                            <w:sz w:val="18"/>
                            <w:szCs w:val="18"/>
                          </w:rPr>
                        </w:pPr>
                        <w:r>
                          <w:rPr>
                            <w:rFonts w:ascii="宋体" w:hAnsi="宋体" w:cs="宋体" w:eastAsia="宋体" w:hint="default"/>
                            <w:spacing w:val="-5"/>
                            <w:w w:val="101"/>
                            <w:sz w:val="18"/>
                            <w:szCs w:val="18"/>
                          </w:rPr>
                          <w:t>经中国证券监督管理委员会《关于核准浙江正元智慧科技股份有限公司首次公开发行股票的批复》（证监许可</w:t>
                        </w:r>
                        <w:r>
                          <w:rPr>
                            <w:rFonts w:ascii="Times New Roman" w:hAnsi="Times New Roman" w:cs="Times New Roman" w:eastAsia="Times New Roman" w:hint="default"/>
                            <w:spacing w:val="-5"/>
                            <w:w w:val="101"/>
                            <w:sz w:val="18"/>
                            <w:szCs w:val="18"/>
                          </w:rPr>
                          <w:t>[2017]478</w:t>
                        </w:r>
                        <w:r>
                          <w:rPr>
                            <w:rFonts w:ascii="Times New Roman" w:hAnsi="Times New Roman" w:cs="Times New Roman" w:eastAsia="Times New Roman" w:hint="default"/>
                            <w:w w:val="101"/>
                            <w:sz w:val="18"/>
                            <w:szCs w:val="18"/>
                          </w:rPr>
                          <w:t> </w:t>
                        </w:r>
                        <w:r>
                          <w:rPr>
                            <w:rFonts w:ascii="宋体" w:hAnsi="宋体" w:cs="宋体" w:eastAsia="宋体" w:hint="default"/>
                            <w:spacing w:val="-5"/>
                            <w:w w:val="101"/>
                            <w:sz w:val="18"/>
                            <w:szCs w:val="18"/>
                          </w:rPr>
                          <w:t>号文）核准</w:t>
                        </w:r>
                        <w:r>
                          <w:rPr>
                            <w:rFonts w:ascii="宋体" w:hAnsi="宋体" w:cs="宋体" w:eastAsia="宋体" w:hint="default"/>
                            <w:spacing w:val="-57"/>
                            <w:w w:val="101"/>
                            <w:sz w:val="18"/>
                            <w:szCs w:val="18"/>
                          </w:rPr>
                          <w:t> </w:t>
                        </w:r>
                        <w:r>
                          <w:rPr>
                            <w:rFonts w:ascii="宋体" w:hAnsi="宋体" w:cs="宋体" w:eastAsia="宋体" w:hint="default"/>
                            <w:spacing w:val="-57"/>
                            <w:w w:val="101"/>
                            <w:sz w:val="18"/>
                            <w:szCs w:val="18"/>
                          </w:rPr>
                        </w:r>
                        <w:r>
                          <w:rPr>
                            <w:rFonts w:ascii="宋体" w:hAnsi="宋体" w:cs="宋体" w:eastAsia="宋体" w:hint="default"/>
                            <w:spacing w:val="-3"/>
                            <w:sz w:val="18"/>
                            <w:szCs w:val="18"/>
                          </w:rPr>
                          <w:t>并经深圳证券交易所同意，公司首次向社会公开发行人民币普通股（</w:t>
                        </w:r>
                        <w:r>
                          <w:rPr>
                            <w:rFonts w:ascii="Times New Roman" w:hAnsi="Times New Roman" w:cs="Times New Roman" w:eastAsia="Times New Roman" w:hint="default"/>
                            <w:spacing w:val="-3"/>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16,666,667 </w:t>
                        </w:r>
                        <w:r>
                          <w:rPr>
                            <w:rFonts w:ascii="宋体" w:hAnsi="宋体" w:cs="宋体" w:eastAsia="宋体" w:hint="default"/>
                            <w:spacing w:val="-3"/>
                            <w:sz w:val="18"/>
                            <w:szCs w:val="18"/>
                          </w:rPr>
                          <w:t>股，每股面值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元，发行价格为每股人民币</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Times New Roman" w:hAnsi="Times New Roman" w:cs="Times New Roman" w:eastAsia="Times New Roman" w:hint="default"/>
                            <w:sz w:val="18"/>
                            <w:szCs w:val="18"/>
                          </w:rPr>
                          <w:t>12.35 </w:t>
                        </w:r>
                        <w:r>
                          <w:rPr>
                            <w:rFonts w:ascii="宋体" w:hAnsi="宋体" w:cs="宋体" w:eastAsia="宋体" w:hint="default"/>
                            <w:sz w:val="18"/>
                            <w:szCs w:val="18"/>
                          </w:rPr>
                          <w:t>元，募集资金总额为 </w:t>
                        </w:r>
                        <w:r>
                          <w:rPr>
                            <w:rFonts w:ascii="Times New Roman" w:hAnsi="Times New Roman" w:cs="Times New Roman" w:eastAsia="Times New Roman" w:hint="default"/>
                            <w:sz w:val="18"/>
                            <w:szCs w:val="18"/>
                          </w:rPr>
                          <w:t>205,833,337.45 </w:t>
                        </w:r>
                        <w:r>
                          <w:rPr>
                            <w:rFonts w:ascii="宋体" w:hAnsi="宋体" w:cs="宋体" w:eastAsia="宋体" w:hint="default"/>
                            <w:spacing w:val="-3"/>
                            <w:sz w:val="18"/>
                            <w:szCs w:val="18"/>
                          </w:rPr>
                          <w:t>元，扣除发行费用后，实际募集资金净额为人民币 </w:t>
                        </w:r>
                        <w:r>
                          <w:rPr>
                            <w:rFonts w:ascii="Times New Roman" w:hAnsi="Times New Roman" w:cs="Times New Roman" w:eastAsia="Times New Roman" w:hint="default"/>
                            <w:sz w:val="18"/>
                            <w:szCs w:val="18"/>
                          </w:rPr>
                          <w:t>158,220,000.00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元。天健会计师事务所</w:t>
                        </w:r>
                      </w:p>
                      <w:p>
                        <w:pPr>
                          <w:pStyle w:val="TableParagraph"/>
                          <w:spacing w:line="304" w:lineRule="auto" w:before="13"/>
                          <w:ind w:left="24" w:right="70"/>
                          <w:jc w:val="both"/>
                          <w:rPr>
                            <w:rFonts w:ascii="宋体" w:hAnsi="宋体" w:cs="宋体" w:eastAsia="宋体" w:hint="default"/>
                            <w:sz w:val="18"/>
                            <w:szCs w:val="18"/>
                          </w:rPr>
                        </w:pPr>
                        <w:r>
                          <w:rPr>
                            <w:rFonts w:ascii="宋体" w:hAnsi="宋体" w:cs="宋体" w:eastAsia="宋体" w:hint="default"/>
                            <w:sz w:val="18"/>
                            <w:szCs w:val="18"/>
                          </w:rPr>
                          <w:t>（特殊普通合伙）已于</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日对公司首次公开发行股票的资金到位情况进行了审验，并出具了天健验</w:t>
                        </w:r>
                        <w:r>
                          <w:rPr>
                            <w:rFonts w:ascii="Times New Roman" w:hAnsi="Times New Roman" w:cs="Times New Roman" w:eastAsia="Times New Roman" w:hint="default"/>
                            <w:spacing w:val="-3"/>
                            <w:sz w:val="18"/>
                            <w:szCs w:val="18"/>
                          </w:rPr>
                          <w:t>[2017]97</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号《验资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4"/>
                            <w:w w:val="101"/>
                            <w:sz w:val="18"/>
                            <w:szCs w:val="18"/>
                          </w:rPr>
                          <w:t>报告》。</w:t>
                        </w:r>
                        <w:r>
                          <w:rPr>
                            <w:rFonts w:ascii="宋体" w:hAnsi="宋体" w:cs="宋体" w:eastAsia="宋体" w:hint="default"/>
                            <w:spacing w:val="-24"/>
                            <w:sz w:val="18"/>
                            <w:szCs w:val="18"/>
                          </w:rPr>
                        </w:r>
                      </w:p>
                      <w:p>
                        <w:pPr>
                          <w:pStyle w:val="TableParagraph"/>
                          <w:spacing w:line="240" w:lineRule="auto" w:before="62"/>
                          <w:ind w:left="24" w:right="0"/>
                          <w:jc w:val="both"/>
                          <w:rPr>
                            <w:rFonts w:ascii="宋体" w:hAnsi="宋体" w:cs="宋体" w:eastAsia="宋体" w:hint="default"/>
                            <w:sz w:val="18"/>
                            <w:szCs w:val="18"/>
                          </w:rPr>
                        </w:pPr>
                        <w:r>
                          <w:rPr>
                            <w:rFonts w:ascii="宋体" w:hAnsi="宋体" w:cs="宋体" w:eastAsia="宋体" w:hint="default"/>
                            <w:spacing w:val="-3"/>
                            <w:sz w:val="18"/>
                            <w:szCs w:val="18"/>
                          </w:rPr>
                          <w:t>公司本报告期实际使用募集资金 </w:t>
                        </w:r>
                        <w:r>
                          <w:rPr>
                            <w:rFonts w:ascii="Times New Roman" w:hAnsi="Times New Roman" w:cs="Times New Roman" w:eastAsia="Times New Roman" w:hint="default"/>
                            <w:sz w:val="18"/>
                            <w:szCs w:val="18"/>
                          </w:rPr>
                          <w:t>4,122.63  </w:t>
                        </w:r>
                        <w:r>
                          <w:rPr>
                            <w:rFonts w:ascii="宋体" w:hAnsi="宋体" w:cs="宋体" w:eastAsia="宋体" w:hint="default"/>
                            <w:spacing w:val="-3"/>
                            <w:sz w:val="18"/>
                            <w:szCs w:val="18"/>
                          </w:rPr>
                          <w:t>万元，收到的银行存款利息扣除银行手续费等的净额为 </w:t>
                        </w:r>
                        <w:r>
                          <w:rPr>
                            <w:rFonts w:ascii="Times New Roman" w:hAnsi="Times New Roman" w:cs="Times New Roman" w:eastAsia="Times New Roman" w:hint="default"/>
                            <w:sz w:val="18"/>
                            <w:szCs w:val="18"/>
                          </w:rPr>
                          <w:t>3.41</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万元，收到的银行理财产品投</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资收益为 </w:t>
                        </w:r>
                        <w:r>
                          <w:rPr>
                            <w:rFonts w:ascii="Times New Roman" w:hAnsi="Times New Roman" w:cs="Times New Roman" w:eastAsia="Times New Roman" w:hint="default"/>
                            <w:sz w:val="18"/>
                            <w:szCs w:val="18"/>
                          </w:rPr>
                          <w:t>57.56 </w:t>
                        </w:r>
                        <w:r>
                          <w:rPr>
                            <w:rFonts w:ascii="宋体" w:hAnsi="宋体" w:cs="宋体" w:eastAsia="宋体" w:hint="default"/>
                            <w:spacing w:val="-3"/>
                            <w:sz w:val="18"/>
                            <w:szCs w:val="18"/>
                          </w:rPr>
                          <w:t>万元；累计已使用募集资金 </w:t>
                        </w:r>
                        <w:r>
                          <w:rPr>
                            <w:rFonts w:ascii="Times New Roman" w:hAnsi="Times New Roman" w:cs="Times New Roman" w:eastAsia="Times New Roman" w:hint="default"/>
                            <w:sz w:val="18"/>
                            <w:szCs w:val="18"/>
                          </w:rPr>
                          <w:t>16,206.28 </w:t>
                        </w:r>
                        <w:r>
                          <w:rPr>
                            <w:rFonts w:ascii="宋体" w:hAnsi="宋体" w:cs="宋体" w:eastAsia="宋体" w:hint="default"/>
                            <w:spacing w:val="-3"/>
                            <w:sz w:val="18"/>
                            <w:szCs w:val="18"/>
                          </w:rPr>
                          <w:t>万元，累计收到的银行存款利息扣除银行手续费等的净额为 </w:t>
                        </w:r>
                        <w:r>
                          <w:rPr>
                            <w:rFonts w:ascii="Times New Roman" w:hAnsi="Times New Roman" w:cs="Times New Roman" w:eastAsia="Times New Roman" w:hint="default"/>
                            <w:sz w:val="18"/>
                            <w:szCs w:val="18"/>
                          </w:rPr>
                          <w:t>10.42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万元，累计</w:t>
                        </w:r>
                      </w:p>
                      <w:p>
                        <w:pPr>
                          <w:pStyle w:val="TableParagraph"/>
                          <w:spacing w:line="240" w:lineRule="auto" w:before="67"/>
                          <w:ind w:left="24" w:right="0"/>
                          <w:jc w:val="both"/>
                          <w:rPr>
                            <w:rFonts w:ascii="宋体" w:hAnsi="宋体" w:cs="宋体" w:eastAsia="宋体" w:hint="default"/>
                            <w:sz w:val="18"/>
                            <w:szCs w:val="18"/>
                          </w:rPr>
                        </w:pPr>
                        <w:r>
                          <w:rPr>
                            <w:rFonts w:ascii="宋体" w:hAnsi="宋体" w:cs="宋体" w:eastAsia="宋体" w:hint="default"/>
                            <w:spacing w:val="-3"/>
                            <w:sz w:val="18"/>
                            <w:szCs w:val="18"/>
                          </w:rPr>
                          <w:t>收到的银行理财产品投资收益为 </w:t>
                        </w:r>
                        <w:r>
                          <w:rPr>
                            <w:rFonts w:ascii="Times New Roman" w:hAnsi="Times New Roman" w:cs="Times New Roman" w:eastAsia="Times New Roman" w:hint="default"/>
                            <w:sz w:val="18"/>
                            <w:szCs w:val="18"/>
                          </w:rPr>
                          <w:t>373.86 </w:t>
                        </w:r>
                        <w:r>
                          <w:rPr>
                            <w:rFonts w:ascii="宋体" w:hAnsi="宋体" w:cs="宋体" w:eastAsia="宋体" w:hint="default"/>
                            <w:sz w:val="18"/>
                            <w:szCs w:val="18"/>
                          </w:rPr>
                          <w:t>万元。</w:t>
                        </w:r>
                      </w:p>
                      <w:p>
                        <w:pPr>
                          <w:pStyle w:val="TableParagraph"/>
                          <w:spacing w:line="240" w:lineRule="auto" w:before="101"/>
                          <w:ind w:left="24"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日，公司首次公开发行股票募集资金已全部使用完毕，募集资金专户已全部注销。</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before="36"/>
        <w:ind w:left="473" w:right="0" w:firstLine="0"/>
        <w:jc w:val="left"/>
        <w:rPr>
          <w:rFonts w:ascii="宋体" w:hAnsi="宋体" w:cs="宋体" w:eastAsia="宋体" w:hint="default"/>
          <w:sz w:val="21"/>
          <w:szCs w:val="21"/>
        </w:rPr>
      </w:pPr>
      <w:bookmarkStart w:name="（2）募集资金承诺项目情况" w:id="50"/>
      <w:bookmarkEnd w:id="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277"/>
        <w:gridCol w:w="725"/>
        <w:gridCol w:w="898"/>
        <w:gridCol w:w="893"/>
        <w:gridCol w:w="730"/>
        <w:gridCol w:w="898"/>
        <w:gridCol w:w="898"/>
        <w:gridCol w:w="946"/>
        <w:gridCol w:w="725"/>
        <w:gridCol w:w="898"/>
        <w:gridCol w:w="730"/>
        <w:gridCol w:w="725"/>
      </w:tblGrid>
      <w:tr>
        <w:trPr>
          <w:trHeight w:val="165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1" w:right="89"/>
              <w:jc w:val="center"/>
              <w:rPr>
                <w:rFonts w:ascii="宋体" w:hAnsi="宋体" w:cs="宋体" w:eastAsia="宋体" w:hint="default"/>
                <w:sz w:val="18"/>
                <w:szCs w:val="18"/>
              </w:rPr>
            </w:pPr>
            <w:r>
              <w:rPr>
                <w:rFonts w:ascii="宋体" w:hAnsi="宋体" w:cs="宋体" w:eastAsia="宋体" w:hint="default"/>
                <w:spacing w:val="-2"/>
                <w:sz w:val="18"/>
                <w:szCs w:val="18"/>
              </w:rPr>
              <w:t>承诺投资项目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和超募资金投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57" w:right="50" w:firstLine="33"/>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w:t>
            </w:r>
            <w:r>
              <w:rPr>
                <w:rFonts w:ascii="宋体" w:hAnsi="宋体" w:cs="宋体" w:eastAsia="宋体" w:hint="default"/>
                <w:w w:val="101"/>
                <w:sz w:val="18"/>
                <w:szCs w:val="18"/>
              </w:rPr>
              <w:t> </w:t>
            </w:r>
            <w:r>
              <w:rPr>
                <w:rFonts w:ascii="宋体" w:hAnsi="宋体" w:cs="宋体" w:eastAsia="宋体" w:hint="default"/>
                <w:sz w:val="18"/>
                <w:szCs w:val="18"/>
              </w:rPr>
              <w:t>变更项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w:t>
            </w:r>
            <w:r>
              <w:rPr>
                <w:rFonts w:ascii="宋体" w:hAnsi="宋体" w:cs="宋体" w:eastAsia="宋体" w:hint="default"/>
                <w:spacing w:val="-86"/>
                <w:sz w:val="18"/>
                <w:szCs w:val="18"/>
              </w:rPr>
              <w:t> </w:t>
            </w:r>
            <w:r>
              <w:rPr>
                <w:rFonts w:ascii="宋体" w:hAnsi="宋体" w:cs="宋体" w:eastAsia="宋体" w:hint="default"/>
                <w:sz w:val="18"/>
                <w:szCs w:val="18"/>
              </w:rPr>
              <w:t>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81" w:right="79"/>
              <w:jc w:val="center"/>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承诺投资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总额</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67" w:right="62"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w:t>
            </w:r>
            <w:r>
              <w:rPr>
                <w:rFonts w:ascii="宋体" w:hAnsi="宋体" w:cs="宋体" w:eastAsia="宋体" w:hint="default"/>
                <w:w w:val="101"/>
                <w:sz w:val="18"/>
                <w:szCs w:val="18"/>
              </w:rPr>
              <w:t> </w:t>
            </w:r>
            <w:r>
              <w:rPr>
                <w:rFonts w:ascii="宋体" w:hAnsi="宋体" w:cs="宋体" w:eastAsia="宋体" w:hint="default"/>
                <w:spacing w:val="-2"/>
                <w:sz w:val="18"/>
                <w:szCs w:val="18"/>
              </w:rPr>
              <w:t>资总额</w:t>
            </w:r>
            <w:r>
              <w:rPr>
                <w:rFonts w:ascii="Times New Roman" w:hAnsi="Times New Roman" w:cs="Times New Roman" w:eastAsia="Times New Roman" w:hint="default"/>
                <w:spacing w:val="-2"/>
                <w:sz w:val="18"/>
                <w:szCs w:val="18"/>
              </w:rPr>
              <w:t>(1)</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1" w:right="84"/>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81"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6" w:lineRule="auto"/>
              <w:ind w:left="81" w:right="79"/>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投资进度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5" w:right="103"/>
              <w:jc w:val="center"/>
              <w:rPr>
                <w:rFonts w:ascii="宋体" w:hAnsi="宋体" w:cs="宋体" w:eastAsia="宋体" w:hint="default"/>
                <w:sz w:val="18"/>
                <w:szCs w:val="18"/>
              </w:rPr>
            </w:pPr>
            <w:r>
              <w:rPr>
                <w:rFonts w:ascii="宋体" w:hAnsi="宋体" w:cs="宋体" w:eastAsia="宋体" w:hint="default"/>
                <w:spacing w:val="-2"/>
                <w:sz w:val="18"/>
                <w:szCs w:val="18"/>
              </w:rPr>
              <w:t>项目达到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预定可使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用状态日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期</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1" w:right="80"/>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期实现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1" w:right="79"/>
              <w:jc w:val="center"/>
              <w:rPr>
                <w:rFonts w:ascii="宋体" w:hAnsi="宋体" w:cs="宋体" w:eastAsia="宋体" w:hint="default"/>
                <w:sz w:val="18"/>
                <w:szCs w:val="18"/>
              </w:rPr>
            </w:pPr>
            <w:r>
              <w:rPr>
                <w:rFonts w:ascii="宋体" w:hAnsi="宋体" w:cs="宋体" w:eastAsia="宋体" w:hint="default"/>
                <w:spacing w:val="-2"/>
                <w:sz w:val="18"/>
                <w:szCs w:val="18"/>
              </w:rPr>
              <w:t>截止报告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期末累计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实现的效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1" w:right="84"/>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效益</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80"/>
              <w:jc w:val="center"/>
              <w:rPr>
                <w:rFonts w:ascii="宋体" w:hAnsi="宋体" w:cs="宋体" w:eastAsia="宋体" w:hint="default"/>
                <w:sz w:val="18"/>
                <w:szCs w:val="18"/>
              </w:rPr>
            </w:pPr>
            <w:r>
              <w:rPr>
                <w:rFonts w:ascii="宋体" w:hAnsi="宋体" w:cs="宋体" w:eastAsia="宋体" w:hint="default"/>
                <w:spacing w:val="-2"/>
                <w:sz w:val="18"/>
                <w:szCs w:val="18"/>
              </w:rPr>
              <w:t>项目可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行性是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否发生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重大变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w:t>
            </w:r>
          </w:p>
        </w:tc>
      </w:tr>
      <w:tr>
        <w:trPr>
          <w:trHeight w:val="399" w:hRule="exact"/>
        </w:trPr>
        <w:tc>
          <w:tcPr>
            <w:tcW w:w="1034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智慧易通</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10,280.19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10,280.19</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4,122.27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10,552.94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102.65%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1,853.74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4,192.06</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营销服务网络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建设和升级</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2,885.47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2,885.47</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2,922.31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101.28%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研发中心</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2,656.34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2,656.34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2,731.03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102.81%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58"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承诺投资项目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小计</w:t>
            </w: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15,822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15,822</w:t>
            </w:r>
          </w:p>
        </w:tc>
        <w:tc>
          <w:tcPr>
            <w:tcW w:w="73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4,122.63</w:t>
            </w:r>
          </w:p>
        </w:tc>
        <w:tc>
          <w:tcPr>
            <w:tcW w:w="898"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16,206.28</w:t>
            </w: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946"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1,853.74</w:t>
            </w:r>
          </w:p>
        </w:tc>
        <w:tc>
          <w:tcPr>
            <w:tcW w:w="898"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4,192.06</w:t>
            </w: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277" w:type="dxa"/>
            <w:vMerge/>
            <w:tcBorders>
              <w:left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8" w:type="dxa"/>
            <w:vMerge/>
            <w:tcBorders>
              <w:left w:val="single" w:sz="10" w:space="0" w:color="D2D2D2"/>
              <w:right w:val="single" w:sz="4" w:space="0" w:color="000000"/>
            </w:tcBorders>
          </w:tcPr>
          <w:p>
            <w:pPr/>
          </w:p>
        </w:tc>
        <w:tc>
          <w:tcPr>
            <w:tcW w:w="893"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898" w:type="dxa"/>
            <w:vMerge/>
            <w:tcBorders>
              <w:left w:val="single" w:sz="4" w:space="0" w:color="000000"/>
              <w:right w:val="single" w:sz="10" w:space="0" w:color="D2D2D2"/>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08"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vMerge/>
            <w:tcBorders>
              <w:left w:val="single" w:sz="10" w:space="0" w:color="D2D2D2"/>
              <w:right w:val="single" w:sz="4" w:space="0" w:color="000000"/>
            </w:tcBorders>
          </w:tcPr>
          <w:p>
            <w:pPr/>
          </w:p>
        </w:tc>
        <w:tc>
          <w:tcPr>
            <w:tcW w:w="898" w:type="dxa"/>
            <w:vMerge/>
            <w:tcBorders>
              <w:left w:val="single" w:sz="4" w:space="0" w:color="000000"/>
              <w:right w:val="single" w:sz="10" w:space="0" w:color="D2D2D2"/>
            </w:tcBorders>
          </w:tcPr>
          <w:p>
            <w:pP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01"/>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3"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10" w:space="0" w:color="D2D2D2"/>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10" w:space="0" w:color="D2D2D2"/>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946"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vMerge/>
            <w:tcBorders>
              <w:left w:val="single" w:sz="10" w:space="0" w:color="D2D2D2"/>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10" w:space="0" w:color="D2D2D2"/>
            </w:tcBorders>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034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15,822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15,822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4,122.63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16,206.28</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8"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1,853.74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4,192.06</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01"/>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660" w:right="0"/>
        </w:sectPr>
      </w:pPr>
    </w:p>
    <w:p>
      <w:pPr>
        <w:spacing w:line="240" w:lineRule="auto" w:before="11"/>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1277"/>
        <w:gridCol w:w="9066"/>
      </w:tblGrid>
      <w:tr>
        <w:trPr>
          <w:trHeight w:val="1340"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未达到计划进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度或预计收益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的情况和原因</w:t>
            </w:r>
          </w:p>
          <w:p>
            <w:pPr>
              <w:pStyle w:val="TableParagraph"/>
              <w:spacing w:line="240" w:lineRule="auto" w:before="26"/>
              <w:ind w:left="24" w:right="0"/>
              <w:jc w:val="both"/>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分</w:t>
            </w:r>
            <w:r>
              <w:rPr>
                <w:rFonts w:ascii="宋体" w:hAnsi="宋体" w:cs="宋体" w:eastAsia="宋体" w:hint="default"/>
                <w:w w:val="101"/>
                <w:sz w:val="18"/>
                <w:szCs w:val="18"/>
              </w:rPr>
              <w:t>具</w:t>
            </w:r>
            <w:r>
              <w:rPr>
                <w:rFonts w:ascii="宋体" w:hAnsi="宋体" w:cs="宋体" w:eastAsia="宋体" w:hint="default"/>
                <w:spacing w:val="-5"/>
                <w:w w:val="101"/>
                <w:sz w:val="18"/>
                <w:szCs w:val="18"/>
              </w:rPr>
              <w:t>体</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w:t>
            </w:r>
            <w:r>
              <w:rPr>
                <w:rFonts w:ascii="宋体" w:hAnsi="宋体" w:cs="宋体" w:eastAsia="宋体" w:hint="default"/>
                <w:sz w:val="18"/>
                <w:szCs w:val="18"/>
              </w:rPr>
            </w:r>
          </w:p>
        </w:tc>
        <w:tc>
          <w:tcPr>
            <w:tcW w:w="9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智慧易通项目未达效益主要系本期整体人员费用较大，智慧易通项目分摊的费用较大，故项目整体效益不及预期。</w:t>
            </w:r>
          </w:p>
        </w:tc>
      </w:tr>
      <w:tr>
        <w:trPr>
          <w:trHeight w:val="102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项目可行性发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生重大变化的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情况说明</w:t>
            </w:r>
          </w:p>
        </w:tc>
        <w:tc>
          <w:tcPr>
            <w:tcW w:w="9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24" w:right="17"/>
              <w:jc w:val="left"/>
              <w:rPr>
                <w:rFonts w:ascii="宋体" w:hAnsi="宋体" w:cs="宋体" w:eastAsia="宋体" w:hint="default"/>
                <w:sz w:val="18"/>
                <w:szCs w:val="18"/>
              </w:rPr>
            </w:pPr>
            <w:r>
              <w:rPr>
                <w:rFonts w:ascii="宋体" w:hAnsi="宋体" w:cs="宋体" w:eastAsia="宋体" w:hint="default"/>
                <w:sz w:val="18"/>
                <w:szCs w:val="18"/>
              </w:rPr>
              <w:t>超募资金的金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额、用途及使用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进展情况</w:t>
            </w:r>
          </w:p>
        </w:tc>
        <w:tc>
          <w:tcPr>
            <w:tcW w:w="9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9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5"/>
              <w:ind w:left="24" w:right="156"/>
              <w:jc w:val="both"/>
              <w:rPr>
                <w:rFonts w:ascii="宋体" w:hAnsi="宋体" w:cs="宋体" w:eastAsia="宋体" w:hint="default"/>
                <w:sz w:val="18"/>
                <w:szCs w:val="18"/>
              </w:rPr>
            </w:pPr>
            <w:r>
              <w:rPr>
                <w:rFonts w:ascii="宋体" w:hAnsi="宋体" w:cs="宋体" w:eastAsia="宋体" w:hint="default"/>
                <w:spacing w:val="-2"/>
                <w:sz w:val="18"/>
                <w:szCs w:val="18"/>
              </w:rPr>
              <w:t>募集资金投资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项目实施地点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变更情况</w:t>
            </w:r>
          </w:p>
        </w:tc>
        <w:tc>
          <w:tcPr>
            <w:tcW w:w="9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277" w:type="dxa"/>
            <w:vMerge/>
            <w:tcBorders>
              <w:left w:val="single" w:sz="4" w:space="0" w:color="000000"/>
              <w:right w:val="single" w:sz="4" w:space="0" w:color="000000"/>
            </w:tcBorders>
            <w:shd w:val="clear" w:color="auto" w:fill="D2D2D2"/>
          </w:tcPr>
          <w:p>
            <w:pPr/>
          </w:p>
        </w:tc>
        <w:tc>
          <w:tcPr>
            <w:tcW w:w="906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9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5"/>
              <w:ind w:left="24" w:right="156"/>
              <w:jc w:val="both"/>
              <w:rPr>
                <w:rFonts w:ascii="宋体" w:hAnsi="宋体" w:cs="宋体" w:eastAsia="宋体" w:hint="default"/>
                <w:sz w:val="18"/>
                <w:szCs w:val="18"/>
              </w:rPr>
            </w:pPr>
            <w:r>
              <w:rPr>
                <w:rFonts w:ascii="宋体" w:hAnsi="宋体" w:cs="宋体" w:eastAsia="宋体" w:hint="default"/>
                <w:spacing w:val="-2"/>
                <w:sz w:val="18"/>
                <w:szCs w:val="18"/>
              </w:rPr>
              <w:t>募集资金投资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项目实施方式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调整情况</w:t>
            </w:r>
          </w:p>
        </w:tc>
        <w:tc>
          <w:tcPr>
            <w:tcW w:w="9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277" w:type="dxa"/>
            <w:vMerge/>
            <w:tcBorders>
              <w:left w:val="single" w:sz="4" w:space="0" w:color="000000"/>
              <w:right w:val="single" w:sz="4" w:space="0" w:color="000000"/>
            </w:tcBorders>
            <w:shd w:val="clear" w:color="auto" w:fill="D2D2D2"/>
          </w:tcPr>
          <w:p>
            <w:pPr/>
          </w:p>
        </w:tc>
        <w:tc>
          <w:tcPr>
            <w:tcW w:w="9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vMerge/>
            <w:tcBorders>
              <w:left w:val="single" w:sz="4" w:space="0" w:color="000000"/>
              <w:bottom w:val="single" w:sz="4" w:space="0" w:color="FFFFFF"/>
              <w:right w:val="single" w:sz="4" w:space="0" w:color="000000"/>
            </w:tcBorders>
            <w:shd w:val="clear" w:color="auto" w:fill="D2D2D2"/>
          </w:tcPr>
          <w:p>
            <w:pPr/>
          </w:p>
        </w:tc>
        <w:tc>
          <w:tcPr>
            <w:tcW w:w="9066" w:type="dxa"/>
            <w:tcBorders>
              <w:top w:val="single" w:sz="4" w:space="0" w:color="000000"/>
              <w:left w:val="single" w:sz="4" w:space="0" w:color="000000"/>
              <w:bottom w:val="single" w:sz="4" w:space="0" w:color="FFFFFF"/>
              <w:right w:val="single" w:sz="4" w:space="0" w:color="000000"/>
            </w:tcBorders>
          </w:tcPr>
          <w:p>
            <w:pPr/>
          </w:p>
        </w:tc>
      </w:tr>
      <w:tr>
        <w:trPr>
          <w:trHeight w:val="399" w:hRule="exact"/>
        </w:trPr>
        <w:tc>
          <w:tcPr>
            <w:tcW w:w="1277" w:type="dxa"/>
            <w:vMerge w:val="restart"/>
            <w:tcBorders>
              <w:top w:val="single" w:sz="4" w:space="0" w:color="FFFFFF"/>
              <w:left w:val="single" w:sz="4" w:space="0" w:color="000000"/>
              <w:right w:val="single" w:sz="4" w:space="0" w:color="000000"/>
            </w:tcBorders>
            <w:shd w:val="clear" w:color="auto" w:fill="D2D2D2"/>
          </w:tcPr>
          <w:p>
            <w:pPr>
              <w:pStyle w:val="TableParagraph"/>
              <w:spacing w:line="321" w:lineRule="auto" w:before="97"/>
              <w:ind w:left="24" w:right="156"/>
              <w:jc w:val="both"/>
              <w:rPr>
                <w:rFonts w:ascii="宋体" w:hAnsi="宋体" w:cs="宋体" w:eastAsia="宋体" w:hint="default"/>
                <w:sz w:val="18"/>
                <w:szCs w:val="18"/>
              </w:rPr>
            </w:pPr>
            <w:r>
              <w:rPr>
                <w:rFonts w:ascii="宋体" w:hAnsi="宋体" w:cs="宋体" w:eastAsia="宋体" w:hint="default"/>
                <w:spacing w:val="-2"/>
                <w:sz w:val="18"/>
                <w:szCs w:val="18"/>
              </w:rPr>
              <w:t>募集资金投资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项目先期投入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及置换情况</w:t>
            </w:r>
          </w:p>
        </w:tc>
        <w:tc>
          <w:tcPr>
            <w:tcW w:w="906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5"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9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根据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日第二届董事会第十二次会议审议并通过的决议，公司使用募集资金置换预先投入募投项目的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自筹资金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40,372,716.84</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21" w:lineRule="auto"/>
              <w:ind w:left="24" w:right="156"/>
              <w:jc w:val="both"/>
              <w:rPr>
                <w:rFonts w:ascii="宋体" w:hAnsi="宋体" w:cs="宋体" w:eastAsia="宋体" w:hint="default"/>
                <w:sz w:val="18"/>
                <w:szCs w:val="18"/>
              </w:rPr>
            </w:pPr>
            <w:r>
              <w:rPr>
                <w:rFonts w:ascii="宋体" w:hAnsi="宋体" w:cs="宋体" w:eastAsia="宋体" w:hint="default"/>
                <w:spacing w:val="-2"/>
                <w:sz w:val="18"/>
                <w:szCs w:val="18"/>
              </w:rPr>
              <w:t>用闲置募集资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金暂时补充流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动资金情况</w:t>
            </w:r>
          </w:p>
        </w:tc>
        <w:tc>
          <w:tcPr>
            <w:tcW w:w="9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2"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9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w w:val="101"/>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第</w:t>
            </w:r>
            <w:r>
              <w:rPr>
                <w:rFonts w:ascii="宋体" w:hAnsi="宋体" w:cs="宋体" w:eastAsia="宋体" w:hint="default"/>
                <w:spacing w:val="-5"/>
                <w:w w:val="101"/>
                <w:sz w:val="18"/>
                <w:szCs w:val="18"/>
              </w:rPr>
              <w:t>二</w:t>
            </w:r>
            <w:r>
              <w:rPr>
                <w:rFonts w:ascii="宋体" w:hAnsi="宋体" w:cs="宋体" w:eastAsia="宋体" w:hint="default"/>
                <w:w w:val="101"/>
                <w:sz w:val="18"/>
                <w:szCs w:val="18"/>
              </w:rPr>
              <w:t>届</w:t>
            </w:r>
            <w:r>
              <w:rPr>
                <w:rFonts w:ascii="宋体" w:hAnsi="宋体" w:cs="宋体" w:eastAsia="宋体" w:hint="default"/>
                <w:spacing w:val="-5"/>
                <w:w w:val="101"/>
                <w:sz w:val="18"/>
                <w:szCs w:val="18"/>
              </w:rPr>
              <w:t>董</w:t>
            </w:r>
            <w:r>
              <w:rPr>
                <w:rFonts w:ascii="宋体" w:hAnsi="宋体" w:cs="宋体" w:eastAsia="宋体" w:hint="default"/>
                <w:w w:val="101"/>
                <w:sz w:val="18"/>
                <w:szCs w:val="18"/>
              </w:rPr>
              <w:t>事</w:t>
            </w:r>
            <w:r>
              <w:rPr>
                <w:rFonts w:ascii="宋体" w:hAnsi="宋体" w:cs="宋体" w:eastAsia="宋体" w:hint="default"/>
                <w:spacing w:val="-5"/>
                <w:w w:val="101"/>
                <w:sz w:val="18"/>
                <w:szCs w:val="18"/>
              </w:rPr>
              <w:t>会</w:t>
            </w:r>
            <w:r>
              <w:rPr>
                <w:rFonts w:ascii="宋体" w:hAnsi="宋体" w:cs="宋体" w:eastAsia="宋体" w:hint="default"/>
                <w:w w:val="101"/>
                <w:sz w:val="18"/>
                <w:szCs w:val="18"/>
              </w:rPr>
              <w:t>第</w:t>
            </w:r>
            <w:r>
              <w:rPr>
                <w:rFonts w:ascii="宋体" w:hAnsi="宋体" w:cs="宋体" w:eastAsia="宋体" w:hint="default"/>
                <w:spacing w:val="-5"/>
                <w:w w:val="101"/>
                <w:sz w:val="18"/>
                <w:szCs w:val="18"/>
              </w:rPr>
              <w:t>十</w:t>
            </w:r>
            <w:r>
              <w:rPr>
                <w:rFonts w:ascii="宋体" w:hAnsi="宋体" w:cs="宋体" w:eastAsia="宋体" w:hint="default"/>
                <w:w w:val="101"/>
                <w:sz w:val="18"/>
                <w:szCs w:val="18"/>
              </w:rPr>
              <w:t>六</w:t>
            </w:r>
            <w:r>
              <w:rPr>
                <w:rFonts w:ascii="宋体" w:hAnsi="宋体" w:cs="宋体" w:eastAsia="宋体" w:hint="default"/>
                <w:spacing w:val="-5"/>
                <w:w w:val="101"/>
                <w:sz w:val="18"/>
                <w:szCs w:val="18"/>
              </w:rPr>
              <w:t>次</w:t>
            </w:r>
            <w:r>
              <w:rPr>
                <w:rFonts w:ascii="宋体" w:hAnsi="宋体" w:cs="宋体" w:eastAsia="宋体" w:hint="default"/>
                <w:w w:val="101"/>
                <w:sz w:val="18"/>
                <w:szCs w:val="18"/>
              </w:rPr>
              <w:t>会</w:t>
            </w:r>
            <w:r>
              <w:rPr>
                <w:rFonts w:ascii="宋体" w:hAnsi="宋体" w:cs="宋体" w:eastAsia="宋体" w:hint="default"/>
                <w:spacing w:val="-5"/>
                <w:w w:val="101"/>
                <w:sz w:val="18"/>
                <w:szCs w:val="18"/>
              </w:rPr>
              <w:t>议</w:t>
            </w:r>
            <w:r>
              <w:rPr>
                <w:rFonts w:ascii="宋体" w:hAnsi="宋体" w:cs="宋体" w:eastAsia="宋体" w:hint="default"/>
                <w:w w:val="101"/>
                <w:sz w:val="18"/>
                <w:szCs w:val="18"/>
              </w:rPr>
              <w:t>审</w:t>
            </w:r>
            <w:r>
              <w:rPr>
                <w:rFonts w:ascii="宋体" w:hAnsi="宋体" w:cs="宋体" w:eastAsia="宋体" w:hint="default"/>
                <w:spacing w:val="-5"/>
                <w:w w:val="101"/>
                <w:sz w:val="18"/>
                <w:szCs w:val="18"/>
              </w:rPr>
              <w:t>议</w:t>
            </w:r>
            <w:r>
              <w:rPr>
                <w:rFonts w:ascii="宋体" w:hAnsi="宋体" w:cs="宋体" w:eastAsia="宋体" w:hint="default"/>
                <w:w w:val="101"/>
                <w:sz w:val="18"/>
                <w:szCs w:val="18"/>
              </w:rPr>
              <w:t>并</w:t>
            </w:r>
            <w:r>
              <w:rPr>
                <w:rFonts w:ascii="宋体" w:hAnsi="宋体" w:cs="宋体" w:eastAsia="宋体" w:hint="default"/>
                <w:spacing w:val="-5"/>
                <w:w w:val="101"/>
                <w:sz w:val="18"/>
                <w:szCs w:val="18"/>
              </w:rPr>
              <w:t>通</w:t>
            </w:r>
            <w:r>
              <w:rPr>
                <w:rFonts w:ascii="宋体" w:hAnsi="宋体" w:cs="宋体" w:eastAsia="宋体" w:hint="default"/>
                <w:w w:val="101"/>
                <w:sz w:val="18"/>
                <w:szCs w:val="18"/>
              </w:rPr>
              <w:t>过</w:t>
            </w:r>
            <w:r>
              <w:rPr>
                <w:rFonts w:ascii="宋体" w:hAnsi="宋体" w:cs="宋体" w:eastAsia="宋体" w:hint="default"/>
                <w:spacing w:val="-5"/>
                <w:w w:val="101"/>
                <w:sz w:val="18"/>
                <w:szCs w:val="18"/>
              </w:rPr>
              <w:t>的</w:t>
            </w:r>
            <w:r>
              <w:rPr>
                <w:rFonts w:ascii="宋体" w:hAnsi="宋体" w:cs="宋体" w:eastAsia="宋体" w:hint="default"/>
                <w:w w:val="101"/>
                <w:sz w:val="18"/>
                <w:szCs w:val="18"/>
              </w:rPr>
              <w:t>决</w:t>
            </w:r>
            <w:r>
              <w:rPr>
                <w:rFonts w:ascii="宋体" w:hAnsi="宋体" w:cs="宋体" w:eastAsia="宋体" w:hint="default"/>
                <w:spacing w:val="-5"/>
                <w:w w:val="101"/>
                <w:sz w:val="18"/>
                <w:szCs w:val="18"/>
              </w:rPr>
              <w:t>议</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同</w:t>
            </w:r>
            <w:r>
              <w:rPr>
                <w:rFonts w:ascii="宋体" w:hAnsi="宋体" w:cs="宋体" w:eastAsia="宋体" w:hint="default"/>
                <w:w w:val="101"/>
                <w:sz w:val="18"/>
                <w:szCs w:val="18"/>
              </w:rPr>
              <w:t>意</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在</w:t>
            </w:r>
            <w:r>
              <w:rPr>
                <w:rFonts w:ascii="宋体" w:hAnsi="宋体" w:cs="宋体" w:eastAsia="宋体" w:hint="default"/>
                <w:w w:val="101"/>
                <w:sz w:val="18"/>
                <w:szCs w:val="18"/>
              </w:rPr>
              <w:t>不</w:t>
            </w:r>
            <w:r>
              <w:rPr>
                <w:rFonts w:ascii="宋体" w:hAnsi="宋体" w:cs="宋体" w:eastAsia="宋体" w:hint="default"/>
                <w:spacing w:val="-5"/>
                <w:w w:val="101"/>
                <w:sz w:val="18"/>
                <w:szCs w:val="18"/>
              </w:rPr>
              <w:t>影</w:t>
            </w:r>
            <w:r>
              <w:rPr>
                <w:rFonts w:ascii="宋体" w:hAnsi="宋体" w:cs="宋体" w:eastAsia="宋体" w:hint="default"/>
                <w:w w:val="101"/>
                <w:sz w:val="18"/>
                <w:szCs w:val="18"/>
              </w:rPr>
              <w:t>响</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的</w:t>
            </w:r>
            <w:r>
              <w:rPr>
                <w:rFonts w:ascii="宋体" w:hAnsi="宋体" w:cs="宋体" w:eastAsia="宋体" w:hint="default"/>
                <w:w w:val="101"/>
                <w:sz w:val="18"/>
                <w:szCs w:val="18"/>
              </w:rPr>
              <w:t>情</w:t>
            </w:r>
            <w:r>
              <w:rPr>
                <w:rFonts w:ascii="宋体" w:hAnsi="宋体" w:cs="宋体" w:eastAsia="宋体" w:hint="default"/>
                <w:spacing w:val="-5"/>
                <w:w w:val="101"/>
                <w:sz w:val="18"/>
                <w:szCs w:val="18"/>
              </w:rPr>
              <w:t>况</w:t>
            </w:r>
            <w:r>
              <w:rPr>
                <w:rFonts w:ascii="宋体" w:hAnsi="宋体" w:cs="宋体" w:eastAsia="宋体" w:hint="default"/>
                <w:w w:val="101"/>
                <w:sz w:val="18"/>
                <w:szCs w:val="18"/>
              </w:rPr>
              <w:t>下根</w:t>
            </w:r>
            <w:r>
              <w:rPr>
                <w:rFonts w:ascii="宋体" w:hAnsi="宋体" w:cs="宋体" w:eastAsia="宋体" w:hint="default"/>
                <w:sz w:val="18"/>
                <w:szCs w:val="18"/>
              </w:rPr>
            </w:r>
          </w:p>
          <w:p>
            <w:pPr>
              <w:pStyle w:val="TableParagraph"/>
              <w:spacing w:line="240" w:lineRule="auto" w:before="58"/>
              <w:ind w:left="24" w:right="0"/>
              <w:jc w:val="both"/>
              <w:rPr>
                <w:rFonts w:ascii="宋体" w:hAnsi="宋体" w:cs="宋体" w:eastAsia="宋体" w:hint="default"/>
                <w:sz w:val="18"/>
                <w:szCs w:val="18"/>
              </w:rPr>
            </w:pPr>
            <w:r>
              <w:rPr>
                <w:rFonts w:ascii="宋体" w:hAnsi="宋体" w:cs="宋体" w:eastAsia="宋体" w:hint="default"/>
                <w:spacing w:val="-3"/>
                <w:sz w:val="18"/>
                <w:szCs w:val="18"/>
              </w:rPr>
              <w:t>据募集资金的使用进度，使用部分闲置募集资金不超过人民币 </w:t>
            </w:r>
            <w:r>
              <w:rPr>
                <w:rFonts w:ascii="Times New Roman" w:hAnsi="Times New Roman" w:cs="Times New Roman" w:eastAsia="Times New Roman" w:hint="default"/>
                <w:sz w:val="18"/>
                <w:szCs w:val="18"/>
              </w:rPr>
              <w:t>5,000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万元（含本数）暂时补充流动资金。公司实际</w:t>
            </w:r>
          </w:p>
          <w:p>
            <w:pPr>
              <w:pStyle w:val="TableParagraph"/>
              <w:spacing w:line="302" w:lineRule="auto" w:before="63"/>
              <w:ind w:left="24" w:right="71"/>
              <w:jc w:val="both"/>
              <w:rPr>
                <w:rFonts w:ascii="宋体" w:hAnsi="宋体" w:cs="宋体" w:eastAsia="宋体" w:hint="default"/>
                <w:sz w:val="18"/>
                <w:szCs w:val="18"/>
              </w:rPr>
            </w:pPr>
            <w:r>
              <w:rPr>
                <w:rFonts w:ascii="宋体" w:hAnsi="宋体" w:cs="宋体" w:eastAsia="宋体" w:hint="default"/>
                <w:spacing w:val="-3"/>
                <w:sz w:val="18"/>
                <w:szCs w:val="18"/>
              </w:rPr>
              <w:t>使用募集资金补充流动资金 </w:t>
            </w:r>
            <w:r>
              <w:rPr>
                <w:rFonts w:ascii="Times New Roman" w:hAnsi="Times New Roman" w:cs="Times New Roman" w:eastAsia="Times New Roman" w:hint="default"/>
                <w:sz w:val="18"/>
                <w:szCs w:val="18"/>
              </w:rPr>
              <w:t>4,500 </w:t>
            </w:r>
            <w:r>
              <w:rPr>
                <w:rFonts w:ascii="宋体" w:hAnsi="宋体" w:cs="宋体" w:eastAsia="宋体" w:hint="default"/>
                <w:spacing w:val="-3"/>
                <w:sz w:val="18"/>
                <w:szCs w:val="18"/>
              </w:rPr>
              <w:t>万元。在补充流动资金期间，公司对资金进行了合理的安排与使用，没有影响募</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集资金投资计划的正常进行，资金运用情况良好。</w:t>
            </w:r>
            <w:r>
              <w:rPr>
                <w:rFonts w:ascii="Times New Roman" w:hAnsi="Times New Roman" w:cs="Times New Roman" w:eastAsia="Times New Roman" w:hint="default"/>
                <w:spacing w:val="-3"/>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月，公司已将上述用于暂时补充流动资金的募集资金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4,500 </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万元全部归还至募集资金专用账户。</w:t>
            </w:r>
          </w:p>
        </w:tc>
      </w:tr>
      <w:tr>
        <w:trPr>
          <w:trHeight w:val="398"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项目实施出现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募集资金结余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的金额及原因</w:t>
            </w:r>
          </w:p>
        </w:tc>
        <w:tc>
          <w:tcPr>
            <w:tcW w:w="9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5"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90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56"/>
              <w:jc w:val="both"/>
              <w:rPr>
                <w:rFonts w:ascii="宋体" w:hAnsi="宋体" w:cs="宋体" w:eastAsia="宋体" w:hint="default"/>
                <w:sz w:val="18"/>
                <w:szCs w:val="18"/>
              </w:rPr>
            </w:pPr>
            <w:r>
              <w:rPr>
                <w:rFonts w:ascii="宋体" w:hAnsi="宋体" w:cs="宋体" w:eastAsia="宋体" w:hint="default"/>
                <w:spacing w:val="-2"/>
                <w:sz w:val="18"/>
                <w:szCs w:val="18"/>
              </w:rPr>
              <w:t>尚未使用的募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集资金用途及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去向</w:t>
            </w:r>
          </w:p>
        </w:tc>
        <w:tc>
          <w:tcPr>
            <w:tcW w:w="9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pacing w:val="-3"/>
                <w:sz w:val="18"/>
                <w:szCs w:val="18"/>
              </w:rPr>
              <w:t>募集资金已全部使用完毕</w:t>
            </w:r>
          </w:p>
        </w:tc>
      </w:tr>
      <w:tr>
        <w:trPr>
          <w:trHeight w:val="1690"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24" w:right="156"/>
              <w:jc w:val="both"/>
              <w:rPr>
                <w:rFonts w:ascii="宋体" w:hAnsi="宋体" w:cs="宋体" w:eastAsia="宋体" w:hint="default"/>
                <w:sz w:val="18"/>
                <w:szCs w:val="18"/>
              </w:rPr>
            </w:pPr>
            <w:r>
              <w:rPr>
                <w:rFonts w:ascii="宋体" w:hAnsi="宋体" w:cs="宋体" w:eastAsia="宋体" w:hint="default"/>
                <w:spacing w:val="-2"/>
                <w:sz w:val="18"/>
                <w:szCs w:val="18"/>
              </w:rPr>
              <w:t>募集资金使用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及披露中存在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的问题或其他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情况</w:t>
            </w:r>
          </w:p>
        </w:tc>
        <w:tc>
          <w:tcPr>
            <w:tcW w:w="9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渤</w:t>
            </w:r>
            <w:r>
              <w:rPr>
                <w:rFonts w:ascii="宋体" w:hAnsi="宋体" w:cs="宋体" w:eastAsia="宋体" w:hint="default"/>
                <w:spacing w:val="-5"/>
                <w:w w:val="101"/>
                <w:sz w:val="18"/>
                <w:szCs w:val="18"/>
              </w:rPr>
              <w:t>海</w:t>
            </w:r>
            <w:r>
              <w:rPr>
                <w:rFonts w:ascii="宋体" w:hAnsi="宋体" w:cs="宋体" w:eastAsia="宋体" w:hint="default"/>
                <w:w w:val="101"/>
                <w:sz w:val="18"/>
                <w:szCs w:val="18"/>
              </w:rPr>
              <w:t>银</w:t>
            </w:r>
            <w:r>
              <w:rPr>
                <w:rFonts w:ascii="宋体" w:hAnsi="宋体" w:cs="宋体" w:eastAsia="宋体" w:hint="default"/>
                <w:spacing w:val="-5"/>
                <w:w w:val="101"/>
                <w:sz w:val="18"/>
                <w:szCs w:val="18"/>
              </w:rPr>
              <w:t>行</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专</w:t>
            </w:r>
            <w:r>
              <w:rPr>
                <w:rFonts w:ascii="宋体" w:hAnsi="宋体" w:cs="宋体" w:eastAsia="宋体" w:hint="default"/>
                <w:spacing w:val="-5"/>
                <w:w w:val="101"/>
                <w:sz w:val="18"/>
                <w:szCs w:val="18"/>
              </w:rPr>
              <w:t>户</w:t>
            </w:r>
            <w:r>
              <w:rPr>
                <w:rFonts w:ascii="宋体" w:hAnsi="宋体" w:cs="宋体" w:eastAsia="宋体" w:hint="default"/>
                <w:w w:val="101"/>
                <w:sz w:val="18"/>
                <w:szCs w:val="18"/>
              </w:rPr>
              <w:t>于</w:t>
            </w:r>
            <w:r>
              <w:rPr>
                <w:rFonts w:ascii="宋体" w:hAnsi="宋体" w:cs="宋体" w:eastAsia="宋体" w:hint="default"/>
                <w:spacing w:val="-56"/>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18</w:t>
            </w:r>
            <w:r>
              <w:rPr>
                <w:rFonts w:ascii="Times New Roman" w:hAnsi="Times New Roman" w:cs="Times New Roman" w:eastAsia="Times New Roman" w:hint="default"/>
                <w:spacing w:val="-17"/>
                <w:sz w:val="18"/>
                <w:szCs w:val="18"/>
              </w:rPr>
              <w:t> </w:t>
            </w:r>
            <w:r>
              <w:rPr>
                <w:rFonts w:ascii="宋体" w:hAnsi="宋体" w:cs="宋体" w:eastAsia="宋体" w:hint="default"/>
                <w:w w:val="101"/>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w w:val="101"/>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购</w:t>
            </w:r>
            <w:r>
              <w:rPr>
                <w:rFonts w:ascii="宋体" w:hAnsi="宋体" w:cs="宋体" w:eastAsia="宋体" w:hint="default"/>
                <w:spacing w:val="-5"/>
                <w:w w:val="101"/>
                <w:sz w:val="18"/>
                <w:szCs w:val="18"/>
              </w:rPr>
              <w:t>买</w:t>
            </w:r>
            <w:r>
              <w:rPr>
                <w:rFonts w:ascii="宋体" w:hAnsi="宋体" w:cs="宋体" w:eastAsia="宋体" w:hint="default"/>
                <w:w w:val="101"/>
                <w:sz w:val="18"/>
                <w:szCs w:val="18"/>
              </w:rPr>
              <w:t>的</w:t>
            </w:r>
            <w:r>
              <w:rPr>
                <w:rFonts w:ascii="宋体" w:hAnsi="宋体" w:cs="宋体" w:eastAsia="宋体" w:hint="default"/>
                <w:spacing w:val="-5"/>
                <w:w w:val="101"/>
                <w:sz w:val="18"/>
                <w:szCs w:val="18"/>
              </w:rPr>
              <w:t>宁</w:t>
            </w:r>
            <w:r>
              <w:rPr>
                <w:rFonts w:ascii="宋体" w:hAnsi="宋体" w:cs="宋体" w:eastAsia="宋体" w:hint="default"/>
                <w:w w:val="101"/>
                <w:sz w:val="18"/>
                <w:szCs w:val="18"/>
              </w:rPr>
              <w:t>波</w:t>
            </w:r>
            <w:r>
              <w:rPr>
                <w:rFonts w:ascii="宋体" w:hAnsi="宋体" w:cs="宋体" w:eastAsia="宋体" w:hint="default"/>
                <w:spacing w:val="-5"/>
                <w:w w:val="101"/>
                <w:sz w:val="18"/>
                <w:szCs w:val="18"/>
              </w:rPr>
              <w:t>银</w:t>
            </w:r>
            <w:r>
              <w:rPr>
                <w:rFonts w:ascii="宋体" w:hAnsi="宋体" w:cs="宋体" w:eastAsia="宋体" w:hint="default"/>
                <w:w w:val="101"/>
                <w:sz w:val="18"/>
                <w:szCs w:val="18"/>
              </w:rPr>
              <w:t>行</w:t>
            </w:r>
            <w:r>
              <w:rPr>
                <w:rFonts w:ascii="宋体" w:hAnsi="宋体" w:cs="宋体" w:eastAsia="宋体" w:hint="default"/>
                <w:spacing w:val="-5"/>
                <w:w w:val="101"/>
                <w:sz w:val="18"/>
                <w:szCs w:val="18"/>
              </w:rPr>
              <w:t>理</w:t>
            </w:r>
            <w:r>
              <w:rPr>
                <w:rFonts w:ascii="宋体" w:hAnsi="宋体" w:cs="宋体" w:eastAsia="宋体" w:hint="default"/>
                <w:w w:val="101"/>
                <w:sz w:val="18"/>
                <w:szCs w:val="18"/>
              </w:rPr>
              <w:t>财</w:t>
            </w:r>
            <w:r>
              <w:rPr>
                <w:rFonts w:ascii="宋体" w:hAnsi="宋体" w:cs="宋体" w:eastAsia="宋体" w:hint="default"/>
                <w:spacing w:val="-5"/>
                <w:w w:val="101"/>
                <w:sz w:val="18"/>
                <w:szCs w:val="18"/>
              </w:rPr>
              <w:t>产</w:t>
            </w:r>
            <w:r>
              <w:rPr>
                <w:rFonts w:ascii="宋体" w:hAnsi="宋体" w:cs="宋体" w:eastAsia="宋体" w:hint="default"/>
                <w:w w:val="101"/>
                <w:sz w:val="18"/>
                <w:szCs w:val="18"/>
              </w:rPr>
              <w:t>品</w:t>
            </w:r>
            <w:r>
              <w:rPr>
                <w:rFonts w:ascii="宋体" w:hAnsi="宋体" w:cs="宋体" w:eastAsia="宋体" w:hint="default"/>
                <w:spacing w:val="-5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于</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19</w:t>
            </w:r>
            <w:r>
              <w:rPr>
                <w:rFonts w:ascii="Times New Roman" w:hAnsi="Times New Roman" w:cs="Times New Roman" w:eastAsia="Times New Roman" w:hint="default"/>
                <w:spacing w:val="-17"/>
                <w:sz w:val="18"/>
                <w:szCs w:val="18"/>
              </w:rPr>
              <w:t> </w:t>
            </w:r>
            <w:r>
              <w:rPr>
                <w:rFonts w:ascii="宋体" w:hAnsi="宋体" w:cs="宋体" w:eastAsia="宋体" w:hint="default"/>
                <w:w w:val="101"/>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w w:val="101"/>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到期</w:t>
            </w:r>
            <w:r>
              <w:rPr>
                <w:rFonts w:ascii="宋体" w:hAnsi="宋体" w:cs="宋体" w:eastAsia="宋体" w:hint="default"/>
                <w:spacing w:val="-96"/>
                <w:w w:val="101"/>
                <w:sz w:val="18"/>
                <w:szCs w:val="18"/>
              </w:rPr>
              <w:t>。</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日，公司从一般账户宁波银行杭州分行营业部（</w:t>
            </w:r>
            <w:r>
              <w:rPr>
                <w:rFonts w:ascii="Times New Roman" w:hAnsi="Times New Roman" w:cs="Times New Roman" w:eastAsia="Times New Roman" w:hint="default"/>
                <w:sz w:val="18"/>
                <w:szCs w:val="18"/>
              </w:rPr>
              <w:t>71010122001832312</w:t>
            </w:r>
            <w:r>
              <w:rPr>
                <w:rFonts w:ascii="宋体" w:hAnsi="宋体" w:cs="宋体" w:eastAsia="宋体" w:hint="default"/>
                <w:sz w:val="18"/>
                <w:szCs w:val="18"/>
              </w:rPr>
              <w:t>）划转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万元回渤海银行募集</w:t>
            </w:r>
          </w:p>
          <w:p>
            <w:pPr>
              <w:pStyle w:val="TableParagraph"/>
              <w:spacing w:line="304" w:lineRule="auto" w:before="63"/>
              <w:ind w:left="24" w:right="17"/>
              <w:jc w:val="left"/>
              <w:rPr>
                <w:rFonts w:ascii="宋体" w:hAnsi="宋体" w:cs="宋体" w:eastAsia="宋体" w:hint="default"/>
                <w:sz w:val="18"/>
                <w:szCs w:val="18"/>
              </w:rPr>
            </w:pPr>
            <w:r>
              <w:rPr>
                <w:rFonts w:ascii="宋体" w:hAnsi="宋体" w:cs="宋体" w:eastAsia="宋体" w:hint="default"/>
                <w:spacing w:val="-3"/>
                <w:sz w:val="18"/>
                <w:szCs w:val="18"/>
              </w:rPr>
              <w:t>专户，理财产品的利息</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191,561.64</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元在公司一般账户中支出，投入智慧易通项目。</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日该募集资金账户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销户。</w:t>
            </w:r>
          </w:p>
          <w:p>
            <w:pPr>
              <w:pStyle w:val="TableParagraph"/>
              <w:spacing w:line="240" w:lineRule="auto" w:before="66"/>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公司募投项目支出均以自有资金先行垫付，支付后再从募集资金账户不定期转出相应的募集资金至一般银行账户。</w:t>
            </w:r>
          </w:p>
        </w:tc>
      </w:tr>
    </w:tbl>
    <w:p>
      <w:pPr>
        <w:spacing w:line="240" w:lineRule="auto" w:before="3"/>
        <w:rPr>
          <w:rFonts w:ascii="宋体" w:hAnsi="宋体" w:cs="宋体" w:eastAsia="宋体" w:hint="default"/>
          <w:sz w:val="19"/>
          <w:szCs w:val="19"/>
        </w:rPr>
      </w:pPr>
    </w:p>
    <w:p>
      <w:pPr>
        <w:spacing w:before="36"/>
        <w:ind w:left="473" w:right="0" w:firstLine="0"/>
        <w:jc w:val="left"/>
        <w:rPr>
          <w:rFonts w:ascii="宋体" w:hAnsi="宋体" w:cs="宋体" w:eastAsia="宋体" w:hint="default"/>
          <w:sz w:val="21"/>
          <w:szCs w:val="21"/>
        </w:rPr>
      </w:pPr>
      <w:bookmarkStart w:name="（3）募集资金变更项目情况"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66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公司报告期不存在募集资金变更项目情况。</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出售重大资产情况" w:id="53"/>
      <w:bookmarkEnd w:id="5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84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公司报告期未出售重大资产。</w:t>
      </w:r>
    </w:p>
    <w:p>
      <w:pPr>
        <w:spacing w:line="240" w:lineRule="auto" w:before="0"/>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出售重大股权情况" w:id="54"/>
      <w:bookmarkEnd w:id="5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spacing w:before="46"/>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153" w:right="-16"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4" w:space="4068"/>
            <w:col w:w="200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403"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1"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青岛天高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04"/>
              <w:jc w:val="left"/>
              <w:rPr>
                <w:rFonts w:ascii="宋体" w:hAnsi="宋体" w:cs="宋体" w:eastAsia="宋体" w:hint="default"/>
                <w:sz w:val="18"/>
                <w:szCs w:val="18"/>
              </w:rPr>
            </w:pPr>
            <w:r>
              <w:rPr>
                <w:rFonts w:ascii="宋体" w:hAnsi="宋体" w:cs="宋体" w:eastAsia="宋体" w:hint="default"/>
                <w:spacing w:val="-2"/>
                <w:sz w:val="18"/>
                <w:szCs w:val="18"/>
              </w:rPr>
              <w:t>软件和信息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技术服务业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82,447,204.0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30,917,022.7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93,957,781.3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9,792,531.33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9,062,661.63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报告期内取得和处置子公司的情况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1"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48"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对整体生产经营和业绩的影响（元）</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双旗智慧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220,208.90</w:t>
            </w:r>
          </w:p>
        </w:tc>
      </w:tr>
    </w:tbl>
    <w:p>
      <w:pPr>
        <w:spacing w:before="53"/>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主要控股参股公司情况说明</w:t>
      </w:r>
    </w:p>
    <w:p>
      <w:pPr>
        <w:spacing w:line="240" w:lineRule="auto" w:before="4"/>
        <w:rPr>
          <w:rFonts w:ascii="宋体" w:hAnsi="宋体" w:cs="宋体" w:eastAsia="宋体" w:hint="default"/>
          <w:sz w:val="24"/>
          <w:szCs w:val="24"/>
        </w:rPr>
      </w:pPr>
    </w:p>
    <w:p>
      <w:pPr>
        <w:pStyle w:val="Heading2"/>
        <w:spacing w:line="240" w:lineRule="auto"/>
        <w:ind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8"/>
        <w:rPr>
          <w:rFonts w:ascii="宋体" w:hAnsi="宋体" w:cs="宋体" w:eastAsia="宋体" w:hint="default"/>
          <w:b/>
          <w:bCs/>
          <w:sz w:val="29"/>
          <w:szCs w:val="29"/>
        </w:rPr>
      </w:pPr>
    </w:p>
    <w:p>
      <w:pPr>
        <w:pStyle w:val="Heading2"/>
        <w:spacing w:line="240" w:lineRule="auto"/>
        <w:ind w:left="633" w:right="0"/>
        <w:jc w:val="left"/>
        <w:rPr>
          <w:b w:val="0"/>
          <w:bCs w:val="0"/>
        </w:rPr>
      </w:pPr>
      <w:r>
        <w:rPr/>
        <w:t>（一）行业发展趋势</w:t>
      </w:r>
      <w:r>
        <w:rPr>
          <w:b w:val="0"/>
          <w:bCs w:val="0"/>
        </w:rPr>
      </w:r>
    </w:p>
    <w:p>
      <w:pPr>
        <w:pStyle w:val="BodyText"/>
        <w:spacing w:line="340" w:lineRule="auto" w:before="151"/>
        <w:ind w:left="633" w:right="0"/>
        <w:jc w:val="left"/>
      </w:pPr>
      <w:r>
        <w:rPr>
          <w:rFonts w:ascii="Times New Roman" w:hAnsi="Times New Roman" w:cs="Times New Roman" w:eastAsia="Times New Roman" w:hint="default"/>
        </w:rPr>
        <w:t>1</w:t>
      </w:r>
      <w:r>
        <w:rPr/>
        <w:t>、一卡通形态发生变化，应用领域不断扩展 随着我国信息化建设的加快，一卡通的形态也发生了变化，体现在教育、企业、金融、</w:t>
      </w:r>
    </w:p>
    <w:p>
      <w:pPr>
        <w:pStyle w:val="BodyText"/>
        <w:spacing w:line="357" w:lineRule="auto" w:before="50"/>
        <w:ind w:right="1133"/>
        <w:jc w:val="both"/>
      </w:pPr>
      <w:r>
        <w:rPr/>
        <w:t>交通、城市管理、政府管理等方方面面，这对于推动一卡通行业市场需求的不断增长十分有</w:t>
      </w:r>
      <w:r>
        <w:rPr>
          <w:spacing w:val="-93"/>
        </w:rPr>
        <w:t> </w:t>
      </w:r>
      <w:r>
        <w:rPr>
          <w:spacing w:val="-93"/>
        </w:rPr>
      </w:r>
      <w:r>
        <w:rPr/>
        <w:t>利。另一方面，随着全球信息技术发展步伐的加快，作为信息社会重要载体之一的一卡通系</w:t>
      </w:r>
      <w:r>
        <w:rPr>
          <w:spacing w:val="-93"/>
        </w:rPr>
        <w:t> </w:t>
      </w:r>
      <w:r>
        <w:rPr>
          <w:spacing w:val="-93"/>
        </w:rPr>
      </w:r>
      <w:r>
        <w:rPr>
          <w:spacing w:val="-1"/>
        </w:rPr>
        <w:t>统，在社会生活各个领域的应用日益广泛。金融</w:t>
      </w:r>
      <w:r>
        <w:rPr>
          <w:rFonts w:ascii="Times New Roman" w:hAnsi="Times New Roman" w:cs="Times New Roman" w:eastAsia="Times New Roman" w:hint="default"/>
          <w:spacing w:val="-1"/>
        </w:rPr>
        <w:t>EMV</w:t>
      </w:r>
      <w:r>
        <w:rPr>
          <w:spacing w:val="-1"/>
        </w:rPr>
        <w:t>迁移、移动通信的高速增长、数字化城</w:t>
      </w:r>
    </w:p>
    <w:p>
      <w:pPr>
        <w:spacing w:after="0" w:line="357" w:lineRule="auto"/>
        <w:jc w:val="both"/>
        <w:sectPr>
          <w:type w:val="continuous"/>
          <w:pgSz w:w="11910" w:h="16840"/>
          <w:pgMar w:top="1060" w:bottom="1160" w:left="980" w:right="0"/>
        </w:sectPr>
      </w:pPr>
    </w:p>
    <w:p>
      <w:pPr>
        <w:spacing w:line="240" w:lineRule="auto" w:before="13"/>
        <w:rPr>
          <w:rFonts w:ascii="宋体" w:hAnsi="宋体" w:cs="宋体" w:eastAsia="宋体" w:hint="default"/>
          <w:sz w:val="29"/>
          <w:szCs w:val="29"/>
        </w:rPr>
      </w:pPr>
    </w:p>
    <w:p>
      <w:pPr>
        <w:pStyle w:val="BodyText"/>
        <w:spacing w:line="357" w:lineRule="auto" w:before="26"/>
        <w:ind w:right="1135"/>
        <w:jc w:val="both"/>
      </w:pPr>
      <w:r>
        <w:rPr/>
        <w:t>市建设、学校和大中型企业的数字化建设、电子标签的推广，同时物联网、移动支付、人工</w:t>
      </w:r>
      <w:r>
        <w:rPr>
          <w:spacing w:val="-93"/>
        </w:rPr>
        <w:t> </w:t>
      </w:r>
      <w:r>
        <w:rPr>
          <w:spacing w:val="-93"/>
        </w:rPr>
      </w:r>
      <w:r>
        <w:rPr/>
        <w:t>智能、大数据等新技术的发展，人脸识别、扫码付逐步开始代替校园卡成为新的支付和认证</w:t>
      </w:r>
      <w:r>
        <w:rPr>
          <w:spacing w:val="-92"/>
        </w:rPr>
        <w:t> </w:t>
      </w:r>
      <w:r>
        <w:rPr>
          <w:spacing w:val="-92"/>
        </w:rPr>
      </w:r>
      <w:r>
        <w:rPr/>
        <w:t>模式，催生了校园卡系统新形态、新模式，极大地扩展了我国一卡通行业的市场空间。</w:t>
      </w:r>
    </w:p>
    <w:p>
      <w:pPr>
        <w:pStyle w:val="BodyText"/>
        <w:spacing w:line="357" w:lineRule="auto" w:before="34"/>
        <w:ind w:right="1136" w:firstLine="480"/>
        <w:jc w:val="both"/>
      </w:pPr>
      <w:r>
        <w:rPr/>
        <w:t>公司以智慧一卡通为基础，在面对多元化的市场需求上，突破传统一卡通的技术运用局 限，不断拓展智慧一卡通的功能属性，利用新型技术，深入到一卡通细分行业领域，使公司</w:t>
      </w:r>
      <w:r>
        <w:rPr>
          <w:spacing w:val="-93"/>
        </w:rPr>
        <w:t> </w:t>
      </w:r>
      <w:r>
        <w:rPr>
          <w:spacing w:val="-93"/>
        </w:rPr>
      </w:r>
      <w:r>
        <w:rPr/>
        <w:t>产品和系统能满足更多领域和更多需求，为公司的业务发展延伸出更广的市场空间。</w:t>
      </w:r>
    </w:p>
    <w:p>
      <w:pPr>
        <w:pStyle w:val="BodyText"/>
        <w:spacing w:line="336" w:lineRule="auto" w:before="39"/>
        <w:ind w:left="633" w:right="0"/>
        <w:jc w:val="left"/>
      </w:pPr>
      <w:r>
        <w:rPr>
          <w:rFonts w:ascii="Times New Roman" w:hAnsi="Times New Roman" w:cs="Times New Roman" w:eastAsia="Times New Roman" w:hint="default"/>
        </w:rPr>
        <w:t>2</w:t>
      </w:r>
      <w:r>
        <w:rPr/>
        <w:t>、智慧校园的应用不断丰富和深入 智慧校园是指以促进信息技术与教育教学深度有效融合、提高学与教的效果为目的，以</w:t>
      </w:r>
    </w:p>
    <w:p>
      <w:pPr>
        <w:pStyle w:val="BodyText"/>
        <w:spacing w:line="357" w:lineRule="auto" w:before="60"/>
        <w:ind w:right="1136"/>
        <w:jc w:val="both"/>
      </w:pPr>
      <w:r>
        <w:rPr/>
        <w:t>物联网、云计算、大数据分析等新技术为核心技术，提供一种环境全面感知、智慧型、数据</w:t>
      </w:r>
      <w:r>
        <w:rPr>
          <w:spacing w:val="-93"/>
        </w:rPr>
        <w:t> </w:t>
      </w:r>
      <w:r>
        <w:rPr>
          <w:spacing w:val="-93"/>
        </w:rPr>
      </w:r>
      <w:r>
        <w:rPr/>
        <w:t>化、网络化、协作化、一体化的教学、科研、管理和生活服务，并能对教育教学、教育管理</w:t>
      </w:r>
      <w:r>
        <w:rPr>
          <w:spacing w:val="-93"/>
        </w:rPr>
        <w:t> </w:t>
      </w:r>
      <w:r>
        <w:rPr>
          <w:spacing w:val="-93"/>
        </w:rPr>
      </w:r>
      <w:r>
        <w:rPr/>
        <w:t>进行洞察和预测的智慧学习环境。我国在一二线城市基本实现了数字校园，在三四线城市数</w:t>
      </w:r>
      <w:r>
        <w:rPr>
          <w:spacing w:val="-93"/>
        </w:rPr>
        <w:t> </w:t>
      </w:r>
      <w:r>
        <w:rPr>
          <w:spacing w:val="-93"/>
        </w:rPr>
      </w:r>
      <w:r>
        <w:rPr/>
        <w:t>字校园也实现的大范围的实现。智慧校园是数字校园的升级，目前在华东、华北、中部地区</w:t>
      </w:r>
      <w:r>
        <w:rPr>
          <w:spacing w:val="-93"/>
        </w:rPr>
        <w:t> </w:t>
      </w:r>
      <w:r>
        <w:rPr>
          <w:spacing w:val="-93"/>
        </w:rPr>
      </w:r>
      <w:r>
        <w:rPr/>
        <w:t>开始进行较大范围的智慧校园的建设，但覆盖范围在全国整体上还是极小的一部分。我国智</w:t>
      </w:r>
      <w:r>
        <w:rPr>
          <w:spacing w:val="-93"/>
        </w:rPr>
        <w:t> </w:t>
      </w:r>
      <w:r>
        <w:rPr>
          <w:spacing w:val="-93"/>
        </w:rPr>
      </w:r>
      <w:r>
        <w:rPr/>
        <w:t>慧校园的建设规模将会持续的扩大，市场需求巨大。</w:t>
      </w:r>
    </w:p>
    <w:p>
      <w:pPr>
        <w:pStyle w:val="BodyText"/>
        <w:spacing w:line="240" w:lineRule="auto" w:before="38"/>
        <w:ind w:left="633"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月，国家市场监督管理总局中国国家标准化管理委员会最新公布了国家标准文件</w:t>
      </w:r>
    </w:p>
    <w:p>
      <w:pPr>
        <w:pStyle w:val="BodyText"/>
        <w:spacing w:line="355" w:lineRule="auto" w:before="133"/>
        <w:ind w:right="1135"/>
        <w:jc w:val="both"/>
      </w:pPr>
      <w:r>
        <w:rPr/>
        <w:t>《智慧校园总体框架（</w:t>
      </w:r>
      <w:r>
        <w:rPr>
          <w:rFonts w:ascii="Times New Roman" w:hAnsi="Times New Roman" w:cs="Times New Roman" w:eastAsia="Times New Roman" w:hint="default"/>
        </w:rPr>
        <w:t>GBT36342-2018</w:t>
      </w:r>
      <w:r>
        <w:rPr/>
        <w:t>）》，明确了智慧校园建设相关标准与规范，受益于</w:t>
      </w:r>
      <w:r>
        <w:rPr>
          <w:spacing w:val="-65"/>
        </w:rPr>
        <w:t> </w:t>
      </w:r>
      <w:r>
        <w:rPr>
          <w:spacing w:val="-65"/>
        </w:rPr>
      </w:r>
      <w:r>
        <w:rPr/>
        <w:t>国家政策的支持以及市场环境的推动，智慧校园建设已经获得了较大发展，未来也将会迎来</w:t>
      </w:r>
      <w:r>
        <w:rPr>
          <w:spacing w:val="-93"/>
        </w:rPr>
        <w:t> </w:t>
      </w:r>
      <w:r>
        <w:rPr>
          <w:spacing w:val="-93"/>
        </w:rPr>
      </w:r>
      <w:r>
        <w:rPr/>
        <w:t>更加快速的发展时期。智慧校园建设的政策引导、技术更新和规模布局，将延伸出更加广阔</w:t>
      </w:r>
      <w:r>
        <w:rPr>
          <w:spacing w:val="-92"/>
        </w:rPr>
        <w:t> </w:t>
      </w:r>
      <w:r>
        <w:rPr>
          <w:spacing w:val="-92"/>
        </w:rPr>
      </w:r>
      <w:r>
        <w:rPr/>
        <w:t>的市场空间。公司布局智慧校园建设，主动适应智慧校园建设的新需求、新形态，综合运用</w:t>
      </w:r>
      <w:r>
        <w:rPr>
          <w:spacing w:val="-93"/>
        </w:rPr>
        <w:t> </w:t>
      </w:r>
      <w:r>
        <w:rPr>
          <w:spacing w:val="-93"/>
        </w:rPr>
      </w:r>
      <w:r>
        <w:rPr/>
        <w:t>新型技术，全面感知校园物理环境，进一步提供了校园数据治理、应用治理、物联校园等智</w:t>
      </w:r>
      <w:r>
        <w:rPr>
          <w:spacing w:val="-93"/>
        </w:rPr>
        <w:t> </w:t>
      </w:r>
      <w:r>
        <w:rPr>
          <w:spacing w:val="-93"/>
        </w:rPr>
      </w:r>
      <w:r>
        <w:rPr/>
        <w:t>慧综合服务，将使公司抓住智慧校园建设整体机会，为未来的发展注入更多的活力。</w:t>
      </w:r>
    </w:p>
    <w:p>
      <w:pPr>
        <w:pStyle w:val="BodyText"/>
        <w:spacing w:line="340" w:lineRule="auto" w:before="36"/>
        <w:ind w:left="633" w:right="0"/>
        <w:jc w:val="left"/>
      </w:pPr>
      <w:r>
        <w:rPr>
          <w:rFonts w:ascii="Times New Roman" w:hAnsi="Times New Roman" w:cs="Times New Roman" w:eastAsia="Times New Roman" w:hint="default"/>
        </w:rPr>
        <w:t>3</w:t>
      </w:r>
      <w:r>
        <w:rPr/>
        <w:t>、智慧教育发展前景广阔 智慧教育是指在教育领域全面深入地运用现代信息技术来促进教育改革与发展的过程。</w:t>
      </w:r>
    </w:p>
    <w:p>
      <w:pPr>
        <w:pStyle w:val="BodyText"/>
        <w:spacing w:line="360" w:lineRule="auto" w:before="50"/>
        <w:ind w:right="1136"/>
        <w:jc w:val="both"/>
      </w:pPr>
      <w:r>
        <w:rPr/>
        <w:t>其技术特点是数字化、网络化、智能化和多媒体化，基本特征是开放、共享、交互、协作。</w:t>
      </w:r>
      <w:r>
        <w:rPr>
          <w:spacing w:val="-93"/>
        </w:rPr>
        <w:t> </w:t>
      </w:r>
      <w:r>
        <w:rPr>
          <w:spacing w:val="-93"/>
        </w:rPr>
      </w:r>
      <w:r>
        <w:rPr/>
        <w:t>以教育信息化促进教育现代化，用信息技术改变传统教育模式。</w:t>
      </w:r>
    </w:p>
    <w:p>
      <w:pPr>
        <w:pStyle w:val="BodyText"/>
        <w:spacing w:line="345" w:lineRule="auto" w:before="31"/>
        <w:ind w:right="1127" w:firstLine="480"/>
        <w:jc w:val="both"/>
      </w:pPr>
      <w:r>
        <w:rPr/>
        <w:t>据教育部公布的《</w:t>
      </w:r>
      <w:r>
        <w:rPr>
          <w:rFonts w:ascii="宋体" w:hAnsi="宋体" w:cs="宋体" w:eastAsia="宋体" w:hint="default"/>
        </w:rPr>
        <w:t>2018</w:t>
      </w:r>
      <w:r>
        <w:rPr/>
        <w:t>年全国教育事业发展统计公报》显示，</w:t>
      </w:r>
      <w:r>
        <w:rPr>
          <w:rFonts w:ascii="宋体" w:hAnsi="宋体" w:cs="宋体" w:eastAsia="宋体" w:hint="default"/>
        </w:rPr>
        <w:t>2018</w:t>
      </w:r>
      <w:r>
        <w:rPr/>
        <w:t>年，全国共有各级各 类学校</w:t>
      </w:r>
      <w:r>
        <w:rPr>
          <w:rFonts w:ascii="宋体" w:hAnsi="宋体" w:cs="宋体" w:eastAsia="宋体" w:hint="default"/>
        </w:rPr>
        <w:t>51.88</w:t>
      </w:r>
      <w:r>
        <w:rPr/>
        <w:t>万所，各级各类学历教育在校生</w:t>
      </w:r>
      <w:r>
        <w:rPr>
          <w:rFonts w:ascii="宋体" w:hAnsi="宋体" w:cs="宋体" w:eastAsia="宋体" w:hint="default"/>
        </w:rPr>
        <w:t>2.76</w:t>
      </w:r>
      <w:r>
        <w:rPr/>
        <w:t>亿人。根据《</w:t>
      </w:r>
      <w:r>
        <w:rPr>
          <w:rFonts w:ascii="Times New Roman" w:hAnsi="Times New Roman" w:cs="Times New Roman" w:eastAsia="Times New Roman" w:hint="default"/>
        </w:rPr>
        <w:t>2018-2023</w:t>
      </w:r>
      <w:r>
        <w:rPr/>
        <w:t>年中国智慧教育行</w:t>
      </w:r>
      <w:r>
        <w:rPr>
          <w:spacing w:val="-57"/>
        </w:rPr>
        <w:t> </w:t>
      </w:r>
      <w:r>
        <w:rPr>
          <w:spacing w:val="-57"/>
        </w:rPr>
      </w:r>
      <w:r>
        <w:rPr>
          <w:spacing w:val="-5"/>
        </w:rPr>
        <w:t>业发展前景预测与投资战略规划分析报告》，截至</w:t>
      </w:r>
      <w:r>
        <w:rPr>
          <w:rFonts w:ascii="Times New Roman" w:hAnsi="Times New Roman" w:cs="Times New Roman" w:eastAsia="Times New Roman" w:hint="default"/>
          <w:spacing w:val="-5"/>
        </w:rPr>
        <w:t>2017</w:t>
      </w:r>
      <w:r>
        <w:rPr>
          <w:spacing w:val="-5"/>
        </w:rPr>
        <w:t>年末，我国智慧教育市场规模超过</w:t>
      </w:r>
      <w:r>
        <w:rPr>
          <w:rFonts w:ascii="Times New Roman" w:hAnsi="Times New Roman" w:cs="Times New Roman" w:eastAsia="Times New Roman" w:hint="default"/>
          <w:spacing w:val="-5"/>
        </w:rPr>
        <w:t>4542</w:t>
      </w:r>
      <w:r>
        <w:rPr>
          <w:rFonts w:ascii="Times New Roman" w:hAnsi="Times New Roman" w:cs="Times New Roman" w:eastAsia="Times New Roman" w:hint="default"/>
          <w:spacing w:val="-37"/>
        </w:rPr>
        <w:t> </w:t>
      </w:r>
      <w:r>
        <w:rPr/>
        <w:t>亿元，年复合增长率达</w:t>
      </w:r>
      <w:r>
        <w:rPr>
          <w:rFonts w:ascii="Times New Roman" w:hAnsi="Times New Roman" w:cs="Times New Roman" w:eastAsia="Times New Roman" w:hint="default"/>
        </w:rPr>
        <w:t>22.86%</w:t>
      </w:r>
      <w:r>
        <w:rPr/>
        <w:t>。据国家统计局数据显示，</w:t>
      </w:r>
      <w:r>
        <w:rPr>
          <w:rFonts w:ascii="Times New Roman" w:hAnsi="Times New Roman" w:cs="Times New Roman" w:eastAsia="Times New Roman" w:hint="default"/>
        </w:rPr>
        <w:t>2017</w:t>
      </w:r>
      <w:r>
        <w:rPr/>
        <w:t>年财政部门对教育经费的投入</w:t>
      </w:r>
    </w:p>
    <w:p>
      <w:pPr>
        <w:spacing w:after="0" w:line="345"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43" w:lineRule="auto" w:before="26"/>
        <w:ind w:right="1128"/>
        <w:jc w:val="both"/>
      </w:pPr>
      <w:r>
        <w:rPr>
          <w:spacing w:val="-1"/>
        </w:rPr>
        <w:t>水平高达</w:t>
      </w:r>
      <w:r>
        <w:rPr>
          <w:rFonts w:ascii="Times New Roman" w:hAnsi="Times New Roman" w:cs="Times New Roman" w:eastAsia="Times New Roman" w:hint="default"/>
          <w:spacing w:val="-1"/>
        </w:rPr>
        <w:t>4.3%</w:t>
      </w:r>
      <w:r>
        <w:rPr>
          <w:spacing w:val="-1"/>
        </w:rPr>
        <w:t>，总教育经费投入约</w:t>
      </w:r>
      <w:r>
        <w:rPr>
          <w:rFonts w:ascii="Times New Roman" w:hAnsi="Times New Roman" w:cs="Times New Roman" w:eastAsia="Times New Roman" w:hint="default"/>
          <w:spacing w:val="-1"/>
        </w:rPr>
        <w:t>3.4</w:t>
      </w:r>
      <w:r>
        <w:rPr>
          <w:spacing w:val="-1"/>
        </w:rPr>
        <w:t>万亿元。其中，财政部对教育领域信息技术的建设投入</w:t>
      </w:r>
      <w:r>
        <w:rPr/>
        <w:t> 不断提升，从</w:t>
      </w:r>
      <w:r>
        <w:rPr>
          <w:rFonts w:ascii="Times New Roman" w:hAnsi="Times New Roman" w:cs="Times New Roman" w:eastAsia="Times New Roman" w:hint="default"/>
        </w:rPr>
        <w:t>2013</w:t>
      </w:r>
      <w:r>
        <w:rPr/>
        <w:t>年的</w:t>
      </w:r>
      <w:r>
        <w:rPr>
          <w:rFonts w:ascii="Times New Roman" w:hAnsi="Times New Roman" w:cs="Times New Roman" w:eastAsia="Times New Roman" w:hint="default"/>
        </w:rPr>
        <w:t>1959</w:t>
      </w:r>
      <w:r>
        <w:rPr/>
        <w:t>亿元增加至</w:t>
      </w:r>
      <w:r>
        <w:rPr>
          <w:rFonts w:ascii="Times New Roman" w:hAnsi="Times New Roman" w:cs="Times New Roman" w:eastAsia="Times New Roman" w:hint="default"/>
        </w:rPr>
        <w:t>2017</w:t>
      </w:r>
      <w:r>
        <w:rPr/>
        <w:t>年的</w:t>
      </w:r>
      <w:r>
        <w:rPr>
          <w:rFonts w:ascii="Times New Roman" w:hAnsi="Times New Roman" w:cs="Times New Roman" w:eastAsia="Times New Roman" w:hint="default"/>
        </w:rPr>
        <w:t>2731</w:t>
      </w:r>
      <w:r>
        <w:rPr/>
        <w:t>亿元，年均复合增长率约</w:t>
      </w:r>
      <w:r>
        <w:rPr>
          <w:rFonts w:ascii="Times New Roman" w:hAnsi="Times New Roman" w:cs="Times New Roman" w:eastAsia="Times New Roman" w:hint="default"/>
        </w:rPr>
        <w:t>8.7%</w:t>
      </w:r>
      <w:r>
        <w:rPr/>
        <w:t>，预计到</w:t>
      </w:r>
      <w:r>
        <w:rPr>
          <w:spacing w:val="-108"/>
        </w:rPr>
        <w:t> </w:t>
      </w:r>
      <w:r>
        <w:rPr>
          <w:rFonts w:ascii="Times New Roman" w:hAnsi="Times New Roman" w:cs="Times New Roman" w:eastAsia="Times New Roman" w:hint="default"/>
        </w:rPr>
        <w:t>2020</w:t>
      </w:r>
      <w:r>
        <w:rPr/>
        <w:t>年教育信息化投入仍将保持快速增长，经费投入将超过</w:t>
      </w:r>
      <w:r>
        <w:rPr>
          <w:rFonts w:ascii="Times New Roman" w:hAnsi="Times New Roman" w:cs="Times New Roman" w:eastAsia="Times New Roman" w:hint="default"/>
        </w:rPr>
        <w:t>3800</w:t>
      </w:r>
      <w:r>
        <w:rPr/>
        <w:t>亿元。在人工智能、虚拟现</w:t>
      </w:r>
      <w:r>
        <w:rPr>
          <w:spacing w:val="-90"/>
        </w:rPr>
        <w:t> </w:t>
      </w:r>
      <w:r>
        <w:rPr>
          <w:spacing w:val="-90"/>
        </w:rPr>
      </w:r>
      <w:r>
        <w:rPr/>
        <w:t>实等技术的迅猛发展，教育信息化大发展政策的趋势下，涵盖智慧校园、智慧教学、智慧考</w:t>
      </w:r>
      <w:r>
        <w:rPr>
          <w:spacing w:val="-90"/>
        </w:rPr>
        <w:t> </w:t>
      </w:r>
      <w:r>
        <w:rPr>
          <w:spacing w:val="-90"/>
        </w:rPr>
      </w:r>
      <w:r>
        <w:rPr/>
        <w:t>试、智慧课堂、智慧管理的智慧教育建设具有广阔的发展应用前景。</w:t>
      </w:r>
    </w:p>
    <w:p>
      <w:pPr>
        <w:pStyle w:val="BodyText"/>
        <w:spacing w:line="360" w:lineRule="auto" w:before="48"/>
        <w:ind w:right="0" w:firstLine="480"/>
        <w:jc w:val="left"/>
      </w:pPr>
      <w:r>
        <w:rPr/>
        <w:t>公司以智慧校园为切入点，立足于智慧校园建设，拓展智慧教育、智慧课堂和智慧管理 的多模态运作，形成整体解决方案，真正为智慧教育行业的发展助力。</w:t>
      </w:r>
    </w:p>
    <w:p>
      <w:pPr>
        <w:pStyle w:val="BodyText"/>
        <w:spacing w:line="340" w:lineRule="auto" w:before="31"/>
        <w:ind w:left="633" w:right="0"/>
        <w:jc w:val="left"/>
      </w:pPr>
      <w:r>
        <w:rPr>
          <w:rFonts w:ascii="Times New Roman" w:hAnsi="Times New Roman" w:cs="Times New Roman" w:eastAsia="Times New Roman" w:hint="default"/>
        </w:rPr>
        <w:t>4</w:t>
      </w:r>
      <w:r>
        <w:rPr/>
        <w:t>、智慧城市和智慧园区不断升级 智慧城市基于泛在化的信息网络、智能化的感知技术和信息安全基础设施，透明、充分</w:t>
      </w:r>
    </w:p>
    <w:p>
      <w:pPr>
        <w:pStyle w:val="BodyText"/>
        <w:spacing w:line="357" w:lineRule="auto" w:before="51"/>
        <w:ind w:right="1130"/>
        <w:jc w:val="both"/>
      </w:pPr>
      <w:r>
        <w:rPr>
          <w:spacing w:val="-5"/>
        </w:rPr>
        <w:t>地获取城市运行核心系统的关键信息，从而打造出智慧的生活、智慧的产业以及智慧的管理，</w:t>
      </w:r>
      <w:r>
        <w:rPr>
          <w:spacing w:val="-117"/>
        </w:rPr>
        <w:t> </w:t>
      </w:r>
      <w:r>
        <w:rPr>
          <w:spacing w:val="-117"/>
        </w:rPr>
      </w:r>
      <w:r>
        <w:rPr/>
        <w:t>涵盖了智慧生活、智慧教育、智慧企业、智慧政务、智慧安防、智慧环保、智慧交通、智慧</w:t>
      </w:r>
      <w:r>
        <w:rPr>
          <w:spacing w:val="-93"/>
        </w:rPr>
        <w:t> </w:t>
      </w:r>
      <w:r>
        <w:rPr>
          <w:spacing w:val="-93"/>
        </w:rPr>
      </w:r>
      <w:r>
        <w:rPr/>
        <w:t>医疗等数十个场景。智慧园区是智慧城市的重要表现形态，包括科技园区、产业园区、工业</w:t>
      </w:r>
      <w:r>
        <w:rPr>
          <w:spacing w:val="-93"/>
        </w:rPr>
        <w:t> </w:t>
      </w:r>
      <w:r>
        <w:rPr>
          <w:spacing w:val="-93"/>
        </w:rPr>
      </w:r>
      <w:r>
        <w:rPr/>
        <w:t>园区、创意园区等。</w:t>
      </w:r>
    </w:p>
    <w:p>
      <w:pPr>
        <w:pStyle w:val="BodyText"/>
        <w:spacing w:line="350" w:lineRule="auto" w:before="34"/>
        <w:ind w:right="1011" w:firstLine="480"/>
        <w:jc w:val="left"/>
      </w:pPr>
      <w:r>
        <w:rPr/>
        <w:t>住建部《国家智慧城市试点暂行管理办法》提出，智慧城市建设目标包括智慧管理与服 </w:t>
      </w:r>
      <w:r>
        <w:rPr>
          <w:spacing w:val="-5"/>
        </w:rPr>
        <w:t>务的专项应用</w:t>
      </w:r>
      <w:r>
        <w:rPr>
          <w:rFonts w:ascii="Times New Roman" w:hAnsi="Times New Roman" w:cs="Times New Roman" w:eastAsia="Times New Roman" w:hint="default"/>
          <w:spacing w:val="-5"/>
        </w:rPr>
        <w:t>——</w:t>
      </w:r>
      <w:r>
        <w:rPr>
          <w:spacing w:val="-5"/>
        </w:rPr>
        <w:t>智慧支付，智慧支付包含一卡通、手机支付、市民卡等智慧化支付新方式，</w:t>
      </w:r>
      <w:r>
        <w:rPr/>
        <w:t> 支付终端卡设备、顾客支付服务便捷性、安全性和商家支付便捷性、安全性等方面的建设。</w:t>
      </w:r>
      <w:r>
        <w:rPr>
          <w:spacing w:val="-93"/>
        </w:rPr>
        <w:t> </w:t>
      </w:r>
      <w:r>
        <w:rPr>
          <w:spacing w:val="-93"/>
        </w:rPr>
      </w:r>
      <w:r>
        <w:rPr/>
        <w:t>国务院印发的《国家新型城镇化规划（</w:t>
      </w:r>
      <w:r>
        <w:rPr>
          <w:rFonts w:ascii="Times New Roman" w:hAnsi="Times New Roman" w:cs="Times New Roman" w:eastAsia="Times New Roman" w:hint="default"/>
        </w:rPr>
        <w:t>2014-2020</w:t>
      </w:r>
      <w:r>
        <w:rPr/>
        <w:t>年）》将智慧城市建设上升到战略层面，明 确了智慧城市建设的</w:t>
      </w:r>
      <w:r>
        <w:rPr>
          <w:rFonts w:ascii="Times New Roman" w:hAnsi="Times New Roman" w:cs="Times New Roman" w:eastAsia="Times New Roman" w:hint="default"/>
        </w:rPr>
        <w:t>6</w:t>
      </w:r>
      <w:r>
        <w:rPr/>
        <w:t>大建设方向：即信息网络宽带化、规划管理信息化、基础设施智能化、</w:t>
      </w:r>
      <w:r>
        <w:rPr>
          <w:spacing w:val="-88"/>
        </w:rPr>
        <w:t> </w:t>
      </w:r>
      <w:r>
        <w:rPr>
          <w:spacing w:val="-88"/>
        </w:rPr>
      </w:r>
      <w:r>
        <w:rPr>
          <w:spacing w:val="-3"/>
        </w:rPr>
        <w:t>公共服务便捷化、产业发展现代化、社会治理精细化。目前我国共有超过</w:t>
      </w:r>
      <w:r>
        <w:rPr>
          <w:rFonts w:ascii="Times New Roman" w:hAnsi="Times New Roman" w:cs="Times New Roman" w:eastAsia="Times New Roman" w:hint="default"/>
          <w:spacing w:val="-3"/>
        </w:rPr>
        <w:t>500</w:t>
      </w:r>
      <w:r>
        <w:rPr>
          <w:spacing w:val="-3"/>
        </w:rPr>
        <w:t>个城市提出要参</w:t>
      </w:r>
      <w:r>
        <w:rPr>
          <w:spacing w:val="-79"/>
        </w:rPr>
        <w:t> </w:t>
      </w:r>
      <w:r>
        <w:rPr/>
        <w:t>与到智慧城市建设中，副省级和省会城市基本全部在进行智慧城市建设。智慧城市建设对当</w:t>
      </w:r>
      <w:r>
        <w:rPr>
          <w:spacing w:val="-93"/>
        </w:rPr>
        <w:t> </w:t>
      </w:r>
      <w:r>
        <w:rPr>
          <w:spacing w:val="-93"/>
        </w:rPr>
      </w:r>
      <w:r>
        <w:rPr/>
        <w:t>前市政管理、交通管理、公共安全与应急、智能建筑等各个领域都有重要的意义。未来城市</w:t>
      </w:r>
      <w:r>
        <w:rPr>
          <w:spacing w:val="-93"/>
        </w:rPr>
        <w:t> </w:t>
      </w:r>
      <w:r>
        <w:rPr>
          <w:spacing w:val="-93"/>
        </w:rPr>
      </w:r>
      <w:r>
        <w:rPr/>
        <w:t>发展与管理可以以智慧园区建设为索引，进一步拉动智慧城市建设，同时将智慧园区的管理</w:t>
      </w:r>
      <w:r>
        <w:rPr>
          <w:spacing w:val="-93"/>
        </w:rPr>
        <w:t> </w:t>
      </w:r>
      <w:r>
        <w:rPr>
          <w:spacing w:val="-93"/>
        </w:rPr>
      </w:r>
      <w:r>
        <w:rPr>
          <w:spacing w:val="-5"/>
        </w:rPr>
        <w:t>融入到智慧城市的管理体系建设中去。智慧城市的建设需求将逐步深入，应用领域不断扩张，</w:t>
      </w:r>
      <w:r>
        <w:rPr>
          <w:spacing w:val="-117"/>
        </w:rPr>
        <w:t> </w:t>
      </w:r>
      <w:r>
        <w:rPr>
          <w:spacing w:val="-117"/>
        </w:rPr>
      </w:r>
      <w:r>
        <w:rPr/>
        <w:t>行业发展需求不断增加。</w:t>
      </w:r>
    </w:p>
    <w:p>
      <w:pPr>
        <w:pStyle w:val="BodyText"/>
        <w:spacing w:line="357" w:lineRule="auto" w:before="46"/>
        <w:ind w:right="1136" w:firstLine="480"/>
        <w:jc w:val="both"/>
      </w:pPr>
      <w:r>
        <w:rPr/>
        <w:t>智慧城市、智慧园区的建设，将实现城市管理、园区管理的智能化、便捷化和精细化。 公司目前已经切入到城市和园区的智慧建设中，服务了多个行业和领域，随着市场规模的不</w:t>
      </w:r>
      <w:r>
        <w:rPr>
          <w:spacing w:val="-93"/>
        </w:rPr>
        <w:t> </w:t>
      </w:r>
      <w:r>
        <w:rPr>
          <w:spacing w:val="-93"/>
        </w:rPr>
      </w:r>
      <w:r>
        <w:rPr/>
        <w:t>断扩大，建设标准、智慧化程度和服务模式的革新将会出现更为广大的容量空间。公司已经</w:t>
      </w:r>
      <w:r>
        <w:rPr>
          <w:spacing w:val="-93"/>
        </w:rPr>
        <w:t> </w:t>
      </w:r>
      <w:r>
        <w:rPr>
          <w:spacing w:val="-93"/>
        </w:rPr>
      </w:r>
      <w:r>
        <w:rPr/>
        <w:t>为未来的发展做好准备，争取更好的机会。</w:t>
      </w:r>
    </w:p>
    <w:p>
      <w:pPr>
        <w:pStyle w:val="BodyText"/>
        <w:spacing w:line="240" w:lineRule="auto" w:before="38"/>
        <w:ind w:left="633" w:right="0"/>
        <w:jc w:val="left"/>
      </w:pPr>
      <w:r>
        <w:rPr>
          <w:rFonts w:ascii="Times New Roman" w:hAnsi="Times New Roman" w:cs="Times New Roman" w:eastAsia="Times New Roman" w:hint="default"/>
        </w:rPr>
        <w:t>5</w:t>
      </w:r>
      <w:r>
        <w:rPr/>
        <w:t>、物联网、</w:t>
      </w:r>
      <w:r>
        <w:rPr>
          <w:rFonts w:ascii="Times New Roman" w:hAnsi="Times New Roman" w:cs="Times New Roman" w:eastAsia="Times New Roman" w:hint="default"/>
        </w:rPr>
        <w:t>5G</w:t>
      </w:r>
      <w:r>
        <w:rPr/>
        <w:t>、人工智能等新技术的应用</w:t>
      </w:r>
    </w:p>
    <w:p>
      <w:pPr>
        <w:spacing w:after="0" w:line="240" w:lineRule="auto"/>
        <w:jc w:val="left"/>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43" w:lineRule="auto" w:before="26"/>
        <w:ind w:right="1018" w:firstLine="480"/>
        <w:jc w:val="left"/>
      </w:pPr>
      <w:r>
        <w:rPr/>
        <w:t>中国物联网市场发展迅速，在各行各业的应用不断深化，投资前景巨大。</w:t>
      </w:r>
      <w:r>
        <w:rPr>
          <w:rFonts w:ascii="Times New Roman" w:hAnsi="Times New Roman" w:cs="Times New Roman" w:eastAsia="Times New Roman" w:hint="default"/>
        </w:rPr>
        <w:t>2017</w:t>
      </w:r>
      <w:r>
        <w:rPr/>
        <w:t>年以来， 工信部连续发布多个关于支持物联网行业发展的政策，物联网的发展受到越来越多的重视。</w:t>
      </w:r>
      <w:r>
        <w:rPr>
          <w:spacing w:val="-93"/>
        </w:rPr>
        <w:t> </w:t>
      </w:r>
      <w:r>
        <w:rPr>
          <w:spacing w:val="-93"/>
        </w:rPr>
      </w:r>
      <w:r>
        <w:rPr>
          <w:rFonts w:ascii="Times New Roman" w:hAnsi="Times New Roman" w:cs="Times New Roman" w:eastAsia="Times New Roman" w:hint="default"/>
        </w:rPr>
        <w:t>2018</w:t>
      </w:r>
      <w:r>
        <w:rPr/>
        <w:t>年是</w:t>
      </w:r>
      <w:r>
        <w:rPr>
          <w:rFonts w:ascii="Times New Roman" w:hAnsi="Times New Roman" w:cs="Times New Roman" w:eastAsia="Times New Roman" w:hint="default"/>
        </w:rPr>
        <w:t>5G</w:t>
      </w:r>
      <w:r>
        <w:rPr/>
        <w:t>部署元年，网络结构迎来重大变革。</w:t>
      </w:r>
      <w:r>
        <w:rPr>
          <w:rFonts w:ascii="Times New Roman" w:hAnsi="Times New Roman" w:cs="Times New Roman" w:eastAsia="Times New Roman" w:hint="default"/>
        </w:rPr>
        <w:t>5G</w:t>
      </w:r>
      <w:r>
        <w:rPr/>
        <w:t>不仅能够带来更宽的带宽、更高的速率，</w:t>
      </w:r>
      <w:r>
        <w:rPr>
          <w:spacing w:val="-85"/>
        </w:rPr>
        <w:t> </w:t>
      </w:r>
      <w:r>
        <w:rPr>
          <w:spacing w:val="-85"/>
        </w:rPr>
      </w:r>
      <w:r>
        <w:rPr/>
        <w:t>还将引发新型应用场景。未来随着</w:t>
      </w:r>
      <w:r>
        <w:rPr>
          <w:rFonts w:ascii="Times New Roman" w:hAnsi="Times New Roman" w:cs="Times New Roman" w:eastAsia="Times New Roman" w:hint="default"/>
        </w:rPr>
        <w:t>5G</w:t>
      </w:r>
      <w:r>
        <w:rPr/>
        <w:t>通信的逐步推广，将全面推进广覆盖、大连接、低功耗 </w:t>
      </w:r>
      <w:r>
        <w:rPr>
          <w:spacing w:val="-6"/>
        </w:rPr>
        <w:t>移动物联网（</w:t>
      </w:r>
      <w:r>
        <w:rPr>
          <w:rFonts w:ascii="Times New Roman" w:hAnsi="Times New Roman" w:cs="Times New Roman" w:eastAsia="Times New Roman" w:hint="default"/>
          <w:spacing w:val="-6"/>
        </w:rPr>
        <w:t>NB-IoT</w:t>
      </w:r>
      <w:r>
        <w:rPr>
          <w:spacing w:val="-6"/>
        </w:rPr>
        <w:t>）建设，到</w:t>
      </w:r>
      <w:r>
        <w:rPr>
          <w:rFonts w:ascii="Times New Roman" w:hAnsi="Times New Roman" w:cs="Times New Roman" w:eastAsia="Times New Roman" w:hint="default"/>
          <w:spacing w:val="-6"/>
        </w:rPr>
        <w:t>2020</w:t>
      </w:r>
      <w:r>
        <w:rPr>
          <w:spacing w:val="-6"/>
        </w:rPr>
        <w:t>年</w:t>
      </w:r>
      <w:r>
        <w:rPr>
          <w:rFonts w:ascii="Times New Roman" w:hAnsi="Times New Roman" w:cs="Times New Roman" w:eastAsia="Times New Roman" w:hint="default"/>
          <w:spacing w:val="-6"/>
        </w:rPr>
        <w:t>NB-IoT</w:t>
      </w:r>
      <w:r>
        <w:rPr>
          <w:spacing w:val="-6"/>
        </w:rPr>
        <w:t>网络实现对于全国的普遍覆盖。</w:t>
      </w:r>
      <w:r>
        <w:rPr>
          <w:rFonts w:ascii="Times New Roman" w:hAnsi="Times New Roman" w:cs="Times New Roman" w:eastAsia="Times New Roman" w:hint="default"/>
          <w:spacing w:val="-6"/>
        </w:rPr>
        <w:t>2018</w:t>
      </w:r>
      <w:r>
        <w:rPr>
          <w:spacing w:val="-6"/>
        </w:rPr>
        <w:t>年上半年，</w:t>
      </w:r>
      <w:r>
        <w:rPr>
          <w:spacing w:val="-105"/>
        </w:rPr>
        <w:t> </w:t>
      </w:r>
      <w:r>
        <w:rPr/>
        <w:t>我国人工智能政策不断落地，技术应用商业化进程加快。国务院发布的《新一代人工智能发</w:t>
      </w:r>
      <w:r>
        <w:rPr>
          <w:spacing w:val="-93"/>
        </w:rPr>
        <w:t> </w:t>
      </w:r>
      <w:r>
        <w:rPr>
          <w:spacing w:val="-93"/>
        </w:rPr>
      </w:r>
      <w:r>
        <w:rPr/>
        <w:t>展规划》提出</w:t>
      </w:r>
      <w:r>
        <w:rPr>
          <w:rFonts w:ascii="Times New Roman" w:hAnsi="Times New Roman" w:cs="Times New Roman" w:eastAsia="Times New Roman" w:hint="default"/>
        </w:rPr>
        <w:t>“</w:t>
      </w:r>
      <w:r>
        <w:rPr/>
        <w:t>到</w:t>
      </w:r>
      <w:r>
        <w:rPr>
          <w:rFonts w:ascii="Times New Roman" w:hAnsi="Times New Roman" w:cs="Times New Roman" w:eastAsia="Times New Roman" w:hint="default"/>
        </w:rPr>
        <w:t>2030</w:t>
      </w:r>
      <w:r>
        <w:rPr/>
        <w:t>年，使中国成为世界主要人工智能创新中心</w:t>
      </w:r>
      <w:r>
        <w:rPr>
          <w:rFonts w:ascii="Times New Roman" w:hAnsi="Times New Roman" w:cs="Times New Roman" w:eastAsia="Times New Roman" w:hint="default"/>
        </w:rPr>
        <w:t>”</w:t>
      </w:r>
      <w:r>
        <w:rPr/>
        <w:t>。我国人工智能发展市场</w:t>
      </w:r>
      <w:r>
        <w:rPr>
          <w:spacing w:val="-62"/>
        </w:rPr>
        <w:t> </w:t>
      </w:r>
      <w:r>
        <w:rPr>
          <w:spacing w:val="-62"/>
        </w:rPr>
      </w:r>
      <w:r>
        <w:rPr/>
        <w:t>广阔前景。</w:t>
      </w:r>
    </w:p>
    <w:p>
      <w:pPr>
        <w:pStyle w:val="BodyText"/>
        <w:spacing w:line="357" w:lineRule="auto" w:before="53"/>
        <w:ind w:right="1136" w:firstLine="480"/>
        <w:jc w:val="both"/>
      </w:pPr>
      <w:r>
        <w:rPr/>
        <w:t>技术的迭代、新技术的更新，为行业的发展提供了更多的选择机会，公司在技术研发、 商业运用等方面将会持续加大力度，以积极的心态为未来行业技术的应用创造出更多的可行</w:t>
      </w:r>
      <w:r>
        <w:rPr>
          <w:spacing w:val="-93"/>
        </w:rPr>
        <w:t> </w:t>
      </w:r>
      <w:r>
        <w:rPr>
          <w:spacing w:val="-93"/>
        </w:rPr>
      </w:r>
      <w:r>
        <w:rPr/>
        <w:t>性。</w:t>
      </w:r>
    </w:p>
    <w:p>
      <w:pPr>
        <w:pStyle w:val="BodyText"/>
        <w:spacing w:line="340" w:lineRule="auto" w:before="34"/>
        <w:ind w:left="633" w:right="0"/>
        <w:jc w:val="left"/>
      </w:pPr>
      <w:r>
        <w:rPr>
          <w:rFonts w:ascii="Times New Roman" w:hAnsi="Times New Roman" w:cs="Times New Roman" w:eastAsia="Times New Roman" w:hint="default"/>
        </w:rPr>
        <w:t>6</w:t>
      </w:r>
      <w:r>
        <w:rPr/>
        <w:t>、国家对教育行业及产业的政策扶持 教育是增强我国综合国力和国际竞争力的基础性因素，对经济和社会发展具有先导性、</w:t>
      </w:r>
    </w:p>
    <w:p>
      <w:pPr>
        <w:pStyle w:val="BodyText"/>
        <w:spacing w:line="348" w:lineRule="auto" w:before="51"/>
        <w:ind w:right="1132"/>
        <w:jc w:val="both"/>
      </w:pPr>
      <w:r>
        <w:rPr/>
        <w:t>全局性的作用，教育的发展关乎社会建设的方方面面。国家出台了很多政策对教育行业和产</w:t>
      </w:r>
      <w:r>
        <w:rPr>
          <w:spacing w:val="-93"/>
        </w:rPr>
        <w:t> </w:t>
      </w:r>
      <w:r>
        <w:rPr>
          <w:spacing w:val="-93"/>
        </w:rPr>
      </w:r>
      <w:r>
        <w:rPr/>
        <w:t>业进行扶持。</w:t>
      </w:r>
      <w:r>
        <w:rPr>
          <w:rFonts w:ascii="Times New Roman" w:hAnsi="Times New Roman" w:cs="Times New Roman" w:eastAsia="Times New Roman" w:hint="default"/>
        </w:rPr>
        <w:t>2017</w:t>
      </w:r>
      <w:r>
        <w:rPr/>
        <w:t>年国务院发布《国家教育事业发展</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规划》，提出构建网络化、数</w:t>
      </w:r>
      <w:r>
        <w:rPr>
          <w:spacing w:val="-72"/>
        </w:rPr>
        <w:t> </w:t>
      </w:r>
      <w:r>
        <w:rPr>
          <w:spacing w:val="-72"/>
        </w:rPr>
      </w:r>
      <w:r>
        <w:rPr/>
        <w:t>字化、个性化、终身化的教育体系，积极发展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教育</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w:t>
      </w:r>
      <w:r>
        <w:rPr>
          <w:rFonts w:ascii="宋体" w:hAnsi="宋体" w:cs="宋体" w:eastAsia="宋体" w:hint="default"/>
        </w:rPr>
        <w:t>4</w:t>
      </w:r>
      <w:r>
        <w:rPr/>
        <w:t>月，国家教育部发布</w:t>
      </w:r>
    </w:p>
    <w:p>
      <w:pPr>
        <w:pStyle w:val="BodyText"/>
        <w:spacing w:line="357" w:lineRule="auto" w:before="18"/>
        <w:ind w:right="1123"/>
        <w:jc w:val="both"/>
      </w:pPr>
      <w:r>
        <w:rPr>
          <w:spacing w:val="-2"/>
        </w:rPr>
        <w:t>《教育信息化</w:t>
      </w:r>
      <w:r>
        <w:rPr>
          <w:rFonts w:ascii="宋体" w:hAnsi="宋体" w:cs="宋体" w:eastAsia="宋体" w:hint="default"/>
          <w:spacing w:val="-2"/>
        </w:rPr>
        <w:t>2.0</w:t>
      </w:r>
      <w:r>
        <w:rPr>
          <w:spacing w:val="-2"/>
        </w:rPr>
        <w:t>行动计划》，提出到</w:t>
      </w:r>
      <w:r>
        <w:rPr>
          <w:rFonts w:ascii="宋体" w:hAnsi="宋体" w:cs="宋体" w:eastAsia="宋体" w:hint="default"/>
          <w:spacing w:val="-2"/>
        </w:rPr>
        <w:t>2022</w:t>
      </w:r>
      <w:r>
        <w:rPr>
          <w:spacing w:val="-2"/>
        </w:rPr>
        <w:t>年基本实现“三全两高一大”的发展目标，继续推</w:t>
      </w:r>
      <w:r>
        <w:rPr>
          <w:spacing w:val="-118"/>
        </w:rPr>
        <w:t> </w:t>
      </w:r>
      <w:r>
        <w:rPr>
          <w:spacing w:val="-118"/>
        </w:rPr>
      </w:r>
      <w:r>
        <w:rPr>
          <w:spacing w:val="-3"/>
        </w:rPr>
        <w:t>进“三通两平台”，所有学校全部接入互联网，构建一体化的“互联网</w:t>
      </w:r>
      <w:r>
        <w:rPr>
          <w:rFonts w:ascii="宋体" w:hAnsi="宋体" w:cs="宋体" w:eastAsia="宋体" w:hint="default"/>
          <w:spacing w:val="-3"/>
        </w:rPr>
        <w:t>+</w:t>
      </w:r>
      <w:r>
        <w:rPr>
          <w:spacing w:val="-3"/>
        </w:rPr>
        <w:t>教育”大平台，逐步</w:t>
      </w:r>
      <w:r>
        <w:rPr>
          <w:spacing w:val="-83"/>
        </w:rPr>
        <w:t> </w:t>
      </w:r>
      <w:r>
        <w:rPr>
          <w:spacing w:val="-83"/>
        </w:rPr>
      </w:r>
      <w:r>
        <w:rPr>
          <w:spacing w:val="-5"/>
        </w:rPr>
        <w:t>实现资源平台的互通，普及推广网络学习空间应用，组织师生利用网络空间开展教学和学习。</w:t>
      </w:r>
      <w:r>
        <w:rPr>
          <w:spacing w:val="-117"/>
        </w:rPr>
        <w:t> </w:t>
      </w:r>
      <w:r>
        <w:rPr>
          <w:spacing w:val="-117"/>
        </w:rPr>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月，中共中央、中国国务院发布《中国教育现代化</w:t>
      </w:r>
      <w:r>
        <w:rPr>
          <w:rFonts w:ascii="宋体" w:hAnsi="宋体" w:cs="宋体" w:eastAsia="宋体" w:hint="default"/>
          <w:spacing w:val="-2"/>
        </w:rPr>
        <w:t>2035</w:t>
      </w:r>
      <w:r>
        <w:rPr>
          <w:spacing w:val="-2"/>
        </w:rPr>
        <w:t>》，提出加快信息化时代教育</w:t>
      </w:r>
      <w:r>
        <w:rPr>
          <w:spacing w:val="-108"/>
        </w:rPr>
        <w:t> </w:t>
      </w:r>
      <w:r>
        <w:rPr>
          <w:spacing w:val="-108"/>
        </w:rPr>
      </w:r>
      <w:r>
        <w:rPr>
          <w:spacing w:val="-5"/>
        </w:rPr>
        <w:t>变革。建设智能化校园，统筹建设一体化智能化教学、管理与服务平台；创新教育服务业态，</w:t>
      </w:r>
      <w:r>
        <w:rPr/>
        <w:t> 建立数字教育资源共建共享机制，完善利益分配机制、知识产权保护制度和新型教育服务监</w:t>
      </w:r>
      <w:r>
        <w:rPr>
          <w:spacing w:val="-93"/>
        </w:rPr>
        <w:t> </w:t>
      </w:r>
      <w:r>
        <w:rPr>
          <w:spacing w:val="-93"/>
        </w:rPr>
      </w:r>
      <w:r>
        <w:rPr/>
        <w:t>管制；推进教育治理方式变革，加快形成现代化的教育管理与监测体系，推进管理精准化和</w:t>
      </w:r>
      <w:r>
        <w:rPr>
          <w:spacing w:val="-93"/>
        </w:rPr>
        <w:t> </w:t>
      </w:r>
      <w:r>
        <w:rPr>
          <w:spacing w:val="-93"/>
        </w:rPr>
      </w:r>
      <w:r>
        <w:rPr/>
        <w:t>决策科学化。</w:t>
      </w:r>
    </w:p>
    <w:p>
      <w:pPr>
        <w:pStyle w:val="BodyText"/>
        <w:spacing w:line="355" w:lineRule="auto" w:before="39"/>
        <w:ind w:left="633" w:right="0"/>
        <w:jc w:val="left"/>
      </w:pPr>
      <w:r>
        <w:rPr>
          <w:rFonts w:ascii="宋体" w:hAnsi="宋体" w:cs="宋体" w:eastAsia="宋体" w:hint="default"/>
          <w:b/>
          <w:bCs/>
        </w:rPr>
        <w:t>（二）公司战略</w:t>
      </w:r>
      <w:r>
        <w:rPr>
          <w:rFonts w:ascii="宋体" w:hAnsi="宋体" w:cs="宋体" w:eastAsia="宋体" w:hint="default"/>
          <w:b/>
          <w:bCs/>
          <w:w w:val="99"/>
        </w:rPr>
        <w:t> </w:t>
      </w:r>
      <w:r>
        <w:rPr/>
        <w:t>公司是智慧一卡通行业优秀企业，具有坚实的市场基础和丰富的技术积累。公司正深入</w:t>
      </w:r>
    </w:p>
    <w:p>
      <w:pPr>
        <w:pStyle w:val="BodyText"/>
        <w:spacing w:line="357" w:lineRule="auto" w:before="41"/>
        <w:ind w:right="1010"/>
        <w:jc w:val="both"/>
      </w:pPr>
      <w:r>
        <w:rPr/>
        <w:t>融合聚合支付、生物识别、大数据、物联网、移动互联及区块链等新兴技术，以一卡通为基</w:t>
      </w:r>
      <w:r>
        <w:rPr>
          <w:spacing w:val="-93"/>
        </w:rPr>
        <w:t> </w:t>
      </w:r>
      <w:r>
        <w:rPr>
          <w:spacing w:val="-93"/>
        </w:rPr>
      </w:r>
      <w:r>
        <w:rPr/>
        <w:t>础着力打造智慧校园全场景服务，将线下服务逐步拓展为线上线下一体化服务，从为机构用</w:t>
      </w:r>
      <w:r>
        <w:rPr>
          <w:spacing w:val="-93"/>
        </w:rPr>
        <w:t> </w:t>
      </w:r>
      <w:r>
        <w:rPr>
          <w:spacing w:val="-93"/>
        </w:rPr>
      </w:r>
      <w:r>
        <w:rPr/>
        <w:t>户服务扩展为</w:t>
      </w:r>
      <w:r>
        <w:rPr>
          <w:rFonts w:ascii="Times New Roman" w:hAnsi="Times New Roman" w:cs="Times New Roman" w:eastAsia="Times New Roman" w:hint="default"/>
        </w:rPr>
        <w:t>ToB</w:t>
      </w:r>
      <w:r>
        <w:rPr/>
        <w:t>及</w:t>
      </w:r>
      <w:r>
        <w:rPr>
          <w:rFonts w:ascii="Times New Roman" w:hAnsi="Times New Roman" w:cs="Times New Roman" w:eastAsia="Times New Roman" w:hint="default"/>
        </w:rPr>
        <w:t>ToC</w:t>
      </w:r>
      <w:r>
        <w:rPr/>
        <w:t>的一体化服务，从区域内服务延伸为社会化、公共化的一站式服务。</w:t>
      </w:r>
    </w:p>
    <w:p>
      <w:pPr>
        <w:spacing w:after="0" w:line="357"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55" w:lineRule="auto" w:before="26"/>
        <w:ind w:right="1136"/>
        <w:jc w:val="both"/>
      </w:pPr>
      <w:r>
        <w:rPr/>
        <w:t>公司为以教育行业为主的各类园区和行业提供整体解决方案，倡导“让科技使工作生活更智</w:t>
      </w:r>
      <w:r>
        <w:rPr>
          <w:spacing w:val="-93"/>
        </w:rPr>
        <w:t> </w:t>
      </w:r>
      <w:r>
        <w:rPr>
          <w:spacing w:val="-93"/>
        </w:rPr>
      </w:r>
      <w:r>
        <w:rPr/>
        <w:t>慧”，致力成为智慧校园服务新生态的引领者。</w:t>
      </w:r>
    </w:p>
    <w:p>
      <w:pPr>
        <w:spacing w:line="336" w:lineRule="auto" w:before="41"/>
        <w:ind w:left="633" w:right="1151" w:firstLine="0"/>
        <w:jc w:val="left"/>
        <w:rPr>
          <w:rFonts w:ascii="宋体" w:hAnsi="宋体" w:cs="宋体" w:eastAsia="宋体" w:hint="default"/>
          <w:sz w:val="24"/>
          <w:szCs w:val="24"/>
        </w:rPr>
      </w:pPr>
      <w:r>
        <w:rPr>
          <w:rFonts w:ascii="宋体" w:hAnsi="宋体" w:cs="宋体" w:eastAsia="宋体" w:hint="default"/>
          <w:b/>
          <w:bCs/>
          <w:sz w:val="24"/>
          <w:szCs w:val="24"/>
        </w:rPr>
        <w:t>（三）公司</w:t>
      </w:r>
      <w:r>
        <w:rPr>
          <w:rFonts w:ascii="Times New Roman" w:hAnsi="Times New Roman" w:cs="Times New Roman" w:eastAsia="Times New Roman" w:hint="default"/>
          <w:b/>
          <w:bCs/>
          <w:sz w:val="24"/>
          <w:szCs w:val="24"/>
        </w:rPr>
        <w:t>2020</w:t>
      </w:r>
      <w:r>
        <w:rPr>
          <w:rFonts w:ascii="宋体" w:hAnsi="宋体" w:cs="宋体" w:eastAsia="宋体" w:hint="default"/>
          <w:b/>
          <w:bCs/>
          <w:sz w:val="24"/>
          <w:szCs w:val="24"/>
        </w:rPr>
        <w:t>年度经营计划</w:t>
      </w:r>
      <w:r>
        <w:rPr>
          <w:rFonts w:ascii="宋体" w:hAnsi="宋体" w:cs="宋体" w:eastAsia="宋体" w:hint="default"/>
          <w:b/>
          <w:bCs/>
          <w:w w:val="99"/>
          <w:sz w:val="24"/>
          <w:szCs w:val="24"/>
        </w:rPr>
        <w:t> </w:t>
      </w:r>
      <w:r>
        <w:rPr>
          <w:rFonts w:ascii="宋体" w:hAnsi="宋体" w:cs="宋体" w:eastAsia="宋体" w:hint="default"/>
          <w:sz w:val="24"/>
          <w:szCs w:val="24"/>
        </w:rPr>
        <w:t>切实加强战略、产品、营销规划，有效增强各项工作主动性、有效性；切实加强精细化</w:t>
      </w:r>
    </w:p>
    <w:p>
      <w:pPr>
        <w:pStyle w:val="BodyText"/>
        <w:spacing w:line="357" w:lineRule="auto" w:before="60"/>
        <w:ind w:right="1168"/>
        <w:jc w:val="both"/>
      </w:pPr>
      <w:r>
        <w:rPr/>
        <w:t>管理和运营，面向一线不断改进流程，有效提升工作效益和质量。强化支撑体系建设，着力 提高一体化运行水平；强化内外资源整合，着力构建协同生态；强化人才引进培养，着力锻 造队伍能力；强化品牌形象宣传，着力提升公司价值。</w:t>
      </w:r>
    </w:p>
    <w:p>
      <w:pPr>
        <w:spacing w:line="340" w:lineRule="auto" w:before="34"/>
        <w:ind w:left="633" w:right="115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、聚力规划发展重点，推动公司转型升级。</w:t>
      </w:r>
      <w:r>
        <w:rPr>
          <w:rFonts w:ascii="宋体" w:hAnsi="宋体" w:cs="宋体" w:eastAsia="宋体" w:hint="default"/>
          <w:b/>
          <w:bCs/>
          <w:w w:val="99"/>
          <w:sz w:val="24"/>
          <w:szCs w:val="24"/>
        </w:rPr>
        <w:t> </w:t>
      </w:r>
      <w:r>
        <w:rPr>
          <w:rFonts w:ascii="宋体" w:hAnsi="宋体" w:cs="宋体" w:eastAsia="宋体" w:hint="default"/>
          <w:sz w:val="24"/>
          <w:szCs w:val="24"/>
        </w:rPr>
        <w:t>运用物联网、移动互联网、大数据、云计算、区块链等技术，聚力构建智慧校园服务新</w:t>
      </w:r>
    </w:p>
    <w:p>
      <w:pPr>
        <w:pStyle w:val="BodyText"/>
        <w:spacing w:line="352" w:lineRule="auto" w:before="51"/>
        <w:ind w:right="1007"/>
        <w:jc w:val="left"/>
      </w:pPr>
      <w:r>
        <w:rPr/>
        <w:t>生态，向物联网深度拓展，加快从一卡通企业向物联网企业转型升级。加快线上线下业务推 进，以云服务为基础全力推进易校园，以一卡通为基础叠加自助洗衣等其他校园服务，逐步 </w:t>
      </w:r>
      <w:r>
        <w:rPr>
          <w:spacing w:val="-4"/>
        </w:rPr>
        <w:t>形成涵盖</w:t>
      </w:r>
      <w:r>
        <w:rPr>
          <w:rFonts w:ascii="Times New Roman" w:hAnsi="Times New Roman" w:cs="Times New Roman" w:eastAsia="Times New Roman" w:hint="default"/>
          <w:spacing w:val="-4"/>
        </w:rPr>
        <w:t>“</w:t>
      </w:r>
      <w:r>
        <w:rPr>
          <w:spacing w:val="-4"/>
        </w:rPr>
        <w:t>吃住行知用</w:t>
      </w:r>
      <w:r>
        <w:rPr>
          <w:rFonts w:ascii="Times New Roman" w:hAnsi="Times New Roman" w:cs="Times New Roman" w:eastAsia="Times New Roman" w:hint="default"/>
          <w:spacing w:val="-4"/>
        </w:rPr>
        <w:t>”</w:t>
      </w:r>
      <w:r>
        <w:rPr>
          <w:spacing w:val="-4"/>
        </w:rPr>
        <w:t>的校园服务运营生态；加快校园</w:t>
      </w:r>
      <w:r>
        <w:rPr>
          <w:rFonts w:ascii="Times New Roman" w:hAnsi="Times New Roman" w:cs="Times New Roman" w:eastAsia="Times New Roman" w:hint="default"/>
          <w:spacing w:val="-4"/>
        </w:rPr>
        <w:t>IoE</w:t>
      </w:r>
      <w:r>
        <w:rPr>
          <w:spacing w:val="-4"/>
        </w:rPr>
        <w:t>综合服务平台建设，开放协同融合，</w:t>
      </w:r>
      <w:r>
        <w:rPr>
          <w:spacing w:val="-111"/>
        </w:rPr>
        <w:t> </w:t>
      </w:r>
      <w:r>
        <w:rPr>
          <w:spacing w:val="-111"/>
        </w:rPr>
      </w:r>
      <w:r>
        <w:rPr/>
        <w:t>为形成物物互联、人物互通的泛在物联网络奠定平台基础、数据基础。</w:t>
      </w:r>
    </w:p>
    <w:p>
      <w:pPr>
        <w:spacing w:line="340" w:lineRule="auto" w:before="39"/>
        <w:ind w:left="633" w:right="115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、强化营销整体规划，发挥营销体系效能。</w:t>
      </w:r>
      <w:r>
        <w:rPr>
          <w:rFonts w:ascii="宋体" w:hAnsi="宋体" w:cs="宋体" w:eastAsia="宋体" w:hint="default"/>
          <w:b/>
          <w:bCs/>
          <w:w w:val="99"/>
          <w:sz w:val="24"/>
          <w:szCs w:val="24"/>
        </w:rPr>
        <w:t> </w:t>
      </w:r>
      <w:r>
        <w:rPr>
          <w:rFonts w:ascii="宋体" w:hAnsi="宋体" w:cs="宋体" w:eastAsia="宋体" w:hint="default"/>
          <w:sz w:val="24"/>
          <w:szCs w:val="24"/>
        </w:rPr>
        <w:t>加强全国市场研判，围绕公司年度经营目标，针对各区域的竞争情况制定差异化营销策</w:t>
      </w:r>
    </w:p>
    <w:p>
      <w:pPr>
        <w:pStyle w:val="BodyText"/>
        <w:spacing w:line="357" w:lineRule="auto" w:before="50"/>
        <w:ind w:right="1165"/>
        <w:jc w:val="both"/>
      </w:pPr>
      <w:r>
        <w:rPr/>
        <w:t>略；加强客户需求分析研究，针对每一个客户制定产品导入、系统升级、应用深挖的策略； 加强资源整合，尤其是总部资源的合作，为销售单元提供市场信息和业务支撑；发挥营销团</w:t>
      </w:r>
      <w:r>
        <w:rPr>
          <w:spacing w:val="-117"/>
        </w:rPr>
        <w:t> </w:t>
      </w:r>
      <w:r>
        <w:rPr>
          <w:spacing w:val="-117"/>
        </w:rPr>
      </w:r>
      <w:r>
        <w:rPr/>
        <w:t>队作战能力，加强项目策划与推进，提高项目运作的质量和效能。</w:t>
      </w:r>
    </w:p>
    <w:p>
      <w:pPr>
        <w:spacing w:line="336" w:lineRule="auto" w:before="38"/>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、构建新型客户关系，切实提升服务质量。</w:t>
      </w:r>
      <w:r>
        <w:rPr>
          <w:rFonts w:ascii="宋体" w:hAnsi="宋体" w:cs="宋体" w:eastAsia="宋体" w:hint="default"/>
          <w:b/>
          <w:bCs/>
          <w:w w:val="99"/>
          <w:sz w:val="24"/>
          <w:szCs w:val="24"/>
        </w:rPr>
        <w:t> </w:t>
      </w:r>
      <w:r>
        <w:rPr>
          <w:rFonts w:ascii="宋体" w:hAnsi="宋体" w:cs="宋体" w:eastAsia="宋体" w:hint="default"/>
          <w:spacing w:val="-6"/>
          <w:sz w:val="24"/>
          <w:szCs w:val="24"/>
        </w:rPr>
        <w:t>切实优化客情管理，进一步夯实生存和发展的基础，提升竞争优势。深入理解客户需求，</w:t>
      </w:r>
    </w:p>
    <w:p>
      <w:pPr>
        <w:pStyle w:val="BodyText"/>
        <w:spacing w:line="357" w:lineRule="auto" w:before="61"/>
        <w:ind w:right="1165"/>
        <w:jc w:val="both"/>
      </w:pPr>
      <w:r>
        <w:rPr/>
        <w:t>针对不同的客户制定不同的解决方案，切实提升服务效率；根据客户特点进行归类和分层， 梳理和持续改进客户服务流程，切实提升客户满意度；通过信息化手段，实现从客户跟踪到 项目交付的流程闭环和全流程全生命周期监管，加强风险预判和解决问题的能力；进一步加</w:t>
      </w:r>
      <w:r>
        <w:rPr>
          <w:spacing w:val="-117"/>
        </w:rPr>
        <w:t> </w:t>
      </w:r>
      <w:r>
        <w:rPr>
          <w:spacing w:val="-117"/>
        </w:rPr>
      </w:r>
      <w:r>
        <w:rPr/>
        <w:t>强客户黏性，不断叠加新产品、新应用、新模式，切实提升客户价值。</w:t>
      </w:r>
    </w:p>
    <w:p>
      <w:pPr>
        <w:spacing w:line="355" w:lineRule="auto" w:before="39"/>
        <w:ind w:left="633" w:right="1151"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、丰富校园产品生态，打造核心竞争优势。</w:t>
      </w:r>
      <w:r>
        <w:rPr>
          <w:rFonts w:ascii="宋体" w:hAnsi="宋体" w:cs="宋体" w:eastAsia="宋体" w:hint="default"/>
          <w:b/>
          <w:bCs/>
          <w:w w:val="99"/>
          <w:sz w:val="24"/>
          <w:szCs w:val="24"/>
        </w:rPr>
        <w:t> </w:t>
      </w:r>
      <w:r>
        <w:rPr>
          <w:rFonts w:ascii="宋体" w:hAnsi="宋体" w:cs="宋体" w:eastAsia="宋体" w:hint="default"/>
          <w:sz w:val="24"/>
          <w:szCs w:val="24"/>
        </w:rPr>
        <w:t>进一步完善产品体系建设，加强产品规划、设计与开发，提升产品竞争力；改进研发管</w:t>
      </w:r>
    </w:p>
    <w:p>
      <w:pPr>
        <w:pStyle w:val="BodyText"/>
        <w:spacing w:line="357" w:lineRule="auto" w:before="41"/>
        <w:ind w:right="1165"/>
        <w:jc w:val="both"/>
      </w:pPr>
      <w:r>
        <w:rPr/>
        <w:t>理流程，加强落实各环节质量控制措施，提升研发人员面向产品全生命周期的质量意识；建 立用户现场模拟实验室，进行高强度测试，全面提升产品可靠性，提高产品交付质量；全面</w:t>
      </w:r>
      <w:r>
        <w:rPr>
          <w:spacing w:val="-117"/>
        </w:rPr>
        <w:t> </w:t>
      </w:r>
      <w:r>
        <w:rPr>
          <w:spacing w:val="-117"/>
        </w:rPr>
      </w:r>
      <w:r>
        <w:rPr/>
        <w:t>加强易通、易联平台的标准化及开放能力，加大第三方系统及设备的融合力度，为构建面向</w:t>
      </w:r>
    </w:p>
    <w:p>
      <w:pPr>
        <w:spacing w:after="0" w:line="357"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spacing w:line="355" w:lineRule="auto" w:before="26"/>
        <w:ind w:left="633" w:right="5572" w:hanging="480"/>
        <w:jc w:val="left"/>
        <w:rPr>
          <w:rFonts w:ascii="宋体" w:hAnsi="宋体" w:cs="宋体" w:eastAsia="宋体" w:hint="default"/>
          <w:sz w:val="24"/>
          <w:szCs w:val="24"/>
        </w:rPr>
      </w:pPr>
      <w:r>
        <w:rPr>
          <w:rFonts w:ascii="宋体" w:hAnsi="宋体" w:cs="宋体" w:eastAsia="宋体" w:hint="default"/>
          <w:sz w:val="24"/>
          <w:szCs w:val="24"/>
        </w:rPr>
        <w:t>服务的智慧校园生态体系奠定基础。 </w:t>
      </w:r>
      <w:r>
        <w:rPr>
          <w:rFonts w:ascii="宋体" w:hAnsi="宋体" w:cs="宋体" w:eastAsia="宋体" w:hint="default"/>
          <w:b/>
          <w:bCs/>
          <w:sz w:val="24"/>
          <w:szCs w:val="24"/>
        </w:rPr>
        <w:t>5</w:t>
      </w:r>
      <w:r>
        <w:rPr>
          <w:rFonts w:ascii="宋体" w:hAnsi="宋体" w:cs="宋体" w:eastAsia="宋体" w:hint="default"/>
          <w:b/>
          <w:bCs/>
          <w:sz w:val="24"/>
          <w:szCs w:val="24"/>
        </w:rPr>
        <w:t>、加强项目施工管理，提高工程交付能力。</w:t>
      </w:r>
      <w:r>
        <w:rPr>
          <w:rFonts w:ascii="宋体" w:hAnsi="宋体" w:cs="宋体" w:eastAsia="宋体" w:hint="default"/>
          <w:sz w:val="24"/>
          <w:szCs w:val="24"/>
        </w:rPr>
      </w:r>
    </w:p>
    <w:p>
      <w:pPr>
        <w:pStyle w:val="BodyText"/>
        <w:spacing w:line="357" w:lineRule="auto" w:before="41"/>
        <w:ind w:right="1165" w:firstLine="480"/>
        <w:jc w:val="both"/>
      </w:pPr>
      <w:r>
        <w:rPr/>
        <w:t>进一步强化项目管理，细化项目监控，提升项目管理效益。加强项目支撑力度，加大对 重大项目、创新项目、试点项目的支持，形成有效的协同互动机制，提高工程交付能力；加 强项目管理培训，培养一线项目经理，提升一线项目管理能力，提高项目实施管控能力；加 强项目方案审核、过程审核，落实施工费用审计，提高施工质量，降低施工成本。</w:t>
      </w:r>
    </w:p>
    <w:p>
      <w:pPr>
        <w:spacing w:line="355" w:lineRule="auto" w:before="39"/>
        <w:ind w:left="633" w:right="1151" w:firstLine="0"/>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、着力人才引进培训，提高队伍素质能力。</w:t>
      </w:r>
      <w:r>
        <w:rPr>
          <w:rFonts w:ascii="宋体" w:hAnsi="宋体" w:cs="宋体" w:eastAsia="宋体" w:hint="default"/>
          <w:b/>
          <w:bCs/>
          <w:w w:val="99"/>
          <w:sz w:val="24"/>
          <w:szCs w:val="24"/>
        </w:rPr>
        <w:t> </w:t>
      </w:r>
      <w:r>
        <w:rPr>
          <w:rFonts w:ascii="宋体" w:hAnsi="宋体" w:cs="宋体" w:eastAsia="宋体" w:hint="default"/>
          <w:sz w:val="24"/>
          <w:szCs w:val="24"/>
        </w:rPr>
        <w:t>根据公司战略及经营特点，重点加强高端研发人才引进，提高招聘层次标准，提升招聘</w:t>
      </w:r>
    </w:p>
    <w:p>
      <w:pPr>
        <w:pStyle w:val="BodyText"/>
        <w:spacing w:line="357" w:lineRule="auto" w:before="41"/>
        <w:ind w:right="1127"/>
        <w:jc w:val="both"/>
      </w:pPr>
      <w:r>
        <w:rPr/>
        <w:t>及时性与有效性；加强中高层管理人员的综合能力培训，加大基层员工实操技能培训，合理 </w:t>
      </w:r>
      <w:r>
        <w:rPr>
          <w:spacing w:val="-5"/>
        </w:rPr>
        <w:t>设计培训课程，提升培训效果；细化人员考核制度，明确考核标准，激励全员提升工作效率；</w:t>
      </w:r>
      <w:r>
        <w:rPr>
          <w:spacing w:val="-117"/>
        </w:rPr>
        <w:t> </w:t>
      </w:r>
      <w:r>
        <w:rPr>
          <w:spacing w:val="-117"/>
        </w:rPr>
      </w:r>
      <w:r>
        <w:rPr/>
        <w:t>制定执业资格与学历提升奖励政策，加强员工自我学习，提高队伍整体素质。</w:t>
      </w:r>
    </w:p>
    <w:p>
      <w:pPr>
        <w:pStyle w:val="Heading2"/>
        <w:spacing w:line="240" w:lineRule="auto" w:before="34"/>
        <w:ind w:left="633" w:right="0"/>
        <w:jc w:val="left"/>
        <w:rPr>
          <w:b w:val="0"/>
          <w:bCs w:val="0"/>
        </w:rPr>
      </w:pPr>
      <w:r>
        <w:rPr/>
        <w:t>（四）可能面对的风险</w:t>
      </w:r>
      <w:r>
        <w:rPr>
          <w:b w:val="0"/>
          <w:bCs w:val="0"/>
        </w:rPr>
      </w:r>
    </w:p>
    <w:p>
      <w:pPr>
        <w:pStyle w:val="BodyText"/>
        <w:spacing w:line="336" w:lineRule="auto" w:before="156"/>
        <w:ind w:left="633" w:right="0"/>
        <w:jc w:val="left"/>
      </w:pPr>
      <w:r>
        <w:rPr>
          <w:rFonts w:ascii="Times New Roman" w:hAnsi="Times New Roman" w:cs="Times New Roman" w:eastAsia="Times New Roman" w:hint="default"/>
        </w:rPr>
        <w:t>1</w:t>
      </w:r>
      <w:r>
        <w:rPr/>
        <w:t>、行业竞争风险 随着智能一卡通行业技术的不断成熟和竞争格局的日益清晰，对行业内企业规模和资金</w:t>
      </w:r>
    </w:p>
    <w:p>
      <w:pPr>
        <w:pStyle w:val="BodyText"/>
        <w:spacing w:line="357" w:lineRule="auto" w:before="60"/>
        <w:ind w:right="1136"/>
        <w:jc w:val="both"/>
      </w:pPr>
      <w:r>
        <w:rPr/>
        <w:t>实力的要求越来越高，缺乏业绩和技术支撑的企业将被市场淘汰。同时，以支付宝、腾讯、</w:t>
      </w:r>
      <w:r>
        <w:rPr>
          <w:spacing w:val="-93"/>
        </w:rPr>
        <w:t> </w:t>
      </w:r>
      <w:r>
        <w:rPr>
          <w:spacing w:val="-93"/>
        </w:rPr>
      </w:r>
      <w:r>
        <w:rPr/>
        <w:t>银联为主的第三方支付公司纷纷加入行业竞争，有可能对智能一卡通行业企业的经营模式及</w:t>
      </w:r>
      <w:r>
        <w:rPr>
          <w:spacing w:val="-93"/>
        </w:rPr>
        <w:t> </w:t>
      </w:r>
      <w:r>
        <w:rPr>
          <w:spacing w:val="-93"/>
        </w:rPr>
      </w:r>
      <w:r>
        <w:rPr/>
        <w:t>产品产生颠覆性影响。如果本公司不能积极加强创新，保持企业竞争优势，则有可能导致市</w:t>
      </w:r>
      <w:r>
        <w:rPr>
          <w:spacing w:val="-93"/>
        </w:rPr>
        <w:t> </w:t>
      </w:r>
      <w:r>
        <w:rPr>
          <w:spacing w:val="-93"/>
        </w:rPr>
      </w:r>
      <w:r>
        <w:rPr/>
        <w:t>场份额减少、营业收入下降，从而对公司盈利能力产生较大不利影响。</w:t>
      </w:r>
    </w:p>
    <w:p>
      <w:pPr>
        <w:pStyle w:val="BodyText"/>
        <w:spacing w:line="357" w:lineRule="auto" w:before="38"/>
        <w:ind w:right="1136" w:firstLine="480"/>
        <w:jc w:val="both"/>
      </w:pPr>
      <w:r>
        <w:rPr/>
        <w:t>应对措施：密切关注行业发展趋势和前沿创新技术，积极寻求行业竞争所带来的整合机 遇，进一步维持并加强公司在用户数量、用户粘性及产品技术的核心竞争优势，促进公司持</w:t>
      </w:r>
      <w:r>
        <w:rPr>
          <w:spacing w:val="-93"/>
        </w:rPr>
        <w:t> </w:t>
      </w:r>
      <w:r>
        <w:rPr>
          <w:spacing w:val="-93"/>
        </w:rPr>
      </w:r>
      <w:r>
        <w:rPr/>
        <w:t>续健康发展。</w:t>
      </w:r>
    </w:p>
    <w:p>
      <w:pPr>
        <w:pStyle w:val="BodyText"/>
        <w:spacing w:line="340" w:lineRule="auto" w:before="34"/>
        <w:ind w:left="633" w:right="0"/>
        <w:jc w:val="left"/>
      </w:pPr>
      <w:r>
        <w:rPr>
          <w:rFonts w:ascii="Times New Roman" w:hAnsi="Times New Roman" w:cs="Times New Roman" w:eastAsia="Times New Roman" w:hint="default"/>
        </w:rPr>
        <w:t>2</w:t>
      </w:r>
      <w:r>
        <w:rPr/>
        <w:t>、生产经营季节性波动风险 目前公司业务中教育行业占比较高，生产经营呈现出明显的季节性特征。一季度、二季</w:t>
      </w:r>
    </w:p>
    <w:p>
      <w:pPr>
        <w:pStyle w:val="BodyText"/>
        <w:spacing w:line="357" w:lineRule="auto" w:before="50"/>
        <w:ind w:right="1130"/>
        <w:jc w:val="both"/>
      </w:pPr>
      <w:r>
        <w:rPr/>
        <w:t>度为项目准备与计划期，人力、财力及物资投入较大；暑期在内的三季度为项目实施高峰；</w:t>
      </w:r>
      <w:r>
        <w:rPr>
          <w:spacing w:val="-93"/>
        </w:rPr>
        <w:t> </w:t>
      </w:r>
      <w:r>
        <w:rPr>
          <w:spacing w:val="-93"/>
        </w:rPr>
      </w:r>
      <w:r>
        <w:rPr>
          <w:spacing w:val="-5"/>
        </w:rPr>
        <w:t>四季度项目进入验收结算。纵观全年，四季度收入及净利润占比最高，其他季度净利润较低，</w:t>
      </w:r>
      <w:r>
        <w:rPr/>
        <w:t> 甚至有可能为负。</w:t>
      </w:r>
    </w:p>
    <w:p>
      <w:pPr>
        <w:pStyle w:val="BodyText"/>
        <w:spacing w:line="357" w:lineRule="auto" w:before="38"/>
        <w:ind w:right="1135" w:firstLine="480"/>
        <w:jc w:val="both"/>
      </w:pPr>
      <w:r>
        <w:rPr/>
        <w:t>应对措施：进一步拓展企业、电力、军警、政府等行业的智慧化应用，提升非教育行业 业务占比。同时加强各项计划管理，提高项目整体效率，缩短验收结算周期，消纳暑期高峰</w:t>
      </w:r>
      <w:r>
        <w:rPr>
          <w:spacing w:val="-92"/>
        </w:rPr>
        <w:t> </w:t>
      </w:r>
      <w:r>
        <w:rPr>
          <w:spacing w:val="-92"/>
        </w:rPr>
      </w:r>
      <w:r>
        <w:rPr/>
        <w:t>期等特征影响，积极推进智慧校园建设工作。</w:t>
      </w:r>
    </w:p>
    <w:p>
      <w:pPr>
        <w:spacing w:after="0" w:line="357"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36" w:lineRule="auto" w:before="26"/>
        <w:ind w:left="633" w:right="0"/>
        <w:jc w:val="left"/>
      </w:pPr>
      <w:r>
        <w:rPr>
          <w:rFonts w:ascii="Times New Roman" w:hAnsi="Times New Roman" w:cs="Times New Roman" w:eastAsia="Times New Roman" w:hint="default"/>
        </w:rPr>
        <w:t>3</w:t>
      </w:r>
      <w:r>
        <w:rPr/>
        <w:t>、技术与产品开发风险 </w:t>
      </w:r>
      <w:r>
        <w:rPr>
          <w:spacing w:val="-6"/>
        </w:rPr>
        <w:t>随着云计算、大数据、人工智能、区块链等技术的不断演进，软件产品和技术加快更新，</w:t>
      </w:r>
    </w:p>
    <w:p>
      <w:pPr>
        <w:pStyle w:val="BodyText"/>
        <w:spacing w:line="355" w:lineRule="auto" w:before="61"/>
        <w:ind w:right="1136"/>
        <w:jc w:val="both"/>
      </w:pPr>
      <w:r>
        <w:rPr/>
        <w:t>公司如不能准确把握技术发展趋势和市场需求变化情况，将会导致技术和产品开发推广决策</w:t>
      </w:r>
      <w:r>
        <w:rPr>
          <w:spacing w:val="-93"/>
        </w:rPr>
        <w:t> </w:t>
      </w:r>
      <w:r>
        <w:rPr>
          <w:spacing w:val="-93"/>
        </w:rPr>
      </w:r>
      <w:r>
        <w:rPr/>
        <w:t>出现失误，使公司丧失技术和市场优势，面临技术与产品开发的风险。</w:t>
      </w:r>
    </w:p>
    <w:p>
      <w:pPr>
        <w:pStyle w:val="BodyText"/>
        <w:spacing w:line="357" w:lineRule="auto" w:before="41"/>
        <w:ind w:right="1136" w:firstLine="480"/>
        <w:jc w:val="both"/>
      </w:pPr>
      <w:r>
        <w:rPr/>
        <w:t>应对措施：加大研发投入，引入高端人才，深入需求调研，加强与高校和科研机构的合 作，共同研制开发新产品。对于已形成产业化的产品进行深度开发，加快其升级换代，保持</w:t>
      </w:r>
      <w:r>
        <w:rPr>
          <w:spacing w:val="-93"/>
        </w:rPr>
        <w:t> </w:t>
      </w:r>
      <w:r>
        <w:rPr>
          <w:spacing w:val="-93"/>
        </w:rPr>
      </w:r>
      <w:r>
        <w:rPr/>
        <w:t>技术与产品优势。</w:t>
      </w:r>
    </w:p>
    <w:p>
      <w:pPr>
        <w:pStyle w:val="BodyText"/>
        <w:spacing w:line="340" w:lineRule="auto" w:before="34"/>
        <w:ind w:left="633" w:right="0"/>
        <w:jc w:val="left"/>
      </w:pPr>
      <w:r>
        <w:rPr>
          <w:rFonts w:ascii="Times New Roman" w:hAnsi="Times New Roman" w:cs="Times New Roman" w:eastAsia="Times New Roman" w:hint="default"/>
        </w:rPr>
        <w:t>4</w:t>
      </w:r>
      <w:r>
        <w:rPr/>
        <w:t>、应收账款回收风险 公司主要客户是学校、银行及电信运营商等，该类客户信誉较好，公司应收账款的收回</w:t>
      </w:r>
    </w:p>
    <w:p>
      <w:pPr>
        <w:pStyle w:val="BodyText"/>
        <w:spacing w:line="357" w:lineRule="auto" w:before="51"/>
        <w:ind w:right="1130"/>
        <w:jc w:val="both"/>
      </w:pPr>
      <w:r>
        <w:rPr>
          <w:spacing w:val="-5"/>
        </w:rPr>
        <w:t>有较高保障，但回款速度相对较慢。随着公司业务规模的扩大，应收账款可能会进一步增加，</w:t>
      </w:r>
      <w:r>
        <w:rPr/>
        <w:t> 对公司现金流状况产生一定影响。如果出现应收账款不能按期回收或无法回收发生坏账的情</w:t>
      </w:r>
      <w:r>
        <w:rPr>
          <w:spacing w:val="-93"/>
        </w:rPr>
        <w:t> </w:t>
      </w:r>
      <w:r>
        <w:rPr>
          <w:spacing w:val="-93"/>
        </w:rPr>
      </w:r>
      <w:r>
        <w:rPr/>
        <w:t>况，公司将面临流动资金短缺的风险，从而公司盈利能力将受到不利影响。</w:t>
      </w:r>
    </w:p>
    <w:p>
      <w:pPr>
        <w:pStyle w:val="BodyText"/>
        <w:spacing w:line="355" w:lineRule="auto" w:before="38"/>
        <w:ind w:right="1140" w:firstLine="480"/>
        <w:jc w:val="both"/>
      </w:pPr>
      <w:r>
        <w:rPr/>
        <w:t>应对措施：加强项目合同管理完善回款机制；做好资金筹划，加快资金周转，提高资金 使用效率；保持良好信用，加强银行授信。</w:t>
      </w:r>
    </w:p>
    <w:p>
      <w:pPr>
        <w:pStyle w:val="BodyText"/>
        <w:spacing w:line="336" w:lineRule="auto" w:before="41"/>
        <w:ind w:left="633" w:right="0"/>
        <w:jc w:val="left"/>
      </w:pPr>
      <w:r>
        <w:rPr>
          <w:rFonts w:ascii="Times New Roman" w:hAnsi="Times New Roman" w:cs="Times New Roman" w:eastAsia="Times New Roman" w:hint="default"/>
        </w:rPr>
        <w:t>5</w:t>
      </w:r>
      <w:r>
        <w:rPr/>
        <w:t>、人才流失风险 人才是企业的核心竞争力，高素质的产品研发、技术维护、市场营销及管理人才是公司</w:t>
      </w:r>
    </w:p>
    <w:p>
      <w:pPr>
        <w:pStyle w:val="BodyText"/>
        <w:spacing w:line="357" w:lineRule="auto" w:before="60"/>
        <w:ind w:left="0" w:right="1130"/>
        <w:jc w:val="right"/>
      </w:pPr>
      <w:r>
        <w:rPr/>
        <w:t>持续发展的重要因素。随着计算机行业的不断发展，对上述人才的需求日趋强烈。公司处于</w:t>
      </w:r>
      <w:r>
        <w:rPr>
          <w:spacing w:val="-112"/>
        </w:rPr>
        <w:t> </w:t>
      </w:r>
      <w:r>
        <w:rPr>
          <w:spacing w:val="-112"/>
        </w:rPr>
      </w:r>
      <w:r>
        <w:rPr>
          <w:spacing w:val="-5"/>
        </w:rPr>
        <w:t>杭州未来科技城板块，企业对人才资源的竞争比较激烈。公司通过提供有竞争力的薪酬福利，</w:t>
      </w:r>
      <w:r>
        <w:rPr/>
        <w:t> </w:t>
      </w:r>
      <w:r>
        <w:rPr>
          <w:spacing w:val="-5"/>
        </w:rPr>
        <w:t>建立公平的晋升机制和完善的培训体系，增强人才队伍的稳定性。但若公司核心研发、服务、</w:t>
      </w:r>
      <w:r>
        <w:rPr/>
        <w:t> 销售和管理人员流失，且不能及时获得相应补充，短期将对公司的盈利能力产生不利影响。 </w:t>
      </w:r>
      <w:r>
        <w:rPr>
          <w:spacing w:val="-6"/>
        </w:rPr>
        <w:t>应对措施：公司通过提供有竞争力的薪酬福利，建立公平的晋升机制和完善的培训体系，</w:t>
      </w:r>
    </w:p>
    <w:p>
      <w:pPr>
        <w:pStyle w:val="BodyText"/>
        <w:spacing w:line="240" w:lineRule="auto" w:before="34"/>
        <w:ind w:right="0"/>
        <w:jc w:val="both"/>
      </w:pPr>
      <w:r>
        <w:rPr/>
        <w:t>实施股权激励，增强人才队伍的稳定性。</w:t>
      </w:r>
    </w:p>
    <w:p>
      <w:pPr>
        <w:pStyle w:val="BodyText"/>
        <w:spacing w:line="336" w:lineRule="auto" w:before="156"/>
        <w:ind w:left="633" w:right="0"/>
        <w:jc w:val="left"/>
      </w:pPr>
      <w:r>
        <w:rPr>
          <w:rFonts w:ascii="Times New Roman" w:hAnsi="Times New Roman" w:cs="Times New Roman" w:eastAsia="Times New Roman" w:hint="default"/>
        </w:rPr>
        <w:t>6</w:t>
      </w:r>
      <w:r>
        <w:rPr/>
        <w:t>、募集资金投资项目实施风险 公司募集资金投资项目，将对公司发展战略的实现、经营业绩的增长产生积极的促进作</w:t>
      </w:r>
    </w:p>
    <w:p>
      <w:pPr>
        <w:pStyle w:val="BodyText"/>
        <w:spacing w:line="357" w:lineRule="auto" w:before="60"/>
        <w:ind w:right="1134"/>
        <w:jc w:val="both"/>
      </w:pPr>
      <w:r>
        <w:rPr/>
        <w:t>用。在确定募集资金投资项目时，公司已综合审慎地考虑了自身的技术能力、目前的业务结</w:t>
      </w:r>
      <w:r>
        <w:rPr>
          <w:spacing w:val="-93"/>
        </w:rPr>
        <w:t> </w:t>
      </w:r>
      <w:r>
        <w:rPr>
          <w:spacing w:val="-93"/>
        </w:rPr>
      </w:r>
      <w:r>
        <w:rPr/>
        <w:t>构、客户实际需求，并对产业政策、市场需求、项目进度和投资环境等因素进行了充分的调</w:t>
      </w:r>
      <w:r>
        <w:rPr>
          <w:spacing w:val="-93"/>
        </w:rPr>
        <w:t> </w:t>
      </w:r>
      <w:r>
        <w:rPr>
          <w:spacing w:val="-93"/>
        </w:rPr>
      </w:r>
      <w:r>
        <w:rPr/>
        <w:t>研和分析。但是，募集资金投资项目的建设计划、实施过程和实施效果仍可能因技术障碍、</w:t>
      </w:r>
      <w:r>
        <w:rPr>
          <w:spacing w:val="-93"/>
        </w:rPr>
        <w:t> </w:t>
      </w:r>
      <w:r>
        <w:rPr>
          <w:spacing w:val="-93"/>
        </w:rPr>
      </w:r>
      <w:r>
        <w:rPr/>
        <w:t>投资成本变化及客户需求变化等因素而增加不确定性。同时募集资金投资项目建设和运营初</w:t>
      </w:r>
      <w:r>
        <w:rPr>
          <w:spacing w:val="-91"/>
        </w:rPr>
        <w:t> </w:t>
      </w:r>
      <w:r>
        <w:rPr>
          <w:spacing w:val="-91"/>
        </w:rPr>
      </w:r>
      <w:r>
        <w:rPr/>
        <w:t>期，业绩短期之内不能体现，折旧、人工等费用上升，将会给公司经营业绩带来不利影响。</w:t>
      </w:r>
    </w:p>
    <w:p>
      <w:pPr>
        <w:spacing w:after="0" w:line="357"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55" w:lineRule="auto" w:before="26"/>
        <w:ind w:right="0"/>
        <w:jc w:val="left"/>
      </w:pPr>
      <w:r>
        <w:rPr/>
        <w:t>此外，公司发行完成募集资金到位后净资产将有一定幅度的增长，而在建设期间内，募投项</w:t>
      </w:r>
      <w:r>
        <w:rPr>
          <w:spacing w:val="-93"/>
        </w:rPr>
        <w:t> </w:t>
      </w:r>
      <w:r>
        <w:rPr>
          <w:spacing w:val="-93"/>
        </w:rPr>
      </w:r>
      <w:r>
        <w:rPr/>
        <w:t>目对公司盈利无法产生较大贡献，公司净资产收益率短期内将因财务业绩摊薄而有所降低。</w:t>
      </w:r>
    </w:p>
    <w:p>
      <w:pPr>
        <w:spacing w:line="520" w:lineRule="auto" w:before="41"/>
        <w:ind w:left="153" w:right="1871" w:firstLine="480"/>
        <w:jc w:val="left"/>
        <w:rPr>
          <w:rFonts w:ascii="宋体" w:hAnsi="宋体" w:cs="宋体" w:eastAsia="宋体" w:hint="default"/>
          <w:sz w:val="24"/>
          <w:szCs w:val="24"/>
        </w:rPr>
      </w:pPr>
      <w:r>
        <w:rPr>
          <w:rFonts w:ascii="宋体" w:hAnsi="宋体" w:cs="宋体" w:eastAsia="宋体" w:hint="default"/>
          <w:sz w:val="24"/>
          <w:szCs w:val="24"/>
        </w:rPr>
        <w:t>应对措施：加强募集资金的管理，加快募投项目建设，尽快体现募投项目业绩。 </w:t>
      </w:r>
      <w:bookmarkStart w:name="十、接待调研、沟通、采访等活动登记表" w:id="58"/>
      <w:bookmarkEnd w:id="58"/>
      <w:r>
        <w:rPr>
          <w:rFonts w:ascii="宋体" w:hAnsi="宋体" w:cs="宋体" w:eastAsia="宋体" w:hint="default"/>
          <w:sz w:val="24"/>
          <w:szCs w:val="24"/>
        </w:rPr>
      </w:r>
      <w:r>
        <w:rPr>
          <w:rFonts w:ascii="宋体" w:hAnsi="宋体" w:cs="宋体" w:eastAsia="宋体" w:hint="default"/>
          <w:b/>
          <w:bCs/>
          <w:sz w:val="24"/>
          <w:szCs w:val="24"/>
        </w:rPr>
        <w:t>十、接待调研、沟通、采访等活动登记表</w:t>
      </w:r>
      <w:r>
        <w:rPr>
          <w:rFonts w:ascii="宋体" w:hAnsi="宋体" w:cs="宋体" w:eastAsia="宋体" w:hint="default"/>
          <w:sz w:val="24"/>
          <w:szCs w:val="24"/>
        </w:rPr>
      </w:r>
    </w:p>
    <w:p>
      <w:pPr>
        <w:spacing w:before="49"/>
        <w:ind w:left="153" w:right="0" w:firstLine="0"/>
        <w:jc w:val="left"/>
        <w:rPr>
          <w:rFonts w:ascii="宋体" w:hAnsi="宋体" w:cs="宋体" w:eastAsia="宋体" w:hint="default"/>
          <w:sz w:val="21"/>
          <w:szCs w:val="21"/>
        </w:rPr>
      </w:pPr>
      <w:bookmarkStart w:name="1、报告期内接待调研、沟通、采访等活动登记表" w:id="59"/>
      <w:bookmarkEnd w:id="5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公司报告期内未发生接待调研、沟通、采访等活动。</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979996pt;margin-top:677.22998pt;width:291pt;height:20.65pt;mso-position-horizontal-relative:page;mso-position-vertical-relative:page;z-index:-1183552" coordorigin="4860,13545" coordsize="5820,413">
            <v:group style="position:absolute;left:4869;top:13554;width:2;height:394" coordorigin="4869,13554" coordsize="2,394">
              <v:shape style="position:absolute;left:4869;top:13554;width:2;height:394" coordorigin="4869,13554" coordsize="0,394" path="m4869,13554l4869,13948e" filled="false" stroked="true" strokeweight=".96001pt" strokecolor="#ffffff">
                <v:path arrowok="t"/>
              </v:shape>
            </v:group>
            <v:group style="position:absolute;left:4879;top:13554;width:5801;height:394" coordorigin="4879,13554" coordsize="5801,394">
              <v:shape style="position:absolute;left:4879;top:13554;width:5801;height:394" coordorigin="4879,13554" coordsize="5801,394" path="m4879,13948l10679,13948,10679,13554,4879,13554,4879,13948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969"/>
        <w:jc w:val="center"/>
        <w:rPr>
          <w:b w:val="0"/>
          <w:bCs w:val="0"/>
        </w:rPr>
      </w:pPr>
      <w:bookmarkStart w:name="第五节重要事项" w:id="60"/>
      <w:bookmarkEnd w:id="60"/>
      <w:r>
        <w:rPr>
          <w:b w:val="0"/>
          <w:bCs w:val="0"/>
        </w:rPr>
      </w:r>
      <w:bookmarkStart w:name="_bookmark3" w:id="61"/>
      <w:bookmarkEnd w:id="61"/>
      <w:r>
        <w:rPr>
          <w:b w:val="0"/>
          <w:bCs w:val="0"/>
        </w:rPr>
      </w:r>
      <w:r>
        <w:rPr/>
        <w:t>第五节重要事项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报告期内普通股利润分配政策，特别是现金分红政策的制定、执行或调整情况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38" w:lineRule="auto" w:before="127"/>
        <w:ind w:right="1127" w:firstLine="48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日，公司</w:t>
      </w:r>
      <w:r>
        <w:rPr>
          <w:rFonts w:ascii="Times New Roman" w:hAnsi="Times New Roman" w:cs="Times New Roman" w:eastAsia="Times New Roman" w:hint="default"/>
          <w:spacing w:val="-2"/>
        </w:rPr>
        <w:t>2018</w:t>
      </w:r>
      <w:r>
        <w:rPr>
          <w:spacing w:val="-2"/>
        </w:rPr>
        <w:t>年度股东大会审议通过了《关于</w:t>
      </w:r>
      <w:r>
        <w:rPr>
          <w:rFonts w:ascii="Times New Roman" w:hAnsi="Times New Roman" w:cs="Times New Roman" w:eastAsia="Times New Roman" w:hint="default"/>
          <w:spacing w:val="-2"/>
        </w:rPr>
        <w:t>2018</w:t>
      </w:r>
      <w:r>
        <w:rPr>
          <w:spacing w:val="-2"/>
        </w:rPr>
        <w:t>年度利润分配及资本公积</w:t>
      </w:r>
      <w:r>
        <w:rPr/>
        <w:t> 金转增股本预案的议案》，公司</w:t>
      </w:r>
      <w:r>
        <w:rPr>
          <w:rFonts w:ascii="Times New Roman" w:hAnsi="Times New Roman" w:cs="Times New Roman" w:eastAsia="Times New Roman" w:hint="default"/>
        </w:rPr>
        <w:t>2018</w:t>
      </w:r>
      <w:r>
        <w:rPr/>
        <w:t>年度权益分派具体方案为：以公司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w:t>
      </w:r>
      <w:r>
        <w:rPr>
          <w:spacing w:val="-89"/>
        </w:rPr>
        <w:t> </w:t>
      </w:r>
      <w:r>
        <w:rPr>
          <w:spacing w:val="-89"/>
        </w:rPr>
      </w:r>
      <w:r>
        <w:rPr>
          <w:spacing w:val="-1"/>
        </w:rPr>
        <w:t>本</w:t>
      </w:r>
      <w:r>
        <w:rPr>
          <w:rFonts w:ascii="Times New Roman" w:hAnsi="Times New Roman" w:cs="Times New Roman" w:eastAsia="Times New Roman" w:hint="default"/>
          <w:spacing w:val="-1"/>
        </w:rPr>
        <w:t>66,666,667</w:t>
      </w:r>
      <w:r>
        <w:rPr>
          <w:spacing w:val="-1"/>
        </w:rPr>
        <w:t>股为基数，向全体股东每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1.50</w:t>
      </w:r>
      <w:r>
        <w:rPr>
          <w:spacing w:val="-1"/>
        </w:rPr>
        <w:t>元（含税），同时以资本</w:t>
      </w:r>
      <w:r>
        <w:rPr>
          <w:spacing w:val="-94"/>
        </w:rPr>
        <w:t> </w:t>
      </w:r>
      <w:r>
        <w:rPr>
          <w:spacing w:val="-94"/>
        </w:rPr>
      </w:r>
      <w:r>
        <w:rPr/>
        <w:t>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w:t>
      </w:r>
      <w:r>
        <w:rPr/>
        <w:t>股。本次权益分派股权登记日为：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日；除权除息</w:t>
      </w:r>
      <w:r>
        <w:rPr>
          <w:spacing w:val="-86"/>
        </w:rPr>
        <w:t> </w:t>
      </w:r>
      <w:r>
        <w:rPr>
          <w:spacing w:val="-86"/>
        </w:rPr>
      </w:r>
      <w:r>
        <w:rPr/>
        <w:t>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日。本次权益分派已于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日实施完毕。</w:t>
      </w:r>
    </w:p>
    <w:p>
      <w:pPr>
        <w:spacing w:line="240" w:lineRule="auto" w:before="2"/>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4"/>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否得到了充分保护：</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4"/>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明：</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公司报告期利润分配预案及资本公积金转增股本预案与公司章程和分红管理办法等的相关规定一致</w:t>
      </w:r>
    </w:p>
    <w:p>
      <w:pPr>
        <w:spacing w:line="350" w:lineRule="auto" w:before="115"/>
        <w:ind w:left="153" w:right="31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公司报告期利润分配预案及资本公积金转增股本预案符合公司章程等的相关规定。</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本年度利润分配及资本公积金转增股本情况</w:t>
      </w:r>
    </w:p>
    <w:tbl>
      <w:tblPr>
        <w:tblW w:w="0" w:type="auto"/>
        <w:jc w:val="left"/>
        <w:tblInd w:w="148" w:type="dxa"/>
        <w:tblLayout w:type="fixed"/>
        <w:tblCellMar>
          <w:top w:w="0" w:type="dxa"/>
          <w:left w:w="0" w:type="dxa"/>
          <w:bottom w:w="0" w:type="dxa"/>
          <w:right w:w="0" w:type="dxa"/>
        </w:tblCellMar>
        <w:tblLook w:val="01E0"/>
      </w:tblPr>
      <w:tblGrid>
        <w:gridCol w:w="3707"/>
        <w:gridCol w:w="5863"/>
      </w:tblGrid>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0.6</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126,666,667</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7,600,000.02</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以其他方式（如回购股份）现金分红金额（元</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tabs>
                <w:tab w:pos="5504" w:val="left" w:leader="none"/>
              </w:tabs>
              <w:spacing w:line="240" w:lineRule="auto" w:before="53"/>
              <w:ind w:left="-114" w:right="1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7,600,000.02</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241,573,781.32</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07"/>
        <w:gridCol w:w="5863"/>
      </w:tblGrid>
      <w:tr>
        <w:trPr>
          <w:trHeight w:val="360"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5863"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4"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90"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1647"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9"/>
              <w:jc w:val="left"/>
              <w:rPr>
                <w:rFonts w:ascii="Times New Roman" w:hAnsi="Times New Roman" w:cs="Times New Roman" w:eastAsia="Times New Roman" w:hint="default"/>
                <w:sz w:val="18"/>
                <w:szCs w:val="18"/>
              </w:rPr>
            </w:pPr>
            <w:r>
              <w:rPr>
                <w:rFonts w:ascii="宋体" w:hAnsi="宋体" w:cs="宋体" w:eastAsia="宋体" w:hint="default"/>
                <w:spacing w:val="-5"/>
                <w:w w:val="101"/>
                <w:sz w:val="18"/>
                <w:szCs w:val="18"/>
              </w:rPr>
              <w:t>目前公司经营盈利情况良好，但仍处于发展阶段，属于成长期。根据《中华人民共和国公司法》《公司章程》等有关规定</w:t>
            </w:r>
            <w:r>
              <w:rPr>
                <w:rFonts w:ascii="宋体" w:hAnsi="宋体" w:cs="宋体" w:eastAsia="宋体" w:hint="default"/>
                <w:spacing w:val="-48"/>
                <w:w w:val="101"/>
                <w:sz w:val="18"/>
                <w:szCs w:val="18"/>
              </w:rPr>
              <w:t> </w:t>
            </w:r>
            <w:r>
              <w:rPr>
                <w:rFonts w:ascii="宋体" w:hAnsi="宋体" w:cs="宋体" w:eastAsia="宋体" w:hint="default"/>
                <w:spacing w:val="-48"/>
                <w:w w:val="101"/>
                <w:sz w:val="18"/>
                <w:szCs w:val="18"/>
              </w:rPr>
            </w:r>
            <w:r>
              <w:rPr>
                <w:rFonts w:ascii="宋体" w:hAnsi="宋体" w:cs="宋体" w:eastAsia="宋体" w:hint="default"/>
                <w:spacing w:val="-3"/>
                <w:sz w:val="18"/>
                <w:szCs w:val="18"/>
              </w:rPr>
              <w:t>及公司实际经营情况，为了更好的兼顾股东的即期利益和长远利益，在符合利润分配原则、保证公司正常经营和长远发展</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的前提下，公司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年度利润分配及资本公积金转增股本的预案为：以截至</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日公司总股本</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126,666,667</w:t>
            </w:r>
          </w:p>
          <w:p>
            <w:pPr>
              <w:pStyle w:val="TableParagraph"/>
              <w:spacing w:line="304" w:lineRule="auto" w:before="1"/>
              <w:ind w:left="24" w:right="79"/>
              <w:jc w:val="left"/>
              <w:rPr>
                <w:rFonts w:ascii="宋体" w:hAnsi="宋体" w:cs="宋体" w:eastAsia="宋体" w:hint="default"/>
                <w:sz w:val="18"/>
                <w:szCs w:val="18"/>
              </w:rPr>
            </w:pPr>
            <w:r>
              <w:rPr>
                <w:rFonts w:ascii="宋体" w:hAnsi="宋体" w:cs="宋体" w:eastAsia="宋体" w:hint="default"/>
                <w:spacing w:val="-2"/>
                <w:w w:val="101"/>
                <w:sz w:val="18"/>
                <w:szCs w:val="18"/>
              </w:rPr>
              <w:t>股为基数，向全体股东每</w:t>
            </w:r>
            <w:r>
              <w:rPr>
                <w:rFonts w:ascii="宋体" w:hAnsi="宋体" w:cs="宋体" w:eastAsia="宋体" w:hint="default"/>
                <w:spacing w:val="-45"/>
                <w:w w:val="10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2"/>
                <w:w w:val="101"/>
                <w:sz w:val="18"/>
                <w:szCs w:val="18"/>
              </w:rPr>
              <w:t>股派发现金红利</w:t>
            </w:r>
            <w:r>
              <w:rPr>
                <w:rFonts w:ascii="宋体" w:hAnsi="宋体" w:cs="宋体" w:eastAsia="宋体" w:hint="default"/>
                <w:spacing w:val="-50"/>
                <w:w w:val="101"/>
                <w:sz w:val="18"/>
                <w:szCs w:val="18"/>
              </w:rPr>
              <w:t> </w:t>
            </w:r>
            <w:r>
              <w:rPr>
                <w:rFonts w:ascii="Times New Roman" w:hAnsi="Times New Roman" w:cs="Times New Roman" w:eastAsia="Times New Roman" w:hint="default"/>
                <w:spacing w:val="-1"/>
                <w:w w:val="101"/>
                <w:sz w:val="18"/>
                <w:szCs w:val="18"/>
              </w:rPr>
              <w:t>0.60</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8"/>
                <w:w w:val="101"/>
                <w:sz w:val="18"/>
                <w:szCs w:val="18"/>
              </w:rPr>
              <w:t>元人民币（含税），合计派发现金股利</w:t>
            </w:r>
            <w:r>
              <w:rPr>
                <w:rFonts w:ascii="宋体" w:hAnsi="宋体" w:cs="宋体" w:eastAsia="宋体" w:hint="default"/>
                <w:spacing w:val="-50"/>
                <w:w w:val="101"/>
                <w:sz w:val="18"/>
                <w:szCs w:val="18"/>
              </w:rPr>
              <w:t> </w:t>
            </w:r>
            <w:r>
              <w:rPr>
                <w:rFonts w:ascii="Times New Roman" w:hAnsi="Times New Roman" w:cs="Times New Roman" w:eastAsia="Times New Roman" w:hint="default"/>
                <w:spacing w:val="-1"/>
                <w:w w:val="101"/>
                <w:sz w:val="18"/>
                <w:szCs w:val="18"/>
              </w:rPr>
              <w:t>7,600,000.02</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13"/>
                <w:w w:val="101"/>
                <w:sz w:val="18"/>
                <w:szCs w:val="18"/>
              </w:rPr>
              <w:t>元（含税），剩余未</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分配利润结转至下年度。</w:t>
            </w:r>
          </w:p>
        </w:tc>
      </w:tr>
    </w:tbl>
    <w:p>
      <w:pPr>
        <w:spacing w:before="53"/>
        <w:ind w:left="153" w:right="0" w:firstLine="0"/>
        <w:jc w:val="both"/>
        <w:rPr>
          <w:rFonts w:ascii="宋体" w:hAnsi="宋体" w:cs="宋体" w:eastAsia="宋体" w:hint="default"/>
          <w:sz w:val="18"/>
          <w:szCs w:val="18"/>
        </w:rPr>
      </w:pPr>
      <w:r>
        <w:rPr>
          <w:rFonts w:ascii="宋体" w:hAnsi="宋体" w:cs="宋体" w:eastAsia="宋体" w:hint="default"/>
          <w:w w:val="101"/>
          <w:sz w:val="18"/>
          <w:szCs w:val="18"/>
        </w:rPr>
        <w:t>公司近</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w:t>
      </w:r>
      <w:r>
        <w:rPr>
          <w:rFonts w:ascii="宋体" w:hAnsi="宋体" w:cs="宋体" w:eastAsia="宋体" w:hint="default"/>
          <w:w w:val="101"/>
          <w:sz w:val="18"/>
          <w:szCs w:val="18"/>
        </w:rPr>
        <w:t>包</w:t>
      </w:r>
      <w:r>
        <w:rPr>
          <w:rFonts w:ascii="宋体" w:hAnsi="宋体" w:cs="宋体" w:eastAsia="宋体" w:hint="default"/>
          <w:spacing w:val="-5"/>
          <w:w w:val="101"/>
          <w:sz w:val="18"/>
          <w:szCs w:val="18"/>
        </w:rPr>
        <w:t>括</w:t>
      </w:r>
      <w:r>
        <w:rPr>
          <w:rFonts w:ascii="宋体" w:hAnsi="宋体" w:cs="宋体" w:eastAsia="宋体" w:hint="default"/>
          <w:w w:val="101"/>
          <w:sz w:val="18"/>
          <w:szCs w:val="18"/>
        </w:rPr>
        <w:t>本</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5"/>
          <w:w w:val="101"/>
          <w:sz w:val="18"/>
          <w:szCs w:val="18"/>
        </w:rPr>
        <w:t>期</w:t>
      </w:r>
      <w:r>
        <w:rPr>
          <w:rFonts w:ascii="宋体" w:hAnsi="宋体" w:cs="宋体" w:eastAsia="宋体" w:hint="default"/>
          <w:w w:val="101"/>
          <w:sz w:val="18"/>
          <w:szCs w:val="18"/>
        </w:rPr>
        <w:t>）</w:t>
      </w:r>
      <w:r>
        <w:rPr>
          <w:rFonts w:ascii="宋体" w:hAnsi="宋体" w:cs="宋体" w:eastAsia="宋体" w:hint="default"/>
          <w:spacing w:val="-5"/>
          <w:w w:val="101"/>
          <w:sz w:val="18"/>
          <w:szCs w:val="18"/>
        </w:rPr>
        <w:t>的</w:t>
      </w:r>
      <w:r>
        <w:rPr>
          <w:rFonts w:ascii="宋体" w:hAnsi="宋体" w:cs="宋体" w:eastAsia="宋体" w:hint="default"/>
          <w:w w:val="101"/>
          <w:sz w:val="18"/>
          <w:szCs w:val="18"/>
        </w:rPr>
        <w:t>普</w:t>
      </w:r>
      <w:r>
        <w:rPr>
          <w:rFonts w:ascii="宋体" w:hAnsi="宋体" w:cs="宋体" w:eastAsia="宋体" w:hint="default"/>
          <w:spacing w:val="-5"/>
          <w:w w:val="101"/>
          <w:sz w:val="18"/>
          <w:szCs w:val="18"/>
        </w:rPr>
        <w:t>通</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利</w:t>
      </w:r>
      <w:r>
        <w:rPr>
          <w:rFonts w:ascii="宋体" w:hAnsi="宋体" w:cs="宋体" w:eastAsia="宋体" w:hint="default"/>
          <w:spacing w:val="-5"/>
          <w:w w:val="101"/>
          <w:sz w:val="18"/>
          <w:szCs w:val="18"/>
        </w:rPr>
        <w:t>分</w:t>
      </w:r>
      <w:r>
        <w:rPr>
          <w:rFonts w:ascii="宋体" w:hAnsi="宋体" w:cs="宋体" w:eastAsia="宋体" w:hint="default"/>
          <w:w w:val="101"/>
          <w:sz w:val="18"/>
          <w:szCs w:val="18"/>
        </w:rPr>
        <w:t>配</w:t>
      </w:r>
      <w:r>
        <w:rPr>
          <w:rFonts w:ascii="宋体" w:hAnsi="宋体" w:cs="宋体" w:eastAsia="宋体" w:hint="default"/>
          <w:spacing w:val="-5"/>
          <w:w w:val="101"/>
          <w:sz w:val="18"/>
          <w:szCs w:val="18"/>
        </w:rPr>
        <w:t>方</w:t>
      </w:r>
      <w:r>
        <w:rPr>
          <w:rFonts w:ascii="宋体" w:hAnsi="宋体" w:cs="宋体" w:eastAsia="宋体" w:hint="default"/>
          <w:w w:val="101"/>
          <w:sz w:val="18"/>
          <w:szCs w:val="18"/>
        </w:rPr>
        <w:t>案</w:t>
      </w:r>
      <w:r>
        <w:rPr>
          <w:rFonts w:ascii="宋体" w:hAnsi="宋体" w:cs="宋体" w:eastAsia="宋体" w:hint="default"/>
          <w:spacing w:val="-5"/>
          <w:w w:val="101"/>
          <w:sz w:val="18"/>
          <w:szCs w:val="18"/>
        </w:rPr>
        <w:t>（</w:t>
      </w:r>
      <w:r>
        <w:rPr>
          <w:rFonts w:ascii="宋体" w:hAnsi="宋体" w:cs="宋体" w:eastAsia="宋体" w:hint="default"/>
          <w:w w:val="101"/>
          <w:sz w:val="18"/>
          <w:szCs w:val="18"/>
        </w:rPr>
        <w:t>预案</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资</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积</w:t>
      </w:r>
      <w:r>
        <w:rPr>
          <w:rFonts w:ascii="宋体" w:hAnsi="宋体" w:cs="宋体" w:eastAsia="宋体" w:hint="default"/>
          <w:spacing w:val="-5"/>
          <w:w w:val="101"/>
          <w:sz w:val="18"/>
          <w:szCs w:val="18"/>
        </w:rPr>
        <w:t>金</w:t>
      </w:r>
      <w:r>
        <w:rPr>
          <w:rFonts w:ascii="宋体" w:hAnsi="宋体" w:cs="宋体" w:eastAsia="宋体" w:hint="default"/>
          <w:w w:val="101"/>
          <w:sz w:val="18"/>
          <w:szCs w:val="18"/>
        </w:rPr>
        <w:t>转</w:t>
      </w:r>
      <w:r>
        <w:rPr>
          <w:rFonts w:ascii="宋体" w:hAnsi="宋体" w:cs="宋体" w:eastAsia="宋体" w:hint="default"/>
          <w:spacing w:val="-5"/>
          <w:w w:val="101"/>
          <w:sz w:val="18"/>
          <w:szCs w:val="18"/>
        </w:rPr>
        <w:t>增</w:t>
      </w:r>
      <w:r>
        <w:rPr>
          <w:rFonts w:ascii="宋体" w:hAnsi="宋体" w:cs="宋体" w:eastAsia="宋体" w:hint="default"/>
          <w:w w:val="101"/>
          <w:sz w:val="18"/>
          <w:szCs w:val="18"/>
        </w:rPr>
        <w:t>股</w:t>
      </w:r>
      <w:r>
        <w:rPr>
          <w:rFonts w:ascii="宋体" w:hAnsi="宋体" w:cs="宋体" w:eastAsia="宋体" w:hint="default"/>
          <w:spacing w:val="-5"/>
          <w:w w:val="101"/>
          <w:sz w:val="18"/>
          <w:szCs w:val="18"/>
        </w:rPr>
        <w:t>本</w:t>
      </w:r>
      <w:r>
        <w:rPr>
          <w:rFonts w:ascii="宋体" w:hAnsi="宋体" w:cs="宋体" w:eastAsia="宋体" w:hint="default"/>
          <w:w w:val="101"/>
          <w:sz w:val="18"/>
          <w:szCs w:val="18"/>
        </w:rPr>
        <w:t>方</w:t>
      </w:r>
      <w:r>
        <w:rPr>
          <w:rFonts w:ascii="宋体" w:hAnsi="宋体" w:cs="宋体" w:eastAsia="宋体" w:hint="default"/>
          <w:spacing w:val="-5"/>
          <w:w w:val="101"/>
          <w:sz w:val="18"/>
          <w:szCs w:val="18"/>
        </w:rPr>
        <w:t>案</w:t>
      </w:r>
      <w:r>
        <w:rPr>
          <w:rFonts w:ascii="宋体" w:hAnsi="宋体" w:cs="宋体" w:eastAsia="宋体" w:hint="default"/>
          <w:w w:val="101"/>
          <w:sz w:val="18"/>
          <w:szCs w:val="18"/>
        </w:rPr>
        <w:t>（</w:t>
      </w:r>
      <w:r>
        <w:rPr>
          <w:rFonts w:ascii="宋体" w:hAnsi="宋体" w:cs="宋体" w:eastAsia="宋体" w:hint="default"/>
          <w:spacing w:val="-5"/>
          <w:w w:val="101"/>
          <w:sz w:val="18"/>
          <w:szCs w:val="18"/>
        </w:rPr>
        <w:t>预</w:t>
      </w:r>
      <w:r>
        <w:rPr>
          <w:rFonts w:ascii="宋体" w:hAnsi="宋体" w:cs="宋体" w:eastAsia="宋体" w:hint="default"/>
          <w:w w:val="101"/>
          <w:sz w:val="18"/>
          <w:szCs w:val="18"/>
        </w:rPr>
        <w:t>案</w:t>
      </w:r>
      <w:r>
        <w:rPr>
          <w:rFonts w:ascii="宋体" w:hAnsi="宋体" w:cs="宋体" w:eastAsia="宋体" w:hint="default"/>
          <w:spacing w:val="-5"/>
          <w:w w:val="101"/>
          <w:sz w:val="18"/>
          <w:szCs w:val="18"/>
        </w:rPr>
        <w:t>）</w:t>
      </w:r>
      <w:r>
        <w:rPr>
          <w:rFonts w:ascii="宋体" w:hAnsi="宋体" w:cs="宋体" w:eastAsia="宋体" w:hint="default"/>
          <w:w w:val="101"/>
          <w:sz w:val="18"/>
          <w:szCs w:val="18"/>
        </w:rPr>
        <w:t>情况</w:t>
      </w:r>
      <w:r>
        <w:rPr>
          <w:rFonts w:ascii="宋体" w:hAnsi="宋体" w:cs="宋体" w:eastAsia="宋体" w:hint="default"/>
          <w:sz w:val="18"/>
          <w:szCs w:val="18"/>
        </w:rPr>
      </w:r>
    </w:p>
    <w:p>
      <w:pPr>
        <w:pStyle w:val="BodyText"/>
        <w:spacing w:line="240" w:lineRule="auto" w:before="132"/>
        <w:ind w:left="63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年度利润分配及资本公积金转增股本预案为：以截至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p>
    <w:p>
      <w:pPr>
        <w:pStyle w:val="BodyText"/>
        <w:spacing w:line="338" w:lineRule="auto" w:before="138"/>
        <w:ind w:right="1128"/>
        <w:jc w:val="both"/>
      </w:pPr>
      <w:r>
        <w:rPr>
          <w:rFonts w:ascii="Times New Roman" w:hAnsi="Times New Roman" w:cs="Times New Roman" w:eastAsia="Times New Roman" w:hint="default"/>
        </w:rPr>
        <w:t>126,666,667</w:t>
      </w:r>
      <w:r>
        <w:rPr/>
        <w:t>股为基数，向全体股东按每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0.60</w:t>
      </w:r>
      <w:r>
        <w:rPr/>
        <w:t>元（含税），合计派发</w:t>
      </w:r>
      <w:r>
        <w:rPr>
          <w:spacing w:val="-35"/>
        </w:rPr>
        <w:t> </w:t>
      </w:r>
      <w:r>
        <w:rPr>
          <w:spacing w:val="-35"/>
        </w:rPr>
      </w:r>
      <w:r>
        <w:rPr>
          <w:spacing w:val="-1"/>
        </w:rPr>
        <w:t>现金股利</w:t>
      </w:r>
      <w:r>
        <w:rPr>
          <w:rFonts w:ascii="Times New Roman" w:hAnsi="Times New Roman" w:cs="Times New Roman" w:eastAsia="Times New Roman" w:hint="default"/>
          <w:spacing w:val="-1"/>
        </w:rPr>
        <w:t>7,600,000.02</w:t>
      </w:r>
      <w:r>
        <w:rPr>
          <w:spacing w:val="-1"/>
        </w:rPr>
        <w:t>元（含税），剩余未分配利润结转至下年度。以上利润分配方案已经第</w:t>
      </w:r>
      <w:r>
        <w:rPr>
          <w:spacing w:val="-97"/>
        </w:rPr>
        <w:t> </w:t>
      </w:r>
      <w:r>
        <w:rPr>
          <w:spacing w:val="-97"/>
        </w:rPr>
      </w:r>
      <w:r>
        <w:rPr/>
        <w:t>三届董事会第十五次会议审议通过，尚需提交</w:t>
      </w:r>
      <w:r>
        <w:rPr>
          <w:rFonts w:ascii="Times New Roman" w:hAnsi="Times New Roman" w:cs="Times New Roman" w:eastAsia="Times New Roman" w:hint="default"/>
        </w:rPr>
        <w:t>2019</w:t>
      </w:r>
      <w:r>
        <w:rPr/>
        <w:t>年度股东大会审议通过。</w:t>
      </w:r>
    </w:p>
    <w:p>
      <w:pPr>
        <w:pStyle w:val="BodyText"/>
        <w:spacing w:line="338" w:lineRule="auto" w:before="24"/>
        <w:ind w:right="1127"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2018</w:t>
      </w:r>
      <w:r>
        <w:rPr/>
        <w:t>年度股东大会审议通过了《关于</w:t>
      </w:r>
      <w:r>
        <w:rPr>
          <w:rFonts w:ascii="Times New Roman" w:hAnsi="Times New Roman" w:cs="Times New Roman" w:eastAsia="Times New Roman" w:hint="default"/>
        </w:rPr>
        <w:t>2018</w:t>
      </w:r>
      <w:r>
        <w:rPr/>
        <w:t>年度利润分配及资本 </w:t>
      </w:r>
      <w:r>
        <w:rPr>
          <w:spacing w:val="-2"/>
        </w:rPr>
        <w:t>公积金转增股本预案的议案》：以截至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66,666,667</w:t>
      </w:r>
      <w:r>
        <w:rPr>
          <w:spacing w:val="-2"/>
        </w:rPr>
        <w:t>股为基数，向全</w:t>
      </w:r>
      <w:r>
        <w:rPr>
          <w:spacing w:val="-101"/>
        </w:rPr>
        <w:t> </w:t>
      </w:r>
      <w:r>
        <w:rPr>
          <w:spacing w:val="-101"/>
        </w:rPr>
      </w:r>
      <w:r>
        <w:rPr>
          <w:spacing w:val="-2"/>
        </w:rPr>
        <w:t>体股东按每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1.50</w:t>
      </w:r>
      <w:r>
        <w:rPr>
          <w:spacing w:val="-2"/>
        </w:rPr>
        <w:t>元（含税），合计派发现金股利</w:t>
      </w:r>
      <w:r>
        <w:rPr>
          <w:rFonts w:ascii="Times New Roman" w:hAnsi="Times New Roman" w:cs="Times New Roman" w:eastAsia="Times New Roman" w:hint="default"/>
          <w:spacing w:val="-2"/>
        </w:rPr>
        <w:t>10,000,000.05</w:t>
      </w:r>
      <w:r>
        <w:rPr>
          <w:spacing w:val="-2"/>
        </w:rPr>
        <w:t>元（含</w:t>
      </w:r>
      <w:r>
        <w:rPr>
          <w:spacing w:val="-103"/>
        </w:rPr>
        <w:t> </w:t>
      </w:r>
      <w:r>
        <w:rPr>
          <w:spacing w:val="-103"/>
        </w:rPr>
      </w:r>
      <w:r>
        <w:rPr>
          <w:spacing w:val="-2"/>
        </w:rPr>
        <w:t>税），剩余未分配利润结转至下年度；同时以资本公积金向全体股东每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9</w:t>
      </w:r>
      <w:r>
        <w:rPr>
          <w:spacing w:val="-2"/>
        </w:rPr>
        <w:t>股，转增后</w:t>
      </w:r>
      <w:r>
        <w:rPr/>
        <w:t> 公司总股本为</w:t>
      </w:r>
      <w:r>
        <w:rPr>
          <w:rFonts w:ascii="Times New Roman" w:hAnsi="Times New Roman" w:cs="Times New Roman" w:eastAsia="Times New Roman" w:hint="default"/>
        </w:rPr>
        <w:t>126,666,667</w:t>
      </w:r>
      <w:r>
        <w:rPr/>
        <w:t>股。</w:t>
      </w:r>
    </w:p>
    <w:p>
      <w:pPr>
        <w:pStyle w:val="BodyText"/>
        <w:spacing w:line="338" w:lineRule="auto" w:before="29"/>
        <w:ind w:right="1127"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2017</w:t>
      </w:r>
      <w:r>
        <w:rPr/>
        <w:t>年度股东大会审议通过《关于公司</w:t>
      </w:r>
      <w:r>
        <w:rPr>
          <w:rFonts w:ascii="Times New Roman" w:hAnsi="Times New Roman" w:cs="Times New Roman" w:eastAsia="Times New Roman" w:hint="default"/>
        </w:rPr>
        <w:t>2017</w:t>
      </w:r>
      <w:r>
        <w:rPr/>
        <w:t>年度利润分配预案 </w:t>
      </w:r>
      <w:r>
        <w:rPr>
          <w:spacing w:val="-2"/>
        </w:rPr>
        <w:t>的议案》：以截至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66,666,667</w:t>
      </w:r>
      <w:r>
        <w:rPr>
          <w:spacing w:val="-2"/>
        </w:rPr>
        <w:t>股为基数，向全体股东按每</w:t>
      </w:r>
      <w:r>
        <w:rPr>
          <w:rFonts w:ascii="Times New Roman" w:hAnsi="Times New Roman" w:cs="Times New Roman" w:eastAsia="Times New Roman" w:hint="default"/>
          <w:spacing w:val="-2"/>
        </w:rPr>
        <w:t>10</w:t>
      </w:r>
      <w:r>
        <w:rPr>
          <w:spacing w:val="-2"/>
        </w:rPr>
        <w:t>股派发</w:t>
      </w:r>
      <w:r>
        <w:rPr>
          <w:spacing w:val="-100"/>
        </w:rPr>
        <w:t> </w:t>
      </w:r>
      <w:r>
        <w:rPr>
          <w:spacing w:val="-2"/>
        </w:rPr>
        <w:t>现金股利人民币</w:t>
      </w:r>
      <w:r>
        <w:rPr>
          <w:rFonts w:ascii="Times New Roman" w:hAnsi="Times New Roman" w:cs="Times New Roman" w:eastAsia="Times New Roman" w:hint="default"/>
          <w:spacing w:val="-2"/>
        </w:rPr>
        <w:t>2.00</w:t>
      </w:r>
      <w:r>
        <w:rPr>
          <w:spacing w:val="-2"/>
        </w:rPr>
        <w:t>元（含税），合计派发现金股利</w:t>
      </w:r>
      <w:r>
        <w:rPr>
          <w:rFonts w:ascii="Times New Roman" w:hAnsi="Times New Roman" w:cs="Times New Roman" w:eastAsia="Times New Roman" w:hint="default"/>
          <w:spacing w:val="-2"/>
        </w:rPr>
        <w:t>13,333,333.40</w:t>
      </w:r>
      <w:r>
        <w:rPr>
          <w:spacing w:val="-2"/>
        </w:rPr>
        <w:t>元（含税），剩余未分配利</w:t>
      </w:r>
      <w:r>
        <w:rPr>
          <w:spacing w:val="-106"/>
        </w:rPr>
        <w:t> </w:t>
      </w:r>
      <w:r>
        <w:rPr>
          <w:spacing w:val="-106"/>
        </w:rPr>
      </w:r>
      <w:r>
        <w:rPr/>
        <w:t>润结转至下年度。</w:t>
      </w:r>
    </w:p>
    <w:p>
      <w:pPr>
        <w:spacing w:before="7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公司近三年（包括本报告期）普通股现金分红情况表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201"/>
        <w:gridCol w:w="1196"/>
        <w:gridCol w:w="1196"/>
        <w:gridCol w:w="1184"/>
        <w:gridCol w:w="1220"/>
        <w:gridCol w:w="1174"/>
      </w:tblGrid>
      <w:tr>
        <w:trPr>
          <w:trHeight w:val="158"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FFFFFF"/>
            </w:tcBorders>
            <w:shd w:val="clear" w:color="auto" w:fill="D2D2D2"/>
          </w:tcPr>
          <w:p>
            <w:pPr/>
          </w:p>
        </w:tc>
        <w:tc>
          <w:tcPr>
            <w:tcW w:w="1201" w:type="dxa"/>
            <w:vMerge w:val="restart"/>
            <w:tcBorders>
              <w:top w:val="single" w:sz="4" w:space="0" w:color="000000"/>
              <w:left w:val="single" w:sz="4" w:space="0" w:color="FFFFFF"/>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1"/>
              <w:ind w:left="40" w:right="36"/>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表中归属于上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r>
        <w:trPr>
          <w:trHeight w:val="158" w:hRule="exact"/>
        </w:trPr>
        <w:tc>
          <w:tcPr>
            <w:tcW w:w="118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FFFFFF"/>
            </w:tcBorders>
            <w:shd w:val="clear" w:color="auto" w:fill="D2D2D2"/>
          </w:tcPr>
          <w:p>
            <w:pPr/>
          </w:p>
        </w:tc>
        <w:tc>
          <w:tcPr>
            <w:tcW w:w="1201" w:type="dxa"/>
            <w:vMerge/>
            <w:tcBorders>
              <w:left w:val="single" w:sz="4" w:space="0" w:color="FFFFFF"/>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46"/>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34"/>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8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FFFFFF"/>
            </w:tcBorders>
            <w:shd w:val="clear" w:color="auto" w:fill="D2D2D2"/>
          </w:tcPr>
          <w:p>
            <w:pPr/>
          </w:p>
        </w:tc>
        <w:tc>
          <w:tcPr>
            <w:tcW w:w="1201"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53"/>
              <w:ind w:left="52" w:right="51"/>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8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FFFFFF"/>
            </w:tcBorders>
            <w:shd w:val="clear" w:color="auto" w:fill="D2D2D2"/>
          </w:tcPr>
          <w:p>
            <w:pPr/>
          </w:p>
        </w:tc>
        <w:tc>
          <w:tcPr>
            <w:tcW w:w="1201"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8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FFFFFF"/>
            </w:tcBorders>
            <w:shd w:val="clear" w:color="auto" w:fill="D2D2D2"/>
          </w:tcPr>
          <w:p>
            <w:pPr/>
          </w:p>
        </w:tc>
        <w:tc>
          <w:tcPr>
            <w:tcW w:w="1201"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71"/>
              <w:ind w:left="424" w:right="149"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89"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vMerge/>
            <w:tcBorders>
              <w:left w:val="single" w:sz="4" w:space="0" w:color="000000"/>
              <w:right w:val="single" w:sz="4" w:space="0" w:color="FFFFFF"/>
            </w:tcBorders>
            <w:shd w:val="clear" w:color="auto" w:fill="D2D2D2"/>
          </w:tcPr>
          <w:p>
            <w:pPr/>
          </w:p>
        </w:tc>
        <w:tc>
          <w:tcPr>
            <w:tcW w:w="1201"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FFFFFF"/>
            </w:tcBorders>
            <w:shd w:val="clear" w:color="auto" w:fill="D2D2D2"/>
          </w:tcPr>
          <w:p>
            <w:pPr/>
          </w:p>
        </w:tc>
        <w:tc>
          <w:tcPr>
            <w:tcW w:w="1201"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8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FFFFFF"/>
            </w:tcBorders>
            <w:shd w:val="clear" w:color="auto" w:fill="D2D2D2"/>
          </w:tcPr>
          <w:p>
            <w:pPr/>
          </w:p>
        </w:tc>
        <w:tc>
          <w:tcPr>
            <w:tcW w:w="1201"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8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FFFFFF"/>
            </w:tcBorders>
            <w:shd w:val="clear" w:color="auto" w:fill="D2D2D2"/>
          </w:tcPr>
          <w:p>
            <w:pPr/>
          </w:p>
        </w:tc>
        <w:tc>
          <w:tcPr>
            <w:tcW w:w="1201"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8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FFFFFF"/>
            </w:tcBorders>
            <w:shd w:val="clear" w:color="auto" w:fill="D2D2D2"/>
          </w:tcPr>
          <w:p>
            <w:pPr/>
          </w:p>
        </w:tc>
        <w:tc>
          <w:tcPr>
            <w:tcW w:w="1201" w:type="dxa"/>
            <w:vMerge/>
            <w:tcBorders>
              <w:left w:val="single" w:sz="4" w:space="0" w:color="FFFFFF"/>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8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FFFFFF"/>
            </w:tcBorders>
            <w:shd w:val="clear" w:color="auto" w:fill="D2D2D2"/>
          </w:tcPr>
          <w:p>
            <w:pPr/>
          </w:p>
        </w:tc>
        <w:tc>
          <w:tcPr>
            <w:tcW w:w="1201" w:type="dxa"/>
            <w:vMerge w:val="restart"/>
            <w:tcBorders>
              <w:top w:val="nil" w:sz="6" w:space="0" w:color="auto"/>
              <w:left w:val="single" w:sz="4" w:space="0" w:color="FFFFFF"/>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FFFFFF"/>
            </w:tcBorders>
            <w:shd w:val="clear" w:color="auto" w:fill="D2D2D2"/>
          </w:tcPr>
          <w:p>
            <w:pPr/>
          </w:p>
        </w:tc>
        <w:tc>
          <w:tcPr>
            <w:tcW w:w="1201" w:type="dxa"/>
            <w:vMerge/>
            <w:tcBorders>
              <w:left w:val="single" w:sz="4" w:space="0" w:color="FFFFFF"/>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FFFFFF"/>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7,600,000.02</w:t>
            </w:r>
          </w:p>
        </w:tc>
        <w:tc>
          <w:tcPr>
            <w:tcW w:w="120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45,069,467.75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7,600,000.02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16.86%</w:t>
            </w: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FFFFFF"/>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10,000,000.05</w:t>
            </w:r>
          </w:p>
        </w:tc>
        <w:tc>
          <w:tcPr>
            <w:tcW w:w="120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50,353,782.16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10,000,000.05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19.86%</w:t>
            </w: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FFFFFF"/>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13,333,333.40</w:t>
            </w:r>
          </w:p>
        </w:tc>
        <w:tc>
          <w:tcPr>
            <w:tcW w:w="120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41,968,856.74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13,333,333.40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31.77%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7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公司报告期内盈利且母公司可供普通股股东分配利润为正但未提出普通股现金红利分配预案</w:t>
      </w:r>
    </w:p>
    <w:p>
      <w:pPr>
        <w:spacing w:before="115"/>
        <w:ind w:left="7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left="713"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8"/>
        <w:rPr>
          <w:rFonts w:ascii="宋体" w:hAnsi="宋体" w:cs="宋体" w:eastAsia="宋体" w:hint="default"/>
          <w:b/>
          <w:bCs/>
          <w:sz w:val="25"/>
          <w:szCs w:val="25"/>
        </w:rPr>
      </w:pPr>
    </w:p>
    <w:p>
      <w:pPr>
        <w:spacing w:line="254" w:lineRule="auto" w:before="0"/>
        <w:ind w:left="713" w:right="0" w:firstLine="0"/>
        <w:jc w:val="left"/>
        <w:rPr>
          <w:rFonts w:ascii="宋体" w:hAnsi="宋体" w:cs="宋体" w:eastAsia="宋体" w:hint="default"/>
          <w:sz w:val="21"/>
          <w:szCs w:val="21"/>
        </w:rPr>
      </w:pPr>
      <w:bookmarkStart w:name="1、公司实际控制人、股东、关联方、收购人以及公司等承诺相关方在报告期内履行完毕及" w:id="64"/>
      <w:bookmarkEnd w:id="6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4"/>
        <w:rPr>
          <w:rFonts w:ascii="宋体" w:hAnsi="宋体" w:cs="宋体" w:eastAsia="宋体" w:hint="default"/>
          <w:b/>
          <w:bCs/>
          <w:sz w:val="27"/>
          <w:szCs w:val="27"/>
        </w:rPr>
      </w:pPr>
    </w:p>
    <w:p>
      <w:pPr>
        <w:spacing w:before="0"/>
        <w:ind w:left="713" w:right="0" w:firstLine="0"/>
        <w:jc w:val="left"/>
        <w:rPr>
          <w:rFonts w:ascii="宋体" w:hAnsi="宋体" w:cs="宋体" w:eastAsia="宋体" w:hint="default"/>
          <w:sz w:val="18"/>
          <w:szCs w:val="18"/>
        </w:rPr>
      </w:pPr>
      <w:r>
        <w:rPr/>
        <w:pict>
          <v:shape style="position:absolute;margin-left:395.158234pt;margin-top:93.091713pt;width:62pt;height:217.55pt;mso-position-horizontal-relative:page;mso-position-vertical-relative:paragraph;z-index:-1183504" type="#_x0000_t202" filled="false" stroked="false">
            <v:textbox inset="0,0,0,0">
              <w:txbxContent>
                <w:p>
                  <w:pPr>
                    <w:spacing w:before="54"/>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844"/>
        <w:gridCol w:w="1728"/>
        <w:gridCol w:w="1124"/>
        <w:gridCol w:w="2790"/>
        <w:gridCol w:w="1124"/>
        <w:gridCol w:w="1124"/>
        <w:gridCol w:w="1109"/>
      </w:tblGrid>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7"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185"/>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动报告书中所作承诺</w:t>
            </w:r>
          </w:p>
        </w:tc>
        <w:tc>
          <w:tcPr>
            <w:tcW w:w="1728" w:type="dxa"/>
            <w:tcBorders>
              <w:top w:val="single" w:sz="4" w:space="0" w:color="000000"/>
              <w:left w:val="single" w:sz="10" w:space="0" w:color="D2D2D2"/>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279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资产重组时所作承诺</w:t>
            </w:r>
          </w:p>
        </w:tc>
        <w:tc>
          <w:tcPr>
            <w:tcW w:w="1728" w:type="dxa"/>
            <w:tcBorders>
              <w:top w:val="single" w:sz="4" w:space="0" w:color="000000"/>
              <w:left w:val="single" w:sz="10" w:space="0" w:color="D2D2D2"/>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279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355"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2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309" w:lineRule="auto"/>
              <w:ind w:left="16" w:right="70"/>
              <w:jc w:val="left"/>
              <w:rPr>
                <w:rFonts w:ascii="宋体" w:hAnsi="宋体" w:cs="宋体" w:eastAsia="宋体" w:hint="default"/>
                <w:sz w:val="18"/>
                <w:szCs w:val="18"/>
              </w:rPr>
            </w:pPr>
            <w:r>
              <w:rPr>
                <w:rFonts w:ascii="宋体" w:hAnsi="宋体" w:cs="宋体" w:eastAsia="宋体" w:hint="default"/>
                <w:sz w:val="18"/>
                <w:szCs w:val="18"/>
              </w:rPr>
              <w:t>陈坚</w:t>
            </w:r>
            <w:r>
              <w:rPr>
                <w:rFonts w:ascii="Times New Roman" w:hAnsi="Times New Roman" w:cs="Times New Roman" w:eastAsia="Times New Roman" w:hint="default"/>
                <w:sz w:val="18"/>
                <w:szCs w:val="18"/>
              </w:rPr>
              <w:t>;</w:t>
            </w:r>
            <w:r>
              <w:rPr>
                <w:rFonts w:ascii="宋体" w:hAnsi="宋体" w:cs="宋体" w:eastAsia="宋体" w:hint="default"/>
                <w:sz w:val="18"/>
                <w:szCs w:val="18"/>
              </w:rPr>
              <w:t>陈英</w:t>
            </w:r>
            <w:r>
              <w:rPr>
                <w:rFonts w:ascii="Times New Roman" w:hAnsi="Times New Roman" w:cs="Times New Roman" w:eastAsia="Times New Roman" w:hint="default"/>
                <w:sz w:val="18"/>
                <w:szCs w:val="18"/>
              </w:rPr>
              <w:t>;</w:t>
            </w:r>
            <w:r>
              <w:rPr>
                <w:rFonts w:ascii="宋体" w:hAnsi="宋体" w:cs="宋体" w:eastAsia="宋体" w:hint="default"/>
                <w:sz w:val="18"/>
                <w:szCs w:val="18"/>
              </w:rPr>
              <w:t>杭州正元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企业管理咨询有限公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李琳</w:t>
            </w:r>
            <w:r>
              <w:rPr>
                <w:rFonts w:ascii="Times New Roman" w:hAnsi="Times New Roman" w:cs="Times New Roman" w:eastAsia="Times New Roman" w:hint="default"/>
                <w:sz w:val="18"/>
                <w:szCs w:val="18"/>
              </w:rPr>
              <w:t>;</w:t>
            </w:r>
            <w:r>
              <w:rPr>
                <w:rFonts w:ascii="宋体" w:hAnsi="宋体" w:cs="宋体" w:eastAsia="宋体" w:hint="default"/>
                <w:sz w:val="18"/>
                <w:szCs w:val="18"/>
              </w:rPr>
              <w:t>王亚静</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2790" w:type="dxa"/>
            <w:vMerge w:val="restart"/>
            <w:tcBorders>
              <w:top w:val="single" w:sz="4" w:space="0" w:color="000000"/>
              <w:left w:val="single" w:sz="4" w:space="0" w:color="000000"/>
              <w:right w:val="single" w:sz="4" w:space="0" w:color="000000"/>
            </w:tcBorders>
          </w:tcPr>
          <w:p>
            <w:pPr>
              <w:pStyle w:val="TableParagraph"/>
              <w:spacing w:line="309" w:lineRule="auto" w:before="54"/>
              <w:ind w:left="23"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自公司股票上市之日起</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个月内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不转让或者委托他人管理本公司</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本人直接或间接持有的公司股份，</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也不由公司回购本公司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本人所直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接或间接持有的公司股份；公司实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际控制人陈坚承诺：自公司股票上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市之日起</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4"/>
                <w:sz w:val="18"/>
                <w:szCs w:val="18"/>
              </w:rPr>
              <w:t> </w:t>
            </w:r>
            <w:r>
              <w:rPr>
                <w:rFonts w:ascii="宋体" w:hAnsi="宋体" w:cs="宋体" w:eastAsia="宋体" w:hint="default"/>
                <w:spacing w:val="-9"/>
                <w:sz w:val="18"/>
                <w:szCs w:val="18"/>
              </w:rPr>
              <w:t>个月内，不转让或者委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托他人管理本公司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本人直接或间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接持有的杭州正元的股份；在锁定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期（包括延长的锁定期）届满后，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关于减持本公司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本人于本次发行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前已直接或间接持有的老股（不包</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括本公司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本人在本次发行股票后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sz w:val="18"/>
                <w:szCs w:val="18"/>
              </w:rPr>
              <w:t>从公开市场中新买入的股份）事项</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本人承诺如下：在锁定期</w:t>
            </w:r>
          </w:p>
          <w:p>
            <w:pPr>
              <w:pStyle w:val="TableParagraph"/>
              <w:spacing w:line="300" w:lineRule="auto" w:before="5"/>
              <w:ind w:left="23" w:right="17"/>
              <w:jc w:val="left"/>
              <w:rPr>
                <w:rFonts w:ascii="宋体" w:hAnsi="宋体" w:cs="宋体" w:eastAsia="宋体" w:hint="default"/>
                <w:sz w:val="18"/>
                <w:szCs w:val="18"/>
              </w:rPr>
            </w:pPr>
            <w:r>
              <w:rPr>
                <w:rFonts w:ascii="宋体" w:hAnsi="宋体" w:cs="宋体" w:eastAsia="宋体" w:hint="default"/>
                <w:spacing w:val="-4"/>
                <w:sz w:val="18"/>
                <w:szCs w:val="18"/>
              </w:rPr>
              <w:t>（包括延长的锁定期）届满后的</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3"/>
                <w:sz w:val="18"/>
                <w:szCs w:val="18"/>
              </w:rPr>
              <w:t> </w:t>
            </w:r>
            <w:r>
              <w:rPr>
                <w:rFonts w:ascii="宋体" w:hAnsi="宋体" w:cs="宋体" w:eastAsia="宋体" w:hint="default"/>
                <w:spacing w:val="-4"/>
                <w:sz w:val="18"/>
                <w:szCs w:val="18"/>
              </w:rPr>
              <w:t>个月内，本公司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本人直接或间接转</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让所持老股不超过本公司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有公司老股的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，在锁定期（包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括延长的锁定期）届满后的第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309" w:lineRule="auto" w:before="1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2"/>
                <w:sz w:val="18"/>
                <w:szCs w:val="18"/>
              </w:rPr>
              <w:t> </w:t>
            </w:r>
            <w:r>
              <w:rPr>
                <w:rFonts w:ascii="宋体" w:hAnsi="宋体" w:cs="宋体" w:eastAsia="宋体" w:hint="default"/>
                <w:spacing w:val="-7"/>
                <w:sz w:val="18"/>
                <w:szCs w:val="18"/>
              </w:rPr>
              <w:t>个月内，本公司</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本人直接或间接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转让所持老股不超过在锁定期届满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后第</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个月初本公司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本人直接或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间接持有老股的</w:t>
            </w:r>
            <w:r>
              <w:rPr>
                <w:rFonts w:ascii="宋体" w:hAnsi="宋体" w:cs="宋体" w:eastAsia="宋体" w:hint="default"/>
                <w:spacing w:val="-26"/>
                <w:sz w:val="18"/>
                <w:szCs w:val="18"/>
              </w:rPr>
              <w:t> </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。本公司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本人</w:t>
            </w:r>
            <w:r>
              <w:rPr>
                <w:rFonts w:ascii="宋体" w:hAnsi="宋体" w:cs="宋体" w:eastAsia="宋体" w:hint="default"/>
                <w:spacing w:val="-82"/>
                <w:sz w:val="18"/>
                <w:szCs w:val="18"/>
              </w:rPr>
              <w:t> </w:t>
            </w:r>
            <w:r>
              <w:rPr>
                <w:rFonts w:ascii="宋体" w:hAnsi="宋体" w:cs="宋体" w:eastAsia="宋体" w:hint="default"/>
                <w:spacing w:val="-3"/>
                <w:sz w:val="18"/>
                <w:szCs w:val="18"/>
              </w:rPr>
              <w:t>持有的公司股份的锁定期限（包括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延长的锁定期）届满后，本公司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w:t>
            </w:r>
            <w:r>
              <w:rPr>
                <w:rFonts w:ascii="宋体" w:hAnsi="宋体" w:cs="宋体" w:eastAsia="宋体" w:hint="default"/>
                <w:spacing w:val="-43"/>
                <w:sz w:val="18"/>
                <w:szCs w:val="18"/>
              </w:rPr>
              <w:t> </w:t>
            </w:r>
            <w:r>
              <w:rPr>
                <w:rFonts w:ascii="宋体" w:hAnsi="宋体" w:cs="宋体" w:eastAsia="宋体" w:hint="default"/>
                <w:spacing w:val="-3"/>
                <w:sz w:val="18"/>
                <w:szCs w:val="18"/>
              </w:rPr>
              <w:t>人减持直接或间接所持公司股份</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时，应提前将减持意向和拟减持数</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量等信息以书面方式通知公司，并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由公司及时予以公告，自公告之日</w:t>
            </w:r>
          </w:p>
        </w:tc>
        <w:tc>
          <w:tcPr>
            <w:tcW w:w="1124" w:type="dxa"/>
            <w:vMerge w:val="restart"/>
            <w:tcBorders>
              <w:top w:val="single" w:sz="4" w:space="0" w:color="000000"/>
              <w:left w:val="single" w:sz="4" w:space="0" w:color="000000"/>
              <w:right w:val="single" w:sz="4" w:space="0" w:color="000000"/>
            </w:tcBorders>
          </w:tcPr>
          <w:p>
            <w:pPr>
              <w:pStyle w:val="TableParagraph"/>
              <w:spacing w:line="4350" w:lineRule="exact"/>
              <w:ind w:right="-55"/>
              <w:jc w:val="left"/>
              <w:rPr>
                <w:rFonts w:ascii="宋体" w:hAnsi="宋体" w:cs="宋体" w:eastAsia="宋体" w:hint="default"/>
                <w:sz w:val="20"/>
                <w:szCs w:val="20"/>
              </w:rPr>
            </w:pPr>
            <w:r>
              <w:rPr>
                <w:rFonts w:ascii="宋体" w:hAnsi="宋体" w:cs="宋体" w:eastAsia="宋体" w:hint="default"/>
                <w:position w:val="-86"/>
                <w:sz w:val="20"/>
                <w:szCs w:val="20"/>
              </w:rPr>
              <w:pict>
                <v:group style="width:55.95pt;height:217.55pt;mso-position-horizontal-relative:char;mso-position-vertical-relative:line" coordorigin="0,0" coordsize="1119,4351">
                  <v:group style="position:absolute;left:0;top:0;width:1119;height:4351" coordorigin="0,0" coordsize="1119,4351">
                    <v:shape style="position:absolute;left:0;top:0;width:1119;height:4351" coordorigin="0,0" coordsize="1119,4351" path="m0,4350l1119,4350,1119,0,0,0,0,4350xe" filled="true" fillcolor="#ffffff" stroked="false">
                      <v:path arrowok="t"/>
                      <v:fill type="solid"/>
                    </v:shape>
                  </v:group>
                </v:group>
              </w:pict>
            </w:r>
            <w:r>
              <w:rPr>
                <w:rFonts w:ascii="宋体" w:hAnsi="宋体" w:cs="宋体" w:eastAsia="宋体" w:hint="default"/>
                <w:position w:val="-86"/>
                <w:sz w:val="20"/>
                <w:szCs w:val="20"/>
              </w:rPr>
            </w:r>
          </w:p>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10"/>
              <w:jc w:val="left"/>
              <w:rPr>
                <w:rFonts w:ascii="宋体" w:hAnsi="宋体" w:cs="宋体" w:eastAsia="宋体" w:hint="default"/>
                <w:sz w:val="18"/>
                <w:szCs w:val="18"/>
              </w:rPr>
            </w:pPr>
            <w:r>
              <w:rPr>
                <w:rFonts w:ascii="宋体" w:hAnsi="宋体" w:cs="宋体" w:eastAsia="宋体" w:hint="default"/>
                <w:spacing w:val="-2"/>
                <w:sz w:val="18"/>
                <w:szCs w:val="18"/>
              </w:rPr>
              <w:t>已履行完毕。</w:t>
            </w:r>
          </w:p>
        </w:tc>
      </w:tr>
      <w:tr>
        <w:trPr>
          <w:trHeight w:val="706"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3" w:right="185"/>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资时所作承诺</w:t>
            </w:r>
          </w:p>
        </w:tc>
        <w:tc>
          <w:tcPr>
            <w:tcW w:w="1728" w:type="dxa"/>
            <w:vMerge/>
            <w:tcBorders>
              <w:left w:val="single" w:sz="10" w:space="0" w:color="D2D2D2"/>
              <w:right w:val="single" w:sz="4" w:space="0" w:color="000000"/>
            </w:tcBorders>
          </w:tcPr>
          <w:p>
            <w:pPr/>
          </w:p>
        </w:tc>
        <w:tc>
          <w:tcPr>
            <w:tcW w:w="1124" w:type="dxa"/>
            <w:vMerge/>
            <w:tcBorders>
              <w:left w:val="single" w:sz="4" w:space="0" w:color="000000"/>
              <w:right w:val="single" w:sz="4" w:space="0" w:color="000000"/>
            </w:tcBorders>
          </w:tcPr>
          <w:p>
            <w:pPr/>
          </w:p>
        </w:tc>
        <w:tc>
          <w:tcPr>
            <w:tcW w:w="2790"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4355"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8" w:type="dxa"/>
            <w:vMerge/>
            <w:tcBorders>
              <w:left w:val="single" w:sz="10" w:space="0" w:color="D2D2D2"/>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2790"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r>
        <w:rPr/>
        <w:pict>
          <v:shape style="position:absolute;margin-left:395.158234pt;margin-top:621.045959pt;width:62pt;height:53.8pt;mso-position-horizontal-relative:page;mso-position-vertical-relative:page;z-index:-11834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42"/>
        <w:gridCol w:w="1728"/>
        <w:gridCol w:w="1124"/>
        <w:gridCol w:w="2790"/>
        <w:gridCol w:w="1124"/>
        <w:gridCol w:w="1124"/>
        <w:gridCol w:w="1109"/>
      </w:tblGrid>
      <w:tr>
        <w:trPr>
          <w:trHeight w:val="10971"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17"/>
              <w:jc w:val="both"/>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个交易日后，本公司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本人方可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减持股份。此外，陈坚、陈英在担</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任公司董事、监事、高级管理人员</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期间，每年转让直接或间接持有的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股份不超过本人所持有公司股份总</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数的</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；离职后半年内，不转让</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本人直接或间接持有的公司股份。</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如在公司股票上市交易之日起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w:t>
            </w:r>
            <w:r>
              <w:rPr>
                <w:rFonts w:ascii="宋体" w:hAnsi="宋体" w:cs="宋体" w:eastAsia="宋体" w:hint="default"/>
                <w:spacing w:val="-87"/>
                <w:sz w:val="18"/>
                <w:szCs w:val="18"/>
              </w:rPr>
              <w:t> </w:t>
            </w:r>
            <w:r>
              <w:rPr>
                <w:rFonts w:ascii="宋体" w:hAnsi="宋体" w:cs="宋体" w:eastAsia="宋体" w:hint="default"/>
                <w:spacing w:val="-3"/>
                <w:sz w:val="18"/>
                <w:szCs w:val="18"/>
              </w:rPr>
              <w:t>月内申报离职，则自申报离职之日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起</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4"/>
                <w:sz w:val="18"/>
                <w:szCs w:val="18"/>
              </w:rPr>
              <w:t> </w:t>
            </w:r>
            <w:r>
              <w:rPr>
                <w:rFonts w:ascii="宋体" w:hAnsi="宋体" w:cs="宋体" w:eastAsia="宋体" w:hint="default"/>
                <w:spacing w:val="-7"/>
                <w:sz w:val="18"/>
                <w:szCs w:val="18"/>
              </w:rPr>
              <w:t>个月内，不转让其直接或间接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持有的公司股份；如在股票上市交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易之日起第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个月至第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个月之间</w:t>
            </w:r>
          </w:p>
          <w:p>
            <w:pPr>
              <w:pStyle w:val="TableParagraph"/>
              <w:spacing w:line="307" w:lineRule="auto" w:before="3"/>
              <w:ind w:left="23" w:right="17"/>
              <w:jc w:val="left"/>
              <w:rPr>
                <w:rFonts w:ascii="宋体" w:hAnsi="宋体" w:cs="宋体" w:eastAsia="宋体" w:hint="default"/>
                <w:sz w:val="18"/>
                <w:szCs w:val="18"/>
              </w:rPr>
            </w:pPr>
            <w:r>
              <w:rPr>
                <w:rFonts w:ascii="宋体" w:hAnsi="宋体" w:cs="宋体" w:eastAsia="宋体" w:hint="default"/>
                <w:spacing w:val="-4"/>
                <w:sz w:val="18"/>
                <w:szCs w:val="18"/>
              </w:rPr>
              <w:t>申报离职，则自申报离职之日起</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个月内不转让其直接或间接持有的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公司股份。锁定期届满后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本人减持公司股票的，减持</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价格不低于本次发行并上市时公司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股票的发行价（以下简称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发行价</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pacing w:val="-13"/>
                <w:w w:val="101"/>
                <w:sz w:val="18"/>
                <w:szCs w:val="18"/>
              </w:rPr>
              <w:t>"</w:t>
            </w:r>
            <w:r>
              <w:rPr>
                <w:rFonts w:ascii="宋体" w:hAnsi="宋体" w:cs="宋体" w:eastAsia="宋体" w:hint="default"/>
                <w:spacing w:val="-13"/>
                <w:w w:val="101"/>
                <w:sz w:val="18"/>
                <w:szCs w:val="18"/>
              </w:rPr>
              <w:t>）；公司上市后</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3"/>
                <w:w w:val="101"/>
                <w:sz w:val="18"/>
                <w:szCs w:val="18"/>
              </w:rPr>
              <w:t>个月内如公司股</w:t>
            </w:r>
            <w:r>
              <w:rPr>
                <w:rFonts w:ascii="宋体" w:hAnsi="宋体" w:cs="宋体" w:eastAsia="宋体" w:hint="default"/>
                <w:spacing w:val="-3"/>
                <w:sz w:val="18"/>
                <w:szCs w:val="18"/>
              </w:rPr>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票连续</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于发行价，或者上市后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个月期末</w:t>
            </w:r>
          </w:p>
          <w:p>
            <w:pPr>
              <w:pStyle w:val="TableParagraph"/>
              <w:spacing w:line="309" w:lineRule="auto" w:before="63"/>
              <w:ind w:left="23"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（如该日不是交易日，则该日后第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一个交易日）收盘价低于发行价，</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本人持有股票的锁定期限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将自动延长</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个月。若公司在本次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发行并上市后有派息、送股、资本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公积转增股本等除权除息事项的，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应对发行价进行除权除息处理；如</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本人违反上述承诺或法律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强制性规定减持股份的，本公司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w:t>
            </w:r>
            <w:r>
              <w:rPr>
                <w:rFonts w:ascii="宋体" w:hAnsi="宋体" w:cs="宋体" w:eastAsia="宋体" w:hint="default"/>
                <w:spacing w:val="-43"/>
                <w:sz w:val="18"/>
                <w:szCs w:val="18"/>
              </w:rPr>
              <w:t> </w:t>
            </w:r>
            <w:r>
              <w:rPr>
                <w:rFonts w:ascii="宋体" w:hAnsi="宋体" w:cs="宋体" w:eastAsia="宋体" w:hint="default"/>
                <w:spacing w:val="-3"/>
                <w:sz w:val="18"/>
                <w:szCs w:val="18"/>
              </w:rPr>
              <w:t>人承诺违规减持股票所得归公司所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有，同时本公司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本人持有剩余股份</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的锁定期在原股份锁定期（包括延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长后的锁定期）届满后自动延长</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862"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博信优选（天津）股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权投资基金合伙企业</w:t>
            </w:r>
          </w:p>
          <w:p>
            <w:pPr>
              <w:pStyle w:val="TableParagraph"/>
              <w:spacing w:line="307" w:lineRule="auto" w:before="19"/>
              <w:ind w:left="24" w:right="19"/>
              <w:jc w:val="left"/>
              <w:rPr>
                <w:rFonts w:ascii="宋体" w:hAnsi="宋体" w:cs="宋体" w:eastAsia="宋体" w:hint="default"/>
                <w:sz w:val="18"/>
                <w:szCs w:val="18"/>
              </w:rPr>
            </w:pPr>
            <w:r>
              <w:rPr>
                <w:rFonts w:ascii="宋体" w:hAnsi="宋体" w:cs="宋体" w:eastAsia="宋体" w:hint="default"/>
                <w:spacing w:val="-7"/>
                <w:sz w:val="18"/>
                <w:szCs w:val="18"/>
              </w:rPr>
              <w:t>（有限合伙）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陈根清</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范熊熊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杭州金础创</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业投资合伙企业（有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杭州乾盈投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杭</w:t>
            </w:r>
            <w:r>
              <w:rPr>
                <w:rFonts w:ascii="宋体" w:hAnsi="宋体" w:cs="宋体" w:eastAsia="宋体" w:hint="default"/>
                <w:w w:val="101"/>
                <w:sz w:val="18"/>
                <w:szCs w:val="18"/>
              </w:rPr>
              <w:t> </w:t>
            </w:r>
            <w:r>
              <w:rPr>
                <w:rFonts w:ascii="宋体" w:hAnsi="宋体" w:cs="宋体" w:eastAsia="宋体" w:hint="default"/>
                <w:spacing w:val="-3"/>
                <w:sz w:val="18"/>
                <w:szCs w:val="18"/>
              </w:rPr>
              <w:t>州文诚创业投资有限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杭州易康投资</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持有公司股份的董事、监事和高级</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7"/>
                <w:sz w:val="18"/>
                <w:szCs w:val="18"/>
              </w:rPr>
              <w:t>管理人员黄金明、杨增荣、周军辉</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范熊熊、陈根清、施东圣、吕晓平</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及原公司高级管理人员何玉萍（已</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离职）承诺：自公司股票上市之日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起</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pacing w:val="-7"/>
                <w:sz w:val="18"/>
                <w:szCs w:val="18"/>
              </w:rPr>
              <w:t>个月内，本人不转让或者委托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他人管理本人直接或间接持有的公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司股份，也不由公司回购本人直接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或间接持有的公司股份。在本人任</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1075"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5.95pt;height:53.8pt;mso-position-horizontal-relative:char;mso-position-vertical-relative:line" coordorigin="0,0" coordsize="1119,1076">
                  <v:group style="position:absolute;left:0;top:0;width:1119;height:1076" coordorigin="0,0" coordsize="1119,1076">
                    <v:shape style="position:absolute;left:0;top:0;width:1119;height:1076" coordorigin="0,0" coordsize="1119,1076" path="m0,1076l1119,1076,1119,0,0,0,0,1076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8"/>
                <w:szCs w:val="28"/>
              </w:rPr>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10"/>
              <w:jc w:val="left"/>
              <w:rPr>
                <w:rFonts w:ascii="宋体" w:hAnsi="宋体" w:cs="宋体" w:eastAsia="宋体" w:hint="default"/>
                <w:sz w:val="18"/>
                <w:szCs w:val="18"/>
              </w:rPr>
            </w:pPr>
            <w:r>
              <w:rPr>
                <w:rFonts w:ascii="宋体" w:hAnsi="宋体" w:cs="宋体" w:eastAsia="宋体" w:hint="default"/>
                <w:spacing w:val="-2"/>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r>
        <w:rPr/>
        <w:pict>
          <v:shape style="position:absolute;margin-left:395.158234pt;margin-top:72.499985pt;width:62pt;height:641.7pt;mso-position-horizontal-relative:page;mso-position-vertical-relative:page;z-index:-11834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842"/>
        <w:gridCol w:w="1728"/>
        <w:gridCol w:w="1124"/>
        <w:gridCol w:w="2790"/>
        <w:gridCol w:w="1124"/>
        <w:gridCol w:w="1124"/>
        <w:gridCol w:w="1112"/>
      </w:tblGrid>
      <w:tr>
        <w:trPr>
          <w:trHeight w:val="12843"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4" w:right="204"/>
              <w:jc w:val="left"/>
              <w:rPr>
                <w:rFonts w:ascii="宋体" w:hAnsi="宋体" w:cs="宋体" w:eastAsia="宋体" w:hint="default"/>
                <w:sz w:val="18"/>
                <w:szCs w:val="18"/>
              </w:rPr>
            </w:pPr>
            <w:r>
              <w:rPr>
                <w:rFonts w:ascii="宋体" w:hAnsi="宋体" w:cs="宋体" w:eastAsia="宋体" w:hint="default"/>
                <w:spacing w:val="-3"/>
                <w:sz w:val="18"/>
                <w:szCs w:val="18"/>
              </w:rPr>
              <w:t>管理有限公司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杭州</w:t>
            </w:r>
            <w:r>
              <w:rPr>
                <w:rFonts w:ascii="宋体" w:hAnsi="宋体" w:cs="宋体" w:eastAsia="宋体" w:hint="default"/>
                <w:spacing w:val="-67"/>
                <w:sz w:val="18"/>
                <w:szCs w:val="18"/>
              </w:rPr>
              <w:t> </w:t>
            </w:r>
            <w:r>
              <w:rPr>
                <w:rFonts w:ascii="宋体" w:hAnsi="宋体" w:cs="宋体" w:eastAsia="宋体" w:hint="default"/>
                <w:sz w:val="18"/>
                <w:szCs w:val="18"/>
              </w:rPr>
              <w:t>盈沛投资合伙企业</w:t>
            </w:r>
          </w:p>
          <w:p>
            <w:pPr>
              <w:pStyle w:val="TableParagraph"/>
              <w:spacing w:line="304" w:lineRule="auto" w:before="31"/>
              <w:ind w:left="24" w:right="21"/>
              <w:jc w:val="left"/>
              <w:rPr>
                <w:rFonts w:ascii="宋体" w:hAnsi="宋体" w:cs="宋体" w:eastAsia="宋体" w:hint="default"/>
                <w:sz w:val="18"/>
                <w:szCs w:val="18"/>
              </w:rPr>
            </w:pPr>
            <w:r>
              <w:rPr>
                <w:rFonts w:ascii="宋体" w:hAnsi="宋体" w:cs="宋体" w:eastAsia="宋体" w:hint="default"/>
                <w:spacing w:val="-3"/>
                <w:sz w:val="18"/>
                <w:szCs w:val="18"/>
              </w:rPr>
              <w:t>（有限合伙）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杭州正</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浩投资管理有限公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何玉萍</w:t>
            </w:r>
            <w:r>
              <w:rPr>
                <w:rFonts w:ascii="Times New Roman" w:hAnsi="Times New Roman" w:cs="Times New Roman" w:eastAsia="Times New Roman" w:hint="default"/>
                <w:sz w:val="18"/>
                <w:szCs w:val="18"/>
              </w:rPr>
              <w:t>;</w:t>
            </w:r>
            <w:r>
              <w:rPr>
                <w:rFonts w:ascii="宋体" w:hAnsi="宋体" w:cs="宋体" w:eastAsia="宋体" w:hint="default"/>
                <w:sz w:val="18"/>
                <w:szCs w:val="18"/>
              </w:rPr>
              <w:t>黄金明</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r>
              <w:rPr>
                <w:rFonts w:ascii="宋体" w:hAnsi="宋体" w:cs="宋体" w:eastAsia="宋体" w:hint="default"/>
                <w:w w:val="101"/>
                <w:sz w:val="18"/>
                <w:szCs w:val="18"/>
              </w:rPr>
              <w:t> </w:t>
            </w:r>
            <w:r>
              <w:rPr>
                <w:rFonts w:ascii="宋体" w:hAnsi="宋体" w:cs="宋体" w:eastAsia="宋体" w:hint="default"/>
                <w:sz w:val="18"/>
                <w:szCs w:val="18"/>
              </w:rPr>
              <w:t>成</w:t>
            </w:r>
            <w:r>
              <w:rPr>
                <w:rFonts w:ascii="Times New Roman" w:hAnsi="Times New Roman" w:cs="Times New Roman" w:eastAsia="Times New Roman" w:hint="default"/>
                <w:sz w:val="18"/>
                <w:szCs w:val="18"/>
              </w:rPr>
              <w:t>;</w:t>
            </w:r>
            <w:r>
              <w:rPr>
                <w:rFonts w:ascii="宋体" w:hAnsi="宋体" w:cs="宋体" w:eastAsia="宋体" w:hint="default"/>
                <w:sz w:val="18"/>
                <w:szCs w:val="18"/>
              </w:rPr>
              <w:t>吕晓平</w:t>
            </w:r>
            <w:r>
              <w:rPr>
                <w:rFonts w:ascii="Times New Roman" w:hAnsi="Times New Roman" w:cs="Times New Roman" w:eastAsia="Times New Roman" w:hint="default"/>
                <w:sz w:val="18"/>
                <w:szCs w:val="18"/>
              </w:rPr>
              <w:t>;</w:t>
            </w:r>
            <w:r>
              <w:rPr>
                <w:rFonts w:ascii="宋体" w:hAnsi="宋体" w:cs="宋体" w:eastAsia="宋体" w:hint="default"/>
                <w:sz w:val="18"/>
                <w:szCs w:val="18"/>
              </w:rPr>
              <w:t>青岛金石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灏汭投资有限公司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施东圣</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新余鼎峰鲲</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鹏投资管理中心（有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8"/>
                <w:sz w:val="18"/>
                <w:szCs w:val="18"/>
              </w:rPr>
              <w:t>限合伙）</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杨增荣</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浙江</w:t>
            </w:r>
            <w:r>
              <w:rPr>
                <w:rFonts w:ascii="宋体" w:hAnsi="宋体" w:cs="宋体" w:eastAsia="宋体" w:hint="default"/>
                <w:spacing w:val="-59"/>
                <w:sz w:val="18"/>
                <w:szCs w:val="18"/>
              </w:rPr>
              <w:t> </w:t>
            </w:r>
            <w:r>
              <w:rPr>
                <w:rFonts w:ascii="宋体" w:hAnsi="宋体" w:cs="宋体" w:eastAsia="宋体" w:hint="default"/>
                <w:spacing w:val="-3"/>
                <w:sz w:val="18"/>
                <w:szCs w:val="18"/>
              </w:rPr>
              <w:t>海宁嘉慧投资合伙企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业（有限合伙）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浙江</w:t>
            </w:r>
            <w:r>
              <w:rPr>
                <w:rFonts w:ascii="宋体" w:hAnsi="宋体" w:cs="宋体" w:eastAsia="宋体" w:hint="default"/>
                <w:spacing w:val="-66"/>
                <w:sz w:val="18"/>
                <w:szCs w:val="18"/>
              </w:rPr>
              <w:t> </w:t>
            </w:r>
            <w:r>
              <w:rPr>
                <w:rFonts w:ascii="宋体" w:hAnsi="宋体" w:cs="宋体" w:eastAsia="宋体" w:hint="default"/>
                <w:spacing w:val="-3"/>
                <w:sz w:val="18"/>
                <w:szCs w:val="18"/>
              </w:rPr>
              <w:t>合力创业投资有限公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浙江连连投资有</w:t>
            </w:r>
            <w:r>
              <w:rPr>
                <w:rFonts w:ascii="宋体" w:hAnsi="宋体" w:cs="宋体" w:eastAsia="宋体" w:hint="default"/>
                <w:w w:val="101"/>
                <w:sz w:val="18"/>
                <w:szCs w:val="18"/>
              </w:rPr>
              <w:t> </w:t>
            </w:r>
            <w:r>
              <w:rPr>
                <w:rFonts w:ascii="宋体" w:hAnsi="宋体" w:cs="宋体" w:eastAsia="宋体" w:hint="default"/>
                <w:spacing w:val="-3"/>
                <w:sz w:val="18"/>
                <w:szCs w:val="18"/>
              </w:rPr>
              <w:t>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浙江盈瓯创</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业投资有限公司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周</w:t>
            </w:r>
            <w:r>
              <w:rPr>
                <w:rFonts w:ascii="宋体" w:hAnsi="宋体" w:cs="宋体" w:eastAsia="宋体" w:hint="default"/>
                <w:w w:val="101"/>
                <w:sz w:val="18"/>
                <w:szCs w:val="18"/>
              </w:rPr>
              <w:t> </w:t>
            </w:r>
            <w:r>
              <w:rPr>
                <w:rFonts w:ascii="宋体" w:hAnsi="宋体" w:cs="宋体" w:eastAsia="宋体" w:hint="default"/>
                <w:sz w:val="18"/>
                <w:szCs w:val="18"/>
              </w:rPr>
              <w:t>军辉</w:t>
            </w:r>
          </w:p>
        </w:tc>
        <w:tc>
          <w:tcPr>
            <w:tcW w:w="1124" w:type="dxa"/>
            <w:tcBorders>
              <w:top w:val="single" w:sz="4" w:space="0" w:color="000000"/>
              <w:left w:val="single" w:sz="4" w:space="0" w:color="000000"/>
              <w:bottom w:val="single" w:sz="4" w:space="0" w:color="000000"/>
              <w:right w:val="single" w:sz="4" w:space="0" w:color="000000"/>
            </w:tcBorders>
          </w:tcPr>
          <w:p>
            <w:pP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31"/>
              <w:jc w:val="both"/>
              <w:rPr>
                <w:rFonts w:ascii="宋体" w:hAnsi="宋体" w:cs="宋体" w:eastAsia="宋体" w:hint="default"/>
                <w:sz w:val="18"/>
                <w:szCs w:val="18"/>
              </w:rPr>
            </w:pPr>
            <w:r>
              <w:rPr>
                <w:rFonts w:ascii="宋体" w:hAnsi="宋体" w:cs="宋体" w:eastAsia="宋体" w:hint="default"/>
                <w:spacing w:val="-3"/>
                <w:sz w:val="18"/>
                <w:szCs w:val="18"/>
              </w:rPr>
              <w:t>职期间每年转让直接或间接持有的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公司股份不超过本人所持有公司股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份总数的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w:t>
            </w:r>
            <w:r>
              <w:rPr>
                <w:rFonts w:ascii="宋体" w:hAnsi="宋体" w:cs="宋体" w:eastAsia="宋体" w:hint="default"/>
                <w:w w:val="101"/>
                <w:sz w:val="18"/>
                <w:szCs w:val="18"/>
              </w:rPr>
              <w:t> </w:t>
            </w:r>
            <w:r>
              <w:rPr>
                <w:rFonts w:ascii="宋体" w:hAnsi="宋体" w:cs="宋体" w:eastAsia="宋体" w:hint="default"/>
                <w:spacing w:val="-3"/>
                <w:sz w:val="18"/>
                <w:szCs w:val="18"/>
              </w:rPr>
              <w:t>转让本人直接或间接持有的公司股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份。如在公司股票上市交易之日起</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4"/>
                <w:sz w:val="18"/>
                <w:szCs w:val="18"/>
              </w:rPr>
              <w:t> </w:t>
            </w:r>
            <w:r>
              <w:rPr>
                <w:rFonts w:ascii="宋体" w:hAnsi="宋体" w:cs="宋体" w:eastAsia="宋体" w:hint="default"/>
                <w:spacing w:val="-3"/>
                <w:sz w:val="18"/>
                <w:szCs w:val="18"/>
              </w:rPr>
              <w:t>个月内申报离职，则自申报离职</w:t>
            </w:r>
          </w:p>
          <w:p>
            <w:pPr>
              <w:pStyle w:val="TableParagraph"/>
              <w:spacing w:line="309" w:lineRule="auto" w:before="1"/>
              <w:ind w:left="23" w:right="17"/>
              <w:jc w:val="both"/>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pacing w:val="-8"/>
                <w:sz w:val="18"/>
                <w:szCs w:val="18"/>
              </w:rPr>
              <w:t>个月内，不转让其直接或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间接持有的公司股份；如在股票上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市交易之日起第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个月至第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w:t>
            </w:r>
            <w:r>
              <w:rPr>
                <w:rFonts w:ascii="宋体" w:hAnsi="宋体" w:cs="宋体" w:eastAsia="宋体" w:hint="default"/>
                <w:spacing w:val="-88"/>
                <w:sz w:val="18"/>
                <w:szCs w:val="18"/>
              </w:rPr>
              <w:t> </w:t>
            </w:r>
            <w:r>
              <w:rPr>
                <w:rFonts w:ascii="宋体" w:hAnsi="宋体" w:cs="宋体" w:eastAsia="宋体" w:hint="default"/>
                <w:spacing w:val="-3"/>
                <w:sz w:val="18"/>
                <w:szCs w:val="18"/>
              </w:rPr>
              <w:t>之间申报离职，则自申报离职之日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个月内不转让其直接或间接</w:t>
            </w:r>
          </w:p>
          <w:p>
            <w:pPr>
              <w:pStyle w:val="TableParagraph"/>
              <w:spacing w:line="304" w:lineRule="auto" w:before="5"/>
              <w:ind w:left="23" w:right="14"/>
              <w:jc w:val="left"/>
              <w:rPr>
                <w:rFonts w:ascii="宋体" w:hAnsi="宋体" w:cs="宋体" w:eastAsia="宋体" w:hint="default"/>
                <w:sz w:val="18"/>
                <w:szCs w:val="18"/>
              </w:rPr>
            </w:pPr>
            <w:r>
              <w:rPr>
                <w:rFonts w:ascii="宋体" w:hAnsi="宋体" w:cs="宋体" w:eastAsia="宋体" w:hint="default"/>
                <w:spacing w:val="-3"/>
                <w:sz w:val="18"/>
                <w:szCs w:val="18"/>
              </w:rPr>
              <w:t>持有的公司股份。锁定期届满后</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年内，本公司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本人减持公司股票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的，减持价格不低于本次发行并上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市时公司股票的发行价（以下简称</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pacing w:val="-10"/>
                <w:w w:val="101"/>
                <w:sz w:val="18"/>
                <w:szCs w:val="18"/>
              </w:rPr>
              <w:t>发行价</w:t>
            </w:r>
            <w:r>
              <w:rPr>
                <w:rFonts w:ascii="Times New Roman" w:hAnsi="Times New Roman" w:cs="Times New Roman" w:eastAsia="Times New Roman" w:hint="default"/>
                <w:spacing w:val="-10"/>
                <w:w w:val="101"/>
                <w:sz w:val="18"/>
                <w:szCs w:val="18"/>
              </w:rPr>
              <w:t>"</w:t>
            </w:r>
            <w:r>
              <w:rPr>
                <w:rFonts w:ascii="宋体" w:hAnsi="宋体" w:cs="宋体" w:eastAsia="宋体" w:hint="default"/>
                <w:spacing w:val="-10"/>
                <w:w w:val="101"/>
                <w:sz w:val="18"/>
                <w:szCs w:val="18"/>
              </w:rPr>
              <w:t>）；公司上市后</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7"/>
                <w:w w:val="101"/>
                <w:sz w:val="18"/>
                <w:szCs w:val="18"/>
              </w:rPr>
              <w:t> </w:t>
            </w:r>
            <w:r>
              <w:rPr>
                <w:rFonts w:ascii="宋体" w:hAnsi="宋体" w:cs="宋体" w:eastAsia="宋体" w:hint="default"/>
                <w:spacing w:val="-2"/>
                <w:w w:val="101"/>
                <w:sz w:val="18"/>
                <w:szCs w:val="18"/>
              </w:rPr>
              <w:t>个月内如</w:t>
            </w:r>
            <w:r>
              <w:rPr>
                <w:rFonts w:ascii="宋体" w:hAnsi="宋体" w:cs="宋体" w:eastAsia="宋体" w:hint="default"/>
                <w:spacing w:val="-2"/>
                <w:sz w:val="18"/>
                <w:szCs w:val="18"/>
              </w:rPr>
            </w:r>
          </w:p>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公司股票连续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个交易日的收盘</w:t>
            </w:r>
          </w:p>
          <w:p>
            <w:pPr>
              <w:pStyle w:val="TableParagraph"/>
              <w:spacing w:line="309" w:lineRule="auto" w:before="63"/>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价均低于发行价，或者上市后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w:t>
            </w:r>
            <w:r>
              <w:rPr>
                <w:rFonts w:ascii="宋体" w:hAnsi="宋体" w:cs="宋体" w:eastAsia="宋体" w:hint="default"/>
                <w:spacing w:val="-87"/>
                <w:sz w:val="18"/>
                <w:szCs w:val="18"/>
              </w:rPr>
              <w:t> </w:t>
            </w:r>
            <w:r>
              <w:rPr>
                <w:rFonts w:ascii="宋体" w:hAnsi="宋体" w:cs="宋体" w:eastAsia="宋体" w:hint="default"/>
                <w:spacing w:val="-3"/>
                <w:sz w:val="18"/>
                <w:szCs w:val="18"/>
              </w:rPr>
              <w:t>月期末（如该日不是交易日，则该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日后第一个交易日）收盘价低于发</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行价，本公司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本人持有股票的锁定</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期限将自动延长</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个月。若公司在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本次发行并上市后有派息、送股、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资本公积转增股本等除权除息事项</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sz w:val="18"/>
                <w:szCs w:val="18"/>
              </w:rPr>
              <w:t>的，应对发行价进行除权除息处理</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如本公司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本人违反上述承诺或法</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律强制性规定减持股份的，本公司</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本人承诺违规减持股票所得归公司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所有，同时本公司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本人持有剩余股</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份的锁定期在原股份锁定期（包括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延长后的锁定期）届满后自动延长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年。公司股东易康投资、正浩投</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资、博信优选、合力创投、盈瓯创</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投、连连投资、青岛金石、海宁嘉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慧、乾盈投资、新余鼎峰、金础创</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投、李成、盈沛投资、文诚创投承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诺：自公司首次公开发行的股票上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市之日起</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pacing w:val="-9"/>
                <w:sz w:val="18"/>
                <w:szCs w:val="18"/>
              </w:rPr>
              <w:t>个月内，不转让或者委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托他人管理本单位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本人所持有的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公司股份，也不由公司回购本单位</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本人所持有的股份。</w:t>
            </w:r>
            <w:r>
              <w:rPr>
                <w:rFonts w:ascii="Times New Roman" w:hAnsi="Times New Roman" w:cs="Times New Roman" w:eastAsia="Times New Roman" w:hint="default"/>
                <w:sz w:val="18"/>
                <w:szCs w:val="18"/>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12833"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6"/>
                <w:sz w:val="20"/>
                <w:szCs w:val="20"/>
              </w:rPr>
              <w:pict>
                <v:group style="width:55.95pt;height:641.7pt;mso-position-horizontal-relative:char;mso-position-vertical-relative:line" coordorigin="0,0" coordsize="1119,12834">
                  <v:group style="position:absolute;left:0;top:0;width:1119;height:12834" coordorigin="0,0" coordsize="1119,12834">
                    <v:shape style="position:absolute;left:0;top:0;width:1119;height:12834" coordorigin="0,0" coordsize="1119,12834" path="m0,12834l1119,12834,1119,0,0,0,0,12834xe" filled="true" fillcolor="#ffffff" stroked="false">
                      <v:path arrowok="t"/>
                      <v:fill type="solid"/>
                    </v:shape>
                  </v:group>
                </v:group>
              </w:pict>
            </w:r>
            <w:r>
              <w:rPr>
                <w:rFonts w:ascii="Times New Roman" w:hAnsi="Times New Roman" w:cs="Times New Roman" w:eastAsia="Times New Roman" w:hint="default"/>
                <w:position w:val="-256"/>
                <w:sz w:val="20"/>
                <w:szCs w:val="20"/>
              </w:rPr>
            </w:r>
          </w:p>
        </w:tc>
        <w:tc>
          <w:tcPr>
            <w:tcW w:w="112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杭州正元企业管理咨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李琳</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pacing w:val="-2"/>
                <w:sz w:val="18"/>
                <w:szCs w:val="18"/>
              </w:rPr>
              <w:t>股份减持承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78"/>
              <w:ind w:left="23" w:right="17"/>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在锁定期（包括延长的锁定期）届</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4"/>
                <w:sz w:val="18"/>
                <w:szCs w:val="18"/>
              </w:rPr>
              <w:t>满后，关于减持本公司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本人于本次</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发行前已直接或间接持有的老股</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7"/>
              <w:jc w:val="left"/>
              <w:rPr>
                <w:rFonts w:ascii="宋体" w:hAnsi="宋体" w:cs="宋体" w:eastAsia="宋体" w:hint="default"/>
                <w:sz w:val="18"/>
                <w:szCs w:val="18"/>
              </w:rPr>
            </w:pPr>
            <w:r>
              <w:rPr>
                <w:rFonts w:ascii="宋体" w:hAnsi="宋体" w:cs="宋体" w:eastAsia="宋体" w:hint="default"/>
                <w:spacing w:val="-2"/>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r>
        <w:rPr/>
        <w:pict>
          <v:shape style="position:absolute;margin-left:395.158234pt;margin-top:72.505981pt;width:62pt;height:688.55pt;mso-position-horizontal-relative:page;mso-position-vertical-relative:page;z-index:-11833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42"/>
        <w:gridCol w:w="1728"/>
        <w:gridCol w:w="1124"/>
        <w:gridCol w:w="2790"/>
        <w:gridCol w:w="1124"/>
        <w:gridCol w:w="1124"/>
        <w:gridCol w:w="1109"/>
      </w:tblGrid>
      <w:tr>
        <w:trPr>
          <w:trHeight w:val="321"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728"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27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（不包括本公司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本人在本次发行</w:t>
            </w:r>
          </w:p>
        </w:tc>
        <w:tc>
          <w:tcPr>
            <w:tcW w:w="1124" w:type="dxa"/>
            <w:vMerge w:val="restart"/>
            <w:tcBorders>
              <w:top w:val="single" w:sz="4" w:space="0" w:color="000000"/>
              <w:left w:val="single" w:sz="4" w:space="0" w:color="000000"/>
              <w:right w:val="single" w:sz="4" w:space="0" w:color="000000"/>
            </w:tcBorders>
          </w:tcPr>
          <w:p>
            <w:pPr>
              <w:pStyle w:val="TableParagraph"/>
              <w:spacing w:line="13770"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95pt;height:688.55pt;mso-position-horizontal-relative:char;mso-position-vertical-relative:line" coordorigin="0,0" coordsize="1119,13771">
                  <v:group style="position:absolute;left:0;top:0;width:1119;height:13771" coordorigin="0,0" coordsize="1119,13771">
                    <v:shape style="position:absolute;left:0;top:0;width:1119;height:13771" coordorigin="0,0" coordsize="1119,13771" path="m0,13770l1119,13770,1119,0,0,0,0,1377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股票后从公开市场中新买入的股</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份）事项，本公司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本人承诺如下：</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在锁定期（包括延长的锁定期）届</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满后的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个月内，本公司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本人直</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接或间接转让所持老股不超过本公</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本人持有公司老股的</w:t>
            </w:r>
            <w:r>
              <w:rPr>
                <w:rFonts w:ascii="宋体" w:hAnsi="宋体" w:cs="宋体" w:eastAsia="宋体" w:hint="default"/>
                <w:spacing w:val="-28"/>
                <w:sz w:val="18"/>
                <w:szCs w:val="18"/>
              </w:rPr>
              <w:t> </w:t>
            </w:r>
            <w:r>
              <w:rPr>
                <w:rFonts w:ascii="Times New Roman" w:hAnsi="Times New Roman" w:cs="Times New Roman" w:eastAsia="Times New Roman" w:hint="default"/>
                <w:spacing w:val="-8"/>
                <w:sz w:val="18"/>
                <w:szCs w:val="18"/>
              </w:rPr>
              <w:t>15%</w:t>
            </w:r>
            <w:r>
              <w:rPr>
                <w:rFonts w:ascii="宋体" w:hAnsi="宋体" w:cs="宋体" w:eastAsia="宋体" w:hint="default"/>
                <w:spacing w:val="-8"/>
                <w:sz w:val="18"/>
                <w:szCs w:val="18"/>
              </w:rPr>
              <w:t>，在锁</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定期（包括延长的锁定期）届满后</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个月内，本公司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直接或间接转让所持老股不超过在</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锁定期届满后第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个月初本公司</w:t>
            </w:r>
            <w:r>
              <w:rPr>
                <w:rFonts w:ascii="Times New Roman" w:hAnsi="Times New Roman" w:cs="Times New Roman" w:eastAsia="Times New Roman" w:hint="default"/>
                <w:spacing w:val="-3"/>
                <w:sz w:val="18"/>
                <w:szCs w:val="18"/>
              </w:rPr>
              <w:t>/</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本人直接或间接持有老股的</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本人持有的公司股份的锁</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定期限（包括延长的锁定期）届满</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后，本公司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本人减持直接或间接所</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持公司股份时，应提前将减持意向</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和拟减持数量等信息以书面方式通</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知公司，并由公司及时予以公告，</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自公告之日起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个交易日后，本公</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4"/>
                <w:sz w:val="18"/>
                <w:szCs w:val="18"/>
              </w:rPr>
              <w:t>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本人方可减持股份。锁定期届满</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后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年内，本公司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本人减持公司股</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票的，减持价格不低于本次发行并</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上市时公司股票的发行价（以下简</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称</w:t>
            </w:r>
            <w:r>
              <w:rPr>
                <w:rFonts w:ascii="Times New Roman" w:hAnsi="Times New Roman" w:cs="Times New Roman" w:eastAsia="Times New Roman" w:hint="default"/>
                <w:spacing w:val="-3"/>
                <w:w w:val="101"/>
                <w:sz w:val="18"/>
                <w:szCs w:val="18"/>
              </w:rPr>
              <w:t>"</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价</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96"/>
                <w:w w:val="101"/>
                <w:sz w:val="18"/>
                <w:szCs w:val="18"/>
              </w:rPr>
              <w:t>）</w:t>
            </w:r>
            <w:r>
              <w:rPr>
                <w:rFonts w:ascii="宋体" w:hAnsi="宋体" w:cs="宋体" w:eastAsia="宋体" w:hint="default"/>
                <w:spacing w:val="-25"/>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上</w:t>
            </w:r>
            <w:r>
              <w:rPr>
                <w:rFonts w:ascii="宋体" w:hAnsi="宋体" w:cs="宋体" w:eastAsia="宋体" w:hint="default"/>
                <w:w w:val="101"/>
                <w:sz w:val="18"/>
                <w:szCs w:val="18"/>
              </w:rPr>
              <w:t>市后</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个</w:t>
            </w:r>
            <w:r>
              <w:rPr>
                <w:rFonts w:ascii="宋体" w:hAnsi="宋体" w:cs="宋体" w:eastAsia="宋体" w:hint="default"/>
                <w:w w:val="101"/>
                <w:sz w:val="18"/>
                <w:szCs w:val="18"/>
              </w:rPr>
              <w:t>月内</w:t>
            </w:r>
            <w:r>
              <w:rPr>
                <w:rFonts w:ascii="宋体" w:hAnsi="宋体" w:cs="宋体" w:eastAsia="宋体" w:hint="default"/>
                <w:sz w:val="18"/>
                <w:szCs w:val="18"/>
              </w:rPr>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如公司股票连续</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盘价均低于发行价，或者上市后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个月期末（如该日不是交易日，则</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该日后第一个交易日）收盘价低于</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发行价，本公司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本人持有股票的锁</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定期限将自动延长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个月。若公司</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7"/>
                <w:sz w:val="18"/>
                <w:szCs w:val="18"/>
              </w:rPr>
              <w:t>在本次发行并上市后有派息、送股</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资本公积转增股本等除权除息事项</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的，应对发行价进行除权除息处理</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如本公司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本人违反上述承诺或法</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律强制性规定减持股份的，本公司</w:t>
            </w:r>
            <w:r>
              <w:rPr>
                <w:rFonts w:ascii="Times New Roman" w:hAnsi="Times New Roman" w:cs="Times New Roman" w:eastAsia="Times New Roman" w:hint="default"/>
                <w:spacing w:val="-4"/>
                <w:sz w:val="18"/>
                <w:szCs w:val="18"/>
              </w:rPr>
              <w:t>/</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本人承诺违规减持股票所得归公司</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所有，同时本公司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本人持有剩余股</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份的锁定期在原股份锁定期（包括</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延长后的锁定期）届满后自动延长</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pacing w:val="-3"/>
                <w:sz w:val="18"/>
                <w:szCs w:val="18"/>
              </w:rPr>
              <w:t>年。杭州正元企业管理咨询有限</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公司还承诺如本单位未将违规减持</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所得上缴发行人，则发行人有权将</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4"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应付本单位现金分红中与违规减持</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54"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728"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27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所得相等的金额收归发行人所有。</w:t>
            </w:r>
            <w:r>
              <w:rPr>
                <w:rFonts w:ascii="Times New Roman" w:hAnsi="Times New Roman" w:cs="Times New Roman" w:eastAsia="Times New Roman" w:hint="default"/>
                <w:spacing w:val="-5"/>
                <w:sz w:val="18"/>
                <w:szCs w:val="18"/>
              </w:rPr>
              <w:t>"</w:t>
            </w:r>
          </w:p>
        </w:tc>
        <w:tc>
          <w:tcPr>
            <w:tcW w:w="1124"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42"/>
        <w:gridCol w:w="1728"/>
        <w:gridCol w:w="1124"/>
        <w:gridCol w:w="2790"/>
        <w:gridCol w:w="1124"/>
        <w:gridCol w:w="1124"/>
        <w:gridCol w:w="1112"/>
      </w:tblGrid>
      <w:tr>
        <w:trPr>
          <w:trHeight w:val="8206"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23"/>
              <w:ind w:left="24" w:right="70"/>
              <w:jc w:val="left"/>
              <w:rPr>
                <w:rFonts w:ascii="宋体" w:hAnsi="宋体" w:cs="宋体" w:eastAsia="宋体" w:hint="default"/>
                <w:sz w:val="18"/>
                <w:szCs w:val="18"/>
              </w:rPr>
            </w:pPr>
            <w:r>
              <w:rPr>
                <w:rFonts w:ascii="宋体" w:hAnsi="宋体" w:cs="宋体" w:eastAsia="宋体" w:hint="default"/>
                <w:spacing w:val="-3"/>
                <w:sz w:val="18"/>
                <w:szCs w:val="18"/>
              </w:rPr>
              <w:t>博信优选（天津）股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权投资基金合伙企业</w:t>
            </w:r>
          </w:p>
          <w:p>
            <w:pPr>
              <w:pStyle w:val="TableParagraph"/>
              <w:spacing w:line="307" w:lineRule="auto" w:before="22"/>
              <w:ind w:left="24" w:right="21"/>
              <w:jc w:val="left"/>
              <w:rPr>
                <w:rFonts w:ascii="宋体" w:hAnsi="宋体" w:cs="宋体" w:eastAsia="宋体" w:hint="default"/>
                <w:sz w:val="18"/>
                <w:szCs w:val="18"/>
              </w:rPr>
            </w:pPr>
            <w:r>
              <w:rPr>
                <w:rFonts w:ascii="宋体" w:hAnsi="宋体" w:cs="宋体" w:eastAsia="宋体" w:hint="default"/>
                <w:spacing w:val="-3"/>
                <w:sz w:val="18"/>
                <w:szCs w:val="18"/>
              </w:rPr>
              <w:t>（有限合伙）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杭州易</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康投资管理有限公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杭州正浩投资管</w:t>
            </w:r>
            <w:r>
              <w:rPr>
                <w:rFonts w:ascii="宋体" w:hAnsi="宋体" w:cs="宋体" w:eastAsia="宋体" w:hint="default"/>
                <w:w w:val="101"/>
                <w:sz w:val="18"/>
                <w:szCs w:val="18"/>
              </w:rPr>
              <w:t> </w:t>
            </w:r>
            <w:r>
              <w:rPr>
                <w:rFonts w:ascii="宋体" w:hAnsi="宋体" w:cs="宋体" w:eastAsia="宋体" w:hint="default"/>
                <w:sz w:val="18"/>
                <w:szCs w:val="18"/>
              </w:rPr>
              <w:t>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浙江合</w:t>
            </w:r>
            <w:r>
              <w:rPr>
                <w:rFonts w:ascii="宋体" w:hAnsi="宋体" w:cs="宋体" w:eastAsia="宋体" w:hint="default"/>
                <w:w w:val="101"/>
                <w:sz w:val="18"/>
                <w:szCs w:val="18"/>
              </w:rPr>
              <w:t> </w:t>
            </w:r>
            <w:r>
              <w:rPr>
                <w:rFonts w:ascii="宋体" w:hAnsi="宋体" w:cs="宋体" w:eastAsia="宋体" w:hint="default"/>
                <w:spacing w:val="-3"/>
                <w:sz w:val="18"/>
                <w:szCs w:val="18"/>
              </w:rPr>
              <w:t>力创业投资有限公司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pacing w:val="-2"/>
                <w:sz w:val="18"/>
                <w:szCs w:val="18"/>
              </w:rPr>
              <w:t>股份减持承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在锁定期（包括延长的锁定期）届</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满后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年内，本企业将根据公司经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营、资本市场、自身资金需求等情</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况综合分析决定减持数量。本单位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的减持价格将均不低于公司上一年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度经审计的每股净资产值及股票首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次公开发行的价格。若公司已发生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派息、送股、资本公积转增股本等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除权除息事项，则上述减持价格指</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公司股票复权后的价格；本单位持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有的公司股份的锁定期限（包括延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长的锁定期）届满后，本单位减持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持有的公司股份时，应提前将减持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意向和拟减持数量等信息以书面方</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式通知公司，并由公司及时予以公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告，自公司公告之日起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个交易日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后，本单位方可以减持股份；如本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单位违反上述承诺或法律强制性规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定减持股份的，本单位承诺违规减</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持股票所得归公司所有，同时本单</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位所持有的剩余股份的锁定期在原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股份锁定期届满后自动延长</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年。</w:t>
            </w:r>
            <w:r>
              <w:rPr>
                <w:rFonts w:ascii="宋体" w:hAnsi="宋体" w:cs="宋体" w:eastAsia="宋体" w:hint="default"/>
                <w:spacing w:val="-73"/>
                <w:sz w:val="18"/>
                <w:szCs w:val="18"/>
              </w:rPr>
              <w:t> </w:t>
            </w:r>
            <w:r>
              <w:rPr>
                <w:rFonts w:ascii="宋体" w:hAnsi="宋体" w:cs="宋体" w:eastAsia="宋体" w:hint="default"/>
                <w:spacing w:val="-3"/>
                <w:sz w:val="18"/>
                <w:szCs w:val="18"/>
              </w:rPr>
              <w:t>如本单位未将违规减持所得上缴发</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行人，则发行人有权将应付本单位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现金分红中与违规减持所得相等的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金额收归发行人所有。</w:t>
            </w:r>
            <w:r>
              <w:rPr>
                <w:rFonts w:ascii="Times New Roman" w:hAnsi="Times New Roman" w:cs="Times New Roman" w:eastAsia="Times New Roman" w:hint="default"/>
                <w:sz w:val="18"/>
                <w:szCs w:val="18"/>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7"/>
              <w:jc w:val="right"/>
              <w:rPr>
                <w:rFonts w:ascii="宋体" w:hAnsi="宋体" w:cs="宋体" w:eastAsia="宋体" w:hint="default"/>
                <w:sz w:val="18"/>
                <w:szCs w:val="18"/>
              </w:rPr>
            </w:pPr>
            <w:r>
              <w:rPr>
                <w:rFonts w:ascii="宋体" w:hAnsi="宋体" w:cs="宋体" w:eastAsia="宋体" w:hint="default"/>
                <w:spacing w:val="-2"/>
                <w:sz w:val="18"/>
                <w:szCs w:val="18"/>
              </w:rPr>
              <w:t>已履行完毕。</w:t>
            </w:r>
          </w:p>
        </w:tc>
      </w:tr>
      <w:tr>
        <w:trPr>
          <w:trHeight w:val="5666"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浙江正元智慧科技股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份有限公司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公司发行上市后的股利分配政策：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根据公司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年度股东大会审议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4"/>
                <w:w w:val="101"/>
                <w:sz w:val="18"/>
                <w:szCs w:val="18"/>
              </w:rPr>
              <w:t>通过的《公司章程（草案）》，公司</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3"/>
                <w:sz w:val="18"/>
                <w:szCs w:val="18"/>
              </w:rPr>
              <w:t>发行上市后的主要股利分配政策如</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2"/>
                <w:w w:val="101"/>
                <w:sz w:val="18"/>
                <w:szCs w:val="18"/>
              </w:rPr>
              <w:t>下：（一）利润分配政策的基本原则</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公司股东回报规划的制定需充分考</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8"/>
                <w:w w:val="101"/>
                <w:sz w:val="18"/>
                <w:szCs w:val="18"/>
              </w:rPr>
              <w:t>虑和听取股东（特别是中小股东）、</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独立董事和监事的意见。公司利润</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分配政策应保持连续性和稳定性，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同时兼顾公司的长远利益、全体股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东的整体利益及公司的可持续发</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展，优先采用现金分红的利润分配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2"/>
                <w:w w:val="101"/>
                <w:sz w:val="18"/>
                <w:szCs w:val="18"/>
              </w:rPr>
              <w:t>方式。（二）利润分配的形式公司采</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用现金、股票或者股票和现金相结</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2"/>
                <w:w w:val="101"/>
                <w:sz w:val="18"/>
                <w:szCs w:val="18"/>
              </w:rPr>
              <w:t>合的方式分配股利。（三）利润分配</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的期间间隔公司应每年至少进行一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次利润分配，公司董事会可以根据</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公司的盈利及资金需求状况提议公</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77"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pict>
                <v:group style="width:55.95pt;height:123.9pt;mso-position-horizontal-relative:char;mso-position-vertical-relative:line" coordorigin="0,0" coordsize="1119,2478">
                  <v:group style="position:absolute;left:0;top:0;width:1119;height:2478" coordorigin="0,0" coordsize="1119,2478">
                    <v:shape style="position:absolute;left:0;top:0;width:1119;height:2478" coordorigin="0,0" coordsize="1119,2478" path="m0,2477l1119,2477,1119,0,0,0,0,2477xe" filled="true" fillcolor="#ffffff" stroked="false">
                      <v:path arrowok="t"/>
                      <v:fill type="solid"/>
                    </v:shape>
                  </v:group>
                </v:group>
              </w:pict>
            </w:r>
            <w:r>
              <w:rPr>
                <w:rFonts w:ascii="Times New Roman" w:hAnsi="Times New Roman" w:cs="Times New Roman" w:eastAsia="Times New Roman" w:hint="default"/>
                <w:position w:val="-49"/>
                <w:sz w:val="20"/>
                <w:szCs w:val="20"/>
              </w:rPr>
            </w:r>
          </w:p>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7"/>
              <w:jc w:val="right"/>
              <w:rPr>
                <w:rFonts w:ascii="宋体" w:hAnsi="宋体" w:cs="宋体" w:eastAsia="宋体" w:hint="default"/>
                <w:sz w:val="18"/>
                <w:szCs w:val="18"/>
              </w:rPr>
            </w:pPr>
            <w:r>
              <w:rPr>
                <w:rFonts w:ascii="宋体" w:hAnsi="宋体" w:cs="宋体" w:eastAsia="宋体" w:hint="default"/>
                <w:spacing w:val="-2"/>
                <w:sz w:val="18"/>
                <w:szCs w:val="18"/>
              </w:rPr>
              <w:t>正常履行中。</w:t>
            </w:r>
          </w:p>
        </w:tc>
      </w:tr>
    </w:tbl>
    <w:p>
      <w:pPr>
        <w:spacing w:after="0" w:line="240" w:lineRule="auto"/>
        <w:jc w:val="right"/>
        <w:rPr>
          <w:rFonts w:ascii="宋体" w:hAnsi="宋体" w:cs="宋体" w:eastAsia="宋体" w:hint="default"/>
          <w:sz w:val="18"/>
          <w:szCs w:val="18"/>
        </w:rPr>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r>
        <w:rPr/>
        <w:pict>
          <v:shape style="position:absolute;margin-left:395.158234pt;margin-top:72.505981pt;width:62pt;height:686.6pt;mso-position-horizontal-relative:page;mso-position-vertical-relative:page;z-index:-1183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42"/>
        <w:gridCol w:w="1728"/>
        <w:gridCol w:w="1124"/>
        <w:gridCol w:w="2790"/>
        <w:gridCol w:w="1124"/>
        <w:gridCol w:w="1124"/>
        <w:gridCol w:w="1109"/>
      </w:tblGrid>
      <w:tr>
        <w:trPr>
          <w:trHeight w:val="316"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728"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27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pacing w:val="-5"/>
                <w:w w:val="101"/>
                <w:sz w:val="18"/>
                <w:szCs w:val="18"/>
              </w:rPr>
              <w:t>进</w:t>
            </w:r>
            <w:r>
              <w:rPr>
                <w:rFonts w:ascii="宋体" w:hAnsi="宋体" w:cs="宋体" w:eastAsia="宋体" w:hint="default"/>
                <w:w w:val="101"/>
                <w:sz w:val="18"/>
                <w:szCs w:val="18"/>
              </w:rPr>
              <w:t>行</w:t>
            </w:r>
            <w:r>
              <w:rPr>
                <w:rFonts w:ascii="宋体" w:hAnsi="宋体" w:cs="宋体" w:eastAsia="宋体" w:hint="default"/>
                <w:spacing w:val="-5"/>
                <w:w w:val="101"/>
                <w:sz w:val="18"/>
                <w:szCs w:val="18"/>
              </w:rPr>
              <w:t>中</w:t>
            </w:r>
            <w:r>
              <w:rPr>
                <w:rFonts w:ascii="宋体" w:hAnsi="宋体" w:cs="宋体" w:eastAsia="宋体" w:hint="default"/>
                <w:w w:val="101"/>
                <w:sz w:val="18"/>
                <w:szCs w:val="18"/>
              </w:rPr>
              <w:t>期</w:t>
            </w:r>
            <w:r>
              <w:rPr>
                <w:rFonts w:ascii="宋体" w:hAnsi="宋体" w:cs="宋体" w:eastAsia="宋体" w:hint="default"/>
                <w:spacing w:val="-5"/>
                <w:w w:val="101"/>
                <w:sz w:val="18"/>
                <w:szCs w:val="18"/>
              </w:rPr>
              <w:t>股</w:t>
            </w:r>
            <w:r>
              <w:rPr>
                <w:rFonts w:ascii="宋体" w:hAnsi="宋体" w:cs="宋体" w:eastAsia="宋体" w:hint="default"/>
                <w:w w:val="101"/>
                <w:sz w:val="18"/>
                <w:szCs w:val="18"/>
              </w:rPr>
              <w:t>利</w:t>
            </w:r>
            <w:r>
              <w:rPr>
                <w:rFonts w:ascii="宋体" w:hAnsi="宋体" w:cs="宋体" w:eastAsia="宋体" w:hint="default"/>
                <w:spacing w:val="-5"/>
                <w:w w:val="101"/>
                <w:sz w:val="18"/>
                <w:szCs w:val="18"/>
              </w:rPr>
              <w:t>分</w:t>
            </w:r>
            <w:r>
              <w:rPr>
                <w:rFonts w:ascii="宋体" w:hAnsi="宋体" w:cs="宋体" w:eastAsia="宋体" w:hint="default"/>
                <w:w w:val="101"/>
                <w:sz w:val="18"/>
                <w:szCs w:val="18"/>
              </w:rPr>
              <w:t>配</w:t>
            </w:r>
            <w:r>
              <w:rPr>
                <w:rFonts w:ascii="宋体" w:hAnsi="宋体" w:cs="宋体" w:eastAsia="宋体" w:hint="default"/>
                <w:spacing w:val="-120"/>
                <w:w w:val="101"/>
                <w:sz w:val="18"/>
                <w:szCs w:val="18"/>
              </w:rPr>
              <w:t>。</w:t>
            </w:r>
            <w:r>
              <w:rPr>
                <w:rFonts w:ascii="宋体" w:hAnsi="宋体" w:cs="宋体" w:eastAsia="宋体" w:hint="default"/>
                <w:spacing w:val="-5"/>
                <w:w w:val="101"/>
                <w:sz w:val="18"/>
                <w:szCs w:val="18"/>
              </w:rPr>
              <w:t>（四</w:t>
            </w:r>
            <w:r>
              <w:rPr>
                <w:rFonts w:ascii="宋体" w:hAnsi="宋体" w:cs="宋体" w:eastAsia="宋体" w:hint="default"/>
                <w:spacing w:val="-29"/>
                <w:w w:val="101"/>
                <w:sz w:val="18"/>
                <w:szCs w:val="18"/>
              </w:rPr>
              <w:t>）</w:t>
            </w:r>
            <w:r>
              <w:rPr>
                <w:rFonts w:ascii="宋体" w:hAnsi="宋体" w:cs="宋体" w:eastAsia="宋体" w:hint="default"/>
                <w:spacing w:val="-5"/>
                <w:w w:val="101"/>
                <w:sz w:val="18"/>
                <w:szCs w:val="18"/>
              </w:rPr>
              <w:t>现</w:t>
            </w:r>
            <w:r>
              <w:rPr>
                <w:rFonts w:ascii="宋体" w:hAnsi="宋体" w:cs="宋体" w:eastAsia="宋体" w:hint="default"/>
                <w:w w:val="101"/>
                <w:sz w:val="18"/>
                <w:szCs w:val="18"/>
              </w:rPr>
              <w:t>金分</w:t>
            </w:r>
            <w:r>
              <w:rPr>
                <w:rFonts w:ascii="宋体" w:hAnsi="宋体" w:cs="宋体" w:eastAsia="宋体" w:hint="default"/>
                <w:sz w:val="18"/>
                <w:szCs w:val="18"/>
              </w:rPr>
            </w:r>
          </w:p>
        </w:tc>
        <w:tc>
          <w:tcPr>
            <w:tcW w:w="1124" w:type="dxa"/>
            <w:vMerge w:val="restart"/>
            <w:tcBorders>
              <w:top w:val="single" w:sz="4" w:space="0" w:color="000000"/>
              <w:left w:val="single" w:sz="4" w:space="0" w:color="000000"/>
              <w:right w:val="single" w:sz="4" w:space="0" w:color="000000"/>
            </w:tcBorders>
          </w:tcPr>
          <w:p>
            <w:pPr>
              <w:pStyle w:val="TableParagraph"/>
              <w:spacing w:line="13731"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95pt;height:686.6pt;mso-position-horizontal-relative:char;mso-position-vertical-relative:line" coordorigin="0,0" coordsize="1119,13732">
                  <v:group style="position:absolute;left:0;top:0;width:1119;height:13732" coordorigin="0,0" coordsize="1119,13732">
                    <v:shape style="position:absolute;left:0;top:0;width:1119;height:13732" coordorigin="0,0" coordsize="1119,13732" path="m0,13732l1119,13732,1119,0,0,0,0,13732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红的具体条件和比例</w:t>
            </w:r>
            <w:r>
              <w:rPr>
                <w:rFonts w:ascii="宋体" w:hAnsi="宋体" w:cs="宋体" w:eastAsia="宋体" w:hint="default"/>
                <w:spacing w:val="-25"/>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、现金分红</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条件：在符合现金分红的条件下，</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公司应当采取现金分红的方式进行</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利润分配。符合现金分红的条件为</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）该年度无重大投资计划或重大</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支出</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该</w:t>
            </w:r>
            <w:r>
              <w:rPr>
                <w:rFonts w:ascii="宋体" w:hAnsi="宋体" w:cs="宋体" w:eastAsia="宋体" w:hint="default"/>
                <w:w w:val="101"/>
                <w:sz w:val="18"/>
                <w:szCs w:val="18"/>
              </w:rPr>
              <w:t>年</w:t>
            </w:r>
            <w:r>
              <w:rPr>
                <w:rFonts w:ascii="宋体" w:hAnsi="宋体" w:cs="宋体" w:eastAsia="宋体" w:hint="default"/>
                <w:spacing w:val="-5"/>
                <w:w w:val="101"/>
                <w:sz w:val="18"/>
                <w:szCs w:val="18"/>
              </w:rPr>
              <w:t>度</w:t>
            </w:r>
            <w:r>
              <w:rPr>
                <w:rFonts w:ascii="宋体" w:hAnsi="宋体" w:cs="宋体" w:eastAsia="宋体" w:hint="default"/>
                <w:w w:val="101"/>
                <w:sz w:val="18"/>
                <w:szCs w:val="18"/>
              </w:rPr>
              <w:t>实</w:t>
            </w:r>
            <w:r>
              <w:rPr>
                <w:rFonts w:ascii="宋体" w:hAnsi="宋体" w:cs="宋体" w:eastAsia="宋体" w:hint="default"/>
                <w:spacing w:val="-5"/>
                <w:w w:val="101"/>
                <w:sz w:val="18"/>
                <w:szCs w:val="18"/>
              </w:rPr>
              <w:t>现</w:t>
            </w:r>
            <w:r>
              <w:rPr>
                <w:rFonts w:ascii="宋体" w:hAnsi="宋体" w:cs="宋体" w:eastAsia="宋体" w:hint="default"/>
                <w:w w:val="101"/>
                <w:sz w:val="18"/>
                <w:szCs w:val="18"/>
              </w:rPr>
              <w:t>的</w:t>
            </w:r>
            <w:r>
              <w:rPr>
                <w:rFonts w:ascii="宋体" w:hAnsi="宋体" w:cs="宋体" w:eastAsia="宋体" w:hint="default"/>
                <w:sz w:val="18"/>
                <w:szCs w:val="18"/>
              </w:rPr>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可分配利润（即公司弥补亏损、提</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取公积金后所余的税后利润）及累</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计</w:t>
            </w:r>
            <w:r>
              <w:rPr>
                <w:rFonts w:ascii="宋体" w:hAnsi="宋体" w:cs="宋体" w:eastAsia="宋体" w:hint="default"/>
                <w:spacing w:val="-5"/>
                <w:w w:val="101"/>
                <w:sz w:val="18"/>
                <w:szCs w:val="18"/>
              </w:rPr>
              <w:t>未</w:t>
            </w:r>
            <w:r>
              <w:rPr>
                <w:rFonts w:ascii="宋体" w:hAnsi="宋体" w:cs="宋体" w:eastAsia="宋体" w:hint="default"/>
                <w:w w:val="101"/>
                <w:sz w:val="18"/>
                <w:szCs w:val="18"/>
              </w:rPr>
              <w:t>分</w:t>
            </w:r>
            <w:r>
              <w:rPr>
                <w:rFonts w:ascii="宋体" w:hAnsi="宋体" w:cs="宋体" w:eastAsia="宋体" w:hint="default"/>
                <w:spacing w:val="-5"/>
                <w:w w:val="101"/>
                <w:sz w:val="18"/>
                <w:szCs w:val="18"/>
              </w:rPr>
              <w:t>配</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为</w:t>
            </w:r>
            <w:r>
              <w:rPr>
                <w:rFonts w:ascii="宋体" w:hAnsi="宋体" w:cs="宋体" w:eastAsia="宋体" w:hint="default"/>
                <w:spacing w:val="-5"/>
                <w:w w:val="101"/>
                <w:sz w:val="18"/>
                <w:szCs w:val="18"/>
              </w:rPr>
              <w:t>正</w:t>
            </w:r>
            <w:r>
              <w:rPr>
                <w:rFonts w:ascii="宋体" w:hAnsi="宋体" w:cs="宋体" w:eastAsia="宋体" w:hint="default"/>
                <w:w w:val="101"/>
                <w:sz w:val="18"/>
                <w:szCs w:val="18"/>
              </w:rPr>
              <w:t>值</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3</w:t>
            </w:r>
            <w:r>
              <w:rPr>
                <w:rFonts w:ascii="宋体" w:hAnsi="宋体" w:cs="宋体" w:eastAsia="宋体" w:hint="default"/>
                <w:spacing w:val="-5"/>
                <w:w w:val="101"/>
                <w:sz w:val="18"/>
                <w:szCs w:val="18"/>
              </w:rPr>
              <w:t>）</w:t>
            </w:r>
            <w:r>
              <w:rPr>
                <w:rFonts w:ascii="宋体" w:hAnsi="宋体" w:cs="宋体" w:eastAsia="宋体" w:hint="default"/>
                <w:w w:val="101"/>
                <w:sz w:val="18"/>
                <w:szCs w:val="18"/>
              </w:rPr>
              <w:t>审</w:t>
            </w:r>
            <w:r>
              <w:rPr>
                <w:rFonts w:ascii="宋体" w:hAnsi="宋体" w:cs="宋体" w:eastAsia="宋体" w:hint="default"/>
                <w:spacing w:val="-5"/>
                <w:w w:val="101"/>
                <w:sz w:val="18"/>
                <w:szCs w:val="18"/>
              </w:rPr>
              <w:t>计</w:t>
            </w:r>
            <w:r>
              <w:rPr>
                <w:rFonts w:ascii="宋体" w:hAnsi="宋体" w:cs="宋体" w:eastAsia="宋体" w:hint="default"/>
                <w:w w:val="101"/>
                <w:sz w:val="18"/>
                <w:szCs w:val="18"/>
              </w:rPr>
              <w:t>机</w:t>
            </w:r>
            <w:r>
              <w:rPr>
                <w:rFonts w:ascii="宋体" w:hAnsi="宋体" w:cs="宋体" w:eastAsia="宋体" w:hint="default"/>
                <w:sz w:val="18"/>
                <w:szCs w:val="18"/>
              </w:rPr>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构对公司该年度财务报告出具标准</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无保留意见的审计报告。上述重大</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计</w:t>
            </w:r>
            <w:r>
              <w:rPr>
                <w:rFonts w:ascii="宋体" w:hAnsi="宋体" w:cs="宋体" w:eastAsia="宋体" w:hint="default"/>
                <w:spacing w:val="-5"/>
                <w:w w:val="101"/>
                <w:sz w:val="18"/>
                <w:szCs w:val="18"/>
              </w:rPr>
              <w:t>划</w:t>
            </w:r>
            <w:r>
              <w:rPr>
                <w:rFonts w:ascii="宋体" w:hAnsi="宋体" w:cs="宋体" w:eastAsia="宋体" w:hint="default"/>
                <w:w w:val="101"/>
                <w:sz w:val="18"/>
                <w:szCs w:val="18"/>
              </w:rPr>
              <w:t>或</w:t>
            </w:r>
            <w:r>
              <w:rPr>
                <w:rFonts w:ascii="宋体" w:hAnsi="宋体" w:cs="宋体" w:eastAsia="宋体" w:hint="default"/>
                <w:spacing w:val="-5"/>
                <w:w w:val="101"/>
                <w:sz w:val="18"/>
                <w:szCs w:val="18"/>
              </w:rPr>
              <w:t>重</w:t>
            </w:r>
            <w:r>
              <w:rPr>
                <w:rFonts w:ascii="宋体" w:hAnsi="宋体" w:cs="宋体" w:eastAsia="宋体" w:hint="default"/>
                <w:w w:val="101"/>
                <w:sz w:val="18"/>
                <w:szCs w:val="18"/>
              </w:rPr>
              <w:t>大</w:t>
            </w:r>
            <w:r>
              <w:rPr>
                <w:rFonts w:ascii="宋体" w:hAnsi="宋体" w:cs="宋体" w:eastAsia="宋体" w:hint="default"/>
                <w:spacing w:val="-5"/>
                <w:w w:val="101"/>
                <w:sz w:val="18"/>
                <w:szCs w:val="18"/>
              </w:rPr>
              <w:t>现</w:t>
            </w:r>
            <w:r>
              <w:rPr>
                <w:rFonts w:ascii="宋体" w:hAnsi="宋体" w:cs="宋体" w:eastAsia="宋体" w:hint="default"/>
                <w:w w:val="101"/>
                <w:sz w:val="18"/>
                <w:szCs w:val="18"/>
              </w:rPr>
              <w:t>金</w:t>
            </w:r>
            <w:r>
              <w:rPr>
                <w:rFonts w:ascii="宋体" w:hAnsi="宋体" w:cs="宋体" w:eastAsia="宋体" w:hint="default"/>
                <w:spacing w:val="-5"/>
                <w:w w:val="101"/>
                <w:sz w:val="18"/>
                <w:szCs w:val="18"/>
              </w:rPr>
              <w:t>支</w:t>
            </w:r>
            <w:r>
              <w:rPr>
                <w:rFonts w:ascii="宋体" w:hAnsi="宋体" w:cs="宋体" w:eastAsia="宋体" w:hint="default"/>
                <w:w w:val="101"/>
                <w:sz w:val="18"/>
                <w:szCs w:val="18"/>
              </w:rPr>
              <w:t>出指</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1</w:t>
            </w:r>
            <w:r>
              <w:rPr>
                <w:rFonts w:ascii="宋体" w:hAnsi="宋体" w:cs="宋体" w:eastAsia="宋体" w:hint="default"/>
                <w:w w:val="101"/>
                <w:sz w:val="18"/>
                <w:szCs w:val="18"/>
              </w:rPr>
              <w:t>）</w:t>
            </w:r>
            <w:r>
              <w:rPr>
                <w:rFonts w:ascii="宋体" w:hAnsi="宋体" w:cs="宋体" w:eastAsia="宋体" w:hint="default"/>
                <w:sz w:val="18"/>
                <w:szCs w:val="18"/>
              </w:rPr>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公司未来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pacing w:val="-9"/>
                <w:sz w:val="18"/>
                <w:szCs w:val="18"/>
              </w:rPr>
              <w:t>个月内拟对外投资、购</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买资产等交易累计支出达到或超过</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公司最近一期经审计净资产的</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，或超过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万元；或（</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公司未来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pacing w:val="-9"/>
                <w:sz w:val="18"/>
                <w:szCs w:val="18"/>
              </w:rPr>
              <w:t>个月内拟对外投资、购</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买资产等交易累计支出达到或超过</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公司最近一期经审计总资产的</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、现金分红比例：如无重大</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投资计划或重大现金支出等事项发</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生，以现金方式分配的利润不少于</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当年实现的可分配利润的百分之十</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五。同时，公司近三年以现金方式</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累计分配利润不少于最近三年实现</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的年均可分配利润的百分之三十。</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公司进行利润分配时，公司董事会</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应当综合考虑所处行业特点、发展</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阶段、自身经营模式、盈利水平以</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及是否有重大资金支出安排等因</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素，区分下列情形，并按照公司章</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程规定的程序，提出差异化的现金</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政策</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1</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发</w:t>
            </w:r>
            <w:r>
              <w:rPr>
                <w:rFonts w:ascii="宋体" w:hAnsi="宋体" w:cs="宋体" w:eastAsia="宋体" w:hint="default"/>
                <w:w w:val="101"/>
                <w:sz w:val="18"/>
                <w:szCs w:val="18"/>
              </w:rPr>
              <w:t>展</w:t>
            </w:r>
            <w:r>
              <w:rPr>
                <w:rFonts w:ascii="宋体" w:hAnsi="宋体" w:cs="宋体" w:eastAsia="宋体" w:hint="default"/>
                <w:spacing w:val="-5"/>
                <w:w w:val="101"/>
                <w:sz w:val="18"/>
                <w:szCs w:val="18"/>
              </w:rPr>
              <w:t>阶</w:t>
            </w:r>
            <w:r>
              <w:rPr>
                <w:rFonts w:ascii="宋体" w:hAnsi="宋体" w:cs="宋体" w:eastAsia="宋体" w:hint="default"/>
                <w:w w:val="101"/>
                <w:sz w:val="18"/>
                <w:szCs w:val="18"/>
              </w:rPr>
              <w:t>段</w:t>
            </w:r>
            <w:r>
              <w:rPr>
                <w:rFonts w:ascii="宋体" w:hAnsi="宋体" w:cs="宋体" w:eastAsia="宋体" w:hint="default"/>
                <w:spacing w:val="-5"/>
                <w:w w:val="101"/>
                <w:sz w:val="18"/>
                <w:szCs w:val="18"/>
              </w:rPr>
              <w:t>属</w:t>
            </w:r>
            <w:r>
              <w:rPr>
                <w:rFonts w:ascii="宋体" w:hAnsi="宋体" w:cs="宋体" w:eastAsia="宋体" w:hint="default"/>
                <w:w w:val="101"/>
                <w:sz w:val="18"/>
                <w:szCs w:val="18"/>
              </w:rPr>
              <w:t>成</w:t>
            </w:r>
            <w:r>
              <w:rPr>
                <w:rFonts w:ascii="宋体" w:hAnsi="宋体" w:cs="宋体" w:eastAsia="宋体" w:hint="default"/>
                <w:sz w:val="18"/>
                <w:szCs w:val="18"/>
              </w:rPr>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熟期且无重大资金支出安排的，进</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行利润分配时，现金分红在本次利</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润分配中所占比例最低应达到</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80</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spacing w:val="-1"/>
                <w:w w:val="101"/>
                <w:sz w:val="18"/>
                <w:szCs w:val="18"/>
              </w:rPr>
              <w:t>司</w:t>
            </w:r>
            <w:r>
              <w:rPr>
                <w:rFonts w:ascii="宋体" w:hAnsi="宋体" w:cs="宋体" w:eastAsia="宋体" w:hint="default"/>
                <w:spacing w:val="-5"/>
                <w:w w:val="101"/>
                <w:sz w:val="18"/>
                <w:szCs w:val="18"/>
              </w:rPr>
              <w:t>发</w:t>
            </w:r>
            <w:r>
              <w:rPr>
                <w:rFonts w:ascii="宋体" w:hAnsi="宋体" w:cs="宋体" w:eastAsia="宋体" w:hint="default"/>
                <w:w w:val="101"/>
                <w:sz w:val="18"/>
                <w:szCs w:val="18"/>
              </w:rPr>
              <w:t>展</w:t>
            </w:r>
            <w:r>
              <w:rPr>
                <w:rFonts w:ascii="宋体" w:hAnsi="宋体" w:cs="宋体" w:eastAsia="宋体" w:hint="default"/>
                <w:spacing w:val="-5"/>
                <w:w w:val="101"/>
                <w:sz w:val="18"/>
                <w:szCs w:val="18"/>
              </w:rPr>
              <w:t>阶</w:t>
            </w:r>
            <w:r>
              <w:rPr>
                <w:rFonts w:ascii="宋体" w:hAnsi="宋体" w:cs="宋体" w:eastAsia="宋体" w:hint="default"/>
                <w:w w:val="101"/>
                <w:sz w:val="18"/>
                <w:szCs w:val="18"/>
              </w:rPr>
              <w:t>段</w:t>
            </w:r>
            <w:r>
              <w:rPr>
                <w:rFonts w:ascii="宋体" w:hAnsi="宋体" w:cs="宋体" w:eastAsia="宋体" w:hint="default"/>
                <w:spacing w:val="-5"/>
                <w:w w:val="101"/>
                <w:sz w:val="18"/>
                <w:szCs w:val="18"/>
              </w:rPr>
              <w:t>属</w:t>
            </w:r>
            <w:r>
              <w:rPr>
                <w:rFonts w:ascii="宋体" w:hAnsi="宋体" w:cs="宋体" w:eastAsia="宋体" w:hint="default"/>
                <w:w w:val="101"/>
                <w:sz w:val="18"/>
                <w:szCs w:val="18"/>
              </w:rPr>
              <w:t>成</w:t>
            </w:r>
            <w:r>
              <w:rPr>
                <w:rFonts w:ascii="宋体" w:hAnsi="宋体" w:cs="宋体" w:eastAsia="宋体" w:hint="default"/>
                <w:spacing w:val="-5"/>
                <w:w w:val="101"/>
                <w:sz w:val="18"/>
                <w:szCs w:val="18"/>
              </w:rPr>
              <w:t>熟</w:t>
            </w:r>
            <w:r>
              <w:rPr>
                <w:rFonts w:ascii="宋体" w:hAnsi="宋体" w:cs="宋体" w:eastAsia="宋体" w:hint="default"/>
                <w:w w:val="101"/>
                <w:sz w:val="18"/>
                <w:szCs w:val="18"/>
              </w:rPr>
              <w:t>期</w:t>
            </w:r>
            <w:r>
              <w:rPr>
                <w:rFonts w:ascii="宋体" w:hAnsi="宋体" w:cs="宋体" w:eastAsia="宋体" w:hint="default"/>
                <w:sz w:val="18"/>
                <w:szCs w:val="18"/>
              </w:rPr>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且有重大资金支出安排的，进行利</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润分配时，现金分红在本次利润分</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配</w:t>
            </w:r>
            <w:r>
              <w:rPr>
                <w:rFonts w:ascii="宋体" w:hAnsi="宋体" w:cs="宋体" w:eastAsia="宋体" w:hint="default"/>
                <w:spacing w:val="-5"/>
                <w:w w:val="101"/>
                <w:sz w:val="18"/>
                <w:szCs w:val="18"/>
              </w:rPr>
              <w:t>中</w:t>
            </w:r>
            <w:r>
              <w:rPr>
                <w:rFonts w:ascii="宋体" w:hAnsi="宋体" w:cs="宋体" w:eastAsia="宋体" w:hint="default"/>
                <w:w w:val="101"/>
                <w:sz w:val="18"/>
                <w:szCs w:val="18"/>
              </w:rPr>
              <w:t>所</w:t>
            </w:r>
            <w:r>
              <w:rPr>
                <w:rFonts w:ascii="宋体" w:hAnsi="宋体" w:cs="宋体" w:eastAsia="宋体" w:hint="default"/>
                <w:spacing w:val="-5"/>
                <w:w w:val="101"/>
                <w:sz w:val="18"/>
                <w:szCs w:val="18"/>
              </w:rPr>
              <w:t>占</w:t>
            </w:r>
            <w:r>
              <w:rPr>
                <w:rFonts w:ascii="宋体" w:hAnsi="宋体" w:cs="宋体" w:eastAsia="宋体" w:hint="default"/>
                <w:w w:val="101"/>
                <w:sz w:val="18"/>
                <w:szCs w:val="18"/>
              </w:rPr>
              <w:t>比</w:t>
            </w:r>
            <w:r>
              <w:rPr>
                <w:rFonts w:ascii="宋体" w:hAnsi="宋体" w:cs="宋体" w:eastAsia="宋体" w:hint="default"/>
                <w:spacing w:val="-5"/>
                <w:w w:val="101"/>
                <w:sz w:val="18"/>
                <w:szCs w:val="18"/>
              </w:rPr>
              <w:t>例</w:t>
            </w:r>
            <w:r>
              <w:rPr>
                <w:rFonts w:ascii="宋体" w:hAnsi="宋体" w:cs="宋体" w:eastAsia="宋体" w:hint="default"/>
                <w:w w:val="101"/>
                <w:sz w:val="18"/>
                <w:szCs w:val="18"/>
              </w:rPr>
              <w:t>最</w:t>
            </w:r>
            <w:r>
              <w:rPr>
                <w:rFonts w:ascii="宋体" w:hAnsi="宋体" w:cs="宋体" w:eastAsia="宋体" w:hint="default"/>
                <w:spacing w:val="-5"/>
                <w:w w:val="101"/>
                <w:sz w:val="18"/>
                <w:szCs w:val="18"/>
              </w:rPr>
              <w:t>低</w:t>
            </w:r>
            <w:r>
              <w:rPr>
                <w:rFonts w:ascii="宋体" w:hAnsi="宋体" w:cs="宋体" w:eastAsia="宋体" w:hint="default"/>
                <w:w w:val="101"/>
                <w:sz w:val="18"/>
                <w:szCs w:val="18"/>
              </w:rPr>
              <w:t>应达到</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168"/>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z w:val="18"/>
                <w:szCs w:val="18"/>
              </w:rPr>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公司发展阶段属成长期且有重大资</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金支出安排的，进行利润分配时，</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8"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728"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27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现金分红在本次利润分配中所占比</w:t>
            </w:r>
          </w:p>
        </w:tc>
        <w:tc>
          <w:tcPr>
            <w:tcW w:w="1124"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r>
        <w:rPr/>
        <w:pict>
          <v:shape style="position:absolute;margin-left:395.158234pt;margin-top:72.505981pt;width:62pt;height:686.6pt;mso-position-horizontal-relative:page;mso-position-vertical-relative:page;z-index:-11832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2"/>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26.4pt;margin-top:71.779976pt;width:542.65pt;height:688.05pt;mso-position-horizontal-relative:page;mso-position-vertical-relative:page;z-index:-1183240" coordorigin="528,1436" coordsize="10853,13761">
            <v:group style="position:absolute;left:542;top:1450;width:1835;height:13732" coordorigin="542,1450" coordsize="1835,13732">
              <v:shape style="position:absolute;left:542;top:1450;width:1835;height:13732" coordorigin="542,1450" coordsize="1835,13732" path="m542,15182l2377,15182,2377,1450,542,1450,542,15182xe" filled="true" fillcolor="#d2d2d2" stroked="false">
                <v:path arrowok="t"/>
                <v:fill type="solid"/>
              </v:shape>
            </v:group>
            <v:group style="position:absolute;left:538;top:1445;width:1835;height:2" coordorigin="538,1445" coordsize="1835,2">
              <v:shape style="position:absolute;left:538;top:1445;width:1835;height:2" coordorigin="538,1445" coordsize="1835,0" path="m538,1445l2372,1445e" filled="false" stroked="true" strokeweight=".48pt" strokecolor="#000000">
                <v:path arrowok="t"/>
              </v:shape>
            </v:group>
            <v:group style="position:absolute;left:2382;top:1445;width:1719;height:2" coordorigin="2382,1445" coordsize="1719,2">
              <v:shape style="position:absolute;left:2382;top:1445;width:1719;height:2" coordorigin="2382,1445" coordsize="1719,0" path="m2382,1445l4101,1445e" filled="false" stroked="true" strokeweight=".48pt" strokecolor="#000000">
                <v:path arrowok="t"/>
              </v:shape>
            </v:group>
            <v:group style="position:absolute;left:4110;top:1445;width:1115;height:2" coordorigin="4110,1445" coordsize="1115,2">
              <v:shape style="position:absolute;left:4110;top:1445;width:1115;height:2" coordorigin="4110,1445" coordsize="1115,0" path="m4110,1445l5224,1445e" filled="false" stroked="true" strokeweight=".48pt" strokecolor="#000000">
                <v:path arrowok="t"/>
              </v:shape>
            </v:group>
            <v:group style="position:absolute;left:8024;top:1450;width:1119;height:13732" coordorigin="8024,1450" coordsize="1119,13732">
              <v:shape style="position:absolute;left:8024;top:1450;width:1119;height:13732" coordorigin="8024,1450" coordsize="1119,13732" path="m8024,15182l9142,15182,9142,1450,8024,1450,8024,15182xe" filled="true" fillcolor="#ffffff" stroked="false">
                <v:path arrowok="t"/>
                <v:fill type="solid"/>
              </v:shape>
            </v:group>
            <v:group style="position:absolute;left:5234;top:1445;width:2781;height:2" coordorigin="5234,1445" coordsize="2781,2">
              <v:shape style="position:absolute;left:5234;top:1445;width:2781;height:2" coordorigin="5234,1445" coordsize="2781,0" path="m5234,1445l8014,1445e" filled="false" stroked="true" strokeweight=".48pt" strokecolor="#000000">
                <v:path arrowok="t"/>
              </v:shape>
            </v:group>
            <v:group style="position:absolute;left:8024;top:1445;width:1115;height:2" coordorigin="8024,1445" coordsize="1115,2">
              <v:shape style="position:absolute;left:8024;top:1445;width:1115;height:2" coordorigin="8024,1445" coordsize="1115,0" path="m8024,1445l9138,1445e" filled="false" stroked="true" strokeweight=".48pt" strokecolor="#000000">
                <v:path arrowok="t"/>
              </v:shape>
            </v:group>
            <v:group style="position:absolute;left:9147;top:1445;width:1115;height:2" coordorigin="9147,1445" coordsize="1115,2">
              <v:shape style="position:absolute;left:9147;top:1445;width:1115;height:2" coordorigin="9147,1445" coordsize="1115,0" path="m9147,1445l10261,1445e" filled="false" stroked="true" strokeweight=".48pt" strokecolor="#000000">
                <v:path arrowok="t"/>
              </v:shape>
            </v:group>
            <v:group style="position:absolute;left:10271;top:1445;width:1100;height:2" coordorigin="10271,1445" coordsize="1100,2">
              <v:shape style="position:absolute;left:10271;top:1445;width:1100;height:2" coordorigin="10271,1445" coordsize="1100,0" path="m10271,1445l11371,1445e" filled="false" stroked="true" strokeweight=".48pt" strokecolor="#000000">
                <v:path arrowok="t"/>
              </v:shape>
            </v:group>
            <v:group style="position:absolute;left:533;top:1440;width:2;height:13752" coordorigin="533,1440" coordsize="2,13752">
              <v:shape style="position:absolute;left:533;top:1440;width:2;height:13752" coordorigin="533,1440" coordsize="0,13752" path="m533,1440l533,15192e" filled="false" stroked="true" strokeweight=".48pt" strokecolor="#000000">
                <v:path arrowok="t"/>
              </v:shape>
            </v:group>
            <v:group style="position:absolute;left:538;top:15187;width:1835;height:2" coordorigin="538,15187" coordsize="1835,2">
              <v:shape style="position:absolute;left:538;top:15187;width:1835;height:2" coordorigin="538,15187" coordsize="1835,0" path="m538,15187l2372,15187e" filled="false" stroked="true" strokeweight=".47998pt" strokecolor="#000000">
                <v:path arrowok="t"/>
              </v:shape>
            </v:group>
            <v:group style="position:absolute;left:2377;top:1440;width:2;height:13752" coordorigin="2377,1440" coordsize="2,13752">
              <v:shape style="position:absolute;left:2377;top:1440;width:2;height:13752" coordorigin="2377,1440" coordsize="0,13752" path="m2377,1440l2377,15192e" filled="false" stroked="true" strokeweight=".48pt" strokecolor="#000000">
                <v:path arrowok="t"/>
              </v:shape>
            </v:group>
            <v:group style="position:absolute;left:2382;top:15187;width:1719;height:2" coordorigin="2382,15187" coordsize="1719,2">
              <v:shape style="position:absolute;left:2382;top:15187;width:1719;height:2" coordorigin="2382,15187" coordsize="1719,0" path="m2382,15187l4101,15187e" filled="false" stroked="true" strokeweight=".47998pt" strokecolor="#000000">
                <v:path arrowok="t"/>
              </v:shape>
            </v:group>
            <v:group style="position:absolute;left:4105;top:1440;width:2;height:13752" coordorigin="4105,1440" coordsize="2,13752">
              <v:shape style="position:absolute;left:4105;top:1440;width:2;height:13752" coordorigin="4105,1440" coordsize="0,13752" path="m4105,1440l4105,15192e" filled="false" stroked="true" strokeweight=".48001pt" strokecolor="#000000">
                <v:path arrowok="t"/>
              </v:shape>
            </v:group>
            <v:group style="position:absolute;left:4110;top:15187;width:1115;height:2" coordorigin="4110,15187" coordsize="1115,2">
              <v:shape style="position:absolute;left:4110;top:15187;width:1115;height:2" coordorigin="4110,15187" coordsize="1115,0" path="m4110,15187l5224,15187e" filled="false" stroked="true" strokeweight=".47998pt" strokecolor="#000000">
                <v:path arrowok="t"/>
              </v:shape>
            </v:group>
            <v:group style="position:absolute;left:5229;top:1440;width:2;height:13752" coordorigin="5229,1440" coordsize="2,13752">
              <v:shape style="position:absolute;left:5229;top:1440;width:2;height:13752" coordorigin="5229,1440" coordsize="0,13752" path="m5229,1440l5229,15192e" filled="false" stroked="true" strokeweight=".48001pt" strokecolor="#000000">
                <v:path arrowok="t"/>
              </v:shape>
            </v:group>
            <v:group style="position:absolute;left:5234;top:15187;width:2781;height:2" coordorigin="5234,15187" coordsize="2781,2">
              <v:shape style="position:absolute;left:5234;top:15187;width:2781;height:2" coordorigin="5234,15187" coordsize="2781,0" path="m5234,15187l8014,15187e" filled="false" stroked="true" strokeweight=".47998pt" strokecolor="#000000">
                <v:path arrowok="t"/>
              </v:shape>
            </v:group>
            <v:group style="position:absolute;left:8019;top:1440;width:2;height:13752" coordorigin="8019,1440" coordsize="2,13752">
              <v:shape style="position:absolute;left:8019;top:1440;width:2;height:13752" coordorigin="8019,1440" coordsize="0,13752" path="m8019,1440l8019,15192e" filled="false" stroked="true" strokeweight=".47998pt" strokecolor="#000000">
                <v:path arrowok="t"/>
              </v:shape>
            </v:group>
            <v:group style="position:absolute;left:8024;top:15187;width:1115;height:2" coordorigin="8024,15187" coordsize="1115,2">
              <v:shape style="position:absolute;left:8024;top:15187;width:1115;height:2" coordorigin="8024,15187" coordsize="1115,0" path="m8024,15187l9138,15187e" filled="false" stroked="true" strokeweight=".47998pt" strokecolor="#000000">
                <v:path arrowok="t"/>
              </v:shape>
            </v:group>
            <v:group style="position:absolute;left:9143;top:1440;width:2;height:13752" coordorigin="9143,1440" coordsize="2,13752">
              <v:shape style="position:absolute;left:9143;top:1440;width:2;height:13752" coordorigin="9143,1440" coordsize="0,13752" path="m9143,1440l9143,15192e" filled="false" stroked="true" strokeweight=".48001pt" strokecolor="#000000">
                <v:path arrowok="t"/>
              </v:shape>
            </v:group>
            <v:group style="position:absolute;left:9147;top:15187;width:1115;height:2" coordorigin="9147,15187" coordsize="1115,2">
              <v:shape style="position:absolute;left:9147;top:15187;width:1115;height:2" coordorigin="9147,15187" coordsize="1115,0" path="m9147,15187l10261,15187e" filled="false" stroked="true" strokeweight=".47998pt" strokecolor="#000000">
                <v:path arrowok="t"/>
              </v:shape>
            </v:group>
            <v:group style="position:absolute;left:10266;top:1440;width:2;height:13752" coordorigin="10266,1440" coordsize="2,13752">
              <v:shape style="position:absolute;left:10266;top:1440;width:2;height:13752" coordorigin="10266,1440" coordsize="0,13752" path="m10266,1440l10266,15192e" filled="false" stroked="true" strokeweight=".47998pt" strokecolor="#000000">
                <v:path arrowok="t"/>
              </v:shape>
            </v:group>
            <v:group style="position:absolute;left:10271;top:15187;width:1100;height:2" coordorigin="10271,15187" coordsize="1100,2">
              <v:shape style="position:absolute;left:10271;top:15187;width:1100;height:2" coordorigin="10271,15187" coordsize="1100,0" path="m10271,15187l11371,15187e" filled="false" stroked="true" strokeweight=".47998pt" strokecolor="#000000">
                <v:path arrowok="t"/>
              </v:shape>
            </v:group>
            <v:group style="position:absolute;left:11376;top:1440;width:2;height:13752" coordorigin="11376,1440" coordsize="2,13752">
              <v:shape style="position:absolute;left:11376;top:1440;width:2;height:13752" coordorigin="11376,1440" coordsize="0,13752" path="m11376,1440l11376,15192e" filled="false" stroked="true" strokeweight=".47998pt" strokecolor="#000000">
                <v:path arrowok="t"/>
              </v:shape>
            </v:group>
            <w10:wrap type="none"/>
          </v:group>
        </w:pict>
      </w:r>
    </w:p>
    <w:p>
      <w:pPr>
        <w:spacing w:line="240" w:lineRule="auto" w:before="6"/>
        <w:rPr>
          <w:rFonts w:ascii="Times New Roman" w:hAnsi="Times New Roman" w:cs="Times New Roman" w:eastAsia="Times New Roman" w:hint="default"/>
          <w:sz w:val="14"/>
          <w:szCs w:val="14"/>
        </w:rPr>
      </w:pPr>
    </w:p>
    <w:p>
      <w:pPr>
        <w:spacing w:line="316" w:lineRule="auto" w:before="0"/>
        <w:ind w:left="4837" w:right="3836" w:firstLine="0"/>
        <w:jc w:val="left"/>
        <w:rPr>
          <w:rFonts w:ascii="宋体" w:hAnsi="宋体" w:cs="宋体" w:eastAsia="宋体" w:hint="default"/>
          <w:sz w:val="18"/>
          <w:szCs w:val="18"/>
        </w:rPr>
      </w:pPr>
      <w:r>
        <w:rPr>
          <w:rFonts w:ascii="宋体" w:hAnsi="宋体" w:cs="宋体" w:eastAsia="宋体" w:hint="default"/>
          <w:sz w:val="18"/>
          <w:szCs w:val="18"/>
        </w:rPr>
        <w:t>例最低应达到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；公司发展阶段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不易区分但有重大资金支出安排</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8"/>
          <w:w w:val="101"/>
          <w:sz w:val="18"/>
          <w:szCs w:val="18"/>
        </w:rPr>
        <w:t>的，可以按照前项规定处理。（五）</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股票股利分配的条件公司在经营情</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况良好，并且董事会认为公司股票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价格与公司股本规模不匹配、发放</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股票股利有利于公司全体股东整体</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利益时，可以在满足上述现金分红</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2"/>
          <w:w w:val="101"/>
          <w:sz w:val="18"/>
          <w:szCs w:val="18"/>
        </w:rPr>
        <w:t>的条件下，发放股票股利。（六）存</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3"/>
          <w:sz w:val="18"/>
          <w:szCs w:val="18"/>
        </w:rPr>
        <w:t>在股东违规占用公司资金情况的，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公司应当扣减该股东所分配的现金</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8"/>
          <w:w w:val="101"/>
          <w:sz w:val="18"/>
          <w:szCs w:val="18"/>
        </w:rPr>
        <w:t>红利，以偿还其占用的资金。（七）</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利润分配的决策程序与机制</w:t>
      </w:r>
      <w:r>
        <w:rPr>
          <w:rFonts w:ascii="宋体" w:hAnsi="宋体" w:cs="宋体" w:eastAsia="宋体" w:hint="default"/>
          <w:spacing w:val="-37"/>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w:t>
      </w:r>
      <w:r>
        <w:rPr>
          <w:rFonts w:ascii="宋体" w:hAnsi="宋体" w:cs="宋体" w:eastAsia="宋体" w:hint="default"/>
          <w:spacing w:val="-53"/>
          <w:sz w:val="18"/>
          <w:szCs w:val="18"/>
        </w:rPr>
        <w:t> </w:t>
      </w:r>
      <w:r>
        <w:rPr>
          <w:rFonts w:ascii="宋体" w:hAnsi="宋体" w:cs="宋体" w:eastAsia="宋体" w:hint="default"/>
          <w:spacing w:val="-3"/>
          <w:sz w:val="18"/>
          <w:szCs w:val="18"/>
        </w:rPr>
        <w:t>司每年利润分配方案由董事会结合</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本章程的规定、盈利情况、资金供</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给和需求情况提出、拟订。董事会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审议现金分红具体方案时，应当认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真研究和论证公司现金分红的时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机、条件和最低比例、调整的条件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及决策程序要求等事宜，独立董事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应对利润分配方案进行审核并发表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独立明确的意见，董事会通过后提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交股东大会审议。独立董事可以征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sz w:val="18"/>
          <w:szCs w:val="18"/>
        </w:rPr>
        <w:t>集中小股东的意见，提出分红提案</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6"/>
          <w:sz w:val="18"/>
          <w:szCs w:val="18"/>
        </w:rPr>
        <w:t>并直接提交董事会审议。</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、股东大</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会对现金分红具体方案进行审议</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前，应通过多种渠道主动与股东特</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别是中小股东进行沟通和交流（包</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括但不限于电话、传真和邮件沟通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2"/>
          <w:w w:val="101"/>
          <w:sz w:val="18"/>
          <w:szCs w:val="18"/>
        </w:rPr>
        <w:t>或邀请中小股东参会等方式），充分</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听取中小股东的意见和诉求，并及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8"/>
          <w:sz w:val="18"/>
          <w:szCs w:val="18"/>
        </w:rPr>
        <w:t>时答复中小股东关心的问题。</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、公</w:t>
      </w:r>
      <w:r>
        <w:rPr>
          <w:rFonts w:ascii="宋体" w:hAnsi="宋体" w:cs="宋体" w:eastAsia="宋体" w:hint="default"/>
          <w:spacing w:val="-47"/>
          <w:sz w:val="18"/>
          <w:szCs w:val="18"/>
        </w:rPr>
        <w:t> </w:t>
      </w:r>
      <w:r>
        <w:rPr>
          <w:rFonts w:ascii="宋体" w:hAnsi="宋体" w:cs="宋体" w:eastAsia="宋体" w:hint="default"/>
          <w:spacing w:val="-3"/>
          <w:sz w:val="18"/>
          <w:szCs w:val="18"/>
        </w:rPr>
        <w:t>司不进行现金分红或分红水平较低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时，董事会就不进行现金分红或现</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金分配低于规定比例的具体原因、</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公司留存收益的用途和使用计划等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事项进行专项说明，经独立董事发</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表独立意见后，提交公司股东大会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审议。同时在召开股东大会时，公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司应当提供网络投票等方式以方便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8"/>
          <w:w w:val="101"/>
          <w:sz w:val="18"/>
          <w:szCs w:val="18"/>
        </w:rPr>
        <w:t>中小股东参与股东大会表决。（八）</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利润分配政策的调整机制</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、如遇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到战争、自然灾害等不可抗力，或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公司外部经营环境变化并对公司生</w:t>
      </w:r>
    </w:p>
    <w:p>
      <w:pPr>
        <w:spacing w:after="0" w:line="316" w:lineRule="auto"/>
        <w:jc w:val="left"/>
        <w:rPr>
          <w:rFonts w:ascii="宋体" w:hAnsi="宋体" w:cs="宋体" w:eastAsia="宋体" w:hint="default"/>
          <w:sz w:val="18"/>
          <w:szCs w:val="18"/>
        </w:rPr>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r>
        <w:rPr/>
        <w:pict>
          <v:shape style="position:absolute;margin-left:395.158234pt;margin-top:72.505981pt;width:62pt;height:686.6pt;mso-position-horizontal-relative:page;mso-position-vertical-relative:page;z-index:-1183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4"/>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42"/>
        <w:gridCol w:w="1728"/>
        <w:gridCol w:w="1124"/>
        <w:gridCol w:w="2790"/>
        <w:gridCol w:w="1124"/>
        <w:gridCol w:w="1124"/>
        <w:gridCol w:w="1109"/>
      </w:tblGrid>
      <w:tr>
        <w:trPr>
          <w:trHeight w:val="316"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728"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27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产经营造成重大影响，或公司自身</w:t>
            </w:r>
          </w:p>
        </w:tc>
        <w:tc>
          <w:tcPr>
            <w:tcW w:w="1124" w:type="dxa"/>
            <w:vMerge w:val="restart"/>
            <w:tcBorders>
              <w:top w:val="single" w:sz="4" w:space="0" w:color="000000"/>
              <w:left w:val="single" w:sz="4" w:space="0" w:color="000000"/>
              <w:right w:val="single" w:sz="4" w:space="0" w:color="000000"/>
            </w:tcBorders>
          </w:tcPr>
          <w:p>
            <w:pPr>
              <w:pStyle w:val="TableParagraph"/>
              <w:spacing w:line="13731"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95pt;height:686.6pt;mso-position-horizontal-relative:char;mso-position-vertical-relative:line" coordorigin="0,0" coordsize="1119,13732">
                  <v:group style="position:absolute;left:0;top:0;width:1119;height:13732" coordorigin="0,0" coordsize="1119,13732">
                    <v:shape style="position:absolute;left:0;top:0;width:1119;height:13732" coordorigin="0,0" coordsize="1119,13732" path="m0,13732l1119,13732,1119,0,0,0,0,13732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经营状况发生较大变化时，公司可</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6"/>
                <w:sz w:val="18"/>
                <w:szCs w:val="18"/>
              </w:rPr>
              <w:t>对利润分配政策进行调整。</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、公司</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根据生产经营情况、投资规划和长</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期发展的需要等原因需调整利润分</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配政策的，应由公司董事会根据实</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际情况提出利润分配政策调整议</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案，提请股东大会审议并经出席股</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东大会的股东所持表决权的三分之</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二以上通过；调整后的利润分配政</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策应以股东权益保护为出发点，且</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不得违反中国证监会和证券交易所</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的有关规定；调整利润分配政策的</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相关议案需分别经监事会和二分之</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一以上独立董事同意后提交董事</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会、股东大会批准，提交股东大会</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的相关提案中应详细说明修改利润</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分配政策的原因，独立董事应当对</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调整利润分配政策发表独立意见。</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公司调整利润分配政策，应当提供</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网络投票等方式为公众股东参与股</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东</w:t>
            </w:r>
            <w:r>
              <w:rPr>
                <w:rFonts w:ascii="宋体" w:hAnsi="宋体" w:cs="宋体" w:eastAsia="宋体" w:hint="default"/>
                <w:spacing w:val="-5"/>
                <w:w w:val="101"/>
                <w:sz w:val="18"/>
                <w:szCs w:val="18"/>
              </w:rPr>
              <w:t>大</w:t>
            </w:r>
            <w:r>
              <w:rPr>
                <w:rFonts w:ascii="宋体" w:hAnsi="宋体" w:cs="宋体" w:eastAsia="宋体" w:hint="default"/>
                <w:w w:val="101"/>
                <w:sz w:val="18"/>
                <w:szCs w:val="18"/>
              </w:rPr>
              <w:t>会</w:t>
            </w:r>
            <w:r>
              <w:rPr>
                <w:rFonts w:ascii="宋体" w:hAnsi="宋体" w:cs="宋体" w:eastAsia="宋体" w:hint="default"/>
                <w:spacing w:val="-5"/>
                <w:w w:val="101"/>
                <w:sz w:val="18"/>
                <w:szCs w:val="18"/>
              </w:rPr>
              <w:t>表</w:t>
            </w:r>
            <w:r>
              <w:rPr>
                <w:rFonts w:ascii="宋体" w:hAnsi="宋体" w:cs="宋体" w:eastAsia="宋体" w:hint="default"/>
                <w:w w:val="101"/>
                <w:sz w:val="18"/>
                <w:szCs w:val="18"/>
              </w:rPr>
              <w:t>决</w:t>
            </w:r>
            <w:r>
              <w:rPr>
                <w:rFonts w:ascii="宋体" w:hAnsi="宋体" w:cs="宋体" w:eastAsia="宋体" w:hint="default"/>
                <w:spacing w:val="-5"/>
                <w:w w:val="101"/>
                <w:sz w:val="18"/>
                <w:szCs w:val="18"/>
              </w:rPr>
              <w:t>提</w:t>
            </w:r>
            <w:r>
              <w:rPr>
                <w:rFonts w:ascii="宋体" w:hAnsi="宋体" w:cs="宋体" w:eastAsia="宋体" w:hint="default"/>
                <w:w w:val="101"/>
                <w:sz w:val="18"/>
                <w:szCs w:val="18"/>
              </w:rPr>
              <w:t>供</w:t>
            </w:r>
            <w:r>
              <w:rPr>
                <w:rFonts w:ascii="宋体" w:hAnsi="宋体" w:cs="宋体" w:eastAsia="宋体" w:hint="default"/>
                <w:spacing w:val="-5"/>
                <w:w w:val="101"/>
                <w:sz w:val="18"/>
                <w:szCs w:val="18"/>
              </w:rPr>
              <w:t>便</w:t>
            </w:r>
            <w:r>
              <w:rPr>
                <w:rFonts w:ascii="宋体" w:hAnsi="宋体" w:cs="宋体" w:eastAsia="宋体" w:hint="default"/>
                <w:w w:val="101"/>
                <w:sz w:val="18"/>
                <w:szCs w:val="18"/>
              </w:rPr>
              <w:t>利</w:t>
            </w:r>
            <w:r>
              <w:rPr>
                <w:rFonts w:ascii="宋体" w:hAnsi="宋体" w:cs="宋体" w:eastAsia="宋体" w:hint="default"/>
                <w:spacing w:val="-120"/>
                <w:w w:val="101"/>
                <w:sz w:val="18"/>
                <w:szCs w:val="18"/>
              </w:rPr>
              <w:t>。</w:t>
            </w:r>
            <w:r>
              <w:rPr>
                <w:rFonts w:ascii="宋体" w:hAnsi="宋体" w:cs="宋体" w:eastAsia="宋体" w:hint="default"/>
                <w:spacing w:val="-5"/>
                <w:w w:val="101"/>
                <w:sz w:val="18"/>
                <w:szCs w:val="18"/>
              </w:rPr>
              <w:t>（九</w:t>
            </w:r>
            <w:r>
              <w:rPr>
                <w:rFonts w:ascii="宋体" w:hAnsi="宋体" w:cs="宋体" w:eastAsia="宋体" w:hint="default"/>
                <w:spacing w:val="-29"/>
                <w:w w:val="101"/>
                <w:sz w:val="18"/>
                <w:szCs w:val="18"/>
              </w:rPr>
              <w:t>）</w:t>
            </w:r>
            <w:r>
              <w:rPr>
                <w:rFonts w:ascii="宋体" w:hAnsi="宋体" w:cs="宋体" w:eastAsia="宋体" w:hint="default"/>
                <w:spacing w:val="-5"/>
                <w:w w:val="101"/>
                <w:sz w:val="18"/>
                <w:szCs w:val="18"/>
              </w:rPr>
              <w:t>股</w:t>
            </w:r>
            <w:r>
              <w:rPr>
                <w:rFonts w:ascii="宋体" w:hAnsi="宋体" w:cs="宋体" w:eastAsia="宋体" w:hint="default"/>
                <w:w w:val="101"/>
                <w:sz w:val="18"/>
                <w:szCs w:val="18"/>
              </w:rPr>
              <w:t>东分</w:t>
            </w:r>
            <w:r>
              <w:rPr>
                <w:rFonts w:ascii="宋体" w:hAnsi="宋体" w:cs="宋体" w:eastAsia="宋体" w:hint="default"/>
                <w:sz w:val="18"/>
                <w:szCs w:val="18"/>
              </w:rPr>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红回报规划</w:t>
            </w:r>
            <w:r>
              <w:rPr>
                <w:rFonts w:ascii="宋体" w:hAnsi="宋体" w:cs="宋体" w:eastAsia="宋体" w:hint="default"/>
                <w:spacing w:val="-13"/>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、股东回报规划制定</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考虑因素公司将着眼于长远和可持</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续发展，在综合考虑公司实际经营</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情况、发展目标、股东要求和意愿</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尤其是中小投资者的合理回报需</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要、公司外部融资环境、社会资金</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成本等因素的基础上，建立对投资</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者持续、稳定、科学的回报规划与</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机制，从而对利润分配作出制度性</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安排，以保持未来公司利润分配政</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6"/>
                <w:sz w:val="18"/>
                <w:szCs w:val="18"/>
              </w:rPr>
              <w:t>策的连续性和稳定性。</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、股东回报</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规划制定原则公司的股东分红回报</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规划充分考虑和听取股东（特别是</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公</w:t>
            </w:r>
            <w:r>
              <w:rPr>
                <w:rFonts w:ascii="宋体" w:hAnsi="宋体" w:cs="宋体" w:eastAsia="宋体" w:hint="default"/>
                <w:spacing w:val="-5"/>
                <w:w w:val="101"/>
                <w:sz w:val="18"/>
                <w:szCs w:val="18"/>
              </w:rPr>
              <w:t>众</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者</w:t>
            </w:r>
            <w:r>
              <w:rPr>
                <w:rFonts w:ascii="宋体" w:hAnsi="宋体" w:cs="宋体" w:eastAsia="宋体" w:hint="default"/>
                <w:spacing w:val="-5"/>
                <w:w w:val="101"/>
                <w:sz w:val="18"/>
                <w:szCs w:val="18"/>
              </w:rPr>
              <w:t>和</w:t>
            </w:r>
            <w:r>
              <w:rPr>
                <w:rFonts w:ascii="宋体" w:hAnsi="宋体" w:cs="宋体" w:eastAsia="宋体" w:hint="default"/>
                <w:w w:val="101"/>
                <w:sz w:val="18"/>
                <w:szCs w:val="18"/>
              </w:rPr>
              <w:t>中</w:t>
            </w:r>
            <w:r>
              <w:rPr>
                <w:rFonts w:ascii="宋体" w:hAnsi="宋体" w:cs="宋体" w:eastAsia="宋体" w:hint="default"/>
                <w:spacing w:val="-5"/>
                <w:w w:val="101"/>
                <w:sz w:val="18"/>
                <w:szCs w:val="18"/>
              </w:rPr>
              <w:t>小</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者</w:t>
            </w:r>
            <w:r>
              <w:rPr>
                <w:rFonts w:ascii="宋体" w:hAnsi="宋体" w:cs="宋体" w:eastAsia="宋体" w:hint="default"/>
                <w:spacing w:val="-96"/>
                <w:w w:val="101"/>
                <w:sz w:val="18"/>
                <w:szCs w:val="18"/>
              </w:rPr>
              <w:t>）</w:t>
            </w:r>
            <w:r>
              <w:rPr>
                <w:rFonts w:ascii="宋体" w:hAnsi="宋体" w:cs="宋体" w:eastAsia="宋体" w:hint="default"/>
                <w:spacing w:val="-58"/>
                <w:w w:val="101"/>
                <w:sz w:val="18"/>
                <w:szCs w:val="18"/>
              </w:rPr>
              <w:t>、</w:t>
            </w:r>
            <w:r>
              <w:rPr>
                <w:rFonts w:ascii="宋体" w:hAnsi="宋体" w:cs="宋体" w:eastAsia="宋体" w:hint="default"/>
                <w:spacing w:val="-5"/>
                <w:w w:val="101"/>
                <w:sz w:val="18"/>
                <w:szCs w:val="18"/>
              </w:rPr>
              <w:t>独</w:t>
            </w:r>
            <w:r>
              <w:rPr>
                <w:rFonts w:ascii="宋体" w:hAnsi="宋体" w:cs="宋体" w:eastAsia="宋体" w:hint="default"/>
                <w:w w:val="101"/>
                <w:sz w:val="18"/>
                <w:szCs w:val="18"/>
              </w:rPr>
              <w:t>立董</w:t>
            </w:r>
            <w:r>
              <w:rPr>
                <w:rFonts w:ascii="宋体" w:hAnsi="宋体" w:cs="宋体" w:eastAsia="宋体" w:hint="default"/>
                <w:sz w:val="18"/>
                <w:szCs w:val="18"/>
              </w:rPr>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事和外部监事的意见，在保证公司</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正常经营业务发展的前提下，坚持</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现金分红这一基本原则。如无重大</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资金支出事项发生，公司上市后将</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在每年向股东分配的现金股利不低</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于当年实现的可供分配利润的</w:t>
            </w:r>
            <w:r>
              <w:rPr>
                <w:rFonts w:ascii="宋体" w:hAnsi="宋体" w:cs="宋体" w:eastAsia="宋体" w:hint="default"/>
                <w:spacing w:val="-10"/>
                <w:sz w:val="18"/>
                <w:szCs w:val="18"/>
              </w:rPr>
              <w:t> </w:t>
            </w:r>
            <w:r>
              <w:rPr>
                <w:rFonts w:ascii="Times New Roman" w:hAnsi="Times New Roman" w:cs="Times New Roman" w:eastAsia="Times New Roman" w:hint="default"/>
                <w:spacing w:val="-2"/>
                <w:sz w:val="18"/>
                <w:szCs w:val="18"/>
              </w:rPr>
              <w:t>15%</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的基础上，确定年度现金股利及股</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8"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728"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27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票股利分配的具体方案。公司的股</w:t>
            </w:r>
          </w:p>
        </w:tc>
        <w:tc>
          <w:tcPr>
            <w:tcW w:w="1124"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r>
        <w:rPr/>
        <w:pict>
          <v:shape style="position:absolute;margin-left:395.149139pt;margin-top:72.509979pt;width:62pt;height:298.4pt;mso-position-horizontal-relative:page;mso-position-vertical-relative:page;z-index:-1183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842"/>
        <w:gridCol w:w="1728"/>
        <w:gridCol w:w="1124"/>
        <w:gridCol w:w="2790"/>
        <w:gridCol w:w="1124"/>
        <w:gridCol w:w="1124"/>
        <w:gridCol w:w="1112"/>
      </w:tblGrid>
      <w:tr>
        <w:trPr>
          <w:trHeight w:val="5978"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东分红回报规划的制定应符合相关</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法律法规、规范性文件及《公司章</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sz w:val="18"/>
                <w:szCs w:val="18"/>
              </w:rPr>
              <w:t>程》的规定，公司实行连续、稳定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6"/>
                <w:sz w:val="18"/>
                <w:szCs w:val="18"/>
              </w:rPr>
              <w:t>积极的利润分配政策。</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、股东回报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规划制定周期和相关决策机制公司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至少每三年重新审阅一次股东分红</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回报规划，根据股东（特别是公众</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2"/>
                <w:w w:val="101"/>
                <w:sz w:val="18"/>
                <w:szCs w:val="18"/>
              </w:rPr>
              <w:t>投资者和中小投资者）、独立董事和</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外部监事的意见对公司正在实施的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股利分配政策作出适当且必要的修</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改，确定该时段的股东分红回报计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sz w:val="18"/>
                <w:szCs w:val="18"/>
              </w:rPr>
              <w:t>划。公司董事会结合具体经营数据</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充分考虑公司盈利规模、现金流量</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状况、发展阶段及当期资金需求，</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并结合股东（特别是公众投资者和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2"/>
                <w:w w:val="101"/>
                <w:sz w:val="18"/>
                <w:szCs w:val="18"/>
              </w:rPr>
              <w:t>中小投资者）、独立董事和外部监事</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7"/>
                <w:sz w:val="18"/>
                <w:szCs w:val="18"/>
              </w:rPr>
              <w:t>的意见，制定年度或中期分红方案</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并经公司股东大会表决通过后实</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施。</w:t>
            </w:r>
            <w:r>
              <w:rPr>
                <w:rFonts w:ascii="Times New Roman" w:hAnsi="Times New Roman" w:cs="Times New Roman" w:eastAsia="Times New Roman" w:hint="default"/>
                <w:sz w:val="18"/>
                <w:szCs w:val="18"/>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5967"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8"/>
                <w:sz w:val="20"/>
                <w:szCs w:val="20"/>
              </w:rPr>
              <w:pict>
                <v:group style="width:55.95pt;height:298.4pt;mso-position-horizontal-relative:char;mso-position-vertical-relative:line" coordorigin="0,0" coordsize="1119,5968">
                  <v:group style="position:absolute;left:0;top:0;width:1119;height:5968" coordorigin="0,0" coordsize="1119,5968">
                    <v:shape style="position:absolute;left:0;top:0;width:1119;height:5968" coordorigin="0,0" coordsize="1119,5968" path="m0,5968l1119,5968,1119,0,0,0,0,5968xe" filled="true" fillcolor="#ffffff" stroked="false">
                      <v:path arrowok="t"/>
                      <v:fill type="solid"/>
                    </v:shape>
                  </v:group>
                </v:group>
              </w:pict>
            </w:r>
            <w:r>
              <w:rPr>
                <w:rFonts w:ascii="Times New Roman" w:hAnsi="Times New Roman" w:cs="Times New Roman" w:eastAsia="Times New Roman" w:hint="default"/>
                <w:position w:val="-118"/>
                <w:sz w:val="20"/>
                <w:szCs w:val="20"/>
              </w:rPr>
            </w:r>
          </w:p>
        </w:tc>
        <w:tc>
          <w:tcPr>
            <w:tcW w:w="112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7855"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8"/>
                <w:sz w:val="18"/>
              </w:rPr>
              <w:t>JAY </w:t>
            </w:r>
            <w:r>
              <w:rPr>
                <w:rFonts w:ascii="Times New Roman"/>
                <w:sz w:val="18"/>
              </w:rPr>
              <w:t>TSAI</w:t>
            </w:r>
            <w:r>
              <w:rPr>
                <w:rFonts w:ascii="Times New Roman"/>
                <w:spacing w:val="10"/>
                <w:sz w:val="18"/>
              </w:rPr>
              <w:t> </w:t>
            </w:r>
            <w:r>
              <w:rPr>
                <w:rFonts w:ascii="Times New Roman"/>
                <w:spacing w:val="-3"/>
                <w:sz w:val="18"/>
              </w:rPr>
              <w:t>CHIEN</w:t>
            </w:r>
          </w:p>
          <w:p>
            <w:pPr>
              <w:pStyle w:val="TableParagraph"/>
              <w:spacing w:line="309" w:lineRule="auto" w:before="63"/>
              <w:ind w:left="24"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CHOU;</w:t>
            </w:r>
            <w:r>
              <w:rPr>
                <w:rFonts w:ascii="宋体" w:hAnsi="宋体" w:cs="宋体" w:eastAsia="宋体" w:hint="default"/>
                <w:sz w:val="18"/>
                <w:szCs w:val="18"/>
              </w:rPr>
              <w:t>陈坚</w:t>
            </w:r>
            <w:r>
              <w:rPr>
                <w:rFonts w:ascii="Times New Roman" w:hAnsi="Times New Roman" w:cs="Times New Roman" w:eastAsia="Times New Roman" w:hint="default"/>
                <w:sz w:val="18"/>
                <w:szCs w:val="18"/>
              </w:rPr>
              <w:t>;</w:t>
            </w:r>
            <w:r>
              <w:rPr>
                <w:rFonts w:ascii="宋体" w:hAnsi="宋体" w:cs="宋体" w:eastAsia="宋体" w:hint="default"/>
                <w:sz w:val="18"/>
                <w:szCs w:val="18"/>
              </w:rPr>
              <w:t>陈英</w:t>
            </w:r>
            <w:r>
              <w:rPr>
                <w:rFonts w:ascii="Times New Roman" w:hAnsi="Times New Roman" w:cs="Times New Roman" w:eastAsia="Times New Roman" w:hint="default"/>
                <w:sz w:val="18"/>
                <w:szCs w:val="18"/>
              </w:rPr>
              <w:t>;</w:t>
            </w:r>
            <w:r>
              <w:rPr>
                <w:rFonts w:ascii="宋体" w:hAnsi="宋体" w:cs="宋体" w:eastAsia="宋体" w:hint="default"/>
                <w:sz w:val="18"/>
                <w:szCs w:val="18"/>
              </w:rPr>
              <w:t>杭</w:t>
            </w:r>
            <w:r>
              <w:rPr>
                <w:rFonts w:ascii="宋体" w:hAnsi="宋体" w:cs="宋体" w:eastAsia="宋体" w:hint="default"/>
                <w:spacing w:val="-87"/>
                <w:sz w:val="18"/>
                <w:szCs w:val="18"/>
              </w:rPr>
              <w:t> </w:t>
            </w:r>
            <w:r>
              <w:rPr>
                <w:rFonts w:ascii="宋体" w:hAnsi="宋体" w:cs="宋体" w:eastAsia="宋体" w:hint="default"/>
                <w:spacing w:val="-3"/>
                <w:sz w:val="18"/>
                <w:szCs w:val="18"/>
              </w:rPr>
              <w:t>州正元企业管理咨询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黄金明</w:t>
            </w:r>
            <w:r>
              <w:rPr>
                <w:rFonts w:ascii="Times New Roman" w:hAnsi="Times New Roman" w:cs="Times New Roman" w:eastAsia="Times New Roman" w:hint="default"/>
                <w:sz w:val="18"/>
                <w:szCs w:val="18"/>
              </w:rPr>
              <w:t>;</w:t>
            </w:r>
            <w:r>
              <w:rPr>
                <w:rFonts w:ascii="宋体" w:hAnsi="宋体" w:cs="宋体" w:eastAsia="宋体" w:hint="default"/>
                <w:sz w:val="18"/>
                <w:szCs w:val="18"/>
              </w:rPr>
              <w:t>陆</w:t>
            </w:r>
            <w:r>
              <w:rPr>
                <w:rFonts w:ascii="宋体" w:hAnsi="宋体" w:cs="宋体" w:eastAsia="宋体" w:hint="default"/>
                <w:spacing w:val="-88"/>
                <w:sz w:val="18"/>
                <w:szCs w:val="18"/>
              </w:rPr>
              <w:t> </w:t>
            </w:r>
            <w:r>
              <w:rPr>
                <w:rFonts w:ascii="宋体" w:hAnsi="宋体" w:cs="宋体" w:eastAsia="宋体" w:hint="default"/>
                <w:sz w:val="18"/>
                <w:szCs w:val="18"/>
              </w:rPr>
              <w:t>卫明</w:t>
            </w:r>
            <w:r>
              <w:rPr>
                <w:rFonts w:ascii="Times New Roman" w:hAnsi="Times New Roman" w:cs="Times New Roman" w:eastAsia="Times New Roman" w:hint="default"/>
                <w:sz w:val="18"/>
                <w:szCs w:val="18"/>
              </w:rPr>
              <w:t>;</w:t>
            </w:r>
            <w:r>
              <w:rPr>
                <w:rFonts w:ascii="宋体" w:hAnsi="宋体" w:cs="宋体" w:eastAsia="宋体" w:hint="default"/>
                <w:sz w:val="18"/>
                <w:szCs w:val="18"/>
              </w:rPr>
              <w:t>余锴</w:t>
            </w:r>
            <w:r>
              <w:rPr>
                <w:rFonts w:ascii="Times New Roman" w:hAnsi="Times New Roman" w:cs="Times New Roman" w:eastAsia="Times New Roman" w:hint="default"/>
                <w:sz w:val="18"/>
                <w:szCs w:val="18"/>
              </w:rPr>
              <w:t>;</w:t>
            </w:r>
            <w:r>
              <w:rPr>
                <w:rFonts w:ascii="宋体" w:hAnsi="宋体" w:cs="宋体" w:eastAsia="宋体" w:hint="default"/>
                <w:sz w:val="18"/>
                <w:szCs w:val="18"/>
              </w:rPr>
              <w:t>浙江正元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智慧科技股份有限公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7"/>
              <w:ind w:left="23" w:right="2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IPO </w:t>
            </w:r>
            <w:r>
              <w:rPr>
                <w:rFonts w:ascii="宋体" w:hAnsi="宋体" w:cs="宋体" w:eastAsia="宋体" w:hint="default"/>
                <w:sz w:val="18"/>
                <w:szCs w:val="18"/>
              </w:rPr>
              <w:t>稳定股价</w:t>
            </w:r>
            <w:r>
              <w:rPr>
                <w:rFonts w:ascii="宋体" w:hAnsi="宋体" w:cs="宋体" w:eastAsia="宋体" w:hint="default"/>
                <w:spacing w:val="-78"/>
                <w:sz w:val="18"/>
                <w:szCs w:val="18"/>
              </w:rPr>
              <w:t> </w:t>
            </w:r>
            <w:r>
              <w:rPr>
                <w:rFonts w:ascii="宋体" w:hAnsi="宋体" w:cs="宋体" w:eastAsia="宋体" w:hint="default"/>
                <w:sz w:val="18"/>
                <w:szCs w:val="18"/>
              </w:rPr>
              <w:t>承诺</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3"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（一）启动股价稳定措施的具体条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件公司上市后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年内，若股票收盘</w:t>
            </w:r>
          </w:p>
          <w:p>
            <w:pPr>
              <w:pStyle w:val="TableParagraph"/>
              <w:spacing w:line="316" w:lineRule="auto" w:before="13"/>
              <w:ind w:left="23" w:right="17"/>
              <w:jc w:val="left"/>
              <w:rPr>
                <w:rFonts w:ascii="宋体" w:hAnsi="宋体" w:cs="宋体" w:eastAsia="宋体" w:hint="default"/>
                <w:sz w:val="18"/>
                <w:szCs w:val="18"/>
              </w:rPr>
            </w:pPr>
            <w:r>
              <w:rPr>
                <w:rFonts w:ascii="宋体" w:hAnsi="宋体" w:cs="宋体" w:eastAsia="宋体" w:hint="default"/>
                <w:sz w:val="18"/>
                <w:szCs w:val="18"/>
              </w:rPr>
              <w:t>价连续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个交易日低于最近一期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经审计的每股净资产（若因除权除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息事项导致股票收盘价与公司最近</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一期经审计每股净资产不具有可比</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性时，上述每股净资产作相应调</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12"/>
                <w:w w:val="101"/>
                <w:sz w:val="18"/>
                <w:szCs w:val="18"/>
              </w:rPr>
              <w:t>整），且同时满足相关回购、增持公</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3"/>
                <w:sz w:val="18"/>
                <w:szCs w:val="18"/>
              </w:rPr>
              <w:t>司股份等行为的法律、法规和规范</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性文件的规定，则触发公司、控股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股东、董事（不含独立董事）及高</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级管理人员履行稳定公司股价措施</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下</w:t>
            </w:r>
            <w:r>
              <w:rPr>
                <w:rFonts w:ascii="宋体" w:hAnsi="宋体" w:cs="宋体" w:eastAsia="宋体" w:hint="default"/>
                <w:spacing w:val="-5"/>
                <w:w w:val="101"/>
                <w:sz w:val="18"/>
                <w:szCs w:val="18"/>
              </w:rPr>
              <w:t>简</w:t>
            </w:r>
            <w:r>
              <w:rPr>
                <w:rFonts w:ascii="宋体" w:hAnsi="宋体" w:cs="宋体" w:eastAsia="宋体" w:hint="default"/>
                <w:w w:val="101"/>
                <w:sz w:val="18"/>
                <w:szCs w:val="18"/>
              </w:rPr>
              <w:t>称</w:t>
            </w:r>
            <w:r>
              <w:rPr>
                <w:rFonts w:ascii="Times New Roman" w:hAnsi="Times New Roman" w:cs="Times New Roman" w:eastAsia="Times New Roman" w:hint="default"/>
                <w:spacing w:val="-3"/>
                <w:w w:val="101"/>
                <w:sz w:val="18"/>
                <w:szCs w:val="18"/>
              </w:rPr>
              <w:t>"</w:t>
            </w:r>
            <w:r>
              <w:rPr>
                <w:rFonts w:ascii="宋体" w:hAnsi="宋体" w:cs="宋体" w:eastAsia="宋体" w:hint="default"/>
                <w:w w:val="101"/>
                <w:sz w:val="18"/>
                <w:szCs w:val="18"/>
              </w:rPr>
              <w:t>触</w:t>
            </w:r>
            <w:r>
              <w:rPr>
                <w:rFonts w:ascii="宋体" w:hAnsi="宋体" w:cs="宋体" w:eastAsia="宋体" w:hint="default"/>
                <w:spacing w:val="-5"/>
                <w:w w:val="101"/>
                <w:sz w:val="18"/>
                <w:szCs w:val="18"/>
              </w:rPr>
              <w:t>发</w:t>
            </w:r>
            <w:r>
              <w:rPr>
                <w:rFonts w:ascii="宋体" w:hAnsi="宋体" w:cs="宋体" w:eastAsia="宋体" w:hint="default"/>
                <w:w w:val="101"/>
                <w:sz w:val="18"/>
                <w:szCs w:val="18"/>
              </w:rPr>
              <w:t>稳</w:t>
            </w:r>
            <w:r>
              <w:rPr>
                <w:rFonts w:ascii="宋体" w:hAnsi="宋体" w:cs="宋体" w:eastAsia="宋体" w:hint="default"/>
                <w:spacing w:val="-5"/>
                <w:w w:val="101"/>
                <w:sz w:val="18"/>
                <w:szCs w:val="18"/>
              </w:rPr>
              <w:t>定</w:t>
            </w:r>
            <w:r>
              <w:rPr>
                <w:rFonts w:ascii="宋体" w:hAnsi="宋体" w:cs="宋体" w:eastAsia="宋体" w:hint="default"/>
                <w:w w:val="101"/>
                <w:sz w:val="18"/>
                <w:szCs w:val="18"/>
              </w:rPr>
              <w:t>股</w:t>
            </w:r>
            <w:r>
              <w:rPr>
                <w:rFonts w:ascii="宋体" w:hAnsi="宋体" w:cs="宋体" w:eastAsia="宋体" w:hint="default"/>
                <w:spacing w:val="-5"/>
                <w:w w:val="101"/>
                <w:sz w:val="18"/>
                <w:szCs w:val="18"/>
              </w:rPr>
              <w:t>价</w:t>
            </w:r>
            <w:r>
              <w:rPr>
                <w:rFonts w:ascii="宋体" w:hAnsi="宋体" w:cs="宋体" w:eastAsia="宋体" w:hint="default"/>
                <w:w w:val="101"/>
                <w:sz w:val="18"/>
                <w:szCs w:val="18"/>
              </w:rPr>
              <w:t>措施</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92"/>
                <w:w w:val="101"/>
                <w:sz w:val="18"/>
                <w:szCs w:val="18"/>
              </w:rPr>
              <w:t>）。</w:t>
            </w:r>
            <w:r>
              <w:rPr>
                <w:rFonts w:ascii="宋体" w:hAnsi="宋体" w:cs="宋体" w:eastAsia="宋体" w:hint="default"/>
                <w:sz w:val="18"/>
                <w:szCs w:val="18"/>
              </w:rPr>
            </w:r>
          </w:p>
          <w:p>
            <w:pPr>
              <w:pStyle w:val="TableParagraph"/>
              <w:spacing w:line="312" w:lineRule="auto" w:before="63"/>
              <w:ind w:left="23" w:right="17"/>
              <w:jc w:val="left"/>
              <w:rPr>
                <w:rFonts w:ascii="宋体" w:hAnsi="宋体" w:cs="宋体" w:eastAsia="宋体" w:hint="default"/>
                <w:sz w:val="18"/>
                <w:szCs w:val="18"/>
              </w:rPr>
            </w:pPr>
            <w:r>
              <w:rPr>
                <w:rFonts w:ascii="宋体" w:hAnsi="宋体" w:cs="宋体" w:eastAsia="宋体" w:hint="default"/>
                <w:spacing w:val="-3"/>
                <w:sz w:val="18"/>
                <w:szCs w:val="18"/>
              </w:rPr>
              <w:t>（二）稳定公司股价的具体措施根</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据股价稳定预案，在不导致公司不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满足法定上市条件，不导致公司控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股股东或实际控制人履行要约收购</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义务的情况下，股价稳定措施采取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6"/>
                <w:sz w:val="18"/>
                <w:szCs w:val="18"/>
              </w:rPr>
              <w:t>如下顺序与方式：</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、在触发稳定股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7"/>
                <w:sz w:val="18"/>
                <w:szCs w:val="18"/>
              </w:rPr>
              <w:t>价措施后，公司控股股东将在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w:t>
            </w:r>
            <w:r>
              <w:rPr>
                <w:rFonts w:ascii="宋体" w:hAnsi="宋体" w:cs="宋体" w:eastAsia="宋体" w:hint="default"/>
                <w:spacing w:val="-83"/>
                <w:sz w:val="18"/>
                <w:szCs w:val="18"/>
              </w:rPr>
              <w:t> </w:t>
            </w:r>
            <w:r>
              <w:rPr>
                <w:rFonts w:ascii="宋体" w:hAnsi="宋体" w:cs="宋体" w:eastAsia="宋体" w:hint="default"/>
                <w:spacing w:val="-3"/>
                <w:sz w:val="18"/>
                <w:szCs w:val="18"/>
              </w:rPr>
              <w:t>交易日内向公司送达增持公司股票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书面通知（以下简称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增持通知书</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），增持通知书应包括增持股份数</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量、增持价格、增持期限、增持目</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标及其他有关增持的内容。公司控</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7"/>
              <w:jc w:val="left"/>
              <w:rPr>
                <w:rFonts w:ascii="宋体" w:hAnsi="宋体" w:cs="宋体" w:eastAsia="宋体" w:hint="default"/>
                <w:sz w:val="18"/>
                <w:szCs w:val="18"/>
              </w:rPr>
            </w:pPr>
            <w:r>
              <w:rPr>
                <w:rFonts w:ascii="宋体" w:hAnsi="宋体" w:cs="宋体" w:eastAsia="宋体" w:hint="default"/>
                <w:spacing w:val="-2"/>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r>
        <w:rPr/>
        <w:pict>
          <v:group style="position:absolute;margin-left:401.179993pt;margin-top:72.505981pt;width:55.95pt;height:686.6pt;mso-position-horizontal-relative:page;mso-position-vertical-relative:page;z-index:-1183120" coordorigin="8024,1450" coordsize="1119,13732">
            <v:shape style="position:absolute;left:8024;top:1450;width:1119;height:13732" coordorigin="8024,1450" coordsize="1119,13732" path="m8024,15182l9142,15182,9142,1450,8024,1450,8024,15182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42"/>
        <w:gridCol w:w="1728"/>
        <w:gridCol w:w="1124"/>
        <w:gridCol w:w="2790"/>
        <w:gridCol w:w="1124"/>
        <w:gridCol w:w="1124"/>
        <w:gridCol w:w="1109"/>
      </w:tblGrid>
      <w:tr>
        <w:trPr>
          <w:trHeight w:val="316"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728"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27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27"/>
              <w:jc w:val="center"/>
              <w:rPr>
                <w:rFonts w:ascii="宋体" w:hAnsi="宋体" w:cs="宋体" w:eastAsia="宋体" w:hint="default"/>
                <w:sz w:val="18"/>
                <w:szCs w:val="18"/>
              </w:rPr>
            </w:pPr>
            <w:r>
              <w:rPr>
                <w:rFonts w:ascii="宋体" w:hAnsi="宋体" w:cs="宋体" w:eastAsia="宋体" w:hint="default"/>
                <w:spacing w:val="-3"/>
                <w:sz w:val="18"/>
                <w:szCs w:val="18"/>
              </w:rPr>
              <w:t>股股东将在触发增持股票措施之日</w:t>
            </w:r>
          </w:p>
        </w:tc>
        <w:tc>
          <w:tcPr>
            <w:tcW w:w="1124" w:type="dxa"/>
            <w:tcBorders>
              <w:top w:val="single" w:sz="4" w:space="0" w:color="000000"/>
              <w:left w:val="single" w:sz="4" w:space="0" w:color="000000"/>
              <w:bottom w:val="nil" w:sz="6" w:space="0" w:color="auto"/>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z w:val="18"/>
                <w:szCs w:val="18"/>
              </w:rPr>
              <w:t>起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个月内，按照持股比例增持公</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04"/>
              <w:jc w:val="center"/>
              <w:rPr>
                <w:rFonts w:ascii="宋体" w:hAnsi="宋体" w:cs="宋体" w:eastAsia="宋体" w:hint="default"/>
                <w:sz w:val="18"/>
                <w:szCs w:val="18"/>
              </w:rPr>
            </w:pPr>
            <w:r>
              <w:rPr>
                <w:rFonts w:ascii="宋体" w:hAnsi="宋体" w:cs="宋体" w:eastAsia="宋体" w:hint="default"/>
                <w:spacing w:val="-3"/>
                <w:sz w:val="18"/>
                <w:szCs w:val="18"/>
              </w:rPr>
              <w:t>司股票，合计增持总金额不低于</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35"/>
                <w:sz w:val="18"/>
                <w:szCs w:val="18"/>
              </w:rPr>
              <w:t> </w:t>
            </w:r>
            <w:r>
              <w:rPr>
                <w:rFonts w:ascii="宋体" w:hAnsi="宋体" w:cs="宋体" w:eastAsia="宋体" w:hint="default"/>
                <w:spacing w:val="-7"/>
                <w:sz w:val="18"/>
                <w:szCs w:val="18"/>
              </w:rPr>
              <w:t>万元人民币，增持股票的数量</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5"/>
              <w:jc w:val="center"/>
              <w:rPr>
                <w:rFonts w:ascii="Times New Roman" w:hAnsi="Times New Roman" w:cs="Times New Roman" w:eastAsia="Times New Roman" w:hint="default"/>
                <w:sz w:val="18"/>
                <w:szCs w:val="18"/>
              </w:rPr>
            </w:pPr>
            <w:r>
              <w:rPr>
                <w:rFonts w:ascii="宋体" w:hAnsi="宋体" w:cs="宋体" w:eastAsia="宋体" w:hint="default"/>
                <w:sz w:val="18"/>
                <w:szCs w:val="18"/>
              </w:rPr>
              <w:t>不超过增持前公司股份总数的</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2%</w:t>
            </w:r>
            <w:r>
              <w:rPr>
                <w:rFonts w:ascii="Times New Roman" w:hAnsi="Times New Roman" w:cs="Times New Roman" w:eastAsia="Times New Roman" w:hint="default"/>
                <w:sz w:val="18"/>
                <w:szCs w:val="18"/>
              </w:rPr>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
              <w:jc w:val="center"/>
              <w:rPr>
                <w:rFonts w:ascii="宋体" w:hAnsi="宋体" w:cs="宋体" w:eastAsia="宋体" w:hint="default"/>
                <w:sz w:val="18"/>
                <w:szCs w:val="18"/>
              </w:rPr>
            </w:pPr>
            <w:r>
              <w:rPr>
                <w:rFonts w:ascii="宋体" w:hAnsi="宋体" w:cs="宋体" w:eastAsia="宋体" w:hint="default"/>
                <w:spacing w:val="-3"/>
                <w:sz w:val="18"/>
                <w:szCs w:val="18"/>
              </w:rPr>
              <w:t>在实施增持股票期间，公司股票连</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13"/>
              <w:jc w:val="center"/>
              <w:rPr>
                <w:rFonts w:ascii="宋体" w:hAnsi="宋体" w:cs="宋体" w:eastAsia="宋体" w:hint="default"/>
                <w:sz w:val="18"/>
                <w:szCs w:val="18"/>
              </w:rPr>
            </w:pPr>
            <w:r>
              <w:rPr>
                <w:rFonts w:ascii="宋体" w:hAnsi="宋体" w:cs="宋体" w:eastAsia="宋体" w:hint="default"/>
                <w:sz w:val="18"/>
                <w:szCs w:val="18"/>
              </w:rPr>
              <w:t>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个交易日的收盘价均已高于</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04"/>
              <w:jc w:val="center"/>
              <w:rPr>
                <w:rFonts w:ascii="宋体" w:hAnsi="宋体" w:cs="宋体" w:eastAsia="宋体" w:hint="default"/>
                <w:sz w:val="18"/>
                <w:szCs w:val="18"/>
              </w:rPr>
            </w:pPr>
            <w:r>
              <w:rPr>
                <w:rFonts w:ascii="宋体" w:hAnsi="宋体" w:cs="宋体" w:eastAsia="宋体" w:hint="default"/>
                <w:spacing w:val="-3"/>
                <w:sz w:val="18"/>
                <w:szCs w:val="18"/>
              </w:rPr>
              <w:t>公司最近一年经审计的每股净资</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产，或者继续增持股票将导致公司</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不满足法定上市条件时，或者继续</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增持股票将导致公司控股股东或实</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际控制人履行要约收购义务，公司</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4"/>
              <w:jc w:val="center"/>
              <w:rPr>
                <w:rFonts w:ascii="宋体" w:hAnsi="宋体" w:cs="宋体" w:eastAsia="宋体" w:hint="default"/>
                <w:sz w:val="18"/>
                <w:szCs w:val="18"/>
              </w:rPr>
            </w:pPr>
            <w:r>
              <w:rPr>
                <w:rFonts w:ascii="宋体" w:hAnsi="宋体" w:cs="宋体" w:eastAsia="宋体" w:hint="default"/>
                <w:spacing w:val="-3"/>
                <w:sz w:val="18"/>
                <w:szCs w:val="18"/>
              </w:rPr>
              <w:t>控股股东将中止实施增持股票措</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施。在触发增持股票义务后，若控</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股股东未向公司送达增持通知书或</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虽送达增持通知书但未按披露的增</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持计划实施，则公司有权将该年度</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及以后年度应付控股股东的现金分</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红款项收归公司所有，直至累计金</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额达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万元止。</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、在触发稳定</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
              <w:jc w:val="center"/>
              <w:rPr>
                <w:rFonts w:ascii="宋体" w:hAnsi="宋体" w:cs="宋体" w:eastAsia="宋体" w:hint="default"/>
                <w:sz w:val="18"/>
                <w:szCs w:val="18"/>
              </w:rPr>
            </w:pPr>
            <w:r>
              <w:rPr>
                <w:rFonts w:ascii="宋体" w:hAnsi="宋体" w:cs="宋体" w:eastAsia="宋体" w:hint="default"/>
                <w:spacing w:val="-3"/>
                <w:sz w:val="18"/>
                <w:szCs w:val="18"/>
              </w:rPr>
              <w:t>股价措施后，公司控股股东无法实</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施增持股票措施，或者增持股票措</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13"/>
              <w:jc w:val="center"/>
              <w:rPr>
                <w:rFonts w:ascii="宋体" w:hAnsi="宋体" w:cs="宋体" w:eastAsia="宋体" w:hint="default"/>
                <w:sz w:val="18"/>
                <w:szCs w:val="18"/>
              </w:rPr>
            </w:pPr>
            <w:r>
              <w:rPr>
                <w:rFonts w:ascii="宋体" w:hAnsi="宋体" w:cs="宋体" w:eastAsia="宋体" w:hint="default"/>
                <w:spacing w:val="-3"/>
                <w:sz w:val="18"/>
                <w:szCs w:val="18"/>
              </w:rPr>
              <w:t>施实施完毕后公司股票连续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1"/>
              <w:jc w:val="center"/>
              <w:rPr>
                <w:rFonts w:ascii="宋体" w:hAnsi="宋体" w:cs="宋体" w:eastAsia="宋体" w:hint="default"/>
                <w:sz w:val="18"/>
                <w:szCs w:val="18"/>
              </w:rPr>
            </w:pPr>
            <w:r>
              <w:rPr>
                <w:rFonts w:ascii="宋体" w:hAnsi="宋体" w:cs="宋体" w:eastAsia="宋体" w:hint="default"/>
                <w:spacing w:val="-3"/>
                <w:sz w:val="18"/>
                <w:szCs w:val="18"/>
              </w:rPr>
              <w:t>交易日的收盘价仍低于公司最近一</w:t>
            </w:r>
            <w:r>
              <w:rPr>
                <w:rFonts w:ascii="宋体" w:hAnsi="宋体" w:cs="宋体" w:eastAsia="宋体" w:hint="default"/>
                <w:sz w:val="18"/>
                <w:szCs w:val="18"/>
              </w:rPr>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年经审计的每股净资产后，公司董</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pacing w:val="-29"/>
                <w:w w:val="101"/>
                <w:sz w:val="18"/>
                <w:szCs w:val="18"/>
              </w:rPr>
              <w:t>事</w:t>
            </w:r>
            <w:r>
              <w:rPr>
                <w:rFonts w:ascii="宋体" w:hAnsi="宋体" w:cs="宋体" w:eastAsia="宋体" w:hint="default"/>
                <w:spacing w:val="-5"/>
                <w:w w:val="101"/>
                <w:sz w:val="18"/>
                <w:szCs w:val="18"/>
              </w:rPr>
              <w:t>（</w:t>
            </w:r>
            <w:r>
              <w:rPr>
                <w:rFonts w:ascii="宋体" w:hAnsi="宋体" w:cs="宋体" w:eastAsia="宋体" w:hint="default"/>
                <w:w w:val="101"/>
                <w:sz w:val="18"/>
                <w:szCs w:val="18"/>
              </w:rPr>
              <w:t>不</w:t>
            </w:r>
            <w:r>
              <w:rPr>
                <w:rFonts w:ascii="宋体" w:hAnsi="宋体" w:cs="宋体" w:eastAsia="宋体" w:hint="default"/>
                <w:spacing w:val="-5"/>
                <w:w w:val="101"/>
                <w:sz w:val="18"/>
                <w:szCs w:val="18"/>
              </w:rPr>
              <w:t>含</w:t>
            </w:r>
            <w:r>
              <w:rPr>
                <w:rFonts w:ascii="宋体" w:hAnsi="宋体" w:cs="宋体" w:eastAsia="宋体" w:hint="default"/>
                <w:w w:val="101"/>
                <w:sz w:val="18"/>
                <w:szCs w:val="18"/>
              </w:rPr>
              <w:t>独</w:t>
            </w:r>
            <w:r>
              <w:rPr>
                <w:rFonts w:ascii="宋体" w:hAnsi="宋体" w:cs="宋体" w:eastAsia="宋体" w:hint="default"/>
                <w:spacing w:val="-5"/>
                <w:w w:val="101"/>
                <w:sz w:val="18"/>
                <w:szCs w:val="18"/>
              </w:rPr>
              <w:t>立</w:t>
            </w:r>
            <w:r>
              <w:rPr>
                <w:rFonts w:ascii="宋体" w:hAnsi="宋体" w:cs="宋体" w:eastAsia="宋体" w:hint="default"/>
                <w:w w:val="101"/>
                <w:sz w:val="18"/>
                <w:szCs w:val="18"/>
              </w:rPr>
              <w:t>董事</w:t>
            </w:r>
            <w:r>
              <w:rPr>
                <w:rFonts w:ascii="宋体" w:hAnsi="宋体" w:cs="宋体" w:eastAsia="宋体" w:hint="default"/>
                <w:spacing w:val="-96"/>
                <w:w w:val="101"/>
                <w:sz w:val="18"/>
                <w:szCs w:val="18"/>
              </w:rPr>
              <w:t>）</w:t>
            </w:r>
            <w:r>
              <w:rPr>
                <w:rFonts w:ascii="宋体" w:hAnsi="宋体" w:cs="宋体" w:eastAsia="宋体" w:hint="default"/>
                <w:spacing w:val="-34"/>
                <w:w w:val="101"/>
                <w:sz w:val="18"/>
                <w:szCs w:val="18"/>
              </w:rPr>
              <w:t>、</w:t>
            </w:r>
            <w:r>
              <w:rPr>
                <w:rFonts w:ascii="宋体" w:hAnsi="宋体" w:cs="宋体" w:eastAsia="宋体" w:hint="default"/>
                <w:w w:val="101"/>
                <w:sz w:val="18"/>
                <w:szCs w:val="18"/>
              </w:rPr>
              <w:t>高</w:t>
            </w:r>
            <w:r>
              <w:rPr>
                <w:rFonts w:ascii="宋体" w:hAnsi="宋体" w:cs="宋体" w:eastAsia="宋体" w:hint="default"/>
                <w:spacing w:val="-5"/>
                <w:w w:val="101"/>
                <w:sz w:val="18"/>
                <w:szCs w:val="18"/>
              </w:rPr>
              <w:t>级</w:t>
            </w:r>
            <w:r>
              <w:rPr>
                <w:rFonts w:ascii="宋体" w:hAnsi="宋体" w:cs="宋体" w:eastAsia="宋体" w:hint="default"/>
                <w:w w:val="101"/>
                <w:sz w:val="18"/>
                <w:szCs w:val="18"/>
              </w:rPr>
              <w:t>管</w:t>
            </w:r>
            <w:r>
              <w:rPr>
                <w:rFonts w:ascii="宋体" w:hAnsi="宋体" w:cs="宋体" w:eastAsia="宋体" w:hint="default"/>
                <w:spacing w:val="-5"/>
                <w:w w:val="101"/>
                <w:sz w:val="18"/>
                <w:szCs w:val="18"/>
              </w:rPr>
              <w:t>理</w:t>
            </w:r>
            <w:r>
              <w:rPr>
                <w:rFonts w:ascii="宋体" w:hAnsi="宋体" w:cs="宋体" w:eastAsia="宋体" w:hint="default"/>
                <w:w w:val="101"/>
                <w:sz w:val="18"/>
                <w:szCs w:val="18"/>
              </w:rPr>
              <w:t>人员</w:t>
            </w:r>
            <w:r>
              <w:rPr>
                <w:rFonts w:ascii="宋体" w:hAnsi="宋体" w:cs="宋体" w:eastAsia="宋体" w:hint="default"/>
                <w:sz w:val="18"/>
                <w:szCs w:val="18"/>
              </w:rPr>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将实施增持公司股票的程序。公司</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w w:val="101"/>
                <w:sz w:val="18"/>
                <w:szCs w:val="18"/>
              </w:rPr>
              <w:t>董</w:t>
            </w:r>
            <w:r>
              <w:rPr>
                <w:rFonts w:ascii="宋体" w:hAnsi="宋体" w:cs="宋体" w:eastAsia="宋体" w:hint="default"/>
                <w:spacing w:val="-34"/>
                <w:w w:val="101"/>
                <w:sz w:val="18"/>
                <w:szCs w:val="18"/>
              </w:rPr>
              <w:t>事</w:t>
            </w:r>
            <w:r>
              <w:rPr>
                <w:rFonts w:ascii="宋体" w:hAnsi="宋体" w:cs="宋体" w:eastAsia="宋体" w:hint="default"/>
                <w:w w:val="101"/>
                <w:sz w:val="18"/>
                <w:szCs w:val="18"/>
              </w:rPr>
              <w:t>（</w:t>
            </w:r>
            <w:r>
              <w:rPr>
                <w:rFonts w:ascii="宋体" w:hAnsi="宋体" w:cs="宋体" w:eastAsia="宋体" w:hint="default"/>
                <w:spacing w:val="-5"/>
                <w:w w:val="101"/>
                <w:sz w:val="18"/>
                <w:szCs w:val="18"/>
              </w:rPr>
              <w:t>不</w:t>
            </w:r>
            <w:r>
              <w:rPr>
                <w:rFonts w:ascii="宋体" w:hAnsi="宋体" w:cs="宋体" w:eastAsia="宋体" w:hint="default"/>
                <w:w w:val="101"/>
                <w:sz w:val="18"/>
                <w:szCs w:val="18"/>
              </w:rPr>
              <w:t>含</w:t>
            </w:r>
            <w:r>
              <w:rPr>
                <w:rFonts w:ascii="宋体" w:hAnsi="宋体" w:cs="宋体" w:eastAsia="宋体" w:hint="default"/>
                <w:spacing w:val="-5"/>
                <w:w w:val="101"/>
                <w:sz w:val="18"/>
                <w:szCs w:val="18"/>
              </w:rPr>
              <w:t>独</w:t>
            </w:r>
            <w:r>
              <w:rPr>
                <w:rFonts w:ascii="宋体" w:hAnsi="宋体" w:cs="宋体" w:eastAsia="宋体" w:hint="default"/>
                <w:w w:val="101"/>
                <w:sz w:val="18"/>
                <w:szCs w:val="18"/>
              </w:rPr>
              <w:t>立</w:t>
            </w:r>
            <w:r>
              <w:rPr>
                <w:rFonts w:ascii="宋体" w:hAnsi="宋体" w:cs="宋体" w:eastAsia="宋体" w:hint="default"/>
                <w:spacing w:val="-5"/>
                <w:w w:val="101"/>
                <w:sz w:val="18"/>
                <w:szCs w:val="18"/>
              </w:rPr>
              <w:t>董</w:t>
            </w:r>
            <w:r>
              <w:rPr>
                <w:rFonts w:ascii="宋体" w:hAnsi="宋体" w:cs="宋体" w:eastAsia="宋体" w:hint="default"/>
                <w:w w:val="101"/>
                <w:sz w:val="18"/>
                <w:szCs w:val="18"/>
              </w:rPr>
              <w:t>事</w:t>
            </w:r>
            <w:r>
              <w:rPr>
                <w:rFonts w:ascii="宋体" w:hAnsi="宋体" w:cs="宋体" w:eastAsia="宋体" w:hint="default"/>
                <w:spacing w:val="-96"/>
                <w:w w:val="101"/>
                <w:sz w:val="18"/>
                <w:szCs w:val="18"/>
              </w:rPr>
              <w:t>）</w:t>
            </w:r>
            <w:r>
              <w:rPr>
                <w:rFonts w:ascii="宋体" w:hAnsi="宋体" w:cs="宋体" w:eastAsia="宋体" w:hint="default"/>
                <w:spacing w:val="-29"/>
                <w:w w:val="101"/>
                <w:sz w:val="18"/>
                <w:szCs w:val="18"/>
              </w:rPr>
              <w:t>、</w:t>
            </w:r>
            <w:r>
              <w:rPr>
                <w:rFonts w:ascii="宋体" w:hAnsi="宋体" w:cs="宋体" w:eastAsia="宋体" w:hint="default"/>
                <w:spacing w:val="-5"/>
                <w:w w:val="101"/>
                <w:sz w:val="18"/>
                <w:szCs w:val="18"/>
              </w:rPr>
              <w:t>高</w:t>
            </w:r>
            <w:r>
              <w:rPr>
                <w:rFonts w:ascii="宋体" w:hAnsi="宋体" w:cs="宋体" w:eastAsia="宋体" w:hint="default"/>
                <w:w w:val="101"/>
                <w:sz w:val="18"/>
                <w:szCs w:val="18"/>
              </w:rPr>
              <w:t>级</w:t>
            </w:r>
            <w:r>
              <w:rPr>
                <w:rFonts w:ascii="宋体" w:hAnsi="宋体" w:cs="宋体" w:eastAsia="宋体" w:hint="default"/>
                <w:spacing w:val="-5"/>
                <w:w w:val="101"/>
                <w:sz w:val="18"/>
                <w:szCs w:val="18"/>
              </w:rPr>
              <w:t>管</w:t>
            </w:r>
            <w:r>
              <w:rPr>
                <w:rFonts w:ascii="宋体" w:hAnsi="宋体" w:cs="宋体" w:eastAsia="宋体" w:hint="default"/>
                <w:w w:val="101"/>
                <w:sz w:val="18"/>
                <w:szCs w:val="18"/>
              </w:rPr>
              <w:t>理人</w:t>
            </w:r>
            <w:r>
              <w:rPr>
                <w:rFonts w:ascii="宋体" w:hAnsi="宋体" w:cs="宋体" w:eastAsia="宋体" w:hint="default"/>
                <w:sz w:val="18"/>
                <w:szCs w:val="18"/>
              </w:rPr>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员将在触发增持股票措施之日起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
              <w:jc w:val="center"/>
              <w:rPr>
                <w:rFonts w:ascii="宋体" w:hAnsi="宋体" w:cs="宋体" w:eastAsia="宋体" w:hint="default"/>
                <w:sz w:val="18"/>
                <w:szCs w:val="18"/>
              </w:rPr>
            </w:pPr>
            <w:r>
              <w:rPr>
                <w:rFonts w:ascii="宋体" w:hAnsi="宋体" w:cs="宋体" w:eastAsia="宋体" w:hint="default"/>
                <w:spacing w:val="-3"/>
                <w:sz w:val="18"/>
                <w:szCs w:val="18"/>
              </w:rPr>
              <w:t>个月内履行增持义务，个人增持的</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总金额不低于上一年度自公司取得</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
              <w:jc w:val="center"/>
              <w:rPr>
                <w:rFonts w:ascii="宋体" w:hAnsi="宋体" w:cs="宋体" w:eastAsia="宋体" w:hint="default"/>
                <w:sz w:val="18"/>
                <w:szCs w:val="18"/>
              </w:rPr>
            </w:pPr>
            <w:r>
              <w:rPr>
                <w:rFonts w:ascii="宋体" w:hAnsi="宋体" w:cs="宋体" w:eastAsia="宋体" w:hint="default"/>
                <w:sz w:val="18"/>
                <w:szCs w:val="18"/>
              </w:rPr>
              <w:t>税后工资总额的</w:t>
            </w:r>
            <w:r>
              <w:rPr>
                <w:rFonts w:ascii="宋体" w:hAnsi="宋体" w:cs="宋体" w:eastAsia="宋体" w:hint="default"/>
                <w:spacing w:val="-14"/>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。在实施增持</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center"/>
              <w:rPr>
                <w:rFonts w:ascii="宋体" w:hAnsi="宋体" w:cs="宋体" w:eastAsia="宋体" w:hint="default"/>
                <w:sz w:val="18"/>
                <w:szCs w:val="18"/>
              </w:rPr>
            </w:pPr>
            <w:r>
              <w:rPr>
                <w:rFonts w:ascii="宋体" w:hAnsi="宋体" w:cs="宋体" w:eastAsia="宋体" w:hint="default"/>
                <w:spacing w:val="-8"/>
                <w:sz w:val="18"/>
                <w:szCs w:val="18"/>
              </w:rPr>
              <w:t>股票期间，公司股票连续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
              <w:jc w:val="center"/>
              <w:rPr>
                <w:rFonts w:ascii="宋体" w:hAnsi="宋体" w:cs="宋体" w:eastAsia="宋体" w:hint="default"/>
                <w:sz w:val="18"/>
                <w:szCs w:val="18"/>
              </w:rPr>
            </w:pPr>
            <w:r>
              <w:rPr>
                <w:rFonts w:ascii="宋体" w:hAnsi="宋体" w:cs="宋体" w:eastAsia="宋体" w:hint="default"/>
                <w:spacing w:val="-3"/>
                <w:sz w:val="18"/>
                <w:szCs w:val="18"/>
              </w:rPr>
              <w:t>日的收盘价均已高于公司最近一年</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经审计的每股净资产，或者继续增</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持股票将导致公司不满足法定上市</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条件时，或者继续增持股票将导致</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公司控股股东或实际控制人履行要</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约收购义务，公司董事（不含独立</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w w:val="101"/>
                <w:sz w:val="18"/>
                <w:szCs w:val="18"/>
              </w:rPr>
              <w:t>董事</w:t>
            </w:r>
            <w:r>
              <w:rPr>
                <w:rFonts w:ascii="宋体" w:hAnsi="宋体" w:cs="宋体" w:eastAsia="宋体" w:hint="default"/>
                <w:spacing w:val="-96"/>
                <w:w w:val="101"/>
                <w:sz w:val="18"/>
                <w:szCs w:val="18"/>
              </w:rPr>
              <w:t>）</w:t>
            </w:r>
            <w:r>
              <w:rPr>
                <w:rFonts w:ascii="宋体" w:hAnsi="宋体" w:cs="宋体" w:eastAsia="宋体" w:hint="default"/>
                <w:spacing w:val="-63"/>
                <w:w w:val="101"/>
                <w:sz w:val="18"/>
                <w:szCs w:val="18"/>
              </w:rPr>
              <w:t>、</w:t>
            </w:r>
            <w:r>
              <w:rPr>
                <w:rFonts w:ascii="宋体" w:hAnsi="宋体" w:cs="宋体" w:eastAsia="宋体" w:hint="default"/>
                <w:w w:val="101"/>
                <w:sz w:val="18"/>
                <w:szCs w:val="18"/>
              </w:rPr>
              <w:t>高</w:t>
            </w:r>
            <w:r>
              <w:rPr>
                <w:rFonts w:ascii="宋体" w:hAnsi="宋体" w:cs="宋体" w:eastAsia="宋体" w:hint="default"/>
                <w:spacing w:val="-5"/>
                <w:w w:val="101"/>
                <w:sz w:val="18"/>
                <w:szCs w:val="18"/>
              </w:rPr>
              <w:t>级</w:t>
            </w:r>
            <w:r>
              <w:rPr>
                <w:rFonts w:ascii="宋体" w:hAnsi="宋体" w:cs="宋体" w:eastAsia="宋体" w:hint="default"/>
                <w:w w:val="101"/>
                <w:sz w:val="18"/>
                <w:szCs w:val="18"/>
              </w:rPr>
              <w:t>管</w:t>
            </w:r>
            <w:r>
              <w:rPr>
                <w:rFonts w:ascii="宋体" w:hAnsi="宋体" w:cs="宋体" w:eastAsia="宋体" w:hint="default"/>
                <w:spacing w:val="-5"/>
                <w:w w:val="101"/>
                <w:sz w:val="18"/>
                <w:szCs w:val="18"/>
              </w:rPr>
              <w:t>理</w:t>
            </w:r>
            <w:r>
              <w:rPr>
                <w:rFonts w:ascii="宋体" w:hAnsi="宋体" w:cs="宋体" w:eastAsia="宋体" w:hint="default"/>
                <w:w w:val="101"/>
                <w:sz w:val="18"/>
                <w:szCs w:val="18"/>
              </w:rPr>
              <w:t>人</w:t>
            </w:r>
            <w:r>
              <w:rPr>
                <w:rFonts w:ascii="宋体" w:hAnsi="宋体" w:cs="宋体" w:eastAsia="宋体" w:hint="default"/>
                <w:spacing w:val="-5"/>
                <w:w w:val="101"/>
                <w:sz w:val="18"/>
                <w:szCs w:val="18"/>
              </w:rPr>
              <w:t>员</w:t>
            </w:r>
            <w:r>
              <w:rPr>
                <w:rFonts w:ascii="宋体" w:hAnsi="宋体" w:cs="宋体" w:eastAsia="宋体" w:hint="default"/>
                <w:w w:val="101"/>
                <w:sz w:val="18"/>
                <w:szCs w:val="18"/>
              </w:rPr>
              <w:t>将</w:t>
            </w:r>
            <w:r>
              <w:rPr>
                <w:rFonts w:ascii="宋体" w:hAnsi="宋体" w:cs="宋体" w:eastAsia="宋体" w:hint="default"/>
                <w:spacing w:val="-5"/>
                <w:w w:val="101"/>
                <w:sz w:val="18"/>
                <w:szCs w:val="18"/>
              </w:rPr>
              <w:t>中</w:t>
            </w:r>
            <w:r>
              <w:rPr>
                <w:rFonts w:ascii="宋体" w:hAnsi="宋体" w:cs="宋体" w:eastAsia="宋体" w:hint="default"/>
                <w:w w:val="101"/>
                <w:sz w:val="18"/>
                <w:szCs w:val="18"/>
              </w:rPr>
              <w:t>止</w:t>
            </w:r>
            <w:r>
              <w:rPr>
                <w:rFonts w:ascii="宋体" w:hAnsi="宋体" w:cs="宋体" w:eastAsia="宋体" w:hint="default"/>
                <w:spacing w:val="-5"/>
                <w:w w:val="101"/>
                <w:sz w:val="18"/>
                <w:szCs w:val="18"/>
              </w:rPr>
              <w:t>实</w:t>
            </w:r>
            <w:r>
              <w:rPr>
                <w:rFonts w:ascii="宋体" w:hAnsi="宋体" w:cs="宋体" w:eastAsia="宋体" w:hint="default"/>
                <w:w w:val="101"/>
                <w:sz w:val="18"/>
                <w:szCs w:val="18"/>
              </w:rPr>
              <w:t>施增</w:t>
            </w:r>
            <w:r>
              <w:rPr>
                <w:rFonts w:ascii="宋体" w:hAnsi="宋体" w:cs="宋体" w:eastAsia="宋体" w:hint="default"/>
                <w:sz w:val="18"/>
                <w:szCs w:val="18"/>
              </w:rPr>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pacing w:val="-6"/>
                <w:sz w:val="18"/>
                <w:szCs w:val="18"/>
              </w:rPr>
              <w:t>持股票措施。</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、在触发稳定股价措</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
              <w:jc w:val="center"/>
              <w:rPr>
                <w:rFonts w:ascii="宋体" w:hAnsi="宋体" w:cs="宋体" w:eastAsia="宋体" w:hint="default"/>
                <w:sz w:val="18"/>
                <w:szCs w:val="18"/>
              </w:rPr>
            </w:pPr>
            <w:r>
              <w:rPr>
                <w:rFonts w:ascii="宋体" w:hAnsi="宋体" w:cs="宋体" w:eastAsia="宋体" w:hint="default"/>
                <w:spacing w:val="-3"/>
                <w:sz w:val="18"/>
                <w:szCs w:val="18"/>
              </w:rPr>
              <w:t>施后，公司控股股东、董事（不含</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w w:val="101"/>
                <w:sz w:val="18"/>
                <w:szCs w:val="18"/>
              </w:rPr>
              <w:t>独</w:t>
            </w:r>
            <w:r>
              <w:rPr>
                <w:rFonts w:ascii="宋体" w:hAnsi="宋体" w:cs="宋体" w:eastAsia="宋体" w:hint="default"/>
                <w:spacing w:val="-5"/>
                <w:w w:val="101"/>
                <w:sz w:val="18"/>
                <w:szCs w:val="18"/>
              </w:rPr>
              <w:t>立</w:t>
            </w:r>
            <w:r>
              <w:rPr>
                <w:rFonts w:ascii="宋体" w:hAnsi="宋体" w:cs="宋体" w:eastAsia="宋体" w:hint="default"/>
                <w:w w:val="101"/>
                <w:sz w:val="18"/>
                <w:szCs w:val="18"/>
              </w:rPr>
              <w:t>董事</w:t>
            </w:r>
            <w:r>
              <w:rPr>
                <w:rFonts w:ascii="宋体" w:hAnsi="宋体" w:cs="宋体" w:eastAsia="宋体" w:hint="default"/>
                <w:spacing w:val="-96"/>
                <w:w w:val="101"/>
                <w:sz w:val="18"/>
                <w:szCs w:val="18"/>
              </w:rPr>
              <w:t>）</w:t>
            </w:r>
            <w:r>
              <w:rPr>
                <w:rFonts w:ascii="宋体" w:hAnsi="宋体" w:cs="宋体" w:eastAsia="宋体" w:hint="default"/>
                <w:spacing w:val="-63"/>
                <w:w w:val="101"/>
                <w:sz w:val="18"/>
                <w:szCs w:val="18"/>
              </w:rPr>
              <w:t>、</w:t>
            </w:r>
            <w:r>
              <w:rPr>
                <w:rFonts w:ascii="宋体" w:hAnsi="宋体" w:cs="宋体" w:eastAsia="宋体" w:hint="default"/>
                <w:w w:val="101"/>
                <w:sz w:val="18"/>
                <w:szCs w:val="18"/>
              </w:rPr>
              <w:t>高</w:t>
            </w:r>
            <w:r>
              <w:rPr>
                <w:rFonts w:ascii="宋体" w:hAnsi="宋体" w:cs="宋体" w:eastAsia="宋体" w:hint="default"/>
                <w:spacing w:val="-5"/>
                <w:w w:val="101"/>
                <w:sz w:val="18"/>
                <w:szCs w:val="18"/>
              </w:rPr>
              <w:t>级</w:t>
            </w:r>
            <w:r>
              <w:rPr>
                <w:rFonts w:ascii="宋体" w:hAnsi="宋体" w:cs="宋体" w:eastAsia="宋体" w:hint="default"/>
                <w:w w:val="101"/>
                <w:sz w:val="18"/>
                <w:szCs w:val="18"/>
              </w:rPr>
              <w:t>管</w:t>
            </w:r>
            <w:r>
              <w:rPr>
                <w:rFonts w:ascii="宋体" w:hAnsi="宋体" w:cs="宋体" w:eastAsia="宋体" w:hint="default"/>
                <w:spacing w:val="-5"/>
                <w:w w:val="101"/>
                <w:sz w:val="18"/>
                <w:szCs w:val="18"/>
              </w:rPr>
              <w:t>理</w:t>
            </w:r>
            <w:r>
              <w:rPr>
                <w:rFonts w:ascii="宋体" w:hAnsi="宋体" w:cs="宋体" w:eastAsia="宋体" w:hint="default"/>
                <w:w w:val="101"/>
                <w:sz w:val="18"/>
                <w:szCs w:val="18"/>
              </w:rPr>
              <w:t>人</w:t>
            </w:r>
            <w:r>
              <w:rPr>
                <w:rFonts w:ascii="宋体" w:hAnsi="宋体" w:cs="宋体" w:eastAsia="宋体" w:hint="default"/>
                <w:spacing w:val="-5"/>
                <w:w w:val="101"/>
                <w:sz w:val="18"/>
                <w:szCs w:val="18"/>
              </w:rPr>
              <w:t>员</w:t>
            </w:r>
            <w:r>
              <w:rPr>
                <w:rFonts w:ascii="宋体" w:hAnsi="宋体" w:cs="宋体" w:eastAsia="宋体" w:hint="default"/>
                <w:w w:val="101"/>
                <w:sz w:val="18"/>
                <w:szCs w:val="18"/>
              </w:rPr>
              <w:t>无</w:t>
            </w:r>
            <w:r>
              <w:rPr>
                <w:rFonts w:ascii="宋体" w:hAnsi="宋体" w:cs="宋体" w:eastAsia="宋体" w:hint="default"/>
                <w:spacing w:val="-5"/>
                <w:w w:val="101"/>
                <w:sz w:val="18"/>
                <w:szCs w:val="18"/>
              </w:rPr>
              <w:t>法</w:t>
            </w:r>
            <w:r>
              <w:rPr>
                <w:rFonts w:ascii="宋体" w:hAnsi="宋体" w:cs="宋体" w:eastAsia="宋体" w:hint="default"/>
                <w:w w:val="101"/>
                <w:sz w:val="18"/>
                <w:szCs w:val="18"/>
              </w:rPr>
              <w:t>实施</w:t>
            </w:r>
            <w:r>
              <w:rPr>
                <w:rFonts w:ascii="宋体" w:hAnsi="宋体" w:cs="宋体" w:eastAsia="宋体" w:hint="default"/>
                <w:sz w:val="18"/>
                <w:szCs w:val="18"/>
              </w:rPr>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8"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728"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27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增持股票措施，或者增持股票措施</w:t>
            </w:r>
          </w:p>
        </w:tc>
        <w:tc>
          <w:tcPr>
            <w:tcW w:w="1124" w:type="dxa"/>
            <w:tcBorders>
              <w:top w:val="nil" w:sz="6" w:space="0" w:color="auto"/>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42"/>
        <w:gridCol w:w="1728"/>
        <w:gridCol w:w="1124"/>
        <w:gridCol w:w="2790"/>
        <w:gridCol w:w="1124"/>
        <w:gridCol w:w="1124"/>
        <w:gridCol w:w="1112"/>
      </w:tblGrid>
      <w:tr>
        <w:trPr>
          <w:trHeight w:val="9098"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实施完毕后公司股票连续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w:t>
            </w:r>
            <w:r>
              <w:rPr>
                <w:rFonts w:ascii="宋体" w:hAnsi="宋体" w:cs="宋体" w:eastAsia="宋体" w:hint="default"/>
                <w:spacing w:val="-82"/>
                <w:sz w:val="18"/>
                <w:szCs w:val="18"/>
              </w:rPr>
              <w:t> </w:t>
            </w:r>
            <w:r>
              <w:rPr>
                <w:rFonts w:ascii="宋体" w:hAnsi="宋体" w:cs="宋体" w:eastAsia="宋体" w:hint="default"/>
                <w:spacing w:val="-3"/>
                <w:sz w:val="18"/>
                <w:szCs w:val="18"/>
              </w:rPr>
              <w:t>易日的收盘价仍低于公司最近一年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经审计的每股净资产后，公司将在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2"/>
                <w:sz w:val="18"/>
                <w:szCs w:val="18"/>
              </w:rPr>
              <w:t> </w:t>
            </w:r>
            <w:r>
              <w:rPr>
                <w:rFonts w:ascii="宋体" w:hAnsi="宋体" w:cs="宋体" w:eastAsia="宋体" w:hint="default"/>
                <w:spacing w:val="-4"/>
                <w:sz w:val="18"/>
                <w:szCs w:val="18"/>
              </w:rPr>
              <w:t>个交易日内召开董事会，依法作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出实施回购股票的决议，并提交股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东大会批准并履行相应公告程序。</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公司股东大会批准实施回购股票的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议案后，公司将依法履行相应的公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告、备案及通知债权人等义务。公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司将在股东大会决议作出之日起</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个月内回购股票，回购总金额不低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万元人民币，回购股票的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数量不超过回购前公司股份总数的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。在实施回购股票期间，公司股</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个交易日的收盘价均已</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高于公司最近一年经审计的每股净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资产，或者继续回购股票将导致公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司不满足法定上市条件时，公司将</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2"/>
                <w:w w:val="101"/>
                <w:sz w:val="18"/>
                <w:szCs w:val="18"/>
              </w:rPr>
              <w:t>中止实施回购股票措施。（三）稳定</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股价预案的修订权限任何对稳定股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价预案的修订均应经公司股东大会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审议通过，且需经出席股东大会的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股东所持有表决权的三分之二以上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2"/>
                <w:w w:val="101"/>
                <w:sz w:val="18"/>
                <w:szCs w:val="18"/>
              </w:rPr>
              <w:t>同意通过。（四）稳定股价预案的执</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行公司、公司控股股东、公司董事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及高级管理人员在履行上述回购或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增持义务时，应按照公司章程、上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市公司回购股份等相关监管规则履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行相应的信息披露义务。</w:t>
            </w:r>
            <w:r>
              <w:rPr>
                <w:rFonts w:ascii="Times New Roman" w:hAnsi="Times New Roman" w:cs="Times New Roman" w:eastAsia="Times New Roman" w:hint="default"/>
                <w:spacing w:val="-3"/>
                <w:sz w:val="18"/>
                <w:szCs w:val="18"/>
              </w:rPr>
              <w:t>"</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4734"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8"/>
                <w:sz w:val="18"/>
              </w:rPr>
              <w:t>JAY </w:t>
            </w:r>
            <w:r>
              <w:rPr>
                <w:rFonts w:ascii="Times New Roman"/>
                <w:sz w:val="18"/>
              </w:rPr>
              <w:t>TSAI</w:t>
            </w:r>
            <w:r>
              <w:rPr>
                <w:rFonts w:ascii="Times New Roman"/>
                <w:spacing w:val="10"/>
                <w:sz w:val="18"/>
              </w:rPr>
              <w:t> </w:t>
            </w:r>
            <w:r>
              <w:rPr>
                <w:rFonts w:ascii="Times New Roman"/>
                <w:spacing w:val="-3"/>
                <w:sz w:val="18"/>
              </w:rPr>
              <w:t>CHIEN</w:t>
            </w:r>
          </w:p>
          <w:p>
            <w:pPr>
              <w:pStyle w:val="TableParagraph"/>
              <w:spacing w:line="304" w:lineRule="auto" w:before="63"/>
              <w:ind w:left="24"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CHOU;</w:t>
            </w:r>
            <w:r>
              <w:rPr>
                <w:rFonts w:ascii="宋体" w:hAnsi="宋体" w:cs="宋体" w:eastAsia="宋体" w:hint="default"/>
                <w:sz w:val="18"/>
                <w:szCs w:val="18"/>
              </w:rPr>
              <w:t>陈根清</w:t>
            </w:r>
            <w:r>
              <w:rPr>
                <w:rFonts w:ascii="Times New Roman" w:hAnsi="Times New Roman" w:cs="Times New Roman" w:eastAsia="Times New Roman" w:hint="default"/>
                <w:sz w:val="18"/>
                <w:szCs w:val="18"/>
              </w:rPr>
              <w:t>;</w:t>
            </w:r>
            <w:r>
              <w:rPr>
                <w:rFonts w:ascii="宋体" w:hAnsi="宋体" w:cs="宋体" w:eastAsia="宋体" w:hint="default"/>
                <w:sz w:val="18"/>
                <w:szCs w:val="18"/>
              </w:rPr>
              <w:t>陈坚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陈英</w:t>
            </w:r>
            <w:r>
              <w:rPr>
                <w:rFonts w:ascii="Times New Roman" w:hAnsi="Times New Roman" w:cs="Times New Roman" w:eastAsia="Times New Roman" w:hint="default"/>
                <w:sz w:val="18"/>
                <w:szCs w:val="18"/>
              </w:rPr>
              <w:t>;</w:t>
            </w:r>
            <w:r>
              <w:rPr>
                <w:rFonts w:ascii="宋体" w:hAnsi="宋体" w:cs="宋体" w:eastAsia="宋体" w:hint="default"/>
                <w:sz w:val="18"/>
                <w:szCs w:val="18"/>
              </w:rPr>
              <w:t>范熊熊</w:t>
            </w:r>
            <w:r>
              <w:rPr>
                <w:rFonts w:ascii="Times New Roman" w:hAnsi="Times New Roman" w:cs="Times New Roman" w:eastAsia="Times New Roman" w:hint="default"/>
                <w:sz w:val="18"/>
                <w:szCs w:val="18"/>
              </w:rPr>
              <w:t>;</w:t>
            </w:r>
            <w:r>
              <w:rPr>
                <w:rFonts w:ascii="宋体" w:hAnsi="宋体" w:cs="宋体" w:eastAsia="宋体" w:hint="default"/>
                <w:sz w:val="18"/>
                <w:szCs w:val="18"/>
              </w:rPr>
              <w:t>杭州正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元企业管理咨询有限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黄金明</w:t>
            </w:r>
            <w:r>
              <w:rPr>
                <w:rFonts w:ascii="Times New Roman" w:hAnsi="Times New Roman" w:cs="Times New Roman" w:eastAsia="Times New Roman" w:hint="default"/>
                <w:sz w:val="18"/>
                <w:szCs w:val="18"/>
              </w:rPr>
              <w:t>;</w:t>
            </w:r>
            <w:r>
              <w:rPr>
                <w:rFonts w:ascii="宋体" w:hAnsi="宋体" w:cs="宋体" w:eastAsia="宋体" w:hint="default"/>
                <w:sz w:val="18"/>
                <w:szCs w:val="18"/>
              </w:rPr>
              <w:t>季建华</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陆卫明</w:t>
            </w:r>
            <w:r>
              <w:rPr>
                <w:rFonts w:ascii="Times New Roman" w:hAnsi="Times New Roman" w:cs="Times New Roman" w:eastAsia="Times New Roman" w:hint="default"/>
                <w:sz w:val="18"/>
                <w:szCs w:val="18"/>
              </w:rPr>
              <w:t>;</w:t>
            </w:r>
            <w:r>
              <w:rPr>
                <w:rFonts w:ascii="宋体" w:hAnsi="宋体" w:cs="宋体" w:eastAsia="宋体" w:hint="default"/>
                <w:sz w:val="18"/>
                <w:szCs w:val="18"/>
              </w:rPr>
              <w:t>吕晓平</w:t>
            </w:r>
            <w:r>
              <w:rPr>
                <w:rFonts w:ascii="Times New Roman" w:hAnsi="Times New Roman" w:cs="Times New Roman" w:eastAsia="Times New Roman" w:hint="default"/>
                <w:sz w:val="18"/>
                <w:szCs w:val="18"/>
              </w:rPr>
              <w:t>;</w:t>
            </w:r>
            <w:r>
              <w:rPr>
                <w:rFonts w:ascii="宋体" w:hAnsi="宋体" w:cs="宋体" w:eastAsia="宋体" w:hint="default"/>
                <w:sz w:val="18"/>
                <w:szCs w:val="18"/>
              </w:rPr>
              <w:t>潘利</w:t>
            </w:r>
            <w:r>
              <w:rPr>
                <w:rFonts w:ascii="宋体" w:hAnsi="宋体" w:cs="宋体" w:eastAsia="宋体" w:hint="default"/>
                <w:spacing w:val="-87"/>
                <w:sz w:val="18"/>
                <w:szCs w:val="18"/>
              </w:rPr>
              <w:t> </w:t>
            </w:r>
            <w:r>
              <w:rPr>
                <w:rFonts w:ascii="宋体" w:hAnsi="宋体" w:cs="宋体" w:eastAsia="宋体" w:hint="default"/>
                <w:sz w:val="18"/>
                <w:szCs w:val="18"/>
              </w:rPr>
              <w:t>华</w:t>
            </w:r>
            <w:r>
              <w:rPr>
                <w:rFonts w:ascii="Times New Roman" w:hAnsi="Times New Roman" w:cs="Times New Roman" w:eastAsia="Times New Roman" w:hint="default"/>
                <w:sz w:val="18"/>
                <w:szCs w:val="18"/>
              </w:rPr>
              <w:t>;</w:t>
            </w:r>
            <w:r>
              <w:rPr>
                <w:rFonts w:ascii="宋体" w:hAnsi="宋体" w:cs="宋体" w:eastAsia="宋体" w:hint="default"/>
                <w:sz w:val="18"/>
                <w:szCs w:val="18"/>
              </w:rPr>
              <w:t>施东圣</w:t>
            </w:r>
            <w:r>
              <w:rPr>
                <w:rFonts w:ascii="Times New Roman" w:hAnsi="Times New Roman" w:cs="Times New Roman" w:eastAsia="Times New Roman" w:hint="default"/>
                <w:sz w:val="18"/>
                <w:szCs w:val="18"/>
              </w:rPr>
              <w:t>;</w:t>
            </w:r>
            <w:r>
              <w:rPr>
                <w:rFonts w:ascii="宋体" w:hAnsi="宋体" w:cs="宋体" w:eastAsia="宋体" w:hint="default"/>
                <w:sz w:val="18"/>
                <w:szCs w:val="18"/>
              </w:rPr>
              <w:t>童本立</w:t>
            </w:r>
            <w:r>
              <w:rPr>
                <w:rFonts w:ascii="Times New Roman" w:hAnsi="Times New Roman" w:cs="Times New Roman" w:eastAsia="Times New Roman" w:hint="default"/>
                <w:sz w:val="18"/>
                <w:szCs w:val="18"/>
              </w:rPr>
              <w:t>;</w:t>
            </w:r>
            <w:r>
              <w:rPr>
                <w:rFonts w:ascii="宋体" w:hAnsi="宋体" w:cs="宋体" w:eastAsia="宋体" w:hint="default"/>
                <w:sz w:val="18"/>
                <w:szCs w:val="18"/>
              </w:rPr>
              <w:t>杨</w:t>
            </w:r>
            <w:r>
              <w:rPr>
                <w:rFonts w:ascii="宋体" w:hAnsi="宋体" w:cs="宋体" w:eastAsia="宋体" w:hint="default"/>
                <w:w w:val="101"/>
                <w:sz w:val="18"/>
                <w:szCs w:val="18"/>
              </w:rPr>
              <w:t> </w:t>
            </w:r>
            <w:r>
              <w:rPr>
                <w:rFonts w:ascii="宋体" w:hAnsi="宋体" w:cs="宋体" w:eastAsia="宋体" w:hint="default"/>
                <w:sz w:val="18"/>
                <w:szCs w:val="18"/>
              </w:rPr>
              <w:t>增荣</w:t>
            </w:r>
            <w:r>
              <w:rPr>
                <w:rFonts w:ascii="Times New Roman" w:hAnsi="Times New Roman" w:cs="Times New Roman" w:eastAsia="Times New Roman" w:hint="default"/>
                <w:sz w:val="18"/>
                <w:szCs w:val="18"/>
              </w:rPr>
              <w:t>;</w:t>
            </w:r>
            <w:r>
              <w:rPr>
                <w:rFonts w:ascii="宋体" w:hAnsi="宋体" w:cs="宋体" w:eastAsia="宋体" w:hint="default"/>
                <w:sz w:val="18"/>
                <w:szCs w:val="18"/>
              </w:rPr>
              <w:t>余锴</w:t>
            </w:r>
            <w:r>
              <w:rPr>
                <w:rFonts w:ascii="Times New Roman" w:hAnsi="Times New Roman" w:cs="Times New Roman" w:eastAsia="Times New Roman" w:hint="default"/>
                <w:sz w:val="18"/>
                <w:szCs w:val="18"/>
              </w:rPr>
              <w:t>;</w:t>
            </w:r>
            <w:r>
              <w:rPr>
                <w:rFonts w:ascii="宋体" w:hAnsi="宋体" w:cs="宋体" w:eastAsia="宋体" w:hint="default"/>
                <w:sz w:val="18"/>
                <w:szCs w:val="18"/>
              </w:rPr>
              <w:t>浙江正元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智慧科技股份有限公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周军辉</w:t>
            </w:r>
            <w:r>
              <w:rPr>
                <w:rFonts w:ascii="Times New Roman" w:hAnsi="Times New Roman" w:cs="Times New Roman" w:eastAsia="Times New Roman" w:hint="default"/>
                <w:sz w:val="18"/>
                <w:szCs w:val="18"/>
              </w:rPr>
              <w:t>;</w:t>
            </w:r>
            <w:r>
              <w:rPr>
                <w:rFonts w:ascii="宋体" w:hAnsi="宋体" w:cs="宋体" w:eastAsia="宋体" w:hint="default"/>
                <w:sz w:val="18"/>
                <w:szCs w:val="18"/>
              </w:rPr>
              <w:t>朱加宁</w:t>
            </w:r>
            <w:r>
              <w:rPr>
                <w:rFonts w:ascii="Times New Roman" w:hAnsi="Times New Roman" w:cs="Times New Roman" w:eastAsia="Times New Roman" w:hint="default"/>
                <w:sz w:val="18"/>
                <w:szCs w:val="18"/>
              </w:rPr>
              <w:t>;</w:t>
            </w:r>
            <w:r>
              <w:rPr>
                <w:rFonts w:ascii="宋体" w:hAnsi="宋体" w:cs="宋体" w:eastAsia="宋体" w:hint="default"/>
                <w:sz w:val="18"/>
                <w:szCs w:val="18"/>
              </w:rPr>
              <w:t>朱</w:t>
            </w:r>
            <w:r>
              <w:rPr>
                <w:rFonts w:ascii="宋体" w:hAnsi="宋体" w:cs="宋体" w:eastAsia="宋体" w:hint="default"/>
                <w:w w:val="101"/>
                <w:sz w:val="18"/>
                <w:szCs w:val="18"/>
              </w:rPr>
              <w:t> </w:t>
            </w:r>
            <w:r>
              <w:rPr>
                <w:rFonts w:ascii="宋体" w:hAnsi="宋体" w:cs="宋体" w:eastAsia="宋体" w:hint="default"/>
                <w:sz w:val="18"/>
                <w:szCs w:val="18"/>
              </w:rPr>
              <w:t>军</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关于招股说明书有虚假记载、误导</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性陈述或者重大遗漏方面的承诺：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公司、控股股东杭州正元、实际控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制人陈坚承诺：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本人承</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诺本次发行并上市的招股说明书不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存在虚假记载、误导性陈述或重大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遗漏，并对其真实性、准确性和完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6"/>
                <w:sz w:val="18"/>
                <w:szCs w:val="18"/>
              </w:rPr>
              <w:t>整性承担相应的法律责任。</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、若在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发行人投资者缴纳股票申购款后且</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股票尚未上市交易前，因发行人本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次发行并上市的招股说明书有虚假</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记载、误导性陈述或者重大遗漏，</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对判断发行人是否符合法律规定的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发行条件构成重大、实质影响的，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对于已发行的新股和已转让的原限</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4" w:right="-7"/>
              <w:jc w:val="left"/>
              <w:rPr>
                <w:rFonts w:ascii="宋体" w:hAnsi="宋体" w:cs="宋体" w:eastAsia="宋体" w:hint="default"/>
                <w:sz w:val="18"/>
                <w:szCs w:val="18"/>
              </w:rPr>
            </w:pPr>
            <w:r>
              <w:rPr>
                <w:rFonts w:ascii="宋体" w:hAnsi="宋体" w:cs="宋体" w:eastAsia="宋体" w:hint="default"/>
                <w:spacing w:val="-2"/>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r>
        <w:rPr/>
        <w:pict>
          <v:shape style="position:absolute;margin-left:395.158234pt;margin-top:72.505981pt;width:62pt;height:686.6pt;mso-position-horizontal-relative:page;mso-position-vertical-relative:page;z-index:-1183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42"/>
        <w:gridCol w:w="1728"/>
        <w:gridCol w:w="1124"/>
        <w:gridCol w:w="2790"/>
        <w:gridCol w:w="1124"/>
        <w:gridCol w:w="1124"/>
        <w:gridCol w:w="1109"/>
      </w:tblGrid>
      <w:tr>
        <w:trPr>
          <w:trHeight w:val="321"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728"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27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售股份但尚未上市交易的，本公司</w:t>
            </w:r>
            <w:r>
              <w:rPr>
                <w:rFonts w:ascii="Times New Roman" w:hAnsi="Times New Roman" w:cs="Times New Roman" w:eastAsia="Times New Roman" w:hint="default"/>
                <w:spacing w:val="-4"/>
                <w:sz w:val="18"/>
                <w:szCs w:val="18"/>
              </w:rPr>
              <w:t>/</w:t>
            </w:r>
          </w:p>
        </w:tc>
        <w:tc>
          <w:tcPr>
            <w:tcW w:w="1124" w:type="dxa"/>
            <w:vMerge w:val="restart"/>
            <w:tcBorders>
              <w:top w:val="single" w:sz="4" w:space="0" w:color="000000"/>
              <w:left w:val="single" w:sz="4" w:space="0" w:color="000000"/>
              <w:right w:val="single" w:sz="4" w:space="0" w:color="000000"/>
            </w:tcBorders>
          </w:tcPr>
          <w:p>
            <w:pPr>
              <w:pStyle w:val="TableParagraph"/>
              <w:spacing w:line="13731"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95pt;height:686.6pt;mso-position-horizontal-relative:char;mso-position-vertical-relative:line" coordorigin="0,0" coordsize="1119,13732">
                  <v:group style="position:absolute;left:0;top:0;width:1119;height:13732" coordorigin="0,0" coordsize="1119,13732">
                    <v:shape style="position:absolute;left:0;top:0;width:1119;height:13732" coordorigin="0,0" coordsize="1119,13732" path="m0,13732l1119,13732,1119,0,0,0,0,13732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本人将按照投资者所缴纳股票申购</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款加该期间内银行同期</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年期存款</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利息，对已缴纳股票申购款的投资</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6"/>
                <w:sz w:val="18"/>
                <w:szCs w:val="18"/>
              </w:rPr>
              <w:t>者进行退款。</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、若在发行人首次公</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开发行的股票上市交易后，因发行</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人本次发行并上市招股说明书有虚</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假记载、误导性陈述或者重大遗漏</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导致对判断发行人是否符合法律规</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定的发行条件构成重大、实质影响</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的，本公司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本人将依法购回已发行</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的新股和已转让的原限售股份，购</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回价格不低于回购公告前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7"/>
                <w:sz w:val="18"/>
                <w:szCs w:val="18"/>
              </w:rPr>
              <w:t>易日（不足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个交易日，则以回购</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公告前实际交易日为准）该种股票</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每日加权平均价的算术平均值，并</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根据相关法律法规规定的程序实</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施。上述购回实施时法律法规另有</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规定的从其规定。本公司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本人将及</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时向发行人提出预案，并提交董事</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6"/>
                <w:sz w:val="18"/>
                <w:szCs w:val="18"/>
              </w:rPr>
              <w:t>会、股东大会讨论。</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、若因招股说</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明书所载之内容存在虚假记载、误</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导性陈述或者重大遗漏，致使投资</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者在证券交易中遭受损失的，本公</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本人将依法赔偿投资者损失。在</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该等违法事实被中国证监会、证券</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交易所或司法机关认定后，本单位</w:t>
            </w:r>
            <w:r>
              <w:rPr>
                <w:rFonts w:ascii="Times New Roman" w:hAnsi="Times New Roman" w:cs="Times New Roman" w:eastAsia="Times New Roman" w:hint="default"/>
                <w:spacing w:val="-4"/>
                <w:sz w:val="18"/>
                <w:szCs w:val="18"/>
              </w:rPr>
              <w:t>/</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本人将本着主动沟通、尽快赔偿、</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切实保障投资者特别是中小投资者</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利益的原则，按照投资者直接遭受</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的可测算的经济损失选择与投资者</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沟通赔偿，通过设立投资者赔偿基</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金等方式积极赔偿投资者由此遭受</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的直接经济损失。此外，控股股东</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杭州正元、实际控制人陈坚承诺：</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本人以公司当年及以后年</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度利润分配方案中应享有的分红作</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为履约担保，且若本企业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本人未履</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行上述购回或赔偿义务，则在履行</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承诺前，本企业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本人直接或间接所</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持的公司股份不得转让。公司全体</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董事</w:t>
            </w:r>
            <w:r>
              <w:rPr>
                <w:rFonts w:ascii="宋体" w:hAnsi="宋体" w:cs="宋体" w:eastAsia="宋体" w:hint="default"/>
                <w:spacing w:val="-82"/>
                <w:w w:val="101"/>
                <w:sz w:val="18"/>
                <w:szCs w:val="18"/>
              </w:rPr>
              <w:t>、</w:t>
            </w:r>
            <w:r>
              <w:rPr>
                <w:rFonts w:ascii="宋体" w:hAnsi="宋体" w:cs="宋体" w:eastAsia="宋体" w:hint="default"/>
                <w:w w:val="101"/>
                <w:sz w:val="18"/>
                <w:szCs w:val="18"/>
              </w:rPr>
              <w:t>监</w:t>
            </w:r>
            <w:r>
              <w:rPr>
                <w:rFonts w:ascii="宋体" w:hAnsi="宋体" w:cs="宋体" w:eastAsia="宋体" w:hint="default"/>
                <w:spacing w:val="-5"/>
                <w:w w:val="101"/>
                <w:sz w:val="18"/>
                <w:szCs w:val="18"/>
              </w:rPr>
              <w:t>事</w:t>
            </w:r>
            <w:r>
              <w:rPr>
                <w:rFonts w:ascii="宋体" w:hAnsi="宋体" w:cs="宋体" w:eastAsia="宋体" w:hint="default"/>
                <w:w w:val="101"/>
                <w:sz w:val="18"/>
                <w:szCs w:val="18"/>
              </w:rPr>
              <w:t>和</w:t>
            </w:r>
            <w:r>
              <w:rPr>
                <w:rFonts w:ascii="宋体" w:hAnsi="宋体" w:cs="宋体" w:eastAsia="宋体" w:hint="default"/>
                <w:spacing w:val="-5"/>
                <w:w w:val="101"/>
                <w:sz w:val="18"/>
                <w:szCs w:val="18"/>
              </w:rPr>
              <w:t>高</w:t>
            </w:r>
            <w:r>
              <w:rPr>
                <w:rFonts w:ascii="宋体" w:hAnsi="宋体" w:cs="宋体" w:eastAsia="宋体" w:hint="default"/>
                <w:w w:val="101"/>
                <w:sz w:val="18"/>
                <w:szCs w:val="18"/>
              </w:rPr>
              <w:t>级</w:t>
            </w:r>
            <w:r>
              <w:rPr>
                <w:rFonts w:ascii="宋体" w:hAnsi="宋体" w:cs="宋体" w:eastAsia="宋体" w:hint="default"/>
                <w:spacing w:val="-5"/>
                <w:w w:val="101"/>
                <w:sz w:val="18"/>
                <w:szCs w:val="18"/>
              </w:rPr>
              <w:t>管</w:t>
            </w:r>
            <w:r>
              <w:rPr>
                <w:rFonts w:ascii="宋体" w:hAnsi="宋体" w:cs="宋体" w:eastAsia="宋体" w:hint="default"/>
                <w:w w:val="101"/>
                <w:sz w:val="18"/>
                <w:szCs w:val="18"/>
              </w:rPr>
              <w:t>理</w:t>
            </w:r>
            <w:r>
              <w:rPr>
                <w:rFonts w:ascii="宋体" w:hAnsi="宋体" w:cs="宋体" w:eastAsia="宋体" w:hint="default"/>
                <w:spacing w:val="-5"/>
                <w:w w:val="101"/>
                <w:sz w:val="18"/>
                <w:szCs w:val="18"/>
              </w:rPr>
              <w:t>人</w:t>
            </w:r>
            <w:r>
              <w:rPr>
                <w:rFonts w:ascii="宋体" w:hAnsi="宋体" w:cs="宋体" w:eastAsia="宋体" w:hint="default"/>
                <w:w w:val="101"/>
                <w:sz w:val="18"/>
                <w:szCs w:val="18"/>
              </w:rPr>
              <w:t>员</w:t>
            </w:r>
            <w:r>
              <w:rPr>
                <w:rFonts w:ascii="宋体" w:hAnsi="宋体" w:cs="宋体" w:eastAsia="宋体" w:hint="default"/>
                <w:spacing w:val="-5"/>
                <w:w w:val="101"/>
                <w:sz w:val="18"/>
                <w:szCs w:val="18"/>
              </w:rPr>
              <w:t>承</w:t>
            </w:r>
            <w:r>
              <w:rPr>
                <w:rFonts w:ascii="宋体" w:hAnsi="宋体" w:cs="宋体" w:eastAsia="宋体" w:hint="default"/>
                <w:w w:val="101"/>
                <w:sz w:val="18"/>
                <w:szCs w:val="18"/>
              </w:rPr>
              <w:t>诺</w:t>
            </w:r>
            <w:r>
              <w:rPr>
                <w:rFonts w:ascii="宋体" w:hAnsi="宋体" w:cs="宋体" w:eastAsia="宋体" w:hint="default"/>
                <w:spacing w:val="-77"/>
                <w:w w:val="101"/>
                <w:sz w:val="18"/>
                <w:szCs w:val="18"/>
              </w:rPr>
              <w:t>：</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z w:val="18"/>
                <w:szCs w:val="18"/>
              </w:rPr>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本人承诺发行人本次发行并上市的</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8"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728"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27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招股说明书不存在虚假记载、误导</w:t>
            </w:r>
          </w:p>
        </w:tc>
        <w:tc>
          <w:tcPr>
            <w:tcW w:w="1124"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r>
        <w:rPr/>
        <w:pict>
          <v:shape style="position:absolute;margin-left:395.158234pt;margin-top:72.499985pt;width:62pt;height:329.65pt;mso-position-horizontal-relative:page;mso-position-vertical-relative:page;z-index:-1183024"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842"/>
        <w:gridCol w:w="1728"/>
        <w:gridCol w:w="1124"/>
        <w:gridCol w:w="2790"/>
        <w:gridCol w:w="1124"/>
        <w:gridCol w:w="1124"/>
        <w:gridCol w:w="1112"/>
      </w:tblGrid>
      <w:tr>
        <w:trPr>
          <w:trHeight w:val="6602"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7"/>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性陈述或重大遗漏，并对其真实性</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准确性和完整性承担个别和连带的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6"/>
                <w:sz w:val="18"/>
                <w:szCs w:val="18"/>
              </w:rPr>
              <w:t>法律责任。</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、若因发行人本次发行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并上市招股说明书有虚假记载、误</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导性陈述或者重大遗漏，致使投资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者在证券交易中遭受损失的，本人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将依法赔偿投资者损失。在该等违</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法事实被中国证监会、证券交易所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或司法机关认定后，本人将本着主</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动沟通、尽快赔偿、切实保障投资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者特别是中小投资者利益的原则，</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按照投资者直接遭受的可测算的经</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济损失选择与投资者沟通赔偿，通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过设立投资者赔偿基金等方式积极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赔偿投资者由此遭受的直接经济损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6"/>
                <w:sz w:val="18"/>
                <w:szCs w:val="18"/>
              </w:rPr>
              <w:t>失。</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、本人以当年以及以后年度自</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发行人取得的税后工资作为上述承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诺的履约担保，且若本人未履行上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述购回或赔偿义务，则在履行承诺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前，本人直接或间接所持的公司股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份（如有）不得转让。</w:t>
            </w:r>
            <w:r>
              <w:rPr>
                <w:rFonts w:ascii="Times New Roman" w:hAnsi="Times New Roman" w:cs="Times New Roman" w:eastAsia="Times New Roman" w:hint="default"/>
                <w:sz w:val="18"/>
                <w:szCs w:val="18"/>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6592"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1"/>
                <w:sz w:val="20"/>
                <w:szCs w:val="20"/>
              </w:rPr>
              <w:pict>
                <v:group style="width:55.95pt;height:329.65pt;mso-position-horizontal-relative:char;mso-position-vertical-relative:line" coordorigin="0,0" coordsize="1119,6593">
                  <v:group style="position:absolute;left:0;top:0;width:1119;height:6593" coordorigin="0,0" coordsize="1119,6593">
                    <v:shape style="position:absolute;left:0;top:0;width:1119;height:6593" coordorigin="0,0" coordsize="1119,6593" path="m0,6592l1119,6592,1119,0,0,0,0,6592xe" filled="true" fillcolor="#ffffff" stroked="false">
                      <v:path arrowok="t"/>
                      <v:fill type="solid"/>
                    </v:shape>
                  </v:group>
                </v:group>
              </w:pict>
            </w:r>
            <w:r>
              <w:rPr>
                <w:rFonts w:ascii="Times New Roman" w:hAnsi="Times New Roman" w:cs="Times New Roman" w:eastAsia="Times New Roman" w:hint="default"/>
                <w:position w:val="-131"/>
                <w:sz w:val="20"/>
                <w:szCs w:val="20"/>
              </w:rPr>
            </w:r>
          </w:p>
        </w:tc>
        <w:tc>
          <w:tcPr>
            <w:tcW w:w="112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7231"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4" w:right="0"/>
              <w:jc w:val="left"/>
              <w:rPr>
                <w:rFonts w:ascii="Times New Roman" w:hAnsi="Times New Roman" w:cs="Times New Roman" w:eastAsia="Times New Roman" w:hint="default"/>
                <w:sz w:val="18"/>
                <w:szCs w:val="18"/>
              </w:rPr>
            </w:pPr>
            <w:r>
              <w:rPr>
                <w:rFonts w:ascii="Times New Roman"/>
                <w:spacing w:val="-8"/>
                <w:sz w:val="18"/>
              </w:rPr>
              <w:t>JAY </w:t>
            </w:r>
            <w:r>
              <w:rPr>
                <w:rFonts w:ascii="Times New Roman"/>
                <w:sz w:val="18"/>
              </w:rPr>
              <w:t>TSAI</w:t>
            </w:r>
            <w:r>
              <w:rPr>
                <w:rFonts w:ascii="Times New Roman"/>
                <w:spacing w:val="10"/>
                <w:sz w:val="18"/>
              </w:rPr>
              <w:t> </w:t>
            </w:r>
            <w:r>
              <w:rPr>
                <w:rFonts w:ascii="Times New Roman"/>
                <w:spacing w:val="-3"/>
                <w:sz w:val="18"/>
              </w:rPr>
              <w:t>CHIEN</w:t>
            </w:r>
          </w:p>
          <w:p>
            <w:pPr>
              <w:pStyle w:val="TableParagraph"/>
              <w:spacing w:line="304" w:lineRule="auto" w:before="58"/>
              <w:ind w:left="24"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CHOU;</w:t>
            </w:r>
            <w:r>
              <w:rPr>
                <w:rFonts w:ascii="宋体" w:hAnsi="宋体" w:cs="宋体" w:eastAsia="宋体" w:hint="default"/>
                <w:sz w:val="18"/>
                <w:szCs w:val="18"/>
              </w:rPr>
              <w:t>陈坚</w:t>
            </w:r>
            <w:r>
              <w:rPr>
                <w:rFonts w:ascii="Times New Roman" w:hAnsi="Times New Roman" w:cs="Times New Roman" w:eastAsia="Times New Roman" w:hint="default"/>
                <w:sz w:val="18"/>
                <w:szCs w:val="18"/>
              </w:rPr>
              <w:t>;</w:t>
            </w:r>
            <w:r>
              <w:rPr>
                <w:rFonts w:ascii="宋体" w:hAnsi="宋体" w:cs="宋体" w:eastAsia="宋体" w:hint="default"/>
                <w:sz w:val="18"/>
                <w:szCs w:val="18"/>
              </w:rPr>
              <w:t>陈英</w:t>
            </w:r>
            <w:r>
              <w:rPr>
                <w:rFonts w:ascii="Times New Roman" w:hAnsi="Times New Roman" w:cs="Times New Roman" w:eastAsia="Times New Roman" w:hint="default"/>
                <w:sz w:val="18"/>
                <w:szCs w:val="18"/>
              </w:rPr>
              <w:t>;</w:t>
            </w:r>
            <w:r>
              <w:rPr>
                <w:rFonts w:ascii="宋体" w:hAnsi="宋体" w:cs="宋体" w:eastAsia="宋体" w:hint="default"/>
                <w:sz w:val="18"/>
                <w:szCs w:val="18"/>
              </w:rPr>
              <w:t>杭</w:t>
            </w:r>
            <w:r>
              <w:rPr>
                <w:rFonts w:ascii="宋体" w:hAnsi="宋体" w:cs="宋体" w:eastAsia="宋体" w:hint="default"/>
                <w:spacing w:val="-87"/>
                <w:sz w:val="18"/>
                <w:szCs w:val="18"/>
              </w:rPr>
              <w:t> </w:t>
            </w:r>
            <w:r>
              <w:rPr>
                <w:rFonts w:ascii="宋体" w:hAnsi="宋体" w:cs="宋体" w:eastAsia="宋体" w:hint="default"/>
                <w:spacing w:val="-3"/>
                <w:sz w:val="18"/>
                <w:szCs w:val="18"/>
              </w:rPr>
              <w:t>州正元企业管理咨询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黄金明</w:t>
            </w:r>
            <w:r>
              <w:rPr>
                <w:rFonts w:ascii="Times New Roman" w:hAnsi="Times New Roman" w:cs="Times New Roman" w:eastAsia="Times New Roman" w:hint="default"/>
                <w:sz w:val="18"/>
                <w:szCs w:val="18"/>
              </w:rPr>
              <w:t>;</w:t>
            </w:r>
            <w:r>
              <w:rPr>
                <w:rFonts w:ascii="宋体" w:hAnsi="宋体" w:cs="宋体" w:eastAsia="宋体" w:hint="default"/>
                <w:sz w:val="18"/>
                <w:szCs w:val="18"/>
              </w:rPr>
              <w:t>陆</w:t>
            </w:r>
            <w:r>
              <w:rPr>
                <w:rFonts w:ascii="宋体" w:hAnsi="宋体" w:cs="宋体" w:eastAsia="宋体" w:hint="default"/>
                <w:spacing w:val="-88"/>
                <w:sz w:val="18"/>
                <w:szCs w:val="18"/>
              </w:rPr>
              <w:t> </w:t>
            </w:r>
            <w:r>
              <w:rPr>
                <w:rFonts w:ascii="宋体" w:hAnsi="宋体" w:cs="宋体" w:eastAsia="宋体" w:hint="default"/>
                <w:sz w:val="18"/>
                <w:szCs w:val="18"/>
              </w:rPr>
              <w:t>卫明</w:t>
            </w:r>
            <w:r>
              <w:rPr>
                <w:rFonts w:ascii="Times New Roman" w:hAnsi="Times New Roman" w:cs="Times New Roman" w:eastAsia="Times New Roman" w:hint="default"/>
                <w:sz w:val="18"/>
                <w:szCs w:val="18"/>
              </w:rPr>
              <w:t>;</w:t>
            </w:r>
            <w:r>
              <w:rPr>
                <w:rFonts w:ascii="宋体" w:hAnsi="宋体" w:cs="宋体" w:eastAsia="宋体" w:hint="default"/>
                <w:sz w:val="18"/>
                <w:szCs w:val="18"/>
              </w:rPr>
              <w:t>潘利华</w:t>
            </w:r>
            <w:r>
              <w:rPr>
                <w:rFonts w:ascii="Times New Roman" w:hAnsi="Times New Roman" w:cs="Times New Roman" w:eastAsia="Times New Roman" w:hint="default"/>
                <w:sz w:val="18"/>
                <w:szCs w:val="18"/>
              </w:rPr>
              <w:t>;</w:t>
            </w:r>
            <w:r>
              <w:rPr>
                <w:rFonts w:ascii="宋体" w:hAnsi="宋体" w:cs="宋体" w:eastAsia="宋体" w:hint="default"/>
                <w:sz w:val="18"/>
                <w:szCs w:val="18"/>
              </w:rPr>
              <w:t>童本立</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余锴</w:t>
            </w:r>
            <w:r>
              <w:rPr>
                <w:rFonts w:ascii="Times New Roman" w:hAnsi="Times New Roman" w:cs="Times New Roman" w:eastAsia="Times New Roman" w:hint="default"/>
                <w:sz w:val="18"/>
                <w:szCs w:val="18"/>
              </w:rPr>
              <w:t>;</w:t>
            </w:r>
            <w:r>
              <w:rPr>
                <w:rFonts w:ascii="宋体" w:hAnsi="宋体" w:cs="宋体" w:eastAsia="宋体" w:hint="default"/>
                <w:sz w:val="18"/>
                <w:szCs w:val="18"/>
              </w:rPr>
              <w:t>浙江正元智慧</w:t>
            </w:r>
            <w:r>
              <w:rPr>
                <w:rFonts w:ascii="宋体" w:hAnsi="宋体" w:cs="宋体" w:eastAsia="宋体" w:hint="default"/>
                <w:w w:val="101"/>
                <w:sz w:val="18"/>
                <w:szCs w:val="18"/>
              </w:rPr>
              <w:t> </w:t>
            </w:r>
            <w:r>
              <w:rPr>
                <w:rFonts w:ascii="宋体" w:hAnsi="宋体" w:cs="宋体" w:eastAsia="宋体" w:hint="default"/>
                <w:sz w:val="18"/>
                <w:szCs w:val="18"/>
              </w:rPr>
              <w:t>科技股份有限公司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朱加宁</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关于填补本次公开发行股票被摊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薄即期回报的措施及承诺：依据中</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国证监会《关于首发及再融资、重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大资产重组摊薄即期回报有关事项</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的指导意见》相关规定，公司董事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会就公司本次公开发行股票是否摊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薄即期回报进行了分析，制定了填</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补即期回报措施，相关主体出具了</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承诺。公司第二届董事会第二次会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议就上述事项通过了《关于本次公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开发行股票摊薄即期回报影响分析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8"/>
                <w:w w:val="101"/>
                <w:sz w:val="18"/>
                <w:szCs w:val="18"/>
              </w:rPr>
              <w:t>和应对措施的议案》，并提交公司</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9"/>
                <w:sz w:val="18"/>
                <w:szCs w:val="18"/>
              </w:rPr>
              <w:t> </w:t>
            </w:r>
            <w:r>
              <w:rPr>
                <w:rFonts w:ascii="宋体" w:hAnsi="宋体" w:cs="宋体" w:eastAsia="宋体" w:hint="default"/>
                <w:spacing w:val="-4"/>
                <w:sz w:val="18"/>
                <w:szCs w:val="18"/>
              </w:rPr>
              <w:t>年度股东大会审议通过。公司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制定填补回报措施不等于对公司未</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来利润做出保证。公司在本次公开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发行股票后，将在定期报告中持续</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披露填补即期回报措施的完成情况</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及相关承诺主体承诺事项的履行情</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2"/>
                <w:w w:val="101"/>
                <w:sz w:val="18"/>
                <w:szCs w:val="18"/>
              </w:rPr>
              <w:t>况。敬请投资者关注。（一）本次公</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3"/>
                <w:sz w:val="18"/>
                <w:szCs w:val="18"/>
              </w:rPr>
              <w:t>开发行摊薄即期回报的风险及对公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司主要财务指标的影响分析本次发</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行完成后，随着募集资金的到位，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公司的资金实力大幅增强，同时公</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7"/>
              <w:jc w:val="left"/>
              <w:rPr>
                <w:rFonts w:ascii="宋体" w:hAnsi="宋体" w:cs="宋体" w:eastAsia="宋体" w:hint="default"/>
                <w:sz w:val="18"/>
                <w:szCs w:val="18"/>
              </w:rPr>
            </w:pPr>
            <w:r>
              <w:rPr>
                <w:rFonts w:ascii="宋体" w:hAnsi="宋体" w:cs="宋体" w:eastAsia="宋体" w:hint="default"/>
                <w:spacing w:val="-2"/>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42"/>
        <w:gridCol w:w="1728"/>
        <w:gridCol w:w="1124"/>
        <w:gridCol w:w="2790"/>
        <w:gridCol w:w="1124"/>
        <w:gridCol w:w="1124"/>
        <w:gridCol w:w="1109"/>
      </w:tblGrid>
      <w:tr>
        <w:trPr>
          <w:trHeight w:val="316"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728"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27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27"/>
              <w:jc w:val="center"/>
              <w:rPr>
                <w:rFonts w:ascii="宋体" w:hAnsi="宋体" w:cs="宋体" w:eastAsia="宋体" w:hint="default"/>
                <w:sz w:val="18"/>
                <w:szCs w:val="18"/>
              </w:rPr>
            </w:pPr>
            <w:r>
              <w:rPr>
                <w:rFonts w:ascii="宋体" w:hAnsi="宋体" w:cs="宋体" w:eastAsia="宋体" w:hint="default"/>
                <w:spacing w:val="-3"/>
                <w:sz w:val="18"/>
                <w:szCs w:val="18"/>
              </w:rPr>
              <w:t>司总股本和净资产均有较大幅度的</w:t>
            </w:r>
          </w:p>
        </w:tc>
        <w:tc>
          <w:tcPr>
            <w:tcW w:w="1124"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增长，后续随着募集资金投资项目</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的效益得以逐步体现，公司的净利</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润将有所增加，但由于募集资金投</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4"/>
              <w:jc w:val="center"/>
              <w:rPr>
                <w:rFonts w:ascii="宋体" w:hAnsi="宋体" w:cs="宋体" w:eastAsia="宋体" w:hint="default"/>
                <w:sz w:val="18"/>
                <w:szCs w:val="18"/>
              </w:rPr>
            </w:pPr>
            <w:r>
              <w:rPr>
                <w:rFonts w:ascii="宋体" w:hAnsi="宋体" w:cs="宋体" w:eastAsia="宋体" w:hint="default"/>
                <w:spacing w:val="-3"/>
                <w:sz w:val="18"/>
                <w:szCs w:val="18"/>
              </w:rPr>
              <w:t>资项目的实施需要一定的时间周</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期，相关效益的实现也需要一定的</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时间，因此短期内公司的每股收益</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和净资产收益率等指标存在被摊薄</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w w:val="101"/>
                <w:sz w:val="18"/>
                <w:szCs w:val="18"/>
              </w:rPr>
              <w:t>的</w:t>
            </w:r>
            <w:r>
              <w:rPr>
                <w:rFonts w:ascii="宋体" w:hAnsi="宋体" w:cs="宋体" w:eastAsia="宋体" w:hint="default"/>
                <w:spacing w:val="-5"/>
                <w:w w:val="101"/>
                <w:sz w:val="18"/>
                <w:szCs w:val="18"/>
              </w:rPr>
              <w:t>风</w:t>
            </w:r>
            <w:r>
              <w:rPr>
                <w:rFonts w:ascii="宋体" w:hAnsi="宋体" w:cs="宋体" w:eastAsia="宋体" w:hint="default"/>
                <w:w w:val="101"/>
                <w:sz w:val="18"/>
                <w:szCs w:val="18"/>
              </w:rPr>
              <w:t>险</w:t>
            </w:r>
            <w:r>
              <w:rPr>
                <w:rFonts w:ascii="宋体" w:hAnsi="宋体" w:cs="宋体" w:eastAsia="宋体" w:hint="default"/>
                <w:spacing w:val="-120"/>
                <w:w w:val="101"/>
                <w:sz w:val="18"/>
                <w:szCs w:val="18"/>
              </w:rPr>
              <w:t>。</w:t>
            </w:r>
            <w:r>
              <w:rPr>
                <w:rFonts w:ascii="宋体" w:hAnsi="宋体" w:cs="宋体" w:eastAsia="宋体" w:hint="default"/>
                <w:spacing w:val="-5"/>
                <w:w w:val="101"/>
                <w:sz w:val="18"/>
                <w:szCs w:val="18"/>
              </w:rPr>
              <w:t>（二</w:t>
            </w:r>
            <w:r>
              <w:rPr>
                <w:rFonts w:ascii="宋体" w:hAnsi="宋体" w:cs="宋体" w:eastAsia="宋体" w:hint="default"/>
                <w:spacing w:val="-29"/>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次</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股</w:t>
            </w:r>
            <w:r>
              <w:rPr>
                <w:rFonts w:ascii="宋体" w:hAnsi="宋体" w:cs="宋体" w:eastAsia="宋体" w:hint="default"/>
                <w:w w:val="101"/>
                <w:sz w:val="18"/>
                <w:szCs w:val="18"/>
              </w:rPr>
              <w:t>票的</w:t>
            </w:r>
            <w:r>
              <w:rPr>
                <w:rFonts w:ascii="宋体" w:hAnsi="宋体" w:cs="宋体" w:eastAsia="宋体" w:hint="default"/>
                <w:sz w:val="18"/>
                <w:szCs w:val="18"/>
              </w:rPr>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必要性和合理性公司董事会选择本</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次融资的必要性和合理性如下：依</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据公司的发展战略，未来将继续致</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力于一卡通系统的应用及推广，为</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客户提供品质卓越的服务，着力把</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正元智慧建设为全国一流的知名品</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牌，并基于领先的一卡通技术服务</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与丰富的经验，拓宽产品功能与应</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用领域。公司在市场发展的关键机</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遇期，必要地需要巩固和发展传统</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优势业务，同时探索新技术、新业</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务与新领域市场；具体需要加大市</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场空间和市场渗透力，提升新产品</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与关键技术的研发能力，优化人力</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资源管理，持续提高公司内部治理</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水平和外部服务能力。近年来公司</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发展迅速，但由于受到资金瓶颈的</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限制，公司软硬件的提供能力扩张</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速度低于需求增长速度，在开拓新</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客户上难以全力以赴。同时，随着</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科学与经济的不断发展，客户对公</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司产品功能和性能提出了更高的要</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求，需要公司加大研发投入以满足</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客户不断变化的需求。资金紧张等</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因素限制和制约公司的业务发展，</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选择本次融资能够合理的发挥募集</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资金投资项目动力、进一步增强公</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司资本实力及盈利能力，对公司长</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期发展提供助益。各个具体募集资</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4"/>
              <w:jc w:val="center"/>
              <w:rPr>
                <w:rFonts w:ascii="宋体" w:hAnsi="宋体" w:cs="宋体" w:eastAsia="宋体" w:hint="default"/>
                <w:sz w:val="18"/>
                <w:szCs w:val="18"/>
              </w:rPr>
            </w:pPr>
            <w:r>
              <w:rPr>
                <w:rFonts w:ascii="宋体" w:hAnsi="宋体" w:cs="宋体" w:eastAsia="宋体" w:hint="default"/>
                <w:spacing w:val="-3"/>
                <w:sz w:val="18"/>
                <w:szCs w:val="18"/>
              </w:rPr>
              <w:t>金投资项目的必要性和合理性分</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37"/>
              <w:jc w:val="center"/>
              <w:rPr>
                <w:rFonts w:ascii="宋体" w:hAnsi="宋体" w:cs="宋体" w:eastAsia="宋体" w:hint="default"/>
                <w:sz w:val="18"/>
                <w:szCs w:val="18"/>
              </w:rPr>
            </w:pPr>
            <w:r>
              <w:rPr>
                <w:rFonts w:ascii="宋体" w:hAnsi="宋体" w:cs="宋体" w:eastAsia="宋体" w:hint="default"/>
                <w:spacing w:val="-3"/>
                <w:sz w:val="18"/>
                <w:szCs w:val="18"/>
              </w:rPr>
              <w:t>析，具体详见本招股说明书</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第十</w:t>
            </w:r>
            <w:r>
              <w:rPr>
                <w:rFonts w:ascii="宋体" w:hAnsi="宋体" w:cs="宋体" w:eastAsia="宋体" w:hint="default"/>
                <w:sz w:val="18"/>
                <w:szCs w:val="18"/>
              </w:rPr>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
              <w:jc w:val="center"/>
              <w:rPr>
                <w:rFonts w:ascii="宋体" w:hAnsi="宋体" w:cs="宋体" w:eastAsia="宋体" w:hint="default"/>
                <w:sz w:val="18"/>
                <w:szCs w:val="18"/>
              </w:rPr>
            </w:pPr>
            <w:r>
              <w:rPr>
                <w:rFonts w:ascii="宋体" w:hAnsi="宋体" w:cs="宋体" w:eastAsia="宋体" w:hint="default"/>
                <w:spacing w:val="-3"/>
                <w:sz w:val="18"/>
                <w:szCs w:val="18"/>
              </w:rPr>
              <w:t>节、二、募集资金投资项目的具体</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1"/>
              <w:jc w:val="center"/>
              <w:rPr>
                <w:rFonts w:ascii="宋体" w:hAnsi="宋体" w:cs="宋体" w:eastAsia="宋体" w:hint="default"/>
                <w:sz w:val="18"/>
                <w:szCs w:val="18"/>
              </w:rPr>
            </w:pPr>
            <w:r>
              <w:rPr>
                <w:rFonts w:ascii="宋体" w:hAnsi="宋体" w:cs="宋体" w:eastAsia="宋体" w:hint="default"/>
                <w:w w:val="101"/>
                <w:sz w:val="18"/>
                <w:szCs w:val="18"/>
              </w:rPr>
              <w:t>情况</w:t>
            </w:r>
            <w:r>
              <w:rPr>
                <w:rFonts w:ascii="Times New Roman" w:hAnsi="Times New Roman" w:cs="Times New Roman" w:eastAsia="Times New Roman" w:hint="default"/>
                <w:spacing w:val="-2"/>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三</w:t>
            </w:r>
            <w:r>
              <w:rPr>
                <w:rFonts w:ascii="宋体" w:hAnsi="宋体" w:cs="宋体" w:eastAsia="宋体" w:hint="default"/>
                <w:spacing w:val="-5"/>
                <w:w w:val="101"/>
                <w:sz w:val="18"/>
                <w:szCs w:val="18"/>
              </w:rPr>
              <w:t>）</w:t>
            </w:r>
            <w:r>
              <w:rPr>
                <w:rFonts w:ascii="宋体" w:hAnsi="宋体" w:cs="宋体" w:eastAsia="宋体" w:hint="default"/>
                <w:w w:val="101"/>
                <w:sz w:val="18"/>
                <w:szCs w:val="18"/>
              </w:rPr>
              <w:t>本</w:t>
            </w:r>
            <w:r>
              <w:rPr>
                <w:rFonts w:ascii="宋体" w:hAnsi="宋体" w:cs="宋体" w:eastAsia="宋体" w:hint="default"/>
                <w:spacing w:val="-5"/>
                <w:w w:val="101"/>
                <w:sz w:val="18"/>
                <w:szCs w:val="18"/>
              </w:rPr>
              <w:t>次募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投</w:t>
            </w:r>
            <w:r>
              <w:rPr>
                <w:rFonts w:ascii="宋体" w:hAnsi="宋体" w:cs="宋体" w:eastAsia="宋体" w:hint="default"/>
                <w:w w:val="101"/>
                <w:sz w:val="18"/>
                <w:szCs w:val="18"/>
              </w:rPr>
              <w:t>资项</w:t>
            </w:r>
            <w:r>
              <w:rPr>
                <w:rFonts w:ascii="宋体" w:hAnsi="宋体" w:cs="宋体" w:eastAsia="宋体" w:hint="default"/>
                <w:sz w:val="18"/>
                <w:szCs w:val="18"/>
              </w:rPr>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
              <w:jc w:val="center"/>
              <w:rPr>
                <w:rFonts w:ascii="宋体" w:hAnsi="宋体" w:cs="宋体" w:eastAsia="宋体" w:hint="default"/>
                <w:sz w:val="18"/>
                <w:szCs w:val="18"/>
              </w:rPr>
            </w:pPr>
            <w:r>
              <w:rPr>
                <w:rFonts w:ascii="宋体" w:hAnsi="宋体" w:cs="宋体" w:eastAsia="宋体" w:hint="default"/>
                <w:spacing w:val="-3"/>
                <w:sz w:val="18"/>
                <w:szCs w:val="18"/>
              </w:rPr>
              <w:t>目与公司现有业务的关系及公司相</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8"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728"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27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宋体" w:hAnsi="宋体" w:cs="宋体" w:eastAsia="宋体" w:hint="default"/>
                <w:sz w:val="18"/>
                <w:szCs w:val="18"/>
              </w:rPr>
              <w:t>关资源储备情况</w:t>
            </w:r>
            <w:r>
              <w:rPr>
                <w:rFonts w:ascii="宋体" w:hAnsi="宋体" w:cs="宋体" w:eastAsia="宋体" w:hint="default"/>
                <w:spacing w:val="-19"/>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、本次募集资金</w:t>
            </w:r>
          </w:p>
        </w:tc>
        <w:tc>
          <w:tcPr>
            <w:tcW w:w="1124"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r>
        <w:rPr/>
        <w:pict>
          <v:shape style="position:absolute;margin-left:395.158234pt;margin-top:72.505981pt;width:62pt;height:686.6pt;mso-position-horizontal-relative:page;mso-position-vertical-relative:page;z-index:-11829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42"/>
        <w:gridCol w:w="1728"/>
        <w:gridCol w:w="1124"/>
        <w:gridCol w:w="2790"/>
        <w:gridCol w:w="1124"/>
        <w:gridCol w:w="1124"/>
        <w:gridCol w:w="1109"/>
      </w:tblGrid>
      <w:tr>
        <w:trPr>
          <w:trHeight w:val="316"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728"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27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27"/>
              <w:jc w:val="center"/>
              <w:rPr>
                <w:rFonts w:ascii="宋体" w:hAnsi="宋体" w:cs="宋体" w:eastAsia="宋体" w:hint="default"/>
                <w:sz w:val="18"/>
                <w:szCs w:val="18"/>
              </w:rPr>
            </w:pPr>
            <w:r>
              <w:rPr>
                <w:rFonts w:ascii="宋体" w:hAnsi="宋体" w:cs="宋体" w:eastAsia="宋体" w:hint="default"/>
                <w:spacing w:val="-3"/>
                <w:sz w:val="18"/>
                <w:szCs w:val="18"/>
              </w:rPr>
              <w:t>投资项目与公司现有业务的关系本</w:t>
            </w:r>
          </w:p>
        </w:tc>
        <w:tc>
          <w:tcPr>
            <w:tcW w:w="1124" w:type="dxa"/>
            <w:vMerge w:val="restart"/>
            <w:tcBorders>
              <w:top w:val="single" w:sz="4" w:space="0" w:color="000000"/>
              <w:left w:val="single" w:sz="4" w:space="0" w:color="000000"/>
              <w:right w:val="single" w:sz="4" w:space="0" w:color="000000"/>
            </w:tcBorders>
          </w:tcPr>
          <w:p>
            <w:pPr>
              <w:pStyle w:val="TableParagraph"/>
              <w:spacing w:line="13731"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95pt;height:686.6pt;mso-position-horizontal-relative:char;mso-position-vertical-relative:line" coordorigin="0,0" coordsize="1119,13732">
                  <v:group style="position:absolute;left:0;top:0;width:1119;height:13732" coordorigin="0,0" coordsize="1119,13732">
                    <v:shape style="position:absolute;left:0;top:0;width:1119;height:13732" coordorigin="0,0" coordsize="1119,13732" path="m0,13732l1119,13732,1119,0,0,0,0,13732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次募集资金项目全部围绕公司现有</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的主营业务进行，以进一步增强公</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84"/>
              <w:jc w:val="center"/>
              <w:rPr>
                <w:rFonts w:ascii="宋体" w:hAnsi="宋体" w:cs="宋体" w:eastAsia="宋体" w:hint="default"/>
                <w:sz w:val="18"/>
                <w:szCs w:val="18"/>
              </w:rPr>
            </w:pPr>
            <w:r>
              <w:rPr>
                <w:rFonts w:ascii="宋体" w:hAnsi="宋体" w:cs="宋体" w:eastAsia="宋体" w:hint="default"/>
                <w:spacing w:val="-7"/>
                <w:sz w:val="18"/>
                <w:szCs w:val="18"/>
              </w:rPr>
              <w:t>司的核心竞争力和盈利能力。其中</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智慧易通项目是在公司已开发并广</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4"/>
              <w:jc w:val="center"/>
              <w:rPr>
                <w:rFonts w:ascii="宋体" w:hAnsi="宋体" w:cs="宋体" w:eastAsia="宋体" w:hint="default"/>
                <w:sz w:val="18"/>
                <w:szCs w:val="18"/>
              </w:rPr>
            </w:pPr>
            <w:r>
              <w:rPr>
                <w:rFonts w:ascii="宋体" w:hAnsi="宋体" w:cs="宋体" w:eastAsia="宋体" w:hint="default"/>
                <w:spacing w:val="-3"/>
                <w:sz w:val="18"/>
                <w:szCs w:val="18"/>
              </w:rPr>
              <w:t>泛应用的数字化园区一卡通基础</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上，对体系结构重新架构、对业务</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流程重组优化、对终端机具全面升</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级、增加应用系统种类和扩大应用</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范围，为客户构建更协同、更智能</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的服务环境；营销服务体系建设和</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升级项目将强化、完善公司现有的</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面向一卡通市场的营销服务体系，</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并通过完善组织机构设置，加强营</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销团队力量；研发中心建设项目在</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公司现有技术研发中心基础上，扩</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大公司研发规模并进行技术升级，</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提高公司产品的研发效率、缩短产</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6"/>
              <w:jc w:val="center"/>
              <w:rPr>
                <w:rFonts w:ascii="宋体" w:hAnsi="宋体" w:cs="宋体" w:eastAsia="宋体" w:hint="default"/>
                <w:sz w:val="18"/>
                <w:szCs w:val="18"/>
              </w:rPr>
            </w:pPr>
            <w:r>
              <w:rPr>
                <w:rFonts w:ascii="宋体" w:hAnsi="宋体" w:cs="宋体" w:eastAsia="宋体" w:hint="default"/>
                <w:spacing w:val="-3"/>
                <w:sz w:val="18"/>
                <w:szCs w:val="18"/>
              </w:rPr>
              <w:t>品研发和制造周期，提升公司核心</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pacing w:val="-6"/>
                <w:sz w:val="18"/>
                <w:szCs w:val="18"/>
              </w:rPr>
              <w:t>竞争力。</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、公司从事募投项目在人</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
              <w:jc w:val="center"/>
              <w:rPr>
                <w:rFonts w:ascii="宋体" w:hAnsi="宋体" w:cs="宋体" w:eastAsia="宋体" w:hint="default"/>
                <w:sz w:val="18"/>
                <w:szCs w:val="18"/>
              </w:rPr>
            </w:pPr>
            <w:r>
              <w:rPr>
                <w:rFonts w:ascii="宋体" w:hAnsi="宋体" w:cs="宋体" w:eastAsia="宋体" w:hint="default"/>
                <w:spacing w:val="-3"/>
                <w:sz w:val="18"/>
                <w:szCs w:val="18"/>
              </w:rPr>
              <w:t>员、技术、市场等方面的储备情况</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日，公司员工</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1"/>
              <w:jc w:val="center"/>
              <w:rPr>
                <w:rFonts w:ascii="宋体" w:hAnsi="宋体" w:cs="宋体" w:eastAsia="宋体" w:hint="default"/>
                <w:sz w:val="18"/>
                <w:szCs w:val="18"/>
              </w:rPr>
            </w:pPr>
            <w:r>
              <w:rPr>
                <w:rFonts w:ascii="宋体" w:hAnsi="宋体" w:cs="宋体" w:eastAsia="宋体" w:hint="default"/>
                <w:sz w:val="18"/>
                <w:szCs w:val="18"/>
              </w:rPr>
              <w:t>总人数为 </w:t>
            </w:r>
            <w:r>
              <w:rPr>
                <w:rFonts w:ascii="Times New Roman" w:hAnsi="Times New Roman" w:cs="Times New Roman" w:eastAsia="Times New Roman" w:hint="default"/>
                <w:spacing w:val="-4"/>
                <w:sz w:val="18"/>
                <w:szCs w:val="18"/>
              </w:rPr>
              <w:t>711</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人，其中研发技术人</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6"/>
              <w:jc w:val="center"/>
              <w:rPr>
                <w:rFonts w:ascii="宋体" w:hAnsi="宋体" w:cs="宋体" w:eastAsia="宋体" w:hint="default"/>
                <w:sz w:val="18"/>
                <w:szCs w:val="18"/>
              </w:rPr>
            </w:pPr>
            <w:r>
              <w:rPr>
                <w:rFonts w:ascii="宋体" w:hAnsi="宋体" w:cs="宋体" w:eastAsia="宋体" w:hint="default"/>
                <w:sz w:val="18"/>
                <w:szCs w:val="18"/>
              </w:rPr>
              <w:t>员</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人，销售人员</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人，公司</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
              <w:jc w:val="center"/>
              <w:rPr>
                <w:rFonts w:ascii="宋体" w:hAnsi="宋体" w:cs="宋体" w:eastAsia="宋体" w:hint="default"/>
                <w:sz w:val="18"/>
                <w:szCs w:val="18"/>
              </w:rPr>
            </w:pPr>
            <w:r>
              <w:rPr>
                <w:rFonts w:ascii="宋体" w:hAnsi="宋体" w:cs="宋体" w:eastAsia="宋体" w:hint="default"/>
                <w:spacing w:val="-3"/>
                <w:sz w:val="18"/>
                <w:szCs w:val="18"/>
              </w:rPr>
              <w:t>从业人员质量相对较高，人员结构</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合理，具备业务线的覆盖和新业务</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的研发探索能力。公司自成立以来</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一直专注于为客户提供一卡通系统</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整体解决方案，目前企业研发实力</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和市场品牌影响力处于行业前列。</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近年来，公司先后被认定为国家火</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炬计划重点高新技术企业、省级企</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pacing w:val="-5"/>
                <w:sz w:val="18"/>
                <w:szCs w:val="18"/>
              </w:rPr>
              <w:t>业技术中心，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正元智慧卡应用研究</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4"/>
              <w:jc w:val="center"/>
              <w:rPr>
                <w:rFonts w:ascii="Times New Roman" w:hAnsi="Times New Roman" w:cs="Times New Roman" w:eastAsia="Times New Roman" w:hint="default"/>
                <w:sz w:val="18"/>
                <w:szCs w:val="18"/>
              </w:rPr>
            </w:pPr>
            <w:r>
              <w:rPr>
                <w:rFonts w:ascii="宋体" w:hAnsi="宋体" w:cs="宋体" w:eastAsia="宋体" w:hint="default"/>
                <w:sz w:val="18"/>
                <w:szCs w:val="18"/>
              </w:rPr>
              <w:t>院</w:t>
            </w:r>
            <w:r>
              <w:rPr>
                <w:rFonts w:ascii="Times New Roman" w:hAnsi="Times New Roman" w:cs="Times New Roman" w:eastAsia="Times New Roman" w:hint="default"/>
                <w:sz w:val="18"/>
                <w:szCs w:val="18"/>
              </w:rPr>
              <w:t>"</w:t>
            </w:r>
            <w:r>
              <w:rPr>
                <w:rFonts w:ascii="宋体" w:hAnsi="宋体" w:cs="宋体" w:eastAsia="宋体" w:hint="default"/>
                <w:sz w:val="18"/>
                <w:szCs w:val="18"/>
              </w:rPr>
              <w:t>为省级企业研究院，截至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日，公司拥有软件著作</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center"/>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148</w:t>
            </w:r>
            <w:r>
              <w:rPr>
                <w:rFonts w:ascii="Times New Roman" w:hAnsi="Times New Roman" w:cs="Times New Roman" w:eastAsia="Times New Roman" w:hint="default"/>
                <w:spacing w:val="8"/>
                <w:sz w:val="18"/>
                <w:szCs w:val="18"/>
              </w:rPr>
              <w:t> </w:t>
            </w:r>
            <w:r>
              <w:rPr>
                <w:rFonts w:ascii="宋体" w:hAnsi="宋体" w:cs="宋体" w:eastAsia="宋体" w:hint="default"/>
                <w:spacing w:val="-9"/>
                <w:sz w:val="18"/>
                <w:szCs w:val="18"/>
              </w:rPr>
              <w:t>项，专利</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项。公司重视研</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
              <w:jc w:val="center"/>
              <w:rPr>
                <w:rFonts w:ascii="宋体" w:hAnsi="宋体" w:cs="宋体" w:eastAsia="宋体" w:hint="default"/>
                <w:sz w:val="18"/>
                <w:szCs w:val="18"/>
              </w:rPr>
            </w:pPr>
            <w:r>
              <w:rPr>
                <w:rFonts w:ascii="宋体" w:hAnsi="宋体" w:cs="宋体" w:eastAsia="宋体" w:hint="default"/>
                <w:spacing w:val="-3"/>
                <w:sz w:val="18"/>
                <w:szCs w:val="18"/>
              </w:rPr>
              <w:t>发投入和引进高素质人才以提高技</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术创新能力，核心技术带头人员的</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行业专业经验丰富，在智能卡、校</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园信息化、互联网等业务领域具有</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非常突出的技术创新能力。公司经</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过多年智能卡行业的市场经营与深</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耕服务，在部分区域积累并沉淀了</w:t>
            </w:r>
          </w:p>
        </w:tc>
        <w:tc>
          <w:tcPr>
            <w:tcW w:w="1124"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8"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728"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27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pacing w:val="-3"/>
                <w:sz w:val="18"/>
                <w:szCs w:val="18"/>
              </w:rPr>
              <w:t>一大批优质且忠诚的客户，逐步形</w:t>
            </w:r>
          </w:p>
        </w:tc>
        <w:tc>
          <w:tcPr>
            <w:tcW w:w="1124"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r>
        <w:rPr/>
        <w:pict>
          <v:shape style="position:absolute;margin-left:395.158234pt;margin-top:72.505981pt;width:62pt;height:686.6pt;mso-position-horizontal-relative:page;mso-position-vertical-relative:page;z-index:-11829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401.179993pt;margin-top:72.505981pt;width:55.95pt;height:686.6pt;mso-position-horizontal-relative:page;mso-position-vertical-relative:page;z-index:-1182928" coordorigin="8024,1450" coordsize="1119,13732">
            <v:shape style="position:absolute;left:8024;top:1450;width:1119;height:13732" coordorigin="8024,1450" coordsize="1119,13732" path="m8024,15182l9142,15182,9142,1450,8024,1450,8024,15182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42"/>
        <w:gridCol w:w="1728"/>
        <w:gridCol w:w="1124"/>
        <w:gridCol w:w="2790"/>
        <w:gridCol w:w="1124"/>
        <w:gridCol w:w="1124"/>
        <w:gridCol w:w="1109"/>
      </w:tblGrid>
      <w:tr>
        <w:trPr>
          <w:trHeight w:val="316"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728"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27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成了较强的品牌影响力。除在教育</w:t>
            </w:r>
          </w:p>
        </w:tc>
        <w:tc>
          <w:tcPr>
            <w:tcW w:w="1124" w:type="dxa"/>
            <w:tcBorders>
              <w:top w:val="single" w:sz="4" w:space="0" w:color="000000"/>
              <w:left w:val="single" w:sz="4" w:space="0" w:color="000000"/>
              <w:bottom w:val="nil" w:sz="6" w:space="0" w:color="auto"/>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行业拥有广泛的市场基础外，在电</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信运营商、银行、政府、军警、旅</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游、卫生等其他领域也有众多客户</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目前，公司拥有直接用户超过</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3,000</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余家、年发卡量已超过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万张，</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直接用户数量和持卡人数居行业前</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6"/>
                <w:sz w:val="18"/>
                <w:szCs w:val="18"/>
              </w:rPr>
              <w:t>列，客户遍布国内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多个省市。综</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上所述，公司募集资金投资项目与</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现有业务的关系密切，并已具备了</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实施募集资金投资项目的人员、技</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术</w:t>
            </w:r>
            <w:r>
              <w:rPr>
                <w:rFonts w:ascii="宋体" w:hAnsi="宋体" w:cs="宋体" w:eastAsia="宋体" w:hint="default"/>
                <w:spacing w:val="-25"/>
                <w:w w:val="101"/>
                <w:sz w:val="18"/>
                <w:szCs w:val="18"/>
              </w:rPr>
              <w:t>、</w:t>
            </w:r>
            <w:r>
              <w:rPr>
                <w:rFonts w:ascii="宋体" w:hAnsi="宋体" w:cs="宋体" w:eastAsia="宋体" w:hint="default"/>
                <w:w w:val="101"/>
                <w:sz w:val="18"/>
                <w:szCs w:val="18"/>
              </w:rPr>
              <w:t>市</w:t>
            </w:r>
            <w:r>
              <w:rPr>
                <w:rFonts w:ascii="宋体" w:hAnsi="宋体" w:cs="宋体" w:eastAsia="宋体" w:hint="default"/>
                <w:spacing w:val="-5"/>
                <w:w w:val="101"/>
                <w:sz w:val="18"/>
                <w:szCs w:val="18"/>
              </w:rPr>
              <w:t>场</w:t>
            </w:r>
            <w:r>
              <w:rPr>
                <w:rFonts w:ascii="宋体" w:hAnsi="宋体" w:cs="宋体" w:eastAsia="宋体" w:hint="default"/>
                <w:w w:val="101"/>
                <w:sz w:val="18"/>
                <w:szCs w:val="18"/>
              </w:rPr>
              <w:t>等</w:t>
            </w:r>
            <w:r>
              <w:rPr>
                <w:rFonts w:ascii="宋体" w:hAnsi="宋体" w:cs="宋体" w:eastAsia="宋体" w:hint="default"/>
                <w:spacing w:val="-5"/>
                <w:w w:val="101"/>
                <w:sz w:val="18"/>
                <w:szCs w:val="18"/>
              </w:rPr>
              <w:t>方</w:t>
            </w:r>
            <w:r>
              <w:rPr>
                <w:rFonts w:ascii="宋体" w:hAnsi="宋体" w:cs="宋体" w:eastAsia="宋体" w:hint="default"/>
                <w:w w:val="101"/>
                <w:sz w:val="18"/>
                <w:szCs w:val="18"/>
              </w:rPr>
              <w:t>面</w:t>
            </w:r>
            <w:r>
              <w:rPr>
                <w:rFonts w:ascii="宋体" w:hAnsi="宋体" w:cs="宋体" w:eastAsia="宋体" w:hint="default"/>
                <w:spacing w:val="-5"/>
                <w:w w:val="101"/>
                <w:sz w:val="18"/>
                <w:szCs w:val="18"/>
              </w:rPr>
              <w:t>储</w:t>
            </w:r>
            <w:r>
              <w:rPr>
                <w:rFonts w:ascii="宋体" w:hAnsi="宋体" w:cs="宋体" w:eastAsia="宋体" w:hint="default"/>
                <w:w w:val="101"/>
                <w:sz w:val="18"/>
                <w:szCs w:val="18"/>
              </w:rPr>
              <w:t>备</w:t>
            </w:r>
            <w:r>
              <w:rPr>
                <w:rFonts w:ascii="宋体" w:hAnsi="宋体" w:cs="宋体" w:eastAsia="宋体" w:hint="default"/>
                <w:spacing w:val="-11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四</w:t>
            </w:r>
            <w:r>
              <w:rPr>
                <w:rFonts w:ascii="宋体" w:hAnsi="宋体" w:cs="宋体" w:eastAsia="宋体" w:hint="default"/>
                <w:spacing w:val="-20"/>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司应</w:t>
            </w:r>
            <w:r>
              <w:rPr>
                <w:rFonts w:ascii="宋体" w:hAnsi="宋体" w:cs="宋体" w:eastAsia="宋体" w:hint="default"/>
                <w:sz w:val="18"/>
                <w:szCs w:val="18"/>
              </w:rPr>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对本次公开发行摊薄即期回报采取</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的措施本次发行后的募集资金到位</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当年，公司预计即期回报将会摊薄</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根据《国务院办公厅关于进一步加</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强资本市场中小投资者合法权益保</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护</w:t>
            </w:r>
            <w:r>
              <w:rPr>
                <w:rFonts w:ascii="宋体" w:hAnsi="宋体" w:cs="宋体" w:eastAsia="宋体" w:hint="default"/>
                <w:spacing w:val="-5"/>
                <w:w w:val="101"/>
                <w:sz w:val="18"/>
                <w:szCs w:val="18"/>
              </w:rPr>
              <w:t>工</w:t>
            </w:r>
            <w:r>
              <w:rPr>
                <w:rFonts w:ascii="宋体" w:hAnsi="宋体" w:cs="宋体" w:eastAsia="宋体" w:hint="default"/>
                <w:w w:val="101"/>
                <w:sz w:val="18"/>
                <w:szCs w:val="18"/>
              </w:rPr>
              <w:t>作</w:t>
            </w:r>
            <w:r>
              <w:rPr>
                <w:rFonts w:ascii="宋体" w:hAnsi="宋体" w:cs="宋体" w:eastAsia="宋体" w:hint="default"/>
                <w:spacing w:val="-5"/>
                <w:w w:val="101"/>
                <w:sz w:val="18"/>
                <w:szCs w:val="18"/>
              </w:rPr>
              <w:t>的</w:t>
            </w:r>
            <w:r>
              <w:rPr>
                <w:rFonts w:ascii="宋体" w:hAnsi="宋体" w:cs="宋体" w:eastAsia="宋体" w:hint="default"/>
                <w:w w:val="101"/>
                <w:sz w:val="18"/>
                <w:szCs w:val="18"/>
              </w:rPr>
              <w:t>意见</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国</w:t>
            </w:r>
            <w:r>
              <w:rPr>
                <w:rFonts w:ascii="宋体" w:hAnsi="宋体" w:cs="宋体" w:eastAsia="宋体" w:hint="default"/>
                <w:w w:val="101"/>
                <w:sz w:val="18"/>
                <w:szCs w:val="18"/>
              </w:rPr>
              <w:t>办发</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13</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11</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z w:val="18"/>
                <w:szCs w:val="18"/>
              </w:rPr>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号）及《关于首发及再融资、重大</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资产重组摊薄即期回报有关事项的</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指</w:t>
            </w:r>
            <w:r>
              <w:rPr>
                <w:rFonts w:ascii="宋体" w:hAnsi="宋体" w:cs="宋体" w:eastAsia="宋体" w:hint="default"/>
                <w:spacing w:val="-5"/>
                <w:w w:val="101"/>
                <w:sz w:val="18"/>
                <w:szCs w:val="18"/>
              </w:rPr>
              <w:t>导</w:t>
            </w:r>
            <w:r>
              <w:rPr>
                <w:rFonts w:ascii="宋体" w:hAnsi="宋体" w:cs="宋体" w:eastAsia="宋体" w:hint="default"/>
                <w:w w:val="101"/>
                <w:sz w:val="18"/>
                <w:szCs w:val="18"/>
              </w:rPr>
              <w:t>意见</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监</w:t>
            </w:r>
            <w:r>
              <w:rPr>
                <w:rFonts w:ascii="宋体" w:hAnsi="宋体" w:cs="宋体" w:eastAsia="宋体" w:hint="default"/>
                <w:spacing w:val="-5"/>
                <w:w w:val="101"/>
                <w:sz w:val="18"/>
                <w:szCs w:val="18"/>
              </w:rPr>
              <w:t>会</w:t>
            </w:r>
            <w:r>
              <w:rPr>
                <w:rFonts w:ascii="宋体" w:hAnsi="宋体" w:cs="宋体" w:eastAsia="宋体" w:hint="default"/>
                <w:w w:val="101"/>
                <w:sz w:val="18"/>
                <w:szCs w:val="18"/>
              </w:rPr>
              <w:t>公告</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z w:val="18"/>
                <w:szCs w:val="18"/>
              </w:rPr>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号）的要求，公司拟通过加快本次</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公开发行募集资金投资项目的实</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施，促进完善公司各板块业务发展</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强化风险控制等方面提升公司核心</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竞争力，降低摊薄影响，填补回报</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公司制定的主要具体措施如下：</w:t>
            </w:r>
            <w:r>
              <w:rPr>
                <w:rFonts w:ascii="Times New Roman" w:hAnsi="Times New Roman" w:cs="Times New Roman" w:eastAsia="Times New Roman" w:hint="default"/>
                <w:sz w:val="18"/>
                <w:szCs w:val="18"/>
              </w:rPr>
              <w:t>1</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5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公司在国内校园一卡通行业中处于</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前列，其中直接服务用户数、可控</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持卡人数和部分区域用户密集度都</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处于相对领先地位。在现有产品应</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用领域，公司将利用当前坚实的客</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户基础，不断深入了解和引导客户</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需求，将公司最新研究成果和创新</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应用于客户服务方案，争取更大的</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市场份额，拓展行业应用；同时，</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公司也将加强新产品和新技术的研</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发力度，围绕智能一卡通产业应用</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的各个领域，寻找新的产品方案与</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业务增长点，巩固现有品牌和优势</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增强公司市场竞争力，提升公司盈</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6"/>
                <w:sz w:val="18"/>
                <w:szCs w:val="18"/>
              </w:rPr>
              <w:t>利能力。</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、公司运行中将持续伴随</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27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7"/>
                <w:sz w:val="18"/>
                <w:szCs w:val="18"/>
              </w:rPr>
              <w:t>各类既有的经营、行业、财务风险</w:t>
            </w:r>
          </w:p>
        </w:tc>
        <w:tc>
          <w:tcPr>
            <w:tcW w:w="1124"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8"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728"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27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同时也将面临宏观微观经济环境变</w:t>
            </w:r>
          </w:p>
        </w:tc>
        <w:tc>
          <w:tcPr>
            <w:tcW w:w="1124" w:type="dxa"/>
            <w:tcBorders>
              <w:top w:val="nil" w:sz="6" w:space="0" w:color="auto"/>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r>
        <w:rPr/>
        <w:pict>
          <v:shape style="position:absolute;margin-left:395.157776pt;margin-top:72.505981pt;width:62pt;height:686.6pt;mso-position-horizontal-relative:page;mso-position-vertical-relative:page;z-index:-1182904" type="#_x0000_t202" filled="false" stroked="false">
            <v:textbox inset="0,0,0,0">
              <w:txbxContent>
                <w:p>
                  <w:pPr>
                    <w:spacing w:line="240" w:lineRule="auto" w:before="8"/>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26.4pt;margin-top:71.779976pt;width:542.65pt;height:688.05pt;mso-position-horizontal-relative:page;mso-position-vertical-relative:page;z-index:-1182880" coordorigin="528,1436" coordsize="10853,13761">
            <v:group style="position:absolute;left:542;top:1450;width:1835;height:13732" coordorigin="542,1450" coordsize="1835,13732">
              <v:shape style="position:absolute;left:542;top:1450;width:1835;height:13732" coordorigin="542,1450" coordsize="1835,13732" path="m542,15182l2377,15182,2377,1450,542,1450,542,15182xe" filled="true" fillcolor="#d2d2d2" stroked="false">
                <v:path arrowok="t"/>
                <v:fill type="solid"/>
              </v:shape>
            </v:group>
            <v:group style="position:absolute;left:538;top:1445;width:1835;height:2" coordorigin="538,1445" coordsize="1835,2">
              <v:shape style="position:absolute;left:538;top:1445;width:1835;height:2" coordorigin="538,1445" coordsize="1835,0" path="m538,1445l2372,1445e" filled="false" stroked="true" strokeweight=".48pt" strokecolor="#000000">
                <v:path arrowok="t"/>
              </v:shape>
            </v:group>
            <v:group style="position:absolute;left:2382;top:1445;width:1719;height:2" coordorigin="2382,1445" coordsize="1719,2">
              <v:shape style="position:absolute;left:2382;top:1445;width:1719;height:2" coordorigin="2382,1445" coordsize="1719,0" path="m2382,1445l4101,1445e" filled="false" stroked="true" strokeweight=".48pt" strokecolor="#000000">
                <v:path arrowok="t"/>
              </v:shape>
            </v:group>
            <v:group style="position:absolute;left:4110;top:1445;width:1115;height:2" coordorigin="4110,1445" coordsize="1115,2">
              <v:shape style="position:absolute;left:4110;top:1445;width:1115;height:2" coordorigin="4110,1445" coordsize="1115,0" path="m4110,1445l5224,1445e" filled="false" stroked="true" strokeweight=".48pt" strokecolor="#000000">
                <v:path arrowok="t"/>
              </v:shape>
            </v:group>
            <v:group style="position:absolute;left:8024;top:1450;width:1119;height:13732" coordorigin="8024,1450" coordsize="1119,13732">
              <v:shape style="position:absolute;left:8024;top:1450;width:1119;height:13732" coordorigin="8024,1450" coordsize="1119,13732" path="m8024,15182l9142,15182,9142,1450,8024,1450,8024,15182xe" filled="true" fillcolor="#ffffff" stroked="false">
                <v:path arrowok="t"/>
                <v:fill type="solid"/>
              </v:shape>
            </v:group>
            <v:group style="position:absolute;left:5234;top:1445;width:2781;height:2" coordorigin="5234,1445" coordsize="2781,2">
              <v:shape style="position:absolute;left:5234;top:1445;width:2781;height:2" coordorigin="5234,1445" coordsize="2781,0" path="m5234,1445l8014,1445e" filled="false" stroked="true" strokeweight=".48pt" strokecolor="#000000">
                <v:path arrowok="t"/>
              </v:shape>
            </v:group>
            <v:group style="position:absolute;left:8024;top:1445;width:1115;height:2" coordorigin="8024,1445" coordsize="1115,2">
              <v:shape style="position:absolute;left:8024;top:1445;width:1115;height:2" coordorigin="8024,1445" coordsize="1115,0" path="m8024,1445l9138,1445e" filled="false" stroked="true" strokeweight=".48pt" strokecolor="#000000">
                <v:path arrowok="t"/>
              </v:shape>
            </v:group>
            <v:group style="position:absolute;left:9147;top:1445;width:1115;height:2" coordorigin="9147,1445" coordsize="1115,2">
              <v:shape style="position:absolute;left:9147;top:1445;width:1115;height:2" coordorigin="9147,1445" coordsize="1115,0" path="m9147,1445l10261,1445e" filled="false" stroked="true" strokeweight=".48pt" strokecolor="#000000">
                <v:path arrowok="t"/>
              </v:shape>
            </v:group>
            <v:group style="position:absolute;left:10271;top:1445;width:1100;height:2" coordorigin="10271,1445" coordsize="1100,2">
              <v:shape style="position:absolute;left:10271;top:1445;width:1100;height:2" coordorigin="10271,1445" coordsize="1100,0" path="m10271,1445l11371,1445e" filled="false" stroked="true" strokeweight=".48pt" strokecolor="#000000">
                <v:path arrowok="t"/>
              </v:shape>
            </v:group>
            <v:group style="position:absolute;left:533;top:1440;width:2;height:13752" coordorigin="533,1440" coordsize="2,13752">
              <v:shape style="position:absolute;left:533;top:1440;width:2;height:13752" coordorigin="533,1440" coordsize="0,13752" path="m533,1440l533,15192e" filled="false" stroked="true" strokeweight=".48pt" strokecolor="#000000">
                <v:path arrowok="t"/>
              </v:shape>
            </v:group>
            <v:group style="position:absolute;left:538;top:15187;width:1835;height:2" coordorigin="538,15187" coordsize="1835,2">
              <v:shape style="position:absolute;left:538;top:15187;width:1835;height:2" coordorigin="538,15187" coordsize="1835,0" path="m538,15187l2372,15187e" filled="false" stroked="true" strokeweight=".47998pt" strokecolor="#000000">
                <v:path arrowok="t"/>
              </v:shape>
            </v:group>
            <v:group style="position:absolute;left:2377;top:1440;width:2;height:13752" coordorigin="2377,1440" coordsize="2,13752">
              <v:shape style="position:absolute;left:2377;top:1440;width:2;height:13752" coordorigin="2377,1440" coordsize="0,13752" path="m2377,1440l2377,15192e" filled="false" stroked="true" strokeweight=".48pt" strokecolor="#000000">
                <v:path arrowok="t"/>
              </v:shape>
            </v:group>
            <v:group style="position:absolute;left:2382;top:15187;width:1719;height:2" coordorigin="2382,15187" coordsize="1719,2">
              <v:shape style="position:absolute;left:2382;top:15187;width:1719;height:2" coordorigin="2382,15187" coordsize="1719,0" path="m2382,15187l4101,15187e" filled="false" stroked="true" strokeweight=".47998pt" strokecolor="#000000">
                <v:path arrowok="t"/>
              </v:shape>
            </v:group>
            <v:group style="position:absolute;left:4105;top:1440;width:2;height:13752" coordorigin="4105,1440" coordsize="2,13752">
              <v:shape style="position:absolute;left:4105;top:1440;width:2;height:13752" coordorigin="4105,1440" coordsize="0,13752" path="m4105,1440l4105,15192e" filled="false" stroked="true" strokeweight=".48001pt" strokecolor="#000000">
                <v:path arrowok="t"/>
              </v:shape>
            </v:group>
            <v:group style="position:absolute;left:4110;top:15187;width:1115;height:2" coordorigin="4110,15187" coordsize="1115,2">
              <v:shape style="position:absolute;left:4110;top:15187;width:1115;height:2" coordorigin="4110,15187" coordsize="1115,0" path="m4110,15187l5224,15187e" filled="false" stroked="true" strokeweight=".47998pt" strokecolor="#000000">
                <v:path arrowok="t"/>
              </v:shape>
            </v:group>
            <v:group style="position:absolute;left:5229;top:1440;width:2;height:13752" coordorigin="5229,1440" coordsize="2,13752">
              <v:shape style="position:absolute;left:5229;top:1440;width:2;height:13752" coordorigin="5229,1440" coordsize="0,13752" path="m5229,1440l5229,15192e" filled="false" stroked="true" strokeweight=".48001pt" strokecolor="#000000">
                <v:path arrowok="t"/>
              </v:shape>
            </v:group>
            <v:group style="position:absolute;left:5234;top:15187;width:2781;height:2" coordorigin="5234,15187" coordsize="2781,2">
              <v:shape style="position:absolute;left:5234;top:15187;width:2781;height:2" coordorigin="5234,15187" coordsize="2781,0" path="m5234,15187l8014,15187e" filled="false" stroked="true" strokeweight=".47998pt" strokecolor="#000000">
                <v:path arrowok="t"/>
              </v:shape>
            </v:group>
            <v:group style="position:absolute;left:8019;top:1440;width:2;height:13752" coordorigin="8019,1440" coordsize="2,13752">
              <v:shape style="position:absolute;left:8019;top:1440;width:2;height:13752" coordorigin="8019,1440" coordsize="0,13752" path="m8019,1440l8019,15192e" filled="false" stroked="true" strokeweight=".47998pt" strokecolor="#000000">
                <v:path arrowok="t"/>
              </v:shape>
            </v:group>
            <v:group style="position:absolute;left:8024;top:15187;width:1115;height:2" coordorigin="8024,15187" coordsize="1115,2">
              <v:shape style="position:absolute;left:8024;top:15187;width:1115;height:2" coordorigin="8024,15187" coordsize="1115,0" path="m8024,15187l9138,15187e" filled="false" stroked="true" strokeweight=".47998pt" strokecolor="#000000">
                <v:path arrowok="t"/>
              </v:shape>
            </v:group>
            <v:group style="position:absolute;left:9143;top:1440;width:2;height:13752" coordorigin="9143,1440" coordsize="2,13752">
              <v:shape style="position:absolute;left:9143;top:1440;width:2;height:13752" coordorigin="9143,1440" coordsize="0,13752" path="m9143,1440l9143,15192e" filled="false" stroked="true" strokeweight=".48001pt" strokecolor="#000000">
                <v:path arrowok="t"/>
              </v:shape>
            </v:group>
            <v:group style="position:absolute;left:9147;top:15187;width:1115;height:2" coordorigin="9147,15187" coordsize="1115,2">
              <v:shape style="position:absolute;left:9147;top:15187;width:1115;height:2" coordorigin="9147,15187" coordsize="1115,0" path="m9147,15187l10261,15187e" filled="false" stroked="true" strokeweight=".47998pt" strokecolor="#000000">
                <v:path arrowok="t"/>
              </v:shape>
            </v:group>
            <v:group style="position:absolute;left:10266;top:1440;width:2;height:13752" coordorigin="10266,1440" coordsize="2,13752">
              <v:shape style="position:absolute;left:10266;top:1440;width:2;height:13752" coordorigin="10266,1440" coordsize="0,13752" path="m10266,1440l10266,15192e" filled="false" stroked="true" strokeweight=".47998pt" strokecolor="#000000">
                <v:path arrowok="t"/>
              </v:shape>
            </v:group>
            <v:group style="position:absolute;left:10271;top:15187;width:1100;height:2" coordorigin="10271,15187" coordsize="1100,2">
              <v:shape style="position:absolute;left:10271;top:15187;width:1100;height:2" coordorigin="10271,15187" coordsize="1100,0" path="m10271,15187l11371,15187e" filled="false" stroked="true" strokeweight=".47998pt" strokecolor="#000000">
                <v:path arrowok="t"/>
              </v:shape>
            </v:group>
            <v:group style="position:absolute;left:11376;top:1440;width:2;height:13752" coordorigin="11376,1440" coordsize="2,13752">
              <v:shape style="position:absolute;left:11376;top:1440;width:2;height:13752" coordorigin="11376,1440" coordsize="0,13752" path="m11376,1440l11376,15192e" filled="false" stroked="true" strokeweight=".47998pt" strokecolor="#000000">
                <v:path arrowok="t"/>
              </v:shape>
            </v:group>
            <w10:wrap type="none"/>
          </v:group>
        </w:pict>
      </w:r>
    </w:p>
    <w:p>
      <w:pPr>
        <w:spacing w:line="240" w:lineRule="auto" w:before="6"/>
        <w:rPr>
          <w:rFonts w:ascii="Times New Roman" w:hAnsi="Times New Roman" w:cs="Times New Roman" w:eastAsia="Times New Roman" w:hint="default"/>
          <w:sz w:val="14"/>
          <w:szCs w:val="14"/>
        </w:rPr>
      </w:pPr>
    </w:p>
    <w:p>
      <w:pPr>
        <w:spacing w:line="314" w:lineRule="auto" w:before="0"/>
        <w:ind w:left="4837" w:right="3836" w:firstLine="0"/>
        <w:jc w:val="left"/>
        <w:rPr>
          <w:rFonts w:ascii="宋体" w:hAnsi="宋体" w:cs="宋体" w:eastAsia="宋体" w:hint="default"/>
          <w:sz w:val="18"/>
          <w:szCs w:val="18"/>
        </w:rPr>
      </w:pPr>
      <w:r>
        <w:rPr>
          <w:rFonts w:ascii="宋体" w:hAnsi="宋体" w:cs="宋体" w:eastAsia="宋体" w:hint="default"/>
          <w:spacing w:val="-3"/>
          <w:sz w:val="18"/>
          <w:szCs w:val="18"/>
        </w:rPr>
        <w:t>化带来的新风险，公司将持续强化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sz w:val="18"/>
          <w:szCs w:val="18"/>
        </w:rPr>
        <w:t>风险意识与能力，不断发现、改进</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控制公司业务经营的相关风险。</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40"/>
          <w:sz w:val="18"/>
          <w:szCs w:val="18"/>
        </w:rPr>
        <w:t> </w:t>
      </w:r>
      <w:r>
        <w:rPr>
          <w:rFonts w:ascii="宋体" w:hAnsi="宋体" w:cs="宋体" w:eastAsia="宋体" w:hint="default"/>
          <w:spacing w:val="-3"/>
          <w:sz w:val="18"/>
          <w:szCs w:val="18"/>
        </w:rPr>
        <w:t>本次募集资金使用紧密围绕公司主</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营业务进行，符合公司未来发展战</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略，有利于公司提高公司持续盈利</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能力。公司将根据相关法律法规和</w:t>
      </w:r>
    </w:p>
    <w:p>
      <w:pPr>
        <w:spacing w:line="316" w:lineRule="auto" w:before="20"/>
        <w:ind w:left="4837" w:right="3836" w:firstLine="0"/>
        <w:jc w:val="left"/>
        <w:rPr>
          <w:rFonts w:ascii="宋体" w:hAnsi="宋体" w:cs="宋体" w:eastAsia="宋体" w:hint="default"/>
          <w:sz w:val="18"/>
          <w:szCs w:val="18"/>
        </w:rPr>
      </w:pPr>
      <w:r>
        <w:rPr>
          <w:rFonts w:ascii="宋体" w:hAnsi="宋体" w:cs="宋体" w:eastAsia="宋体" w:hint="default"/>
          <w:spacing w:val="-3"/>
          <w:sz w:val="18"/>
          <w:szCs w:val="18"/>
        </w:rPr>
        <w:t>《募集资金管理办法》的要求，严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格管理募集资金使用，保证募集资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金按照原定用途得到充分有效利</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用。</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、公司将不断健全研发机构，</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增强技术力量，完善创新体系，建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立符合企业实际的人才管理和激励</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制度。今后本公司将继续完善以智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慧一卡通网络研发设计为主体的创</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新体系，维持较高的研发投入，大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力进行新服务、新技术的开发与创</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2"/>
          <w:w w:val="101"/>
          <w:sz w:val="18"/>
          <w:szCs w:val="18"/>
        </w:rPr>
        <w:t>新。</w:t>
      </w:r>
      <w:r>
        <w:rPr>
          <w:rFonts w:ascii="Times New Roman" w:hAnsi="Times New Roman" w:cs="Times New Roman" w:eastAsia="Times New Roman" w:hint="default"/>
          <w:spacing w:val="-12"/>
          <w:w w:val="101"/>
          <w:sz w:val="18"/>
          <w:szCs w:val="18"/>
        </w:rPr>
        <w:t>5</w:t>
      </w:r>
      <w:r>
        <w:rPr>
          <w:rFonts w:ascii="宋体" w:hAnsi="宋体" w:cs="宋体" w:eastAsia="宋体" w:hint="default"/>
          <w:spacing w:val="-12"/>
          <w:w w:val="101"/>
          <w:sz w:val="18"/>
          <w:szCs w:val="18"/>
        </w:rPr>
        <w:t>、公司未来将根据中国证监会</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证券交易所等监管机构出台的具体</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细则及要求，并参照上市公司较为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通行的惯例，继续补充、修订、完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善公司投资者权益保护的各项制度</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2"/>
          <w:w w:val="101"/>
          <w:sz w:val="18"/>
          <w:szCs w:val="18"/>
        </w:rPr>
        <w:t>并予以实施。（五）关于保障中小投</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资者合法利益的承诺本次公开发行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完成后，公司即期收益存在被摊薄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的风险，为保护中小投资者合法权</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益，公司做出如下承诺：未来将根</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据中国证监会、证券交易所等监管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机构出台的具体细则及要求，并参</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照上市公司较为通行的惯例，积极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落实《关于进一步加强资本市场中</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小投资者合法权益保护工作的意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10"/>
          <w:w w:val="101"/>
          <w:sz w:val="18"/>
          <w:szCs w:val="18"/>
        </w:rPr>
        <w:t>见》（国办发</w:t>
      </w:r>
      <w:r>
        <w:rPr>
          <w:rFonts w:ascii="Times New Roman" w:hAnsi="Times New Roman" w:cs="Times New Roman" w:eastAsia="Times New Roman" w:hint="default"/>
          <w:spacing w:val="-10"/>
          <w:w w:val="101"/>
          <w:sz w:val="18"/>
          <w:szCs w:val="18"/>
        </w:rPr>
        <w:t>[2013]110</w:t>
      </w:r>
      <w:r>
        <w:rPr>
          <w:rFonts w:ascii="Times New Roman" w:hAnsi="Times New Roman" w:cs="Times New Roman" w:eastAsia="Times New Roman" w:hint="default"/>
          <w:w w:val="101"/>
          <w:sz w:val="18"/>
          <w:szCs w:val="18"/>
        </w:rPr>
        <w:t> </w:t>
      </w:r>
      <w:r>
        <w:rPr>
          <w:rFonts w:ascii="宋体" w:hAnsi="宋体" w:cs="宋体" w:eastAsia="宋体" w:hint="default"/>
          <w:spacing w:val="-6"/>
          <w:w w:val="101"/>
          <w:sz w:val="18"/>
          <w:szCs w:val="18"/>
        </w:rPr>
        <w:t>号）的内容</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3"/>
          <w:sz w:val="18"/>
          <w:szCs w:val="18"/>
        </w:rPr>
        <w:t>继续补充、修订、完善公司投资者</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权益保护的各项制度并予以实施。</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公司的控股股东、实际控制人作出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如下承诺：不得越权干预公司经营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管理活动，不得侵占公司利益。公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司的董事、高级管理人员将忠实、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勤勉地履行职责，维护公司和全体</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股东的合法权益，尽最大努力确保</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公司签署填补回报措施能够得到切</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实履行，并就此作出如下承诺：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40"/>
          <w:sz w:val="18"/>
          <w:szCs w:val="18"/>
        </w:rPr>
        <w:t> </w:t>
      </w:r>
      <w:r>
        <w:rPr>
          <w:rFonts w:ascii="宋体" w:hAnsi="宋体" w:cs="宋体" w:eastAsia="宋体" w:hint="default"/>
          <w:spacing w:val="-3"/>
          <w:sz w:val="18"/>
          <w:szCs w:val="18"/>
        </w:rPr>
        <w:t>承诺不无偿或以不公平条件向其他</w:t>
      </w:r>
    </w:p>
    <w:p>
      <w:pPr>
        <w:spacing w:after="0" w:line="316" w:lineRule="auto"/>
        <w:jc w:val="left"/>
        <w:rPr>
          <w:rFonts w:ascii="宋体" w:hAnsi="宋体" w:cs="宋体" w:eastAsia="宋体" w:hint="default"/>
          <w:sz w:val="18"/>
          <w:szCs w:val="18"/>
        </w:rPr>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42"/>
        <w:gridCol w:w="1728"/>
        <w:gridCol w:w="1124"/>
        <w:gridCol w:w="2790"/>
        <w:gridCol w:w="1124"/>
        <w:gridCol w:w="1124"/>
        <w:gridCol w:w="1109"/>
      </w:tblGrid>
      <w:tr>
        <w:trPr>
          <w:trHeight w:val="3481"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17"/>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单位或者个人输送利益，也不采用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6"/>
                <w:sz w:val="18"/>
                <w:szCs w:val="18"/>
              </w:rPr>
              <w:t>其他方式损害公司利益。</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、承诺对</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董事和高级管理人员的职务消费行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6"/>
                <w:sz w:val="18"/>
                <w:szCs w:val="18"/>
              </w:rPr>
              <w:t>为进行约束。</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、承诺不动用公司资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产从事与其履行职责无关的投资、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6"/>
                <w:sz w:val="18"/>
                <w:szCs w:val="18"/>
              </w:rPr>
              <w:t>消费活动。</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、承诺由董事会或薪酬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委员会制定的薪酬制度与公司填补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8"/>
                <w:sz w:val="18"/>
                <w:szCs w:val="18"/>
              </w:rPr>
              <w:t>回报措施的执行情况相挂钩。</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、承</w:t>
            </w:r>
            <w:r>
              <w:rPr>
                <w:rFonts w:ascii="宋体" w:hAnsi="宋体" w:cs="宋体" w:eastAsia="宋体" w:hint="default"/>
                <w:spacing w:val="-47"/>
                <w:sz w:val="18"/>
                <w:szCs w:val="18"/>
              </w:rPr>
              <w:t> </w:t>
            </w:r>
            <w:r>
              <w:rPr>
                <w:rFonts w:ascii="宋体" w:hAnsi="宋体" w:cs="宋体" w:eastAsia="宋体" w:hint="default"/>
                <w:spacing w:val="-3"/>
                <w:sz w:val="18"/>
                <w:szCs w:val="18"/>
              </w:rPr>
              <w:t>诺未来拟实施的公司股权激励的行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权条件与公司填补回报措施的执行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情况相挂钩。</w:t>
            </w:r>
            <w:r>
              <w:rPr>
                <w:rFonts w:ascii="Times New Roman" w:hAnsi="Times New Roman" w:cs="Times New Roman" w:eastAsia="Times New Roman" w:hint="default"/>
                <w:sz w:val="18"/>
                <w:szCs w:val="18"/>
              </w:rPr>
              <w:t>"</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454"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8"/>
                <w:sz w:val="18"/>
              </w:rPr>
              <w:t>JAY </w:t>
            </w:r>
            <w:r>
              <w:rPr>
                <w:rFonts w:ascii="Times New Roman"/>
                <w:sz w:val="18"/>
              </w:rPr>
              <w:t>TSAI</w:t>
            </w:r>
            <w:r>
              <w:rPr>
                <w:rFonts w:ascii="Times New Roman"/>
                <w:spacing w:val="10"/>
                <w:sz w:val="18"/>
              </w:rPr>
              <w:t> </w:t>
            </w:r>
            <w:r>
              <w:rPr>
                <w:rFonts w:ascii="Times New Roman"/>
                <w:spacing w:val="-3"/>
                <w:sz w:val="18"/>
              </w:rPr>
              <w:t>CHIEN</w:t>
            </w:r>
          </w:p>
          <w:p>
            <w:pPr>
              <w:pStyle w:val="TableParagraph"/>
              <w:spacing w:line="307" w:lineRule="auto" w:before="58"/>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CHOU;</w:t>
            </w:r>
            <w:r>
              <w:rPr>
                <w:rFonts w:ascii="宋体" w:hAnsi="宋体" w:cs="宋体" w:eastAsia="宋体" w:hint="default"/>
                <w:sz w:val="18"/>
                <w:szCs w:val="18"/>
              </w:rPr>
              <w:t>博信优选（天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津）股权投资基金合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伙企业（有限合伙）</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陈坚</w:t>
            </w:r>
            <w:r>
              <w:rPr>
                <w:rFonts w:ascii="Times New Roman" w:hAnsi="Times New Roman" w:cs="Times New Roman" w:eastAsia="Times New Roman" w:hint="default"/>
                <w:sz w:val="18"/>
                <w:szCs w:val="18"/>
              </w:rPr>
              <w:t>;</w:t>
            </w:r>
            <w:r>
              <w:rPr>
                <w:rFonts w:ascii="宋体" w:hAnsi="宋体" w:cs="宋体" w:eastAsia="宋体" w:hint="default"/>
                <w:sz w:val="18"/>
                <w:szCs w:val="18"/>
              </w:rPr>
              <w:t>陈英</w:t>
            </w:r>
            <w:r>
              <w:rPr>
                <w:rFonts w:ascii="Times New Roman" w:hAnsi="Times New Roman" w:cs="Times New Roman" w:eastAsia="Times New Roman" w:hint="default"/>
                <w:sz w:val="18"/>
                <w:szCs w:val="18"/>
              </w:rPr>
              <w:t>;</w:t>
            </w:r>
            <w:r>
              <w:rPr>
                <w:rFonts w:ascii="宋体" w:hAnsi="宋体" w:cs="宋体" w:eastAsia="宋体" w:hint="default"/>
                <w:sz w:val="18"/>
                <w:szCs w:val="18"/>
              </w:rPr>
              <w:t>杭州易康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投资管理有限公司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杭州正浩投资管理有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杭州正元企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业管理咨询有限公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黄金明</w:t>
            </w:r>
            <w:r>
              <w:rPr>
                <w:rFonts w:ascii="Times New Roman" w:hAnsi="Times New Roman" w:cs="Times New Roman" w:eastAsia="Times New Roman" w:hint="default"/>
                <w:sz w:val="18"/>
                <w:szCs w:val="18"/>
              </w:rPr>
              <w:t>;</w:t>
            </w:r>
            <w:r>
              <w:rPr>
                <w:rFonts w:ascii="宋体" w:hAnsi="宋体" w:cs="宋体" w:eastAsia="宋体" w:hint="default"/>
                <w:sz w:val="18"/>
                <w:szCs w:val="18"/>
              </w:rPr>
              <w:t>陆卫明</w:t>
            </w:r>
            <w:r>
              <w:rPr>
                <w:rFonts w:ascii="Times New Roman" w:hAnsi="Times New Roman" w:cs="Times New Roman" w:eastAsia="Times New Roman" w:hint="default"/>
                <w:sz w:val="18"/>
                <w:szCs w:val="18"/>
              </w:rPr>
              <w:t>;</w:t>
            </w:r>
            <w:r>
              <w:rPr>
                <w:rFonts w:ascii="宋体" w:hAnsi="宋体" w:cs="宋体" w:eastAsia="宋体" w:hint="default"/>
                <w:sz w:val="18"/>
                <w:szCs w:val="18"/>
              </w:rPr>
              <w:t>潘</w:t>
            </w:r>
            <w:r>
              <w:rPr>
                <w:rFonts w:ascii="宋体" w:hAnsi="宋体" w:cs="宋体" w:eastAsia="宋体" w:hint="default"/>
                <w:w w:val="101"/>
                <w:sz w:val="18"/>
                <w:szCs w:val="18"/>
              </w:rPr>
              <w:t> </w:t>
            </w:r>
            <w:r>
              <w:rPr>
                <w:rFonts w:ascii="宋体" w:hAnsi="宋体" w:cs="宋体" w:eastAsia="宋体" w:hint="default"/>
                <w:sz w:val="18"/>
                <w:szCs w:val="18"/>
              </w:rPr>
              <w:t>利华</w:t>
            </w:r>
            <w:r>
              <w:rPr>
                <w:rFonts w:ascii="Times New Roman" w:hAnsi="Times New Roman" w:cs="Times New Roman" w:eastAsia="Times New Roman" w:hint="default"/>
                <w:sz w:val="18"/>
                <w:szCs w:val="18"/>
              </w:rPr>
              <w:t>;</w:t>
            </w:r>
            <w:r>
              <w:rPr>
                <w:rFonts w:ascii="宋体" w:hAnsi="宋体" w:cs="宋体" w:eastAsia="宋体" w:hint="default"/>
                <w:sz w:val="18"/>
                <w:szCs w:val="18"/>
              </w:rPr>
              <w:t>童本立</w:t>
            </w:r>
            <w:r>
              <w:rPr>
                <w:rFonts w:ascii="Times New Roman" w:hAnsi="Times New Roman" w:cs="Times New Roman" w:eastAsia="Times New Roman" w:hint="default"/>
                <w:sz w:val="18"/>
                <w:szCs w:val="18"/>
              </w:rPr>
              <w:t>;</w:t>
            </w:r>
            <w:r>
              <w:rPr>
                <w:rFonts w:ascii="宋体" w:hAnsi="宋体" w:cs="宋体" w:eastAsia="宋体" w:hint="default"/>
                <w:sz w:val="18"/>
                <w:szCs w:val="18"/>
              </w:rPr>
              <w:t>余锴</w:t>
            </w:r>
            <w:r>
              <w:rPr>
                <w:rFonts w:ascii="Times New Roman" w:hAnsi="Times New Roman" w:cs="Times New Roman" w:eastAsia="Times New Roman" w:hint="default"/>
                <w:sz w:val="18"/>
                <w:szCs w:val="18"/>
              </w:rPr>
              <w:t>;</w:t>
            </w:r>
            <w:r>
              <w:rPr>
                <w:rFonts w:ascii="宋体" w:hAnsi="宋体" w:cs="宋体" w:eastAsia="宋体" w:hint="default"/>
                <w:sz w:val="18"/>
                <w:szCs w:val="18"/>
              </w:rPr>
              <w:t>浙</w:t>
            </w:r>
            <w:r>
              <w:rPr>
                <w:rFonts w:ascii="宋体" w:hAnsi="宋体" w:cs="宋体" w:eastAsia="宋体" w:hint="default"/>
                <w:spacing w:val="-88"/>
                <w:sz w:val="18"/>
                <w:szCs w:val="18"/>
              </w:rPr>
              <w:t> </w:t>
            </w:r>
            <w:r>
              <w:rPr>
                <w:rFonts w:ascii="宋体" w:hAnsi="宋体" w:cs="宋体" w:eastAsia="宋体" w:hint="default"/>
                <w:spacing w:val="-3"/>
                <w:sz w:val="18"/>
                <w:szCs w:val="18"/>
              </w:rPr>
              <w:t>江合力创业投资有限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浙江正元智慧</w:t>
            </w:r>
            <w:r>
              <w:rPr>
                <w:rFonts w:ascii="宋体" w:hAnsi="宋体" w:cs="宋体" w:eastAsia="宋体" w:hint="default"/>
                <w:w w:val="101"/>
                <w:sz w:val="18"/>
                <w:szCs w:val="18"/>
              </w:rPr>
              <w:t> </w:t>
            </w:r>
            <w:r>
              <w:rPr>
                <w:rFonts w:ascii="宋体" w:hAnsi="宋体" w:cs="宋体" w:eastAsia="宋体" w:hint="default"/>
                <w:sz w:val="18"/>
                <w:szCs w:val="18"/>
              </w:rPr>
              <w:t>科技股份有限公司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朱加宁</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tabs>
                <w:tab w:pos="1526" w:val="left" w:leader="none"/>
              </w:tabs>
              <w:spacing w:line="312" w:lineRule="auto" w:before="53"/>
              <w:ind w:left="23"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强化对相关责任主体承诺事项的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约束措施：</w:t>
              <w:tab/>
            </w:r>
            <w:r>
              <w:rPr>
                <w:rFonts w:ascii="宋体" w:hAnsi="宋体" w:cs="宋体" w:eastAsia="宋体" w:hint="default"/>
                <w:spacing w:val="-7"/>
                <w:sz w:val="18"/>
                <w:szCs w:val="18"/>
              </w:rPr>
              <w:t>公司、控股股东</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杭州正元、实际控制人陈坚、持股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以上股东及全体董事、监事和高</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4"/>
                <w:sz w:val="18"/>
                <w:szCs w:val="18"/>
              </w:rPr>
              <w:t>级管理人员承诺：本公司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本人保证</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将严格履行正元智慧首次公开发行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股票并上市招股说明书披露的承诺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事项，并承诺严格遵守下列约束措</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、如果本公司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本人未履行相</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关承诺事项，本公司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本人将在正元</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智慧股东大会及中国证监会指定报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刊上公开说明未履行承诺的具体原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因并向股东和社会公众投资者道</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6"/>
                <w:sz w:val="18"/>
                <w:szCs w:val="18"/>
              </w:rPr>
              <w:t>歉。</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、及时、充分披露相关承诺未</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能履行、无法履行或无法按期履行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6"/>
                <w:sz w:val="18"/>
                <w:szCs w:val="18"/>
              </w:rPr>
              <w:t>的具体原因。</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、向投资者提出补充</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承诺或替代承诺，以尽可能保护投</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6"/>
                <w:sz w:val="18"/>
                <w:szCs w:val="18"/>
              </w:rPr>
              <w:t>资者的权益。</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、违反承诺给投资者</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造成损失的，将依法对投资者进行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赔偿。此外，控股股东杭州正元、</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0"/>
                <w:w w:val="101"/>
                <w:sz w:val="18"/>
                <w:szCs w:val="18"/>
              </w:rPr>
              <w:t>实际控制人陈坚、持股</w:t>
            </w:r>
            <w:r>
              <w:rPr>
                <w:rFonts w:ascii="宋体" w:hAnsi="宋体" w:cs="宋体" w:eastAsia="宋体" w:hint="default"/>
                <w:spacing w:val="-40"/>
                <w:w w:val="101"/>
                <w:sz w:val="18"/>
                <w:szCs w:val="18"/>
              </w:rPr>
              <w:t> </w:t>
            </w:r>
            <w:r>
              <w:rPr>
                <w:rFonts w:ascii="Times New Roman" w:hAnsi="Times New Roman" w:cs="Times New Roman" w:eastAsia="Times New Roman" w:hint="default"/>
                <w:spacing w:val="-3"/>
                <w:w w:val="101"/>
                <w:sz w:val="18"/>
                <w:szCs w:val="18"/>
              </w:rPr>
              <w:t>5%</w:t>
            </w:r>
            <w:r>
              <w:rPr>
                <w:rFonts w:ascii="宋体" w:hAnsi="宋体" w:cs="宋体" w:eastAsia="宋体" w:hint="default"/>
                <w:spacing w:val="-3"/>
                <w:w w:val="101"/>
                <w:sz w:val="18"/>
                <w:szCs w:val="18"/>
              </w:rPr>
              <w:t>以上股东</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及全体董事、监事和高级管理人员</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还承诺：因未履行相关承诺事项而</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获得收入的，所得的收入归正元智</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慧所有，并将在获得收入的</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日内</w:t>
            </w:r>
            <w:r>
              <w:rPr>
                <w:rFonts w:ascii="宋体" w:hAnsi="宋体" w:cs="宋体" w:eastAsia="宋体" w:hint="default"/>
                <w:spacing w:val="-73"/>
                <w:sz w:val="18"/>
                <w:szCs w:val="18"/>
              </w:rPr>
              <w:t> </w:t>
            </w:r>
            <w:r>
              <w:rPr>
                <w:rFonts w:ascii="宋体" w:hAnsi="宋体" w:cs="宋体" w:eastAsia="宋体" w:hint="default"/>
                <w:spacing w:val="-3"/>
                <w:sz w:val="18"/>
                <w:szCs w:val="18"/>
              </w:rPr>
              <w:t>将前述收入支付给正元智慧指定账</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户；若因未履行上述承诺事项给正</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元智慧或其他投资者造成损失的，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本单位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本人将向正元智慧或其他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投资者依法承担赔偿责任。</w:t>
            </w:r>
            <w:r>
              <w:rPr>
                <w:rFonts w:ascii="Times New Roman" w:hAnsi="Times New Roman" w:cs="Times New Roman" w:eastAsia="Times New Roman" w:hint="default"/>
                <w:sz w:val="18"/>
                <w:szCs w:val="18"/>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spacing w:val="-2"/>
                <w:sz w:val="18"/>
                <w:szCs w:val="18"/>
              </w:rPr>
              <w:t>正常履行中。</w:t>
            </w:r>
          </w:p>
        </w:tc>
      </w:tr>
      <w:tr>
        <w:trPr>
          <w:trHeight w:val="989"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浙江正元智慧科技股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份有限公司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51"/>
              <w:jc w:val="both"/>
              <w:rPr>
                <w:rFonts w:ascii="宋体" w:hAnsi="宋体" w:cs="宋体" w:eastAsia="宋体" w:hint="default"/>
                <w:sz w:val="18"/>
                <w:szCs w:val="18"/>
              </w:rPr>
            </w:pPr>
            <w:r>
              <w:rPr>
                <w:rFonts w:ascii="宋体" w:hAnsi="宋体" w:cs="宋体" w:eastAsia="宋体" w:hint="default"/>
                <w:spacing w:val="-3"/>
                <w:sz w:val="18"/>
                <w:szCs w:val="18"/>
              </w:rPr>
              <w:t>本公司不为任何激励对象依本激励</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计划获取有关权益提供贷款以及其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他任何形式的财务资助，包括为其</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0"/>
              <w:jc w:val="right"/>
              <w:rPr>
                <w:rFonts w:ascii="宋体" w:hAnsi="宋体" w:cs="宋体" w:eastAsia="宋体" w:hint="default"/>
                <w:sz w:val="18"/>
                <w:szCs w:val="18"/>
              </w:rPr>
            </w:pPr>
            <w:r>
              <w:rPr>
                <w:rFonts w:ascii="宋体" w:hAnsi="宋体" w:cs="宋体" w:eastAsia="宋体" w:hint="default"/>
                <w:spacing w:val="-2"/>
                <w:sz w:val="18"/>
                <w:szCs w:val="18"/>
              </w:rPr>
              <w:t>正常履行中。</w:t>
            </w:r>
          </w:p>
        </w:tc>
      </w:tr>
    </w:tbl>
    <w:p>
      <w:pPr>
        <w:spacing w:after="0" w:line="240" w:lineRule="auto"/>
        <w:jc w:val="right"/>
        <w:rPr>
          <w:rFonts w:ascii="宋体" w:hAnsi="宋体" w:cs="宋体" w:eastAsia="宋体" w:hint="default"/>
          <w:sz w:val="18"/>
          <w:szCs w:val="18"/>
        </w:rPr>
        <w:sectPr>
          <w:pgSz w:w="11910" w:h="16840"/>
          <w:pgMar w:header="741" w:footer="979" w:top="1060" w:bottom="1160" w:left="4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42"/>
        <w:gridCol w:w="1728"/>
        <w:gridCol w:w="1124"/>
        <w:gridCol w:w="2790"/>
        <w:gridCol w:w="1124"/>
        <w:gridCol w:w="1124"/>
        <w:gridCol w:w="1109"/>
      </w:tblGrid>
      <w:tr>
        <w:trPr>
          <w:trHeight w:val="360"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贷款提供担保。</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浙江正元智慧科技股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份有限公司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51"/>
              <w:jc w:val="both"/>
              <w:rPr>
                <w:rFonts w:ascii="宋体" w:hAnsi="宋体" w:cs="宋体" w:eastAsia="宋体" w:hint="default"/>
                <w:sz w:val="18"/>
                <w:szCs w:val="18"/>
              </w:rPr>
            </w:pPr>
            <w:r>
              <w:rPr>
                <w:rFonts w:ascii="宋体" w:hAnsi="宋体" w:cs="宋体" w:eastAsia="宋体" w:hint="default"/>
                <w:spacing w:val="-3"/>
                <w:sz w:val="18"/>
                <w:szCs w:val="18"/>
              </w:rPr>
              <w:t>本激励计划相关信息披露文件不存</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在虚假记载、误导性陈述或者重大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遗漏。</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10"/>
              <w:jc w:val="left"/>
              <w:rPr>
                <w:rFonts w:ascii="宋体" w:hAnsi="宋体" w:cs="宋体" w:eastAsia="宋体" w:hint="default"/>
                <w:sz w:val="18"/>
                <w:szCs w:val="18"/>
              </w:rPr>
            </w:pPr>
            <w:r>
              <w:rPr>
                <w:rFonts w:ascii="宋体" w:hAnsi="宋体" w:cs="宋体" w:eastAsia="宋体" w:hint="default"/>
                <w:spacing w:val="-2"/>
                <w:sz w:val="18"/>
                <w:szCs w:val="18"/>
              </w:rPr>
              <w:t>正常履行中。</w:t>
            </w:r>
          </w:p>
        </w:tc>
      </w:tr>
      <w:tr>
        <w:trPr>
          <w:trHeight w:val="715"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1" w:right="185"/>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所作承诺</w:t>
            </w:r>
          </w:p>
        </w:tc>
        <w:tc>
          <w:tcPr>
            <w:tcW w:w="17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279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99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10"/>
        <w:rPr>
          <w:rFonts w:ascii="Times New Roman" w:hAnsi="Times New Roman" w:cs="Times New Roman" w:eastAsia="Times New Roman" w:hint="default"/>
          <w:sz w:val="21"/>
          <w:szCs w:val="21"/>
        </w:rPr>
      </w:pPr>
    </w:p>
    <w:p>
      <w:pPr>
        <w:spacing w:line="256" w:lineRule="auto" w:before="36"/>
        <w:ind w:left="713" w:right="0" w:firstLine="0"/>
        <w:jc w:val="left"/>
        <w:rPr>
          <w:rFonts w:ascii="宋体" w:hAnsi="宋体" w:cs="宋体" w:eastAsia="宋体" w:hint="default"/>
          <w:sz w:val="21"/>
          <w:szCs w:val="21"/>
        </w:rPr>
      </w:pPr>
      <w:bookmarkStart w:name="2、公司资产或项目存在盈利预测，且报告期仍处在盈利预测期间，公司就资产或项目达到" w:id="65"/>
      <w:bookmarkEnd w:id="6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7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left="713"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7"/>
          <w:szCs w:val="27"/>
        </w:rPr>
      </w:pPr>
    </w:p>
    <w:p>
      <w:pPr>
        <w:spacing w:line="338" w:lineRule="auto" w:before="0"/>
        <w:ind w:left="713" w:right="38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公司报告期不存在控股股东及其关联方对上市公司的非经营性占用资金。</w:t>
      </w:r>
    </w:p>
    <w:p>
      <w:pPr>
        <w:spacing w:line="240" w:lineRule="auto" w:before="5"/>
        <w:rPr>
          <w:rFonts w:ascii="宋体" w:hAnsi="宋体" w:cs="宋体" w:eastAsia="宋体" w:hint="default"/>
          <w:sz w:val="18"/>
          <w:szCs w:val="18"/>
        </w:rPr>
      </w:pPr>
    </w:p>
    <w:p>
      <w:pPr>
        <w:pStyle w:val="Heading2"/>
        <w:spacing w:line="240" w:lineRule="auto"/>
        <w:ind w:left="713"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6"/>
          <w:szCs w:val="26"/>
        </w:rPr>
      </w:pPr>
    </w:p>
    <w:p>
      <w:pPr>
        <w:spacing w:before="0"/>
        <w:ind w:left="7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left="713"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6"/>
          <w:szCs w:val="26"/>
        </w:rPr>
      </w:pPr>
    </w:p>
    <w:p>
      <w:pPr>
        <w:spacing w:before="0"/>
        <w:ind w:left="7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left="713"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7"/>
          <w:szCs w:val="27"/>
        </w:rPr>
      </w:pPr>
    </w:p>
    <w:p>
      <w:pPr>
        <w:spacing w:before="0"/>
        <w:ind w:left="7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7"/>
          <w:szCs w:val="7"/>
        </w:rPr>
      </w:pPr>
    </w:p>
    <w:tbl>
      <w:tblPr>
        <w:tblW w:w="0" w:type="auto"/>
        <w:jc w:val="left"/>
        <w:tblInd w:w="410" w:type="dxa"/>
        <w:tblLayout w:type="fixed"/>
        <w:tblCellMar>
          <w:top w:w="0" w:type="dxa"/>
          <w:left w:w="0" w:type="dxa"/>
          <w:bottom w:w="0" w:type="dxa"/>
          <w:right w:w="0" w:type="dxa"/>
        </w:tblCellMar>
        <w:tblLook w:val="01E0"/>
      </w:tblPr>
      <w:tblGrid>
        <w:gridCol w:w="3765"/>
        <w:gridCol w:w="3188"/>
        <w:gridCol w:w="3275"/>
      </w:tblGrid>
      <w:tr>
        <w:trPr>
          <w:trHeight w:val="447" w:hRule="exact"/>
        </w:trPr>
        <w:tc>
          <w:tcPr>
            <w:tcW w:w="37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3"/>
              <w:ind w:left="61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3"/>
              <w:ind w:left="14"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3"/>
              <w:ind w:left="4"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338"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57"/>
              <w:ind w:left="81" w:right="70"/>
              <w:jc w:val="both"/>
              <w:rPr>
                <w:rFonts w:ascii="宋体" w:hAnsi="宋体" w:cs="宋体" w:eastAsia="宋体" w:hint="default"/>
                <w:sz w:val="21"/>
                <w:szCs w:val="21"/>
              </w:rPr>
            </w:pPr>
            <w:r>
              <w:rPr>
                <w:rFonts w:ascii="宋体" w:hAnsi="宋体" w:cs="宋体" w:eastAsia="宋体" w:hint="default"/>
                <w:sz w:val="21"/>
                <w:szCs w:val="21"/>
              </w:rPr>
              <w:t>本公司根据财政部《关于修订印发</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7"/>
                <w:sz w:val="21"/>
                <w:szCs w:val="21"/>
              </w:rPr>
              <w:t> </w:t>
            </w:r>
            <w:r>
              <w:rPr>
                <w:rFonts w:ascii="宋体" w:hAnsi="宋体" w:cs="宋体" w:eastAsia="宋体" w:hint="default"/>
                <w:spacing w:val="-4"/>
                <w:sz w:val="21"/>
                <w:szCs w:val="21"/>
              </w:rPr>
              <w:t>年度一般企业财务报表格式的通知》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财</w:t>
            </w:r>
            <w:r>
              <w:rPr>
                <w:rFonts w:ascii="宋体" w:hAnsi="宋体" w:cs="宋体" w:eastAsia="宋体" w:hint="default"/>
                <w:spacing w:val="-79"/>
                <w:sz w:val="21"/>
                <w:szCs w:val="21"/>
              </w:rPr>
              <w:t> </w:t>
            </w:r>
            <w:r>
              <w:rPr>
                <w:rFonts w:ascii="宋体" w:hAnsi="宋体" w:cs="宋体" w:eastAsia="宋体" w:hint="default"/>
                <w:sz w:val="21"/>
                <w:szCs w:val="21"/>
              </w:rPr>
              <w:t>会〔</w:t>
            </w:r>
            <w:r>
              <w:rPr>
                <w:rFonts w:ascii="Times New Roman" w:hAnsi="Times New Roman" w:cs="Times New Roman" w:eastAsia="Times New Roman" w:hint="default"/>
                <w:sz w:val="21"/>
                <w:szCs w:val="21"/>
              </w:rPr>
              <w:t>2019</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、《关于修订印发合并</w:t>
            </w:r>
            <w:r>
              <w:rPr>
                <w:rFonts w:ascii="宋体" w:hAnsi="宋体" w:cs="宋体" w:eastAsia="宋体" w:hint="default"/>
                <w:w w:val="100"/>
                <w:sz w:val="21"/>
                <w:szCs w:val="21"/>
              </w:rPr>
              <w:t> </w:t>
            </w:r>
            <w:r>
              <w:rPr>
                <w:rFonts w:ascii="宋体" w:hAnsi="宋体" w:cs="宋体" w:eastAsia="宋体" w:hint="default"/>
                <w:spacing w:val="-4"/>
                <w:sz w:val="21"/>
                <w:szCs w:val="21"/>
              </w:rPr>
              <w:t>财务报表格式（</w:t>
            </w:r>
            <w:r>
              <w:rPr>
                <w:rFonts w:ascii="Times New Roman" w:hAnsi="Times New Roman" w:cs="Times New Roman" w:eastAsia="Times New Roman" w:hint="default"/>
                <w:spacing w:val="-4"/>
                <w:sz w:val="21"/>
                <w:szCs w:val="21"/>
              </w:rPr>
              <w:t>2019</w:t>
            </w:r>
            <w:r>
              <w:rPr>
                <w:rFonts w:ascii="宋体" w:hAnsi="宋体" w:cs="宋体" w:eastAsia="宋体" w:hint="default"/>
                <w:spacing w:val="-4"/>
                <w:sz w:val="21"/>
                <w:szCs w:val="21"/>
              </w:rPr>
              <w:t>版）的通知》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财会</w:t>
            </w:r>
            <w:r>
              <w:rPr>
                <w:rFonts w:ascii="宋体" w:hAnsi="宋体" w:cs="宋体" w:eastAsia="宋体" w:hint="default"/>
                <w:sz w:val="21"/>
                <w:szCs w:val="21"/>
              </w:rPr>
            </w:r>
          </w:p>
          <w:p>
            <w:pPr>
              <w:pStyle w:val="TableParagraph"/>
              <w:spacing w:line="259" w:lineRule="auto" w:before="5"/>
              <w:ind w:left="81" w:right="71"/>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2019</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16</w:t>
            </w:r>
            <w:r>
              <w:rPr>
                <w:rFonts w:ascii="宋体" w:hAnsi="宋体" w:cs="宋体" w:eastAsia="宋体" w:hint="default"/>
                <w:spacing w:val="-4"/>
                <w:sz w:val="21"/>
                <w:szCs w:val="21"/>
              </w:rPr>
              <w:t>号</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和企业会计准则的要求编</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制</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年度财务报表，此项会计政策变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更采用追溯调整法。</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7"/>
              <w:ind w:left="81" w:right="147"/>
              <w:jc w:val="left"/>
              <w:rPr>
                <w:rFonts w:ascii="宋体" w:hAnsi="宋体" w:cs="宋体" w:eastAsia="宋体" w:hint="default"/>
                <w:sz w:val="21"/>
                <w:szCs w:val="21"/>
              </w:rPr>
            </w:pPr>
            <w:r>
              <w:rPr>
                <w:rFonts w:ascii="宋体" w:hAnsi="宋体" w:cs="宋体" w:eastAsia="宋体" w:hint="default"/>
                <w:spacing w:val="-2"/>
                <w:sz w:val="21"/>
                <w:szCs w:val="21"/>
              </w:rPr>
              <w:t>本次会计政策变更业经公司第三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届董事会第七次会议审议通过。</w:t>
            </w:r>
          </w:p>
        </w:tc>
        <w:tc>
          <w:tcPr>
            <w:tcW w:w="3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81" w:right="0"/>
              <w:jc w:val="left"/>
              <w:rPr>
                <w:rFonts w:ascii="宋体" w:hAnsi="宋体" w:cs="宋体" w:eastAsia="宋体" w:hint="default"/>
                <w:sz w:val="21"/>
                <w:szCs w:val="21"/>
              </w:rPr>
            </w:pPr>
            <w:r>
              <w:rPr>
                <w:rFonts w:ascii="宋体" w:hAnsi="宋体" w:cs="宋体" w:eastAsia="宋体" w:hint="default"/>
                <w:sz w:val="21"/>
                <w:szCs w:val="21"/>
              </w:rPr>
              <w:t>具体内容详见以下说明。</w:t>
            </w:r>
          </w:p>
        </w:tc>
      </w:tr>
      <w:tr>
        <w:trPr>
          <w:trHeight w:val="1671"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57"/>
              <w:ind w:left="81" w:right="89"/>
              <w:jc w:val="both"/>
              <w:rPr>
                <w:rFonts w:ascii="宋体" w:hAnsi="宋体" w:cs="宋体" w:eastAsia="宋体" w:hint="default"/>
                <w:sz w:val="21"/>
                <w:szCs w:val="21"/>
              </w:rPr>
            </w:pPr>
            <w:r>
              <w:rPr>
                <w:rFonts w:ascii="宋体" w:hAnsi="宋体" w:cs="宋体" w:eastAsia="宋体" w:hint="default"/>
                <w:spacing w:val="-1"/>
                <w:sz w:val="21"/>
                <w:szCs w:val="21"/>
              </w:rPr>
              <w:t>本公司自</w:t>
            </w: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日起执行财政部修</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订后的《企业会计准则第</w:t>
            </w:r>
            <w:r>
              <w:rPr>
                <w:rFonts w:ascii="Times New Roman" w:hAnsi="Times New Roman" w:cs="Times New Roman" w:eastAsia="Times New Roman" w:hint="default"/>
                <w:spacing w:val="-1"/>
                <w:sz w:val="21"/>
                <w:szCs w:val="21"/>
              </w:rPr>
              <w:t>22</w:t>
            </w:r>
            <w:r>
              <w:rPr>
                <w:rFonts w:ascii="宋体" w:hAnsi="宋体" w:cs="宋体" w:eastAsia="宋体" w:hint="default"/>
                <w:spacing w:val="-1"/>
                <w:sz w:val="21"/>
                <w:szCs w:val="21"/>
              </w:rPr>
              <w:t>号——金融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工具确认和计量》《企业会计准则第</w:t>
            </w:r>
            <w:r>
              <w:rPr>
                <w:rFonts w:ascii="Times New Roman" w:hAnsi="Times New Roman" w:cs="Times New Roman" w:eastAsia="Times New Roman" w:hint="default"/>
                <w:spacing w:val="-1"/>
                <w:sz w:val="21"/>
                <w:szCs w:val="21"/>
              </w:rPr>
              <w:t>23</w:t>
            </w:r>
            <w:r>
              <w:rPr>
                <w:rFonts w:ascii="Times New Roman" w:hAnsi="Times New Roman" w:cs="Times New Roman" w:eastAsia="Times New Roman" w:hint="default"/>
                <w:spacing w:val="-29"/>
                <w:sz w:val="21"/>
                <w:szCs w:val="21"/>
              </w:rPr>
              <w:t> </w:t>
            </w:r>
            <w:r>
              <w:rPr>
                <w:rFonts w:ascii="宋体" w:hAnsi="宋体" w:cs="宋体" w:eastAsia="宋体" w:hint="default"/>
                <w:spacing w:val="-1"/>
                <w:sz w:val="21"/>
                <w:szCs w:val="21"/>
              </w:rPr>
              <w:t>号——金融资产转移》《企业会计准则</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第</w:t>
            </w:r>
            <w:r>
              <w:rPr>
                <w:rFonts w:ascii="Times New Roman" w:hAnsi="Times New Roman" w:cs="Times New Roman" w:eastAsia="Times New Roman" w:hint="default"/>
                <w:spacing w:val="-1"/>
                <w:sz w:val="21"/>
                <w:szCs w:val="21"/>
              </w:rPr>
              <w:t>24</w:t>
            </w:r>
            <w:r>
              <w:rPr>
                <w:rFonts w:ascii="宋体" w:hAnsi="宋体" w:cs="宋体" w:eastAsia="宋体" w:hint="default"/>
                <w:spacing w:val="-1"/>
                <w:sz w:val="21"/>
                <w:szCs w:val="21"/>
              </w:rPr>
              <w:t>号——套期保值》以及《企业会计</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7"/>
              <w:ind w:left="81" w:right="147"/>
              <w:jc w:val="left"/>
              <w:rPr>
                <w:rFonts w:ascii="宋体" w:hAnsi="宋体" w:cs="宋体" w:eastAsia="宋体" w:hint="default"/>
                <w:sz w:val="21"/>
                <w:szCs w:val="21"/>
              </w:rPr>
            </w:pPr>
            <w:r>
              <w:rPr>
                <w:rFonts w:ascii="宋体" w:hAnsi="宋体" w:cs="宋体" w:eastAsia="宋体" w:hint="default"/>
                <w:spacing w:val="-2"/>
                <w:sz w:val="21"/>
                <w:szCs w:val="21"/>
              </w:rPr>
              <w:t>本次会计政策变更业经公司第三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届董事会第二次会议审议通过。</w:t>
            </w:r>
          </w:p>
        </w:tc>
        <w:tc>
          <w:tcPr>
            <w:tcW w:w="3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81" w:right="0"/>
              <w:jc w:val="left"/>
              <w:rPr>
                <w:rFonts w:ascii="宋体" w:hAnsi="宋体" w:cs="宋体" w:eastAsia="宋体" w:hint="default"/>
                <w:sz w:val="21"/>
                <w:szCs w:val="21"/>
              </w:rPr>
            </w:pPr>
            <w:r>
              <w:rPr>
                <w:rFonts w:ascii="宋体" w:hAnsi="宋体" w:cs="宋体" w:eastAsia="宋体" w:hint="default"/>
                <w:sz w:val="21"/>
                <w:szCs w:val="21"/>
              </w:rPr>
              <w:t>具体内容详见以下说明。</w:t>
            </w:r>
          </w:p>
        </w:tc>
      </w:tr>
    </w:tbl>
    <w:p>
      <w:pPr>
        <w:spacing w:after="0" w:line="240" w:lineRule="auto"/>
        <w:jc w:val="left"/>
        <w:rPr>
          <w:rFonts w:ascii="宋体" w:hAnsi="宋体" w:cs="宋体" w:eastAsia="宋体" w:hint="default"/>
          <w:sz w:val="21"/>
          <w:szCs w:val="21"/>
        </w:rPr>
        <w:sectPr>
          <w:pgSz w:w="11910" w:h="16840"/>
          <w:pgMar w:header="741" w:footer="979" w:top="1060" w:bottom="1160" w:left="420" w:right="0"/>
        </w:sectPr>
      </w:pPr>
    </w:p>
    <w:p>
      <w:pPr>
        <w:spacing w:line="240" w:lineRule="auto" w:before="11"/>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3765"/>
        <w:gridCol w:w="3188"/>
        <w:gridCol w:w="3275"/>
      </w:tblGrid>
      <w:tr>
        <w:trPr>
          <w:trHeight w:val="1983"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4"/>
              <w:ind w:left="81" w:right="90"/>
              <w:jc w:val="both"/>
              <w:rPr>
                <w:rFonts w:ascii="宋体" w:hAnsi="宋体" w:cs="宋体" w:eastAsia="宋体" w:hint="default"/>
                <w:sz w:val="21"/>
                <w:szCs w:val="21"/>
              </w:rPr>
            </w:pPr>
            <w:r>
              <w:rPr>
                <w:rFonts w:ascii="宋体" w:hAnsi="宋体" w:cs="宋体" w:eastAsia="宋体" w:hint="default"/>
                <w:spacing w:val="-1"/>
                <w:sz w:val="21"/>
                <w:szCs w:val="21"/>
              </w:rPr>
              <w:t>准则第</w:t>
            </w:r>
            <w:r>
              <w:rPr>
                <w:rFonts w:ascii="Times New Roman" w:hAnsi="Times New Roman" w:cs="Times New Roman" w:eastAsia="Times New Roman" w:hint="default"/>
                <w:spacing w:val="-1"/>
                <w:sz w:val="21"/>
                <w:szCs w:val="21"/>
              </w:rPr>
              <w:t>37</w:t>
            </w:r>
            <w:r>
              <w:rPr>
                <w:rFonts w:ascii="宋体" w:hAnsi="宋体" w:cs="宋体" w:eastAsia="宋体" w:hint="default"/>
                <w:spacing w:val="-1"/>
                <w:sz w:val="21"/>
                <w:szCs w:val="21"/>
              </w:rPr>
              <w:t>号——金融工具列报》（以下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简称新金融工具准则）。根据相关新旧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准则衔接规定，对可比期间信息不予调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整，首次执行日执行新准则与原准则的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差异追溯调整本报告期期初留存收益或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其他综合收益。</w:t>
            </w:r>
          </w:p>
        </w:tc>
        <w:tc>
          <w:tcPr>
            <w:tcW w:w="3188" w:type="dxa"/>
            <w:tcBorders>
              <w:top w:val="single" w:sz="6" w:space="0" w:color="000000"/>
              <w:left w:val="single" w:sz="6" w:space="0" w:color="000000"/>
              <w:bottom w:val="single" w:sz="6" w:space="0" w:color="000000"/>
              <w:right w:val="single" w:sz="6" w:space="0" w:color="000000"/>
            </w:tcBorders>
          </w:tcPr>
          <w:p>
            <w:pPr/>
          </w:p>
        </w:tc>
        <w:tc>
          <w:tcPr>
            <w:tcW w:w="3275" w:type="dxa"/>
            <w:tcBorders>
              <w:top w:val="single" w:sz="6" w:space="0" w:color="000000"/>
              <w:left w:val="single" w:sz="6" w:space="0" w:color="000000"/>
              <w:bottom w:val="single" w:sz="6" w:space="0" w:color="000000"/>
              <w:right w:val="single" w:sz="6" w:space="0" w:color="000000"/>
            </w:tcBorders>
          </w:tcPr>
          <w:p>
            <w:pPr/>
          </w:p>
        </w:tc>
      </w:tr>
      <w:tr>
        <w:trPr>
          <w:trHeight w:val="2026"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57"/>
              <w:ind w:left="81" w:right="70"/>
              <w:jc w:val="left"/>
              <w:rPr>
                <w:rFonts w:ascii="宋体" w:hAnsi="宋体" w:cs="宋体" w:eastAsia="宋体" w:hint="default"/>
                <w:sz w:val="21"/>
                <w:szCs w:val="21"/>
              </w:rPr>
            </w:pPr>
            <w:r>
              <w:rPr>
                <w:rFonts w:ascii="宋体" w:hAnsi="宋体" w:cs="宋体" w:eastAsia="宋体" w:hint="default"/>
                <w:sz w:val="21"/>
                <w:szCs w:val="21"/>
              </w:rPr>
              <w:t>本公司自</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日起执行经修订</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sz w:val="21"/>
                <w:szCs w:val="21"/>
              </w:rPr>
              <w:t>的《企业会计准则第</w:t>
            </w:r>
            <w:r>
              <w:rPr>
                <w:rFonts w:ascii="Times New Roman" w:hAnsi="Times New Roman" w:cs="Times New Roman" w:eastAsia="Times New Roman" w:hint="default"/>
                <w:spacing w:val="-6"/>
                <w:sz w:val="21"/>
                <w:szCs w:val="21"/>
              </w:rPr>
              <w:t>7</w:t>
            </w:r>
            <w:r>
              <w:rPr>
                <w:rFonts w:ascii="宋体" w:hAnsi="宋体" w:cs="宋体" w:eastAsia="宋体" w:hint="default"/>
                <w:spacing w:val="-6"/>
                <w:sz w:val="21"/>
                <w:szCs w:val="21"/>
              </w:rPr>
              <w:t>号——非货币性资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5"/>
                <w:sz w:val="21"/>
                <w:szCs w:val="21"/>
              </w:rPr>
              <w:t>产交换》，自</w:t>
            </w:r>
            <w:r>
              <w:rPr>
                <w:rFonts w:ascii="Times New Roman" w:hAnsi="Times New Roman" w:cs="Times New Roman" w:eastAsia="Times New Roman" w:hint="default"/>
                <w:spacing w:val="-5"/>
                <w:sz w:val="21"/>
                <w:szCs w:val="21"/>
              </w:rPr>
              <w:t>2019</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6</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17</w:t>
            </w:r>
            <w:r>
              <w:rPr>
                <w:rFonts w:ascii="宋体" w:hAnsi="宋体" w:cs="宋体" w:eastAsia="宋体" w:hint="default"/>
                <w:spacing w:val="-5"/>
                <w:sz w:val="21"/>
                <w:szCs w:val="21"/>
              </w:rPr>
              <w:t>日起执行经修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订的《企业会计准则第</w:t>
            </w:r>
            <w:r>
              <w:rPr>
                <w:rFonts w:ascii="Times New Roman" w:hAnsi="Times New Roman" w:cs="Times New Roman" w:eastAsia="Times New Roman" w:hint="default"/>
                <w:sz w:val="21"/>
                <w:szCs w:val="21"/>
              </w:rPr>
              <w:t>12</w:t>
            </w:r>
            <w:r>
              <w:rPr>
                <w:rFonts w:ascii="宋体" w:hAnsi="宋体" w:cs="宋体" w:eastAsia="宋体" w:hint="default"/>
                <w:sz w:val="21"/>
                <w:szCs w:val="21"/>
              </w:rPr>
              <w:t>号——债务重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组》。该项会计政策变更采用未来适用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法处理。</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7"/>
              <w:ind w:left="81" w:right="147"/>
              <w:jc w:val="left"/>
              <w:rPr>
                <w:rFonts w:ascii="宋体" w:hAnsi="宋体" w:cs="宋体" w:eastAsia="宋体" w:hint="default"/>
                <w:sz w:val="21"/>
                <w:szCs w:val="21"/>
              </w:rPr>
            </w:pPr>
            <w:r>
              <w:rPr>
                <w:rFonts w:ascii="宋体" w:hAnsi="宋体" w:cs="宋体" w:eastAsia="宋体" w:hint="default"/>
                <w:spacing w:val="-2"/>
                <w:sz w:val="21"/>
                <w:szCs w:val="21"/>
              </w:rPr>
              <w:t>本次会计政策变更业经公司第三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届董事会第十五次会议审议通</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过。</w:t>
            </w:r>
          </w:p>
        </w:tc>
        <w:tc>
          <w:tcPr>
            <w:tcW w:w="3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81" w:right="0"/>
              <w:jc w:val="left"/>
              <w:rPr>
                <w:rFonts w:ascii="宋体" w:hAnsi="宋体" w:cs="宋体" w:eastAsia="宋体" w:hint="default"/>
                <w:sz w:val="21"/>
                <w:szCs w:val="21"/>
              </w:rPr>
            </w:pPr>
            <w:r>
              <w:rPr>
                <w:rFonts w:ascii="宋体" w:hAnsi="宋体" w:cs="宋体" w:eastAsia="宋体" w:hint="default"/>
                <w:sz w:val="21"/>
                <w:szCs w:val="21"/>
              </w:rPr>
              <w:t>该修订于本公司无显著影响。</w:t>
            </w:r>
          </w:p>
        </w:tc>
      </w:tr>
    </w:tbl>
    <w:p>
      <w:pPr>
        <w:spacing w:line="240" w:lineRule="auto" w:before="13"/>
        <w:rPr>
          <w:rFonts w:ascii="宋体" w:hAnsi="宋体" w:cs="宋体" w:eastAsia="宋体" w:hint="default"/>
          <w:sz w:val="12"/>
          <w:szCs w:val="12"/>
        </w:rPr>
      </w:pPr>
    </w:p>
    <w:p>
      <w:pPr>
        <w:pStyle w:val="BodyText"/>
        <w:spacing w:line="240" w:lineRule="auto" w:before="26"/>
        <w:ind w:left="893" w:right="0"/>
        <w:jc w:val="left"/>
      </w:pPr>
      <w:r>
        <w:rPr>
          <w:rFonts w:ascii="Times New Roman" w:hAnsi="Times New Roman" w:cs="Times New Roman" w:eastAsia="Times New Roman" w:hint="default"/>
        </w:rPr>
        <w:t>1.  </w:t>
      </w:r>
      <w:r>
        <w:rPr>
          <w:spacing w:val="3"/>
        </w:rPr>
        <w:t>本公司根据财政部《关于修订印发 </w:t>
      </w:r>
      <w:r>
        <w:rPr>
          <w:rFonts w:ascii="Times New Roman" w:hAnsi="Times New Roman" w:cs="Times New Roman" w:eastAsia="Times New Roman" w:hint="default"/>
        </w:rPr>
        <w:t>2019 </w:t>
      </w:r>
      <w:r>
        <w:rPr>
          <w:rFonts w:ascii="Times New Roman" w:hAnsi="Times New Roman" w:cs="Times New Roman" w:eastAsia="Times New Roman" w:hint="default"/>
          <w:spacing w:val="20"/>
        </w:rPr>
        <w:t> </w:t>
      </w:r>
      <w:r>
        <w:rPr>
          <w:spacing w:val="3"/>
        </w:rPr>
        <w:t>年度一般企业财务报表格式的通知》</w:t>
      </w:r>
      <w:r>
        <w:rPr>
          <w:rFonts w:ascii="Times New Roman" w:hAnsi="Times New Roman" w:cs="Times New Roman" w:eastAsia="Times New Roman" w:hint="default"/>
          <w:spacing w:val="3"/>
        </w:rPr>
        <w:t>(</w:t>
      </w:r>
      <w:r>
        <w:rPr>
          <w:spacing w:val="3"/>
        </w:rPr>
        <w:t>财会</w:t>
      </w:r>
      <w:r>
        <w:rPr/>
      </w:r>
    </w:p>
    <w:p>
      <w:pPr>
        <w:pStyle w:val="BodyText"/>
        <w:spacing w:line="336" w:lineRule="auto" w:before="138"/>
        <w:ind w:left="413" w:right="1128"/>
        <w:jc w:val="both"/>
      </w:pPr>
      <w:r>
        <w:rPr/>
        <w:t>〔</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 </w:t>
      </w:r>
      <w:r>
        <w:rPr>
          <w:spacing w:val="-6"/>
        </w:rPr>
        <w:t>号</w:t>
      </w:r>
      <w:r>
        <w:rPr>
          <w:rFonts w:ascii="Times New Roman" w:hAnsi="Times New Roman" w:cs="Times New Roman" w:eastAsia="Times New Roman" w:hint="default"/>
          <w:spacing w:val="-6"/>
        </w:rPr>
        <w:t>)</w:t>
      </w:r>
      <w:r>
        <w:rPr>
          <w:spacing w:val="-6"/>
        </w:rPr>
        <w:t>、《关于修订印发合并财务报表格式（</w:t>
      </w:r>
      <w:r>
        <w:rPr>
          <w:rFonts w:ascii="Times New Roman" w:hAnsi="Times New Roman" w:cs="Times New Roman" w:eastAsia="Times New Roman" w:hint="default"/>
          <w:spacing w:val="-6"/>
        </w:rPr>
        <w:t>2019</w:t>
      </w:r>
      <w:r>
        <w:rPr>
          <w:rFonts w:ascii="Times New Roman" w:hAnsi="Times New Roman" w:cs="Times New Roman" w:eastAsia="Times New Roman" w:hint="default"/>
        </w:rPr>
        <w:t> </w:t>
      </w:r>
      <w:r>
        <w:rPr/>
        <w:t>版）的通知》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 </w:t>
      </w:r>
      <w:r>
        <w:rPr/>
        <w:t>和企业会计准则的要求编制</w:t>
      </w:r>
      <w:r>
        <w:rPr>
          <w:spacing w:val="1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年度财务报表，此项会计政策变更采用追溯调整法。</w:t>
      </w:r>
      <w:r>
        <w:rPr>
          <w:rFonts w:ascii="Times New Roman" w:hAnsi="Times New Roman" w:cs="Times New Roman" w:eastAsia="Times New Roman" w:hint="default"/>
        </w:rPr>
        <w:t>2018</w:t>
      </w:r>
      <w:r>
        <w:rPr>
          <w:rFonts w:ascii="Times New Roman" w:hAnsi="Times New Roman" w:cs="Times New Roman" w:eastAsia="Times New Roman" w:hint="default"/>
          <w:spacing w:val="-58"/>
        </w:rPr>
        <w:t> </w:t>
      </w:r>
      <w:r>
        <w:rPr/>
        <w:t>年度财务报表受重要影响的报表项目和金额如下：</w:t>
      </w:r>
    </w:p>
    <w:p>
      <w:pPr>
        <w:spacing w:line="240" w:lineRule="auto" w:before="8"/>
        <w:rPr>
          <w:rFonts w:ascii="宋体" w:hAnsi="宋体" w:cs="宋体" w:eastAsia="宋体"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2799"/>
        <w:gridCol w:w="2809"/>
        <w:gridCol w:w="2108"/>
        <w:gridCol w:w="2492"/>
      </w:tblGrid>
      <w:tr>
        <w:trPr>
          <w:trHeight w:val="475" w:hRule="exact"/>
        </w:trPr>
        <w:tc>
          <w:tcPr>
            <w:tcW w:w="560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752"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460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243"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480" w:hRule="exact"/>
        </w:trPr>
        <w:tc>
          <w:tcPr>
            <w:tcW w:w="279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80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382" w:right="0"/>
              <w:jc w:val="left"/>
              <w:rPr>
                <w:rFonts w:ascii="Times New Roman" w:hAnsi="Times New Roman" w:cs="Times New Roman" w:eastAsia="Times New Roman" w:hint="default"/>
                <w:sz w:val="21"/>
                <w:szCs w:val="21"/>
              </w:rPr>
            </w:pPr>
            <w:r>
              <w:rPr>
                <w:rFonts w:ascii="Times New Roman"/>
                <w:sz w:val="21"/>
              </w:rPr>
              <w:t>316,704,751.52</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1,942,145.00</w:t>
            </w:r>
          </w:p>
        </w:tc>
      </w:tr>
      <w:tr>
        <w:trPr>
          <w:trHeight w:val="475" w:hRule="exact"/>
        </w:trPr>
        <w:tc>
          <w:tcPr>
            <w:tcW w:w="2799" w:type="dxa"/>
            <w:vMerge/>
            <w:tcBorders>
              <w:left w:val="single" w:sz="4" w:space="0" w:color="000000"/>
              <w:bottom w:val="single" w:sz="4" w:space="0" w:color="000000"/>
              <w:right w:val="single" w:sz="4" w:space="0" w:color="000000"/>
            </w:tcBorders>
          </w:tcPr>
          <w:p>
            <w:pPr/>
          </w:p>
        </w:tc>
        <w:tc>
          <w:tcPr>
            <w:tcW w:w="2809" w:type="dxa"/>
            <w:vMerge/>
            <w:tcBorders>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pacing w:val="-1"/>
                <w:sz w:val="21"/>
              </w:rPr>
              <w:t>314,762,606.52</w:t>
            </w:r>
          </w:p>
        </w:tc>
      </w:tr>
      <w:tr>
        <w:trPr>
          <w:trHeight w:val="480" w:hRule="exact"/>
        </w:trPr>
        <w:tc>
          <w:tcPr>
            <w:tcW w:w="279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80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382" w:right="0"/>
              <w:jc w:val="left"/>
              <w:rPr>
                <w:rFonts w:ascii="Times New Roman" w:hAnsi="Times New Roman" w:cs="Times New Roman" w:eastAsia="Times New Roman" w:hint="default"/>
                <w:sz w:val="21"/>
                <w:szCs w:val="21"/>
              </w:rPr>
            </w:pPr>
            <w:r>
              <w:rPr>
                <w:rFonts w:ascii="Times New Roman"/>
                <w:sz w:val="21"/>
              </w:rPr>
              <w:t>121,854,768.54</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4"/>
              <w:jc w:val="right"/>
              <w:rPr>
                <w:rFonts w:ascii="Times New Roman" w:hAnsi="Times New Roman" w:cs="Times New Roman" w:eastAsia="Times New Roman" w:hint="default"/>
                <w:sz w:val="21"/>
                <w:szCs w:val="21"/>
              </w:rPr>
            </w:pPr>
            <w:r>
              <w:rPr>
                <w:rFonts w:ascii="Times New Roman"/>
                <w:sz w:val="21"/>
              </w:rPr>
              <w:t>13,306,710.05</w:t>
            </w:r>
          </w:p>
        </w:tc>
      </w:tr>
      <w:tr>
        <w:trPr>
          <w:trHeight w:val="480" w:hRule="exact"/>
        </w:trPr>
        <w:tc>
          <w:tcPr>
            <w:tcW w:w="2799" w:type="dxa"/>
            <w:vMerge/>
            <w:tcBorders>
              <w:left w:val="single" w:sz="4" w:space="0" w:color="000000"/>
              <w:bottom w:val="single" w:sz="4" w:space="0" w:color="000000"/>
              <w:right w:val="single" w:sz="4" w:space="0" w:color="000000"/>
            </w:tcBorders>
          </w:tcPr>
          <w:p>
            <w:pPr/>
          </w:p>
        </w:tc>
        <w:tc>
          <w:tcPr>
            <w:tcW w:w="2809" w:type="dxa"/>
            <w:vMerge/>
            <w:tcBorders>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pacing w:val="-1"/>
                <w:sz w:val="21"/>
              </w:rPr>
              <w:t>108,548,058.49</w:t>
            </w:r>
          </w:p>
        </w:tc>
      </w:tr>
    </w:tbl>
    <w:p>
      <w:pPr>
        <w:spacing w:line="240" w:lineRule="auto" w:before="12"/>
        <w:rPr>
          <w:rFonts w:ascii="宋体" w:hAnsi="宋体" w:cs="宋体" w:eastAsia="宋体" w:hint="default"/>
          <w:sz w:val="12"/>
          <w:szCs w:val="12"/>
        </w:rPr>
      </w:pPr>
    </w:p>
    <w:p>
      <w:pPr>
        <w:pStyle w:val="BodyText"/>
        <w:spacing w:line="240" w:lineRule="auto" w:before="26"/>
        <w:ind w:left="89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7"/>
        </w:rPr>
        <w:t> </w:t>
      </w:r>
      <w:r>
        <w:rPr/>
        <w:t>本公司自</w:t>
      </w:r>
      <w:r>
        <w:rPr>
          <w:spacing w:val="-6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日起执行财政部修订后的《企业会计准则第</w:t>
      </w:r>
      <w:r>
        <w:rPr>
          <w:spacing w:val="-63"/>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金融工</w:t>
      </w:r>
    </w:p>
    <w:p>
      <w:pPr>
        <w:pStyle w:val="BodyText"/>
        <w:spacing w:line="240" w:lineRule="auto" w:before="138"/>
        <w:ind w:left="413" w:right="0"/>
        <w:jc w:val="both"/>
      </w:pPr>
      <w:r>
        <w:rPr/>
        <w:t>具确认和计量</w:t>
      </w:r>
      <w:r>
        <w:rPr>
          <w:spacing w:val="-120"/>
        </w:rPr>
        <w:t>》</w:t>
      </w:r>
      <w:r>
        <w:rPr/>
        <w:t>《企业会计准则第</w:t>
      </w:r>
      <w:r>
        <w:rPr>
          <w:spacing w:val="-52"/>
        </w:rPr>
        <w:t> </w:t>
      </w:r>
      <w:r>
        <w:rPr>
          <w:rFonts w:ascii="Times New Roman" w:hAnsi="Times New Roman" w:cs="Times New Roman" w:eastAsia="Times New Roman" w:hint="default"/>
        </w:rPr>
        <w:t>23</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spacing w:val="4"/>
        </w:rPr>
        <w:t>金</w:t>
      </w:r>
      <w:r>
        <w:rPr/>
        <w:t>融资产转移</w:t>
      </w:r>
      <w:r>
        <w:rPr>
          <w:spacing w:val="-120"/>
        </w:rPr>
        <w:t>》</w:t>
      </w:r>
      <w:r>
        <w:rPr/>
        <w:t>《企业会计准则第</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套期</w:t>
      </w:r>
    </w:p>
    <w:p>
      <w:pPr>
        <w:pStyle w:val="BodyText"/>
        <w:spacing w:line="345" w:lineRule="auto" w:before="133"/>
        <w:ind w:left="413" w:right="1128"/>
        <w:jc w:val="both"/>
      </w:pPr>
      <w:r>
        <w:rPr>
          <w:spacing w:val="-4"/>
        </w:rPr>
        <w:t>保值》以及《企业会计准则第</w:t>
      </w:r>
      <w:r>
        <w:rPr>
          <w:spacing w:val="-49"/>
        </w:rPr>
        <w:t> </w:t>
      </w:r>
      <w:r>
        <w:rPr>
          <w:rFonts w:ascii="Times New Roman" w:hAnsi="Times New Roman" w:cs="Times New Roman" w:eastAsia="Times New Roman" w:hint="default"/>
        </w:rPr>
        <w:t>37</w:t>
      </w:r>
      <w:r>
        <w:rPr>
          <w:rFonts w:ascii="Times New Roman" w:hAnsi="Times New Roman" w:cs="Times New Roman" w:eastAsia="Times New Roman" w:hint="default"/>
          <w:spacing w:val="11"/>
        </w:rPr>
        <w:t> </w:t>
      </w:r>
      <w:r>
        <w:rPr>
          <w:spacing w:val="-11"/>
        </w:rPr>
        <w:t>号</w:t>
      </w:r>
      <w:r>
        <w:rPr>
          <w:rFonts w:ascii="Times New Roman" w:hAnsi="Times New Roman" w:cs="Times New Roman" w:eastAsia="Times New Roman" w:hint="default"/>
          <w:spacing w:val="-11"/>
        </w:rPr>
        <w:t>——</w:t>
      </w:r>
      <w:r>
        <w:rPr>
          <w:spacing w:val="-11"/>
        </w:rPr>
        <w:t>金融工具列报》（以下简称新金融工具准则）。根据相</w:t>
      </w:r>
      <w:r>
        <w:rPr>
          <w:spacing w:val="-118"/>
        </w:rPr>
        <w:t> </w:t>
      </w:r>
      <w:r>
        <w:rPr>
          <w:spacing w:val="-118"/>
        </w:rPr>
      </w:r>
      <w:r>
        <w:rPr/>
        <w:t>关新旧准则衔接规定，对可比期间信息不予调整，首次执行日执行新准则与原准则的差异追</w:t>
      </w:r>
      <w:r>
        <w:rPr>
          <w:spacing w:val="-93"/>
        </w:rPr>
        <w:t> </w:t>
      </w:r>
      <w:r>
        <w:rPr>
          <w:spacing w:val="-93"/>
        </w:rPr>
      </w:r>
      <w:r>
        <w:rPr/>
        <w:t>溯调整本报告期期初留存收益或其他综合收益。</w:t>
      </w:r>
    </w:p>
    <w:p>
      <w:pPr>
        <w:pStyle w:val="BodyText"/>
        <w:spacing w:line="357" w:lineRule="auto" w:before="209"/>
        <w:ind w:left="413" w:right="1135" w:firstLine="480"/>
        <w:jc w:val="both"/>
      </w:pPr>
      <w:r>
        <w:rPr/>
        <w:t>新金融工具准则改变了金融资产的分类和计量方式，确定了三个计量类别：摊余成本； 以公允价值计量且其变动计入其他综合收益；以公允价值计量且其变动计入当期损益。公司</w:t>
      </w:r>
      <w:r>
        <w:rPr>
          <w:spacing w:val="-93"/>
        </w:rPr>
        <w:t> </w:t>
      </w:r>
      <w:r>
        <w:rPr>
          <w:spacing w:val="-93"/>
        </w:rPr>
      </w:r>
      <w:r>
        <w:rPr/>
        <w:t>考虑自身业务模式，以及金融资产的合同现金流特征进行上述分类。权益类投资需按公允价</w:t>
      </w:r>
      <w:r>
        <w:rPr>
          <w:spacing w:val="-93"/>
        </w:rPr>
        <w:t> </w:t>
      </w:r>
      <w:r>
        <w:rPr>
          <w:spacing w:val="-93"/>
        </w:rPr>
      </w:r>
      <w:r>
        <w:rPr/>
        <w:t>值计量且其变动计入当期损益，但非交易性权益类投资在初始确认时可选择按公允价值计量</w:t>
      </w:r>
      <w:r>
        <w:rPr>
          <w:spacing w:val="-92"/>
        </w:rPr>
        <w:t> </w:t>
      </w:r>
      <w:r>
        <w:rPr>
          <w:spacing w:val="-92"/>
        </w:rPr>
      </w:r>
      <w:r>
        <w:rPr>
          <w:spacing w:val="4"/>
        </w:rPr>
        <w:t>且其变动计入其他综合收益</w:t>
      </w:r>
      <w:r>
        <w:rPr>
          <w:rFonts w:ascii="Times New Roman" w:hAnsi="Times New Roman" w:cs="Times New Roman" w:eastAsia="Times New Roman" w:hint="default"/>
          <w:spacing w:val="4"/>
        </w:rPr>
        <w:t>(</w:t>
      </w:r>
      <w:r>
        <w:rPr>
          <w:spacing w:val="4"/>
        </w:rPr>
        <w:t>处置时的利得或损失不能回转到损益，但股利收入计入当期损</w:t>
      </w:r>
    </w:p>
    <w:p>
      <w:pPr>
        <w:spacing w:after="0" w:line="357" w:lineRule="auto"/>
        <w:jc w:val="both"/>
        <w:sectPr>
          <w:pgSz w:w="11910" w:h="16840"/>
          <w:pgMar w:header="741" w:footer="979" w:top="1060" w:bottom="1160" w:left="720" w:right="0"/>
        </w:sectPr>
      </w:pPr>
    </w:p>
    <w:p>
      <w:pPr>
        <w:spacing w:line="240" w:lineRule="auto" w:before="8"/>
        <w:rPr>
          <w:rFonts w:ascii="宋体" w:hAnsi="宋体" w:cs="宋体" w:eastAsia="宋体" w:hint="default"/>
          <w:sz w:val="29"/>
          <w:szCs w:val="29"/>
        </w:rPr>
      </w:pPr>
    </w:p>
    <w:p>
      <w:pPr>
        <w:pStyle w:val="BodyText"/>
        <w:spacing w:line="240" w:lineRule="auto" w:before="26"/>
        <w:ind w:left="393" w:right="993"/>
        <w:jc w:val="left"/>
      </w:pPr>
      <w:r>
        <w:rPr/>
        <w:t>益</w:t>
      </w:r>
      <w:r>
        <w:rPr>
          <w:rFonts w:ascii="Times New Roman" w:hAnsi="Times New Roman" w:cs="Times New Roman" w:eastAsia="Times New Roman" w:hint="default"/>
        </w:rPr>
        <w:t>)</w:t>
      </w:r>
      <w:r>
        <w:rPr/>
        <w:t>，且该选择不可撤销。</w:t>
      </w:r>
    </w:p>
    <w:p>
      <w:pPr>
        <w:spacing w:line="240" w:lineRule="auto" w:before="9"/>
        <w:rPr>
          <w:rFonts w:ascii="宋体" w:hAnsi="宋体" w:cs="宋体" w:eastAsia="宋体" w:hint="default"/>
          <w:sz w:val="22"/>
          <w:szCs w:val="22"/>
        </w:rPr>
      </w:pPr>
    </w:p>
    <w:p>
      <w:pPr>
        <w:pStyle w:val="BodyText"/>
        <w:spacing w:line="345" w:lineRule="auto"/>
        <w:ind w:left="393" w:right="993" w:firstLine="480"/>
        <w:jc w:val="left"/>
      </w:pPr>
      <w:r>
        <w:rPr/>
        <w:t>新金融工具准则要求金融资产减值计量由</w:t>
      </w:r>
      <w:r>
        <w:rPr>
          <w:rFonts w:ascii="Times New Roman" w:hAnsi="Times New Roman" w:cs="Times New Roman" w:eastAsia="Times New Roman" w:hint="default"/>
        </w:rPr>
        <w:t>“</w:t>
      </w:r>
      <w:r>
        <w:rPr/>
        <w:t>已发生损失模型</w:t>
      </w:r>
      <w:r>
        <w:rPr>
          <w:rFonts w:ascii="Times New Roman" w:hAnsi="Times New Roman" w:cs="Times New Roman" w:eastAsia="Times New Roman" w:hint="default"/>
        </w:rPr>
        <w:t>”</w:t>
      </w:r>
      <w:r>
        <w:rPr/>
        <w:t>改为</w:t>
      </w:r>
      <w:r>
        <w:rPr>
          <w:rFonts w:ascii="Times New Roman" w:hAnsi="Times New Roman" w:cs="Times New Roman" w:eastAsia="Times New Roman" w:hint="default"/>
        </w:rPr>
        <w:t>“</w:t>
      </w:r>
      <w:r>
        <w:rPr/>
        <w:t>预期信用损失模型</w:t>
      </w:r>
      <w:r>
        <w:rPr>
          <w:rFonts w:ascii="Times New Roman" w:hAnsi="Times New Roman" w:cs="Times New Roman" w:eastAsia="Times New Roman" w:hint="default"/>
        </w:rPr>
        <w:t>”</w:t>
      </w:r>
      <w:r>
        <w:rPr/>
        <w:t>， </w:t>
      </w:r>
      <w:r>
        <w:rPr>
          <w:spacing w:val="-2"/>
        </w:rPr>
        <w:t>适用于以摊余成本计量的金融资产、以公允价值计量且其变动计入其他综合收益的金融资产、</w:t>
      </w:r>
      <w:r>
        <w:rPr/>
        <w:t> 租赁应收款。</w:t>
      </w:r>
    </w:p>
    <w:p>
      <w:pPr>
        <w:pStyle w:val="BodyText"/>
        <w:spacing w:line="240" w:lineRule="auto" w:before="204"/>
        <w:ind w:left="873" w:right="993"/>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执行新金融工具准则对公司</w:t>
      </w:r>
      <w:r>
        <w:rPr>
          <w:spacing w:val="-6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日财务报表的主要影响如下：</w:t>
      </w:r>
    </w:p>
    <w:p>
      <w:pPr>
        <w:spacing w:line="240" w:lineRule="auto" w:before="7"/>
        <w:rPr>
          <w:rFonts w:ascii="宋体" w:hAnsi="宋体" w:cs="宋体" w:eastAsia="宋体" w:hint="default"/>
          <w:sz w:val="19"/>
          <w:szCs w:val="19"/>
        </w:rPr>
      </w:pPr>
    </w:p>
    <w:tbl>
      <w:tblPr>
        <w:tblW w:w="0" w:type="auto"/>
        <w:jc w:val="left"/>
        <w:tblInd w:w="172" w:type="dxa"/>
        <w:tblLayout w:type="fixed"/>
        <w:tblCellMar>
          <w:top w:w="0" w:type="dxa"/>
          <w:left w:w="0" w:type="dxa"/>
          <w:bottom w:w="0" w:type="dxa"/>
          <w:right w:w="0" w:type="dxa"/>
        </w:tblCellMar>
        <w:tblLook w:val="01E0"/>
      </w:tblPr>
      <w:tblGrid>
        <w:gridCol w:w="2132"/>
        <w:gridCol w:w="2646"/>
        <w:gridCol w:w="2646"/>
        <w:gridCol w:w="2651"/>
      </w:tblGrid>
      <w:tr>
        <w:trPr>
          <w:trHeight w:val="480" w:hRule="exact"/>
        </w:trPr>
        <w:tc>
          <w:tcPr>
            <w:tcW w:w="213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3"/>
                <w:szCs w:val="23"/>
              </w:rPr>
            </w:pPr>
          </w:p>
          <w:p>
            <w:pPr>
              <w:pStyle w:val="TableParagraph"/>
              <w:tabs>
                <w:tab w:pos="432" w:val="left" w:leader="none"/>
              </w:tabs>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794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201" w:right="0"/>
              <w:jc w:val="center"/>
              <w:rPr>
                <w:rFonts w:ascii="宋体" w:hAnsi="宋体" w:cs="宋体" w:eastAsia="宋体" w:hint="default"/>
                <w:sz w:val="21"/>
                <w:szCs w:val="21"/>
              </w:rPr>
            </w:pPr>
            <w:r>
              <w:rPr>
                <w:rFonts w:ascii="宋体" w:hAnsi="宋体" w:cs="宋体" w:eastAsia="宋体" w:hint="default"/>
                <w:sz w:val="21"/>
                <w:szCs w:val="21"/>
              </w:rPr>
              <w:t>资产负债表</w:t>
            </w:r>
          </w:p>
        </w:tc>
      </w:tr>
      <w:tr>
        <w:trPr>
          <w:trHeight w:val="475" w:hRule="exact"/>
        </w:trPr>
        <w:tc>
          <w:tcPr>
            <w:tcW w:w="2132" w:type="dxa"/>
            <w:vMerge/>
            <w:tcBorders>
              <w:left w:val="single" w:sz="4" w:space="0" w:color="000000"/>
              <w:bottom w:val="single" w:sz="4" w:space="0" w:color="000000"/>
              <w:right w:val="single" w:sz="4" w:space="0" w:color="000000"/>
            </w:tcBorders>
            <w:shd w:val="clear" w:color="auto" w:fill="D9D9D9"/>
          </w:tcPr>
          <w:p>
            <w:pPr/>
          </w:p>
        </w:tc>
        <w:tc>
          <w:tcPr>
            <w:tcW w:w="2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157"/>
              <w:jc w:val="right"/>
              <w:rPr>
                <w:rFonts w:ascii="宋体" w:hAnsi="宋体" w:cs="宋体" w:eastAsia="宋体" w:hint="default"/>
                <w:sz w:val="21"/>
                <w:szCs w:val="21"/>
              </w:rPr>
            </w:pPr>
            <w:r>
              <w:rPr>
                <w:rFonts w:ascii="宋体" w:hAnsi="宋体" w:cs="宋体" w:eastAsia="宋体" w:hint="default"/>
                <w:spacing w:val="-1"/>
                <w:sz w:val="21"/>
                <w:szCs w:val="21"/>
              </w:rPr>
              <w:t>新金融工具准则调整影响</w:t>
            </w:r>
          </w:p>
        </w:tc>
        <w:tc>
          <w:tcPr>
            <w:tcW w:w="26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5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80"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z w:val="21"/>
              </w:rPr>
              <w:t>1,942,145.00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pacing w:val="-1"/>
                <w:sz w:val="21"/>
              </w:rPr>
              <w:t>-1,942,145.00</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5"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646"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1,942,145.00</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z w:val="21"/>
              </w:rPr>
              <w:t>1,942,145.00</w:t>
            </w:r>
          </w:p>
        </w:tc>
      </w:tr>
      <w:tr>
        <w:trPr>
          <w:trHeight w:val="480"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z w:val="21"/>
              </w:rPr>
              <w:t>216,000.00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pacing w:val="-1"/>
                <w:sz w:val="21"/>
              </w:rPr>
              <w:t>-216,000.00</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646"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216,000.00</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z w:val="21"/>
              </w:rPr>
              <w:t>216,000.00</w:t>
            </w:r>
          </w:p>
        </w:tc>
      </w:tr>
      <w:tr>
        <w:trPr>
          <w:trHeight w:val="480"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5"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60,359,767.11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4"/>
              <w:jc w:val="right"/>
              <w:rPr>
                <w:rFonts w:ascii="Times New Roman" w:hAnsi="Times New Roman" w:cs="Times New Roman" w:eastAsia="Times New Roman" w:hint="default"/>
                <w:sz w:val="21"/>
                <w:szCs w:val="21"/>
              </w:rPr>
            </w:pPr>
            <w:r>
              <w:rPr>
                <w:rFonts w:ascii="Times New Roman"/>
                <w:spacing w:val="-1"/>
                <w:sz w:val="21"/>
              </w:rPr>
              <w:t>-50,000,000.00</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10,359,767.11</w:t>
            </w:r>
          </w:p>
        </w:tc>
      </w:tr>
      <w:tr>
        <w:trPr>
          <w:trHeight w:val="480"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646"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50,000,000.00</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z w:val="21"/>
              </w:rPr>
              <w:t>50,000,000.00</w:t>
            </w:r>
          </w:p>
        </w:tc>
      </w:tr>
      <w:tr>
        <w:trPr>
          <w:trHeight w:val="475"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167,177,351.38</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240,797.26</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167,418,148.64</w:t>
            </w:r>
          </w:p>
        </w:tc>
      </w:tr>
      <w:tr>
        <w:trPr>
          <w:trHeight w:val="480"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z w:val="21"/>
              </w:rPr>
              <w:t>4,346,822.36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pacing w:val="-1"/>
                <w:sz w:val="21"/>
              </w:rPr>
              <w:t>-240,797.26</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z w:val="21"/>
              </w:rPr>
              <w:t>4,106,025.10</w:t>
            </w:r>
          </w:p>
        </w:tc>
      </w:tr>
    </w:tbl>
    <w:p>
      <w:pPr>
        <w:spacing w:line="240" w:lineRule="auto" w:before="12"/>
        <w:rPr>
          <w:rFonts w:ascii="宋体" w:hAnsi="宋体" w:cs="宋体" w:eastAsia="宋体" w:hint="default"/>
          <w:sz w:val="12"/>
          <w:szCs w:val="12"/>
        </w:rPr>
      </w:pPr>
    </w:p>
    <w:p>
      <w:pPr>
        <w:pStyle w:val="BodyText"/>
        <w:spacing w:line="336" w:lineRule="auto" w:before="26"/>
        <w:ind w:left="393" w:right="1114" w:firstLine="480"/>
        <w:jc w:val="left"/>
      </w:pPr>
      <w:r>
        <w:rPr>
          <w:rFonts w:ascii="Times New Roman" w:hAnsi="Times New Roman" w:cs="Times New Roman" w:eastAsia="Times New Roman" w:hint="default"/>
        </w:rPr>
        <w:t>(2) 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日，公司金融资产和金融负债按照新金融工具准则和按原金融工具准</w:t>
      </w:r>
      <w:r>
        <w:rPr>
          <w:w w:val="99"/>
        </w:rPr>
        <w:t> </w:t>
      </w:r>
      <w:r>
        <w:rPr/>
        <w:t>则的规定进行分类和计量结果对比如下表：</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580"/>
        <w:gridCol w:w="1829"/>
        <w:gridCol w:w="1743"/>
        <w:gridCol w:w="2026"/>
        <w:gridCol w:w="3002"/>
      </w:tblGrid>
      <w:tr>
        <w:trPr>
          <w:trHeight w:val="478" w:hRule="exact"/>
        </w:trPr>
        <w:tc>
          <w:tcPr>
            <w:tcW w:w="158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357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1253" w:right="0"/>
              <w:jc w:val="left"/>
              <w:rPr>
                <w:rFonts w:ascii="宋体" w:hAnsi="宋体" w:cs="宋体" w:eastAsia="宋体" w:hint="default"/>
                <w:sz w:val="18"/>
                <w:szCs w:val="18"/>
              </w:rPr>
            </w:pPr>
            <w:r>
              <w:rPr>
                <w:rFonts w:ascii="宋体" w:hAnsi="宋体" w:cs="宋体" w:eastAsia="宋体" w:hint="default"/>
                <w:spacing w:val="-3"/>
                <w:sz w:val="18"/>
                <w:szCs w:val="18"/>
              </w:rPr>
              <w:t>原金融工具准则</w:t>
            </w:r>
          </w:p>
        </w:tc>
        <w:tc>
          <w:tcPr>
            <w:tcW w:w="502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200" w:right="0"/>
              <w:jc w:val="center"/>
              <w:rPr>
                <w:rFonts w:ascii="宋体" w:hAnsi="宋体" w:cs="宋体" w:eastAsia="宋体" w:hint="default"/>
                <w:sz w:val="18"/>
                <w:szCs w:val="18"/>
              </w:rPr>
            </w:pPr>
            <w:r>
              <w:rPr>
                <w:rFonts w:ascii="宋体" w:hAnsi="宋体" w:cs="宋体" w:eastAsia="宋体" w:hint="default"/>
                <w:spacing w:val="-3"/>
                <w:sz w:val="18"/>
                <w:szCs w:val="18"/>
              </w:rPr>
              <w:t>新金融工具准则</w:t>
            </w:r>
          </w:p>
        </w:tc>
      </w:tr>
      <w:tr>
        <w:trPr>
          <w:trHeight w:val="478" w:hRule="exact"/>
        </w:trPr>
        <w:tc>
          <w:tcPr>
            <w:tcW w:w="1580" w:type="dxa"/>
            <w:vMerge/>
            <w:tcBorders>
              <w:left w:val="single" w:sz="4" w:space="0" w:color="000000"/>
              <w:bottom w:val="single" w:sz="4" w:space="0" w:color="000000"/>
              <w:right w:val="single" w:sz="4" w:space="0" w:color="000000"/>
            </w:tcBorders>
            <w:shd w:val="clear" w:color="auto" w:fill="D9D9D9"/>
          </w:tcPr>
          <w:p>
            <w:pPr/>
          </w:p>
        </w:tc>
        <w:tc>
          <w:tcPr>
            <w:tcW w:w="1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left="652"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left="60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left="748"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3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left="201"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63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224,257,088.55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8"/>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224,257,088.55</w:t>
            </w:r>
          </w:p>
        </w:tc>
      </w:tr>
      <w:tr>
        <w:trPr>
          <w:trHeight w:val="48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1,942,145.00</w:t>
            </w:r>
          </w:p>
        </w:tc>
        <w:tc>
          <w:tcPr>
            <w:tcW w:w="2026" w:type="dxa"/>
            <w:tcBorders>
              <w:top w:val="single" w:sz="4" w:space="0" w:color="000000"/>
              <w:left w:val="single" w:sz="4" w:space="0" w:color="000000"/>
              <w:bottom w:val="single" w:sz="4" w:space="0" w:color="000000"/>
              <w:right w:val="single" w:sz="4" w:space="0" w:color="000000"/>
            </w:tcBorders>
          </w:tcPr>
          <w:p>
            <w:pPr/>
          </w:p>
        </w:tc>
        <w:tc>
          <w:tcPr>
            <w:tcW w:w="300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29"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0" w:right="108"/>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动计入其他综合收益</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1,942,145.00</w:t>
            </w:r>
          </w:p>
        </w:tc>
      </w:tr>
      <w:tr>
        <w:trPr>
          <w:trHeight w:val="63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314,762,606.52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8"/>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314,762,606.52</w:t>
            </w:r>
          </w:p>
        </w:tc>
      </w:tr>
      <w:tr>
        <w:trPr>
          <w:trHeight w:val="63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32,418,763.19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8"/>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32,418,763.19</w:t>
            </w:r>
          </w:p>
        </w:tc>
      </w:tr>
      <w:tr>
        <w:trPr>
          <w:trHeight w:val="63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5" w:right="137"/>
              <w:jc w:val="left"/>
              <w:rPr>
                <w:rFonts w:ascii="宋体" w:hAnsi="宋体" w:cs="宋体" w:eastAsia="宋体" w:hint="default"/>
                <w:sz w:val="18"/>
                <w:szCs w:val="18"/>
              </w:rPr>
            </w:pPr>
            <w:r>
              <w:rPr>
                <w:rFonts w:ascii="宋体" w:hAnsi="宋体" w:cs="宋体" w:eastAsia="宋体" w:hint="default"/>
                <w:spacing w:val="-2"/>
                <w:sz w:val="18"/>
                <w:szCs w:val="18"/>
              </w:rPr>
              <w:t>其他流动资产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银</w:t>
            </w:r>
            <w:r>
              <w:rPr>
                <w:rFonts w:ascii="宋体" w:hAnsi="宋体" w:cs="宋体" w:eastAsia="宋体" w:hint="default"/>
                <w:spacing w:val="-71"/>
                <w:sz w:val="18"/>
                <w:szCs w:val="18"/>
              </w:rPr>
              <w:t> </w:t>
            </w:r>
            <w:r>
              <w:rPr>
                <w:rFonts w:ascii="宋体" w:hAnsi="宋体" w:cs="宋体" w:eastAsia="宋体" w:hint="default"/>
                <w:sz w:val="18"/>
                <w:szCs w:val="18"/>
              </w:rPr>
              <w:t>行理财产品</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2026" w:type="dxa"/>
            <w:tcBorders>
              <w:top w:val="single" w:sz="4" w:space="0" w:color="000000"/>
              <w:left w:val="single" w:sz="4" w:space="0" w:color="000000"/>
              <w:bottom w:val="single" w:sz="4" w:space="0" w:color="000000"/>
              <w:right w:val="single" w:sz="4" w:space="0" w:color="000000"/>
            </w:tcBorders>
          </w:tcPr>
          <w:p>
            <w:pPr/>
          </w:p>
        </w:tc>
        <w:tc>
          <w:tcPr>
            <w:tcW w:w="30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829"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以公允价值计量且其变</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740" w:right="0"/>
        </w:sectPr>
      </w:pPr>
    </w:p>
    <w:p>
      <w:pPr>
        <w:spacing w:line="240" w:lineRule="auto" w:before="11"/>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1580"/>
        <w:gridCol w:w="1829"/>
        <w:gridCol w:w="1743"/>
        <w:gridCol w:w="2026"/>
        <w:gridCol w:w="3002"/>
      </w:tblGrid>
      <w:tr>
        <w:trPr>
          <w:trHeight w:val="322" w:hRule="exact"/>
        </w:trPr>
        <w:tc>
          <w:tcPr>
            <w:tcW w:w="158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动计入当期损益</w:t>
            </w:r>
          </w:p>
        </w:tc>
        <w:tc>
          <w:tcPr>
            <w:tcW w:w="300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99"/>
              <w:jc w:val="left"/>
              <w:rPr>
                <w:rFonts w:ascii="宋体" w:hAnsi="宋体" w:cs="宋体" w:eastAsia="宋体" w:hint="default"/>
                <w:sz w:val="18"/>
                <w:szCs w:val="18"/>
              </w:rPr>
            </w:pPr>
            <w:r>
              <w:rPr>
                <w:rFonts w:ascii="宋体" w:hAnsi="宋体" w:cs="宋体" w:eastAsia="宋体" w:hint="default"/>
                <w:spacing w:val="-3"/>
                <w:sz w:val="18"/>
                <w:szCs w:val="18"/>
              </w:rPr>
              <w:t>可供出售金融资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产</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216,000.00</w:t>
            </w:r>
          </w:p>
        </w:tc>
        <w:tc>
          <w:tcPr>
            <w:tcW w:w="2026" w:type="dxa"/>
            <w:tcBorders>
              <w:top w:val="single" w:sz="4" w:space="0" w:color="000000"/>
              <w:left w:val="single" w:sz="4" w:space="0" w:color="000000"/>
              <w:bottom w:val="single" w:sz="4" w:space="0" w:color="000000"/>
              <w:right w:val="single" w:sz="4" w:space="0" w:color="000000"/>
            </w:tcBorders>
          </w:tcPr>
          <w:p>
            <w:pPr/>
          </w:p>
        </w:tc>
        <w:tc>
          <w:tcPr>
            <w:tcW w:w="300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5" w:right="199"/>
              <w:jc w:val="left"/>
              <w:rPr>
                <w:rFonts w:ascii="宋体" w:hAnsi="宋体" w:cs="宋体" w:eastAsia="宋体" w:hint="default"/>
                <w:sz w:val="18"/>
                <w:szCs w:val="18"/>
              </w:rPr>
            </w:pPr>
            <w:r>
              <w:rPr>
                <w:rFonts w:ascii="宋体" w:hAnsi="宋体" w:cs="宋体" w:eastAsia="宋体" w:hint="default"/>
                <w:spacing w:val="-3"/>
                <w:sz w:val="18"/>
                <w:szCs w:val="18"/>
              </w:rPr>
              <w:t>其他权益工具投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w:t>
            </w:r>
          </w:p>
        </w:tc>
        <w:tc>
          <w:tcPr>
            <w:tcW w:w="1829"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0" w:right="108"/>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动计入其他综合收益</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216,000.00</w:t>
            </w:r>
          </w:p>
        </w:tc>
      </w:tr>
      <w:tr>
        <w:trPr>
          <w:trHeight w:val="63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167,177,351.38</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8"/>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负债</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167,418,148.64</w:t>
            </w:r>
          </w:p>
        </w:tc>
      </w:tr>
      <w:tr>
        <w:trPr>
          <w:trHeight w:val="63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13,306,710.05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8"/>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负债</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13,306,710.05</w:t>
            </w:r>
          </w:p>
        </w:tc>
      </w:tr>
      <w:tr>
        <w:trPr>
          <w:trHeight w:val="63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108,548,058.49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8"/>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负债</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108,548,058.49</w:t>
            </w:r>
          </w:p>
        </w:tc>
      </w:tr>
      <w:tr>
        <w:trPr>
          <w:trHeight w:val="63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4,346,822.36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100" w:right="108"/>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负债</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4,106,025.10</w:t>
            </w:r>
          </w:p>
        </w:tc>
      </w:tr>
    </w:tbl>
    <w:p>
      <w:pPr>
        <w:spacing w:line="240" w:lineRule="auto" w:before="13"/>
        <w:rPr>
          <w:rFonts w:ascii="宋体" w:hAnsi="宋体" w:cs="宋体" w:eastAsia="宋体" w:hint="default"/>
          <w:sz w:val="12"/>
          <w:szCs w:val="12"/>
        </w:rPr>
      </w:pPr>
    </w:p>
    <w:p>
      <w:pPr>
        <w:pStyle w:val="BodyText"/>
        <w:spacing w:line="336" w:lineRule="auto" w:before="26"/>
        <w:ind w:left="433" w:right="1114" w:firstLine="480"/>
        <w:jc w:val="left"/>
      </w:pPr>
      <w:r>
        <w:rPr>
          <w:rFonts w:ascii="Times New Roman" w:hAnsi="Times New Roman" w:cs="Times New Roman" w:eastAsia="Times New Roman" w:hint="default"/>
        </w:rPr>
        <w:t>(3) 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日，公司原金融资产和金融负债账面价值调整为按照新金融工具准则</w:t>
      </w:r>
      <w:r>
        <w:rPr>
          <w:w w:val="99"/>
        </w:rPr>
        <w:t> </w:t>
      </w:r>
      <w:r>
        <w:rPr/>
        <w:t>的规定进行分类和计量的新金融资产和金融负债账面价值的调节表如下：</w:t>
      </w:r>
    </w:p>
    <w:p>
      <w:pPr>
        <w:spacing w:line="240" w:lineRule="auto" w:before="7"/>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670"/>
        <w:gridCol w:w="1843"/>
        <w:gridCol w:w="1629"/>
        <w:gridCol w:w="115"/>
        <w:gridCol w:w="566"/>
        <w:gridCol w:w="3453"/>
      </w:tblGrid>
      <w:tr>
        <w:trPr>
          <w:trHeight w:val="946" w:hRule="exact"/>
        </w:trPr>
        <w:tc>
          <w:tcPr>
            <w:tcW w:w="2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7"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10"/>
              <w:ind w:left="120" w:right="87" w:hanging="1"/>
              <w:jc w:val="center"/>
              <w:rPr>
                <w:rFonts w:ascii="宋体" w:hAnsi="宋体" w:cs="宋体" w:eastAsia="宋体" w:hint="default"/>
                <w:sz w:val="18"/>
                <w:szCs w:val="18"/>
              </w:rPr>
            </w:pPr>
            <w:r>
              <w:rPr>
                <w:rFonts w:ascii="宋体" w:hAnsi="宋体" w:cs="宋体" w:eastAsia="宋体" w:hint="default"/>
                <w:spacing w:val="-3"/>
                <w:sz w:val="18"/>
                <w:szCs w:val="18"/>
              </w:rPr>
              <w:t>按原金融工具准则列</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示的账面价值（</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tc>
        <w:tc>
          <w:tcPr>
            <w:tcW w:w="16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5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68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58" w:right="146"/>
              <w:jc w:val="left"/>
              <w:rPr>
                <w:rFonts w:ascii="宋体" w:hAnsi="宋体" w:cs="宋体" w:eastAsia="宋体" w:hint="default"/>
                <w:sz w:val="18"/>
                <w:szCs w:val="18"/>
              </w:rPr>
            </w:pPr>
            <w:r>
              <w:rPr>
                <w:rFonts w:ascii="宋体" w:hAnsi="宋体" w:cs="宋体" w:eastAsia="宋体" w:hint="default"/>
                <w:sz w:val="18"/>
                <w:szCs w:val="18"/>
              </w:rPr>
              <w:t>重新</w:t>
            </w:r>
            <w:r>
              <w:rPr>
                <w:rFonts w:ascii="宋体" w:hAnsi="宋体" w:cs="宋体" w:eastAsia="宋体" w:hint="default"/>
                <w:spacing w:val="-86"/>
                <w:sz w:val="18"/>
                <w:szCs w:val="18"/>
              </w:rPr>
              <w:t> </w:t>
            </w:r>
            <w:r>
              <w:rPr>
                <w:rFonts w:ascii="宋体" w:hAnsi="宋体" w:cs="宋体" w:eastAsia="宋体" w:hint="default"/>
                <w:sz w:val="18"/>
                <w:szCs w:val="18"/>
              </w:rPr>
              <w:t>计量</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1181" w:right="99" w:hanging="1076"/>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按新金融工具准则列示的账面价值（</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8"/>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5" w:hRule="exact"/>
        </w:trPr>
        <w:tc>
          <w:tcPr>
            <w:tcW w:w="102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A.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金融资产</w:t>
            </w:r>
          </w:p>
        </w:tc>
      </w:tr>
      <w:tr>
        <w:trPr>
          <w:trHeight w:val="480" w:hRule="exact"/>
        </w:trPr>
        <w:tc>
          <w:tcPr>
            <w:tcW w:w="102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摊余成本</w:t>
            </w:r>
          </w:p>
        </w:tc>
      </w:tr>
      <w:tr>
        <w:trPr>
          <w:trHeight w:val="475"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60"/>
              <w:jc w:val="right"/>
              <w:rPr>
                <w:rFonts w:ascii="Times New Roman" w:hAnsi="Times New Roman" w:cs="Times New Roman" w:eastAsia="Times New Roman" w:hint="default"/>
                <w:sz w:val="18"/>
                <w:szCs w:val="18"/>
              </w:rPr>
            </w:pPr>
            <w:r>
              <w:rPr>
                <w:rFonts w:ascii="Times New Roman"/>
                <w:spacing w:val="-1"/>
                <w:sz w:val="18"/>
              </w:rPr>
              <w:t>224,257,088.55</w:t>
            </w:r>
          </w:p>
        </w:tc>
        <w:tc>
          <w:tcPr>
            <w:tcW w:w="1629"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224,257,088.55</w:t>
            </w:r>
          </w:p>
        </w:tc>
      </w:tr>
      <w:tr>
        <w:trPr>
          <w:trHeight w:val="480"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60"/>
              <w:jc w:val="right"/>
              <w:rPr>
                <w:rFonts w:ascii="Times New Roman" w:hAnsi="Times New Roman" w:cs="Times New Roman" w:eastAsia="Times New Roman" w:hint="default"/>
                <w:sz w:val="18"/>
                <w:szCs w:val="18"/>
              </w:rPr>
            </w:pPr>
            <w:r>
              <w:rPr>
                <w:rFonts w:ascii="Times New Roman"/>
                <w:spacing w:val="-1"/>
                <w:sz w:val="18"/>
              </w:rPr>
              <w:t>1,942,145.00</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4"/>
              <w:jc w:val="right"/>
              <w:rPr>
                <w:rFonts w:ascii="Times New Roman" w:hAnsi="Times New Roman" w:cs="Times New Roman" w:eastAsia="Times New Roman" w:hint="default"/>
                <w:sz w:val="18"/>
                <w:szCs w:val="18"/>
              </w:rPr>
            </w:pPr>
            <w:r>
              <w:rPr>
                <w:rFonts w:ascii="Times New Roman"/>
                <w:spacing w:val="-1"/>
                <w:sz w:val="18"/>
              </w:rPr>
              <w:t>-1,942,145.00</w:t>
            </w: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60"/>
              <w:jc w:val="right"/>
              <w:rPr>
                <w:rFonts w:ascii="Times New Roman" w:hAnsi="Times New Roman" w:cs="Times New Roman" w:eastAsia="Times New Roman" w:hint="default"/>
                <w:sz w:val="18"/>
                <w:szCs w:val="18"/>
              </w:rPr>
            </w:pPr>
            <w:r>
              <w:rPr>
                <w:rFonts w:ascii="Times New Roman"/>
                <w:spacing w:val="-1"/>
                <w:sz w:val="18"/>
              </w:rPr>
              <w:t>314,762,606.52</w:t>
            </w:r>
          </w:p>
        </w:tc>
        <w:tc>
          <w:tcPr>
            <w:tcW w:w="1629"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314,762,606.52</w:t>
            </w:r>
          </w:p>
        </w:tc>
      </w:tr>
      <w:tr>
        <w:trPr>
          <w:trHeight w:val="475"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61"/>
              <w:jc w:val="right"/>
              <w:rPr>
                <w:rFonts w:ascii="Times New Roman" w:hAnsi="Times New Roman" w:cs="Times New Roman" w:eastAsia="Times New Roman" w:hint="default"/>
                <w:sz w:val="18"/>
                <w:szCs w:val="18"/>
              </w:rPr>
            </w:pPr>
            <w:r>
              <w:rPr>
                <w:rFonts w:ascii="Times New Roman"/>
                <w:spacing w:val="-1"/>
                <w:sz w:val="18"/>
              </w:rPr>
              <w:t>32,418,763.19</w:t>
            </w:r>
          </w:p>
        </w:tc>
        <w:tc>
          <w:tcPr>
            <w:tcW w:w="1629"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32,418,763.19</w:t>
            </w:r>
          </w:p>
        </w:tc>
      </w:tr>
      <w:tr>
        <w:trPr>
          <w:trHeight w:val="481"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其他流动资产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银行理财产品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1"/>
              <w:jc w:val="right"/>
              <w:rPr>
                <w:rFonts w:ascii="Times New Roman" w:hAnsi="Times New Roman" w:cs="Times New Roman" w:eastAsia="Times New Roman" w:hint="default"/>
                <w:sz w:val="18"/>
                <w:szCs w:val="18"/>
              </w:rPr>
            </w:pPr>
            <w:r>
              <w:rPr>
                <w:rFonts w:ascii="Times New Roman"/>
                <w:spacing w:val="-1"/>
                <w:sz w:val="18"/>
              </w:rPr>
              <w:t>50,000,000.00</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4"/>
              <w:jc w:val="right"/>
              <w:rPr>
                <w:rFonts w:ascii="Times New Roman" w:hAnsi="Times New Roman" w:cs="Times New Roman" w:eastAsia="Times New Roman" w:hint="default"/>
                <w:sz w:val="18"/>
                <w:szCs w:val="18"/>
              </w:rPr>
            </w:pPr>
            <w:r>
              <w:rPr>
                <w:rFonts w:ascii="Times New Roman"/>
                <w:spacing w:val="-1"/>
                <w:sz w:val="18"/>
              </w:rPr>
              <w:t>-50,000,000.00</w:t>
            </w: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以摊余成本计量的总金融资产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60"/>
              <w:jc w:val="right"/>
              <w:rPr>
                <w:rFonts w:ascii="Times New Roman" w:hAnsi="Times New Roman" w:cs="Times New Roman" w:eastAsia="Times New Roman" w:hint="default"/>
                <w:sz w:val="18"/>
                <w:szCs w:val="18"/>
              </w:rPr>
            </w:pPr>
            <w:r>
              <w:rPr>
                <w:rFonts w:ascii="Times New Roman"/>
                <w:spacing w:val="-1"/>
                <w:sz w:val="18"/>
              </w:rPr>
              <w:t>623,380,603.26</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-51,942,145.00</w:t>
            </w: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2"/>
                <w:sz w:val="18"/>
              </w:rPr>
              <w:t>571,438,458.26</w:t>
            </w:r>
            <w:r>
              <w:rPr>
                <w:rFonts w:ascii="Times New Roman"/>
                <w:sz w:val="18"/>
              </w:rPr>
            </w:r>
          </w:p>
        </w:tc>
      </w:tr>
      <w:tr>
        <w:trPr>
          <w:trHeight w:val="480" w:hRule="exact"/>
        </w:trPr>
        <w:tc>
          <w:tcPr>
            <w:tcW w:w="102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  </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以公允价值计量且其变动计入当期损益</w:t>
            </w:r>
          </w:p>
        </w:tc>
      </w:tr>
      <w:tr>
        <w:trPr>
          <w:trHeight w:val="480"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银行理财产品</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96" w:right="0"/>
              <w:jc w:val="left"/>
              <w:rPr>
                <w:rFonts w:ascii="Times New Roman" w:hAnsi="Times New Roman" w:cs="Times New Roman" w:eastAsia="Times New Roman" w:hint="default"/>
                <w:sz w:val="18"/>
                <w:szCs w:val="18"/>
              </w:rPr>
            </w:pPr>
            <w:r>
              <w:rPr>
                <w:rFonts w:ascii="Times New Roman"/>
                <w:sz w:val="18"/>
              </w:rPr>
              <w:t>50,000,000.00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711"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5" w:right="97"/>
              <w:jc w:val="left"/>
              <w:rPr>
                <w:rFonts w:ascii="宋体" w:hAnsi="宋体" w:cs="宋体" w:eastAsia="宋体" w:hint="default"/>
                <w:sz w:val="18"/>
                <w:szCs w:val="18"/>
              </w:rPr>
            </w:pPr>
            <w:r>
              <w:rPr>
                <w:rFonts w:ascii="宋体" w:hAnsi="宋体" w:cs="宋体" w:eastAsia="宋体" w:hint="default"/>
                <w:spacing w:val="5"/>
                <w:sz w:val="18"/>
                <w:szCs w:val="18"/>
              </w:rPr>
              <w:t>以公允价值计量且其变动计入</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当期损益总金融资产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50,000,000.00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80" w:hRule="exact"/>
        </w:trPr>
        <w:tc>
          <w:tcPr>
            <w:tcW w:w="102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  </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以公允价值计量且其变动计入其他综合收益</w:t>
            </w:r>
          </w:p>
        </w:tc>
      </w:tr>
      <w:tr>
        <w:trPr>
          <w:trHeight w:val="475"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1,942,145.00</w:t>
            </w: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1,942,145.00</w:t>
            </w:r>
          </w:p>
        </w:tc>
      </w:tr>
      <w:tr>
        <w:trPr>
          <w:trHeight w:val="481"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3"/>
              <w:jc w:val="right"/>
              <w:rPr>
                <w:rFonts w:ascii="Times New Roman" w:hAnsi="Times New Roman" w:cs="Times New Roman" w:eastAsia="Times New Roman" w:hint="default"/>
                <w:sz w:val="18"/>
                <w:szCs w:val="18"/>
              </w:rPr>
            </w:pPr>
            <w:r>
              <w:rPr>
                <w:rFonts w:ascii="Times New Roman"/>
                <w:spacing w:val="-1"/>
                <w:sz w:val="18"/>
              </w:rPr>
              <w:t>216,000.00</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4"/>
              <w:jc w:val="right"/>
              <w:rPr>
                <w:rFonts w:ascii="Times New Roman" w:hAnsi="Times New Roman" w:cs="Times New Roman" w:eastAsia="Times New Roman" w:hint="default"/>
                <w:sz w:val="18"/>
                <w:szCs w:val="18"/>
              </w:rPr>
            </w:pPr>
            <w:r>
              <w:rPr>
                <w:rFonts w:ascii="Times New Roman"/>
                <w:spacing w:val="-1"/>
                <w:sz w:val="18"/>
              </w:rPr>
              <w:t>-216,000.00</w:t>
            </w: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216,000.00</w:t>
            </w: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216,000.00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700" w:right="0"/>
        </w:sectPr>
      </w:pPr>
    </w:p>
    <w:p>
      <w:pPr>
        <w:spacing w:line="240" w:lineRule="auto" w:before="11"/>
        <w:rPr>
          <w:rFonts w:ascii="宋体" w:hAnsi="宋体" w:cs="宋体" w:eastAsia="宋体" w:hint="default"/>
          <w:sz w:val="28"/>
          <w:szCs w:val="28"/>
        </w:rPr>
      </w:pPr>
    </w:p>
    <w:tbl>
      <w:tblPr>
        <w:tblW w:w="0" w:type="auto"/>
        <w:jc w:val="left"/>
        <w:tblInd w:w="131" w:type="dxa"/>
        <w:tblLayout w:type="fixed"/>
        <w:tblCellMar>
          <w:top w:w="0" w:type="dxa"/>
          <w:left w:w="0" w:type="dxa"/>
          <w:bottom w:w="0" w:type="dxa"/>
          <w:right w:w="0" w:type="dxa"/>
        </w:tblCellMar>
        <w:tblLook w:val="01E0"/>
      </w:tblPr>
      <w:tblGrid>
        <w:gridCol w:w="2670"/>
        <w:gridCol w:w="1863"/>
        <w:gridCol w:w="1609"/>
        <w:gridCol w:w="682"/>
        <w:gridCol w:w="3453"/>
      </w:tblGrid>
      <w:tr>
        <w:trPr>
          <w:trHeight w:val="634"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97"/>
              <w:jc w:val="left"/>
              <w:rPr>
                <w:rFonts w:ascii="宋体" w:hAnsi="宋体" w:cs="宋体" w:eastAsia="宋体" w:hint="default"/>
                <w:sz w:val="18"/>
                <w:szCs w:val="18"/>
              </w:rPr>
            </w:pPr>
            <w:r>
              <w:rPr>
                <w:rFonts w:ascii="宋体" w:hAnsi="宋体" w:cs="宋体" w:eastAsia="宋体" w:hint="default"/>
                <w:spacing w:val="5"/>
                <w:sz w:val="18"/>
                <w:szCs w:val="18"/>
              </w:rPr>
              <w:t>以公允价值计量且其变动计入</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其他综合收益的总金融资产</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216,000.00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1,942,145.00</w:t>
            </w:r>
          </w:p>
        </w:tc>
        <w:tc>
          <w:tcPr>
            <w:tcW w:w="682" w:type="dxa"/>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2,158,145.00</w:t>
            </w:r>
          </w:p>
        </w:tc>
      </w:tr>
      <w:tr>
        <w:trPr>
          <w:trHeight w:val="481" w:hRule="exact"/>
        </w:trPr>
        <w:tc>
          <w:tcPr>
            <w:tcW w:w="102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 </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金融负债</w:t>
            </w:r>
          </w:p>
        </w:tc>
      </w:tr>
      <w:tr>
        <w:trPr>
          <w:trHeight w:val="475" w:hRule="exact"/>
        </w:trPr>
        <w:tc>
          <w:tcPr>
            <w:tcW w:w="102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r>
      <w:tr>
        <w:trPr>
          <w:trHeight w:val="480"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167,177,351.38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240,797.26</w:t>
            </w:r>
          </w:p>
        </w:tc>
        <w:tc>
          <w:tcPr>
            <w:tcW w:w="682" w:type="dxa"/>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167,418,148.64</w:t>
            </w:r>
          </w:p>
        </w:tc>
      </w:tr>
      <w:tr>
        <w:trPr>
          <w:trHeight w:val="475"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13,306,710.05</w:t>
            </w:r>
          </w:p>
        </w:tc>
        <w:tc>
          <w:tcPr>
            <w:tcW w:w="1609"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13,306,710.05</w:t>
            </w:r>
          </w:p>
        </w:tc>
      </w:tr>
      <w:tr>
        <w:trPr>
          <w:trHeight w:val="480"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4"/>
              <w:jc w:val="right"/>
              <w:rPr>
                <w:rFonts w:ascii="Times New Roman" w:hAnsi="Times New Roman" w:cs="Times New Roman" w:eastAsia="Times New Roman" w:hint="default"/>
                <w:sz w:val="18"/>
                <w:szCs w:val="18"/>
              </w:rPr>
            </w:pPr>
            <w:r>
              <w:rPr>
                <w:rFonts w:ascii="Times New Roman"/>
                <w:spacing w:val="-1"/>
                <w:sz w:val="18"/>
              </w:rPr>
              <w:t>108,548,058.49</w:t>
            </w:r>
          </w:p>
        </w:tc>
        <w:tc>
          <w:tcPr>
            <w:tcW w:w="1609"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4"/>
              <w:jc w:val="right"/>
              <w:rPr>
                <w:rFonts w:ascii="Times New Roman" w:hAnsi="Times New Roman" w:cs="Times New Roman" w:eastAsia="Times New Roman" w:hint="default"/>
                <w:sz w:val="18"/>
                <w:szCs w:val="18"/>
              </w:rPr>
            </w:pPr>
            <w:r>
              <w:rPr>
                <w:rFonts w:ascii="Times New Roman"/>
                <w:spacing w:val="-1"/>
                <w:sz w:val="18"/>
              </w:rPr>
              <w:t>108,548,058.49</w:t>
            </w:r>
          </w:p>
        </w:tc>
      </w:tr>
      <w:tr>
        <w:trPr>
          <w:trHeight w:val="480"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4,346,822.36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-240,797.26</w:t>
            </w:r>
          </w:p>
        </w:tc>
        <w:tc>
          <w:tcPr>
            <w:tcW w:w="682" w:type="dxa"/>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4,106,025.10</w:t>
            </w:r>
          </w:p>
        </w:tc>
      </w:tr>
      <w:tr>
        <w:trPr>
          <w:trHeight w:val="475"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以摊余成本计量的总金融负债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293,378,942.28</w:t>
            </w:r>
          </w:p>
        </w:tc>
        <w:tc>
          <w:tcPr>
            <w:tcW w:w="1609"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293,378,942.28</w:t>
            </w:r>
          </w:p>
        </w:tc>
      </w:tr>
    </w:tbl>
    <w:p>
      <w:pPr>
        <w:spacing w:line="240" w:lineRule="auto" w:before="13"/>
        <w:rPr>
          <w:rFonts w:ascii="宋体" w:hAnsi="宋体" w:cs="宋体" w:eastAsia="宋体" w:hint="default"/>
          <w:sz w:val="12"/>
          <w:szCs w:val="12"/>
        </w:rPr>
      </w:pPr>
    </w:p>
    <w:p>
      <w:pPr>
        <w:pStyle w:val="BodyText"/>
        <w:spacing w:line="336" w:lineRule="auto" w:before="26"/>
        <w:ind w:left="453" w:right="1114" w:firstLine="480"/>
        <w:jc w:val="left"/>
      </w:pPr>
      <w:r>
        <w:rPr>
          <w:rFonts w:ascii="Times New Roman" w:hAnsi="Times New Roman" w:cs="Times New Roman" w:eastAsia="Times New Roman" w:hint="default"/>
        </w:rPr>
        <w:t>(4) 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日，公司原金融资产减值准备期末金额调整为按照新金融工具准则的</w:t>
      </w:r>
      <w:r>
        <w:rPr>
          <w:w w:val="99"/>
        </w:rPr>
        <w:t> </w:t>
      </w:r>
      <w:r>
        <w:rPr/>
        <w:t>规定进行分类和计量的新损失准备的调节表如下：</w:t>
      </w:r>
    </w:p>
    <w:p>
      <w:pPr>
        <w:spacing w:line="240" w:lineRule="auto" w:before="7"/>
        <w:rPr>
          <w:rFonts w:ascii="宋体" w:hAnsi="宋体" w:cs="宋体" w:eastAsia="宋体" w:hint="default"/>
          <w:sz w:val="13"/>
          <w:szCs w:val="13"/>
        </w:rPr>
      </w:pPr>
    </w:p>
    <w:tbl>
      <w:tblPr>
        <w:tblW w:w="0" w:type="auto"/>
        <w:jc w:val="left"/>
        <w:tblInd w:w="165" w:type="dxa"/>
        <w:tblLayout w:type="fixed"/>
        <w:tblCellMar>
          <w:top w:w="0" w:type="dxa"/>
          <w:left w:w="0" w:type="dxa"/>
          <w:bottom w:w="0" w:type="dxa"/>
          <w:right w:w="0" w:type="dxa"/>
        </w:tblCellMar>
        <w:tblLook w:val="01E0"/>
      </w:tblPr>
      <w:tblGrid>
        <w:gridCol w:w="1532"/>
        <w:gridCol w:w="2391"/>
        <w:gridCol w:w="1431"/>
        <w:gridCol w:w="1244"/>
        <w:gridCol w:w="3606"/>
      </w:tblGrid>
      <w:tr>
        <w:trPr>
          <w:trHeight w:val="1258" w:hRule="exact"/>
        </w:trPr>
        <w:tc>
          <w:tcPr>
            <w:tcW w:w="15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tabs>
                <w:tab w:pos="739" w:val="left" w:leader="none"/>
              </w:tabs>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110" w:right="0" w:firstLine="33"/>
              <w:jc w:val="left"/>
              <w:rPr>
                <w:rFonts w:ascii="宋体" w:hAnsi="宋体" w:cs="宋体" w:eastAsia="宋体" w:hint="default"/>
                <w:sz w:val="21"/>
                <w:szCs w:val="21"/>
              </w:rPr>
            </w:pPr>
            <w:r>
              <w:rPr>
                <w:rFonts w:ascii="宋体" w:hAnsi="宋体" w:cs="宋体" w:eastAsia="宋体" w:hint="default"/>
                <w:sz w:val="21"/>
                <w:szCs w:val="21"/>
              </w:rPr>
              <w:t>按原金融工具准则计提</w:t>
            </w:r>
          </w:p>
          <w:p>
            <w:pPr>
              <w:pStyle w:val="TableParagraph"/>
              <w:spacing w:line="256" w:lineRule="auto" w:before="37"/>
              <w:ind w:left="350" w:right="104" w:hanging="240"/>
              <w:jc w:val="left"/>
              <w:rPr>
                <w:rFonts w:ascii="宋体" w:hAnsi="宋体" w:cs="宋体" w:eastAsia="宋体" w:hint="default"/>
                <w:sz w:val="21"/>
                <w:szCs w:val="21"/>
              </w:rPr>
            </w:pPr>
            <w:r>
              <w:rPr>
                <w:rFonts w:ascii="宋体" w:hAnsi="宋体" w:cs="宋体" w:eastAsia="宋体" w:hint="default"/>
                <w:sz w:val="21"/>
                <w:szCs w:val="21"/>
              </w:rPr>
              <w:t>损失准备</w:t>
            </w:r>
            <w:r>
              <w:rPr>
                <w:rFonts w:ascii="Times New Roman" w:hAnsi="Times New Roman" w:cs="Times New Roman" w:eastAsia="Times New Roman" w:hint="default"/>
                <w:sz w:val="21"/>
                <w:szCs w:val="21"/>
              </w:rPr>
              <w:t>/</w:t>
            </w:r>
            <w:r>
              <w:rPr>
                <w:rFonts w:ascii="宋体" w:hAnsi="宋体" w:cs="宋体" w:eastAsia="宋体" w:hint="default"/>
                <w:sz w:val="21"/>
                <w:szCs w:val="21"/>
              </w:rPr>
              <w:t>按或有事项准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则确认的预计负债</w:t>
            </w:r>
          </w:p>
          <w:p>
            <w:pPr>
              <w:pStyle w:val="TableParagraph"/>
              <w:spacing w:line="240" w:lineRule="auto" w:before="23"/>
              <w:ind w:left="11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r>
          </w:p>
        </w:tc>
        <w:tc>
          <w:tcPr>
            <w:tcW w:w="14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2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36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按新金融工具准则计提损失准备</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80" w:hRule="exact"/>
        </w:trPr>
        <w:tc>
          <w:tcPr>
            <w:tcW w:w="102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07" w:right="0"/>
              <w:jc w:val="left"/>
              <w:rPr>
                <w:rFonts w:ascii="宋体" w:hAnsi="宋体" w:cs="宋体" w:eastAsia="宋体" w:hint="default"/>
                <w:sz w:val="21"/>
                <w:szCs w:val="21"/>
              </w:rPr>
            </w:pPr>
            <w:r>
              <w:rPr>
                <w:rFonts w:ascii="宋体" w:hAnsi="宋体" w:cs="宋体" w:eastAsia="宋体" w:hint="default"/>
                <w:sz w:val="21"/>
                <w:szCs w:val="21"/>
              </w:rPr>
              <w:t>贷款和应收款项（原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CAS22</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以摊余成本计量的金融资产（新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CAS22</w:t>
            </w:r>
            <w:r>
              <w:rPr>
                <w:rFonts w:ascii="宋体" w:hAnsi="宋体" w:cs="宋体" w:eastAsia="宋体" w:hint="default"/>
                <w:sz w:val="21"/>
                <w:szCs w:val="21"/>
              </w:rPr>
              <w:t>）</w:t>
            </w:r>
          </w:p>
        </w:tc>
      </w:tr>
      <w:tr>
        <w:trPr>
          <w:trHeight w:val="475"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50,587,983.73</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50,587,983.73</w:t>
            </w:r>
          </w:p>
        </w:tc>
      </w:tr>
      <w:tr>
        <w:trPr>
          <w:trHeight w:val="480"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4"/>
              <w:jc w:val="right"/>
              <w:rPr>
                <w:rFonts w:ascii="Times New Roman" w:hAnsi="Times New Roman" w:cs="Times New Roman" w:eastAsia="Times New Roman" w:hint="default"/>
                <w:sz w:val="21"/>
                <w:szCs w:val="21"/>
              </w:rPr>
            </w:pPr>
            <w:r>
              <w:rPr>
                <w:rFonts w:ascii="Times New Roman"/>
                <w:sz w:val="21"/>
              </w:rPr>
              <w:t>5,281,984.49</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4"/>
              <w:jc w:val="right"/>
              <w:rPr>
                <w:rFonts w:ascii="Times New Roman" w:hAnsi="Times New Roman" w:cs="Times New Roman" w:eastAsia="Times New Roman" w:hint="default"/>
                <w:sz w:val="21"/>
                <w:szCs w:val="21"/>
              </w:rPr>
            </w:pPr>
            <w:r>
              <w:rPr>
                <w:rFonts w:ascii="Times New Roman"/>
                <w:sz w:val="21"/>
              </w:rPr>
              <w:t>5,281,984.49</w:t>
            </w:r>
          </w:p>
        </w:tc>
      </w:tr>
      <w:tr>
        <w:trPr>
          <w:trHeight w:val="480"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tabs>
                <w:tab w:pos="868" w:val="left" w:leader="none"/>
              </w:tabs>
              <w:spacing w:line="240" w:lineRule="auto" w:before="66"/>
              <w:ind w:left="44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55,869,968.22</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55,869,968.22</w:t>
            </w:r>
          </w:p>
        </w:tc>
      </w:tr>
    </w:tbl>
    <w:p>
      <w:pPr>
        <w:spacing w:line="240" w:lineRule="auto" w:before="12"/>
        <w:rPr>
          <w:rFonts w:ascii="宋体" w:hAnsi="宋体" w:cs="宋体" w:eastAsia="宋体" w:hint="default"/>
          <w:sz w:val="12"/>
          <w:szCs w:val="12"/>
        </w:rPr>
      </w:pPr>
    </w:p>
    <w:p>
      <w:pPr>
        <w:pStyle w:val="BodyText"/>
        <w:spacing w:line="240" w:lineRule="auto" w:before="26"/>
        <w:ind w:left="93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7"/>
        </w:rPr>
        <w:t> </w:t>
      </w:r>
      <w:r>
        <w:rPr/>
        <w:t>本公司自</w:t>
      </w:r>
      <w:r>
        <w:rPr>
          <w:spacing w:val="-6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日起执行经修订的《企业会计准则第</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非货币性资产</w:t>
      </w:r>
    </w:p>
    <w:p>
      <w:pPr>
        <w:pStyle w:val="BodyText"/>
        <w:spacing w:line="333" w:lineRule="auto" w:before="138"/>
        <w:ind w:left="453" w:right="1132"/>
        <w:jc w:val="left"/>
      </w:pPr>
      <w:r>
        <w:rPr>
          <w:spacing w:val="-30"/>
        </w:rPr>
        <w:t>交换》，自</w:t>
      </w:r>
      <w:r>
        <w:rPr>
          <w:spacing w:val="-6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62"/>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spacing w:val="-2"/>
        </w:rPr>
        <w:t>日起执行经修订的《企业会计准则第</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13"/>
        </w:rPr>
        <w:t>号</w:t>
      </w:r>
      <w:r>
        <w:rPr>
          <w:rFonts w:ascii="Times New Roman" w:hAnsi="Times New Roman" w:cs="Times New Roman" w:eastAsia="Times New Roman" w:hint="default"/>
          <w:spacing w:val="-13"/>
        </w:rPr>
        <w:t>——</w:t>
      </w:r>
      <w:r>
        <w:rPr>
          <w:spacing w:val="-13"/>
        </w:rPr>
        <w:t>债务重组》。该项会</w:t>
      </w:r>
      <w:r>
        <w:rPr/>
        <w:t> 计政策变更采用未来适用法处理。</w:t>
      </w:r>
    </w:p>
    <w:p>
      <w:pPr>
        <w:spacing w:line="240" w:lineRule="auto" w:before="4"/>
        <w:rPr>
          <w:rFonts w:ascii="宋体" w:hAnsi="宋体" w:cs="宋体" w:eastAsia="宋体" w:hint="default"/>
          <w:sz w:val="21"/>
          <w:szCs w:val="21"/>
        </w:rPr>
      </w:pPr>
    </w:p>
    <w:p>
      <w:pPr>
        <w:pStyle w:val="Heading2"/>
        <w:spacing w:line="240" w:lineRule="auto"/>
        <w:ind w:left="453" w:right="1114"/>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7"/>
          <w:szCs w:val="27"/>
        </w:rPr>
      </w:pPr>
    </w:p>
    <w:p>
      <w:pPr>
        <w:spacing w:before="0"/>
        <w:ind w:left="4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71"/>
        <w:ind w:left="453" w:right="1114" w:firstLine="0"/>
        <w:jc w:val="left"/>
        <w:rPr>
          <w:rFonts w:ascii="宋体" w:hAnsi="宋体" w:cs="宋体" w:eastAsia="宋体" w:hint="default"/>
          <w:sz w:val="21"/>
          <w:szCs w:val="21"/>
        </w:rPr>
      </w:pPr>
      <w:r>
        <w:rPr>
          <w:rFonts w:ascii="宋体" w:hAnsi="宋体" w:cs="宋体" w:eastAsia="宋体" w:hint="default"/>
          <w:sz w:val="21"/>
          <w:szCs w:val="21"/>
        </w:rPr>
        <w:t>合并范围增加</w:t>
      </w: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2065"/>
        <w:gridCol w:w="2070"/>
        <w:gridCol w:w="2065"/>
        <w:gridCol w:w="2069"/>
        <w:gridCol w:w="2046"/>
      </w:tblGrid>
      <w:tr>
        <w:trPr>
          <w:trHeight w:val="542" w:hRule="exact"/>
        </w:trPr>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10"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03" w:right="0"/>
              <w:jc w:val="left"/>
              <w:rPr>
                <w:rFonts w:ascii="宋体" w:hAnsi="宋体" w:cs="宋体" w:eastAsia="宋体" w:hint="default"/>
                <w:sz w:val="21"/>
                <w:szCs w:val="21"/>
              </w:rPr>
            </w:pPr>
            <w:r>
              <w:rPr>
                <w:rFonts w:ascii="宋体" w:hAnsi="宋体" w:cs="宋体" w:eastAsia="宋体" w:hint="default"/>
                <w:sz w:val="21"/>
                <w:szCs w:val="21"/>
              </w:rPr>
              <w:t>出资额（元）</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95" w:right="0"/>
              <w:jc w:val="left"/>
              <w:rPr>
                <w:rFonts w:ascii="宋体" w:hAnsi="宋体" w:cs="宋体" w:eastAsia="宋体" w:hint="default"/>
                <w:sz w:val="21"/>
                <w:szCs w:val="21"/>
              </w:rPr>
            </w:pPr>
            <w:r>
              <w:rPr>
                <w:rFonts w:ascii="宋体" w:hAnsi="宋体" w:cs="宋体" w:eastAsia="宋体" w:hint="default"/>
                <w:sz w:val="21"/>
                <w:szCs w:val="21"/>
              </w:rPr>
              <w:t>出资比例</w:t>
            </w:r>
          </w:p>
        </w:tc>
      </w:tr>
      <w:tr>
        <w:trPr>
          <w:trHeight w:val="538" w:hRule="exact"/>
        </w:trPr>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04" w:right="0"/>
              <w:jc w:val="left"/>
              <w:rPr>
                <w:rFonts w:ascii="宋体" w:hAnsi="宋体" w:cs="宋体" w:eastAsia="宋体" w:hint="default"/>
                <w:sz w:val="21"/>
                <w:szCs w:val="21"/>
              </w:rPr>
            </w:pPr>
            <w:r>
              <w:rPr>
                <w:rFonts w:ascii="宋体" w:hAnsi="宋体" w:cs="宋体" w:eastAsia="宋体" w:hint="default"/>
                <w:sz w:val="21"/>
                <w:szCs w:val="21"/>
              </w:rPr>
              <w:t>双旗智慧</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宋体" w:hAnsi="宋体" w:cs="宋体" w:eastAsia="宋体" w:hint="default"/>
                <w:sz w:val="21"/>
                <w:szCs w:val="21"/>
              </w:rPr>
            </w:pPr>
            <w:r>
              <w:rPr>
                <w:rFonts w:ascii="宋体" w:hAnsi="宋体" w:cs="宋体" w:eastAsia="宋体" w:hint="default"/>
                <w:sz w:val="21"/>
                <w:szCs w:val="21"/>
              </w:rPr>
              <w:t>新设子公司</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50" w:right="0"/>
              <w:jc w:val="left"/>
              <w:rPr>
                <w:rFonts w:ascii="Times New Roman" w:hAnsi="Times New Roman" w:cs="Times New Roman" w:eastAsia="Times New Roman" w:hint="default"/>
                <w:sz w:val="21"/>
                <w:szCs w:val="21"/>
              </w:rPr>
            </w:pPr>
            <w:r>
              <w:rPr>
                <w:rFonts w:ascii="Times New Roman"/>
                <w:sz w:val="21"/>
              </w:rPr>
              <w:t>2,550,000.00</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right"/>
              <w:rPr>
                <w:rFonts w:ascii="Times New Roman" w:hAnsi="Times New Roman" w:cs="Times New Roman" w:eastAsia="Times New Roman" w:hint="default"/>
                <w:sz w:val="21"/>
                <w:szCs w:val="21"/>
              </w:rPr>
            </w:pPr>
            <w:r>
              <w:rPr>
                <w:rFonts w:ascii="Times New Roman"/>
                <w:sz w:val="21"/>
              </w:rPr>
              <w:t>51.00%</w:t>
            </w:r>
          </w:p>
        </w:tc>
      </w:tr>
    </w:tbl>
    <w:p>
      <w:pPr>
        <w:spacing w:after="0" w:line="240" w:lineRule="auto"/>
        <w:jc w:val="right"/>
        <w:rPr>
          <w:rFonts w:ascii="Times New Roman" w:hAnsi="Times New Roman" w:cs="Times New Roman" w:eastAsia="Times New Roman" w:hint="default"/>
          <w:sz w:val="21"/>
          <w:szCs w:val="21"/>
        </w:rPr>
        <w:sectPr>
          <w:pgSz w:w="11910" w:h="16840"/>
          <w:pgMar w:header="741" w:footer="979" w:top="1060" w:bottom="1160" w:left="680" w:right="0"/>
        </w:sectPr>
      </w:pPr>
    </w:p>
    <w:p>
      <w:pPr>
        <w:spacing w:line="240" w:lineRule="auto" w:before="10"/>
        <w:rPr>
          <w:rFonts w:ascii="宋体" w:hAnsi="宋体" w:cs="宋体" w:eastAsia="宋体" w:hint="default"/>
          <w:sz w:val="23"/>
          <w:szCs w:val="23"/>
        </w:rPr>
      </w:pPr>
    </w:p>
    <w:p>
      <w:pPr>
        <w:pStyle w:val="Heading2"/>
        <w:spacing w:line="240" w:lineRule="auto" w:before="26"/>
        <w:ind w:left="453" w:right="1114"/>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3"/>
        <w:rPr>
          <w:rFonts w:ascii="宋体" w:hAnsi="宋体" w:cs="宋体" w:eastAsia="宋体" w:hint="default"/>
          <w:b/>
          <w:bCs/>
          <w:sz w:val="27"/>
          <w:szCs w:val="27"/>
        </w:rPr>
      </w:pPr>
    </w:p>
    <w:p>
      <w:pPr>
        <w:spacing w:before="0"/>
        <w:ind w:left="453" w:right="1114" w:firstLine="0"/>
        <w:jc w:val="left"/>
        <w:rPr>
          <w:rFonts w:ascii="宋体" w:hAnsi="宋体" w:cs="宋体" w:eastAsia="宋体" w:hint="default"/>
          <w:sz w:val="18"/>
          <w:szCs w:val="18"/>
        </w:rPr>
      </w:pPr>
      <w:r>
        <w:rPr>
          <w:rFonts w:ascii="宋体" w:hAnsi="宋体" w:cs="宋体" w:eastAsia="宋体" w:hint="default"/>
          <w:spacing w:val="-3"/>
          <w:sz w:val="18"/>
          <w:szCs w:val="18"/>
        </w:rPr>
        <w:t>现聘任的会计事务所</w:t>
      </w:r>
    </w:p>
    <w:p>
      <w:pPr>
        <w:spacing w:line="240" w:lineRule="auto" w:before="8"/>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5234"/>
        <w:gridCol w:w="5100"/>
      </w:tblGrid>
      <w:tr>
        <w:trPr>
          <w:trHeight w:val="404" w:hRule="exact"/>
        </w:trPr>
        <w:tc>
          <w:tcPr>
            <w:tcW w:w="5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天健会计师事务所（特殊普通合伙）</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85</w:t>
            </w:r>
          </w:p>
        </w:tc>
      </w:tr>
      <w:tr>
        <w:trPr>
          <w:trHeight w:val="398" w:hRule="exact"/>
        </w:trPr>
        <w:tc>
          <w:tcPr>
            <w:tcW w:w="5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潘晶晶、罗衡</w:t>
            </w:r>
          </w:p>
        </w:tc>
      </w:tr>
      <w:tr>
        <w:trPr>
          <w:trHeight w:val="404" w:hRule="exact"/>
        </w:trPr>
        <w:tc>
          <w:tcPr>
            <w:tcW w:w="5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潘晶晶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年、罗衡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before="53"/>
        <w:ind w:left="453" w:right="1114"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9"/>
        <w:ind w:left="453" w:right="55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聘请内部控制审计会计师事务所、财务顾问或保荐人情况</w:t>
      </w:r>
    </w:p>
    <w:p>
      <w:pPr>
        <w:spacing w:before="41"/>
        <w:ind w:left="4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left="453" w:right="1114"/>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7"/>
          <w:szCs w:val="27"/>
        </w:rPr>
      </w:pPr>
    </w:p>
    <w:p>
      <w:pPr>
        <w:spacing w:before="0"/>
        <w:ind w:left="4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left="453" w:right="1114"/>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7"/>
        <w:rPr>
          <w:rFonts w:ascii="宋体" w:hAnsi="宋体" w:cs="宋体" w:eastAsia="宋体" w:hint="default"/>
          <w:b/>
          <w:bCs/>
          <w:sz w:val="27"/>
          <w:szCs w:val="27"/>
        </w:rPr>
      </w:pPr>
    </w:p>
    <w:p>
      <w:pPr>
        <w:spacing w:line="338" w:lineRule="auto" w:before="0"/>
        <w:ind w:left="4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公司报告期未发生破产重整相关事项。</w:t>
      </w:r>
    </w:p>
    <w:p>
      <w:pPr>
        <w:spacing w:line="240" w:lineRule="auto" w:before="4"/>
        <w:rPr>
          <w:rFonts w:ascii="宋体" w:hAnsi="宋体" w:cs="宋体" w:eastAsia="宋体" w:hint="default"/>
          <w:sz w:val="18"/>
          <w:szCs w:val="18"/>
        </w:rPr>
      </w:pPr>
    </w:p>
    <w:p>
      <w:pPr>
        <w:pStyle w:val="Heading2"/>
        <w:spacing w:line="240" w:lineRule="auto"/>
        <w:ind w:left="453" w:right="1114"/>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8"/>
        <w:rPr>
          <w:rFonts w:ascii="宋体" w:hAnsi="宋体" w:cs="宋体" w:eastAsia="宋体" w:hint="default"/>
          <w:b/>
          <w:bCs/>
          <w:sz w:val="27"/>
          <w:szCs w:val="27"/>
        </w:rPr>
      </w:pPr>
    </w:p>
    <w:p>
      <w:pPr>
        <w:spacing w:line="343" w:lineRule="auto" w:before="0"/>
        <w:ind w:left="4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本年度公司无重大诉讼、仲裁事项。</w:t>
      </w:r>
    </w:p>
    <w:p>
      <w:pPr>
        <w:spacing w:line="240" w:lineRule="auto" w:before="1"/>
        <w:rPr>
          <w:rFonts w:ascii="宋体" w:hAnsi="宋体" w:cs="宋体" w:eastAsia="宋体" w:hint="default"/>
          <w:sz w:val="18"/>
          <w:szCs w:val="18"/>
        </w:rPr>
      </w:pPr>
    </w:p>
    <w:p>
      <w:pPr>
        <w:pStyle w:val="Heading2"/>
        <w:spacing w:line="240" w:lineRule="auto"/>
        <w:ind w:left="453" w:right="1114"/>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8"/>
        <w:rPr>
          <w:rFonts w:ascii="宋体" w:hAnsi="宋体" w:cs="宋体" w:eastAsia="宋体" w:hint="default"/>
          <w:b/>
          <w:bCs/>
          <w:sz w:val="27"/>
          <w:szCs w:val="27"/>
        </w:rPr>
      </w:pPr>
    </w:p>
    <w:p>
      <w:pPr>
        <w:spacing w:line="338" w:lineRule="auto" w:before="0"/>
        <w:ind w:left="4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公司报告期不存在处罚及整改情况。</w:t>
      </w:r>
    </w:p>
    <w:p>
      <w:pPr>
        <w:spacing w:line="240" w:lineRule="auto" w:before="9"/>
        <w:rPr>
          <w:rFonts w:ascii="宋体" w:hAnsi="宋体" w:cs="宋体" w:eastAsia="宋体" w:hint="default"/>
          <w:sz w:val="18"/>
          <w:szCs w:val="18"/>
        </w:rPr>
      </w:pPr>
    </w:p>
    <w:p>
      <w:pPr>
        <w:pStyle w:val="Heading2"/>
        <w:spacing w:line="240" w:lineRule="auto"/>
        <w:ind w:left="453" w:right="1114"/>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8"/>
        <w:rPr>
          <w:rFonts w:ascii="宋体" w:hAnsi="宋体" w:cs="宋体" w:eastAsia="宋体" w:hint="default"/>
          <w:b/>
          <w:bCs/>
          <w:sz w:val="27"/>
          <w:szCs w:val="27"/>
        </w:rPr>
      </w:pPr>
    </w:p>
    <w:p>
      <w:pPr>
        <w:spacing w:before="0"/>
        <w:ind w:left="4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left="453" w:right="1114"/>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spacing w:before="0"/>
        <w:ind w:left="4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40" w:lineRule="auto" w:before="127"/>
        <w:ind w:left="453" w:right="1120" w:firstLine="480"/>
        <w:jc w:val="left"/>
        <w:rPr>
          <w:rFonts w:ascii="Times New Roman" w:hAnsi="Times New Roman" w:cs="Times New Roman" w:eastAsia="Times New Roman" w:hint="default"/>
        </w:rPr>
      </w:pPr>
      <w:r>
        <w:rPr/>
        <w:t>（一）</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日，公司召开第二届董事会第二十二次会议，审议通过了《关于</w:t>
      </w:r>
      <w:r>
        <w:rPr>
          <w:rFonts w:ascii="Times New Roman" w:hAnsi="Times New Roman" w:cs="Times New Roman" w:eastAsia="Times New Roman" w:hint="default"/>
        </w:rPr>
        <w:t>&lt;</w:t>
      </w:r>
      <w:r>
        <w:rPr/>
        <w:t>浙 江正元智慧科技股份有限公司</w:t>
      </w:r>
      <w:r>
        <w:rPr>
          <w:rFonts w:ascii="Times New Roman" w:hAnsi="Times New Roman" w:cs="Times New Roman" w:eastAsia="Times New Roman" w:hint="default"/>
        </w:rPr>
        <w:t>2018</w:t>
      </w:r>
      <w:r>
        <w:rPr/>
        <w:t>年股票期权激励计划（草案）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p>
    <w:p>
      <w:pPr>
        <w:spacing w:after="0" w:line="340" w:lineRule="auto"/>
        <w:jc w:val="left"/>
        <w:rPr>
          <w:rFonts w:ascii="Times New Roman" w:hAnsi="Times New Roman" w:cs="Times New Roman" w:eastAsia="Times New Roman" w:hint="default"/>
        </w:rPr>
        <w:sectPr>
          <w:pgSz w:w="11910" w:h="16840"/>
          <w:pgMar w:header="741" w:footer="979" w:top="1060" w:bottom="1160" w:left="680" w:right="0"/>
        </w:sectPr>
      </w:pPr>
    </w:p>
    <w:p>
      <w:pPr>
        <w:spacing w:line="240" w:lineRule="auto" w:before="0"/>
        <w:rPr>
          <w:rFonts w:ascii="Times New Roman" w:hAnsi="Times New Roman" w:cs="Times New Roman" w:eastAsia="Times New Roman" w:hint="default"/>
          <w:sz w:val="20"/>
          <w:szCs w:val="20"/>
        </w:rPr>
      </w:pPr>
    </w:p>
    <w:p>
      <w:pPr>
        <w:pStyle w:val="BodyText"/>
        <w:spacing w:line="338" w:lineRule="auto" w:before="188"/>
        <w:ind w:right="1127"/>
        <w:jc w:val="both"/>
      </w:pPr>
      <w:r>
        <w:rPr>
          <w:spacing w:val="-3"/>
        </w:rPr>
        <w:t>浙江正元智慧科技股份有限公司</w:t>
      </w:r>
      <w:r>
        <w:rPr>
          <w:rFonts w:ascii="Times New Roman" w:hAnsi="Times New Roman" w:cs="Times New Roman" w:eastAsia="Times New Roman" w:hint="default"/>
          <w:spacing w:val="-3"/>
        </w:rPr>
        <w:t>2018</w:t>
      </w:r>
      <w:r>
        <w:rPr>
          <w:spacing w:val="-3"/>
        </w:rPr>
        <w:t>年股票期权激励计划实施考核管理办法</w:t>
      </w:r>
      <w:r>
        <w:rPr>
          <w:rFonts w:ascii="Times New Roman" w:hAnsi="Times New Roman" w:cs="Times New Roman" w:eastAsia="Times New Roman" w:hint="default"/>
          <w:spacing w:val="-3"/>
        </w:rPr>
        <w:t>&gt;</w:t>
      </w:r>
      <w:r>
        <w:rPr>
          <w:spacing w:val="-3"/>
        </w:rPr>
        <w:t>的议案》《关于</w:t>
      </w:r>
      <w:r>
        <w:rPr>
          <w:spacing w:val="-86"/>
        </w:rPr>
        <w:t> </w:t>
      </w:r>
      <w:r>
        <w:rPr>
          <w:spacing w:val="-86"/>
        </w:rPr>
      </w:r>
      <w:r>
        <w:rPr/>
        <w:t>提请股东大会授权董事会办理</w:t>
      </w:r>
      <w:r>
        <w:rPr>
          <w:rFonts w:ascii="Times New Roman" w:hAnsi="Times New Roman" w:cs="Times New Roman" w:eastAsia="Times New Roman" w:hint="default"/>
        </w:rPr>
        <w:t>2018</w:t>
      </w:r>
      <w:r>
        <w:rPr/>
        <w:t>年股票期权激励计划相关事宜的议案》，公司独立董事对 本次激励计划议案发表了独立意见。</w:t>
      </w:r>
    </w:p>
    <w:p>
      <w:pPr>
        <w:pStyle w:val="BodyText"/>
        <w:spacing w:line="338" w:lineRule="auto" w:before="53"/>
        <w:ind w:right="1127" w:firstLine="480"/>
        <w:jc w:val="both"/>
      </w:pPr>
      <w:r>
        <w:rPr/>
        <w:t>（二）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日，公司召开第二届监事会第十二次会议，审议通过了《关于</w:t>
      </w:r>
      <w:r>
        <w:rPr>
          <w:rFonts w:ascii="Times New Roman" w:hAnsi="Times New Roman" w:cs="Times New Roman" w:eastAsia="Times New Roman" w:hint="default"/>
        </w:rPr>
        <w:t>&lt;</w:t>
      </w:r>
      <w:r>
        <w:rPr/>
        <w:t>浙江 正元智慧科技股份有限公司</w:t>
      </w:r>
      <w:r>
        <w:rPr>
          <w:rFonts w:ascii="Times New Roman" w:hAnsi="Times New Roman" w:cs="Times New Roman" w:eastAsia="Times New Roman" w:hint="default"/>
        </w:rPr>
        <w:t>2018</w:t>
      </w:r>
      <w:r>
        <w:rPr/>
        <w:t>年股票期权激励计划（草案）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浙 </w:t>
      </w:r>
      <w:r>
        <w:rPr>
          <w:spacing w:val="-3"/>
        </w:rPr>
        <w:t>江正元智慧科技股份有限公司</w:t>
      </w:r>
      <w:r>
        <w:rPr>
          <w:rFonts w:ascii="Times New Roman" w:hAnsi="Times New Roman" w:cs="Times New Roman" w:eastAsia="Times New Roman" w:hint="default"/>
          <w:spacing w:val="-3"/>
        </w:rPr>
        <w:t>2018</w:t>
      </w:r>
      <w:r>
        <w:rPr>
          <w:spacing w:val="-3"/>
        </w:rPr>
        <w:t>年股票期权激励计划实施考核管理办法</w:t>
      </w:r>
      <w:r>
        <w:rPr>
          <w:rFonts w:ascii="Times New Roman" w:hAnsi="Times New Roman" w:cs="Times New Roman" w:eastAsia="Times New Roman" w:hint="default"/>
          <w:spacing w:val="-3"/>
        </w:rPr>
        <w:t>&gt;</w:t>
      </w:r>
      <w:r>
        <w:rPr>
          <w:spacing w:val="-3"/>
        </w:rPr>
        <w:t>的议案》《关于核</w:t>
      </w:r>
      <w:r>
        <w:rPr>
          <w:spacing w:val="-87"/>
        </w:rPr>
        <w:t> </w:t>
      </w:r>
      <w:r>
        <w:rPr>
          <w:spacing w:val="-87"/>
        </w:rPr>
      </w:r>
      <w:r>
        <w:rPr/>
        <w:t>查公司</w:t>
      </w:r>
      <w:r>
        <w:rPr>
          <w:rFonts w:ascii="Times New Roman" w:hAnsi="Times New Roman" w:cs="Times New Roman" w:eastAsia="Times New Roman" w:hint="default"/>
        </w:rPr>
        <w:t>2018</w:t>
      </w:r>
      <w:r>
        <w:rPr/>
        <w:t>年股票期权激励计划激励对象名单的议案》。</w:t>
      </w:r>
    </w:p>
    <w:p>
      <w:pPr>
        <w:pStyle w:val="BodyText"/>
        <w:spacing w:line="345" w:lineRule="auto" w:before="24"/>
        <w:ind w:right="0" w:firstLine="480"/>
        <w:jc w:val="left"/>
      </w:pPr>
      <w:r>
        <w:rPr/>
        <w:t>（三）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日，公司对</w:t>
      </w:r>
      <w:r>
        <w:rPr>
          <w:rFonts w:ascii="Times New Roman" w:hAnsi="Times New Roman" w:cs="Times New Roman" w:eastAsia="Times New Roman" w:hint="default"/>
        </w:rPr>
        <w:t>2018</w:t>
      </w:r>
      <w:r>
        <w:rPr/>
        <w:t>年股票期权激励计划拟激励对象的 姓名、职务予在公司内部网站上进行了公示，在公示期内，监事会未接到任何对公司本次激 励计划拟激励对象提出的异议。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日，公司召开第二届监事会第十三次会议，审议 </w:t>
      </w:r>
      <w:r>
        <w:rPr>
          <w:spacing w:val="-5"/>
        </w:rPr>
        <w:t>通过了《监事会关于公司</w:t>
      </w:r>
      <w:r>
        <w:rPr>
          <w:rFonts w:ascii="Times New Roman" w:hAnsi="Times New Roman" w:cs="Times New Roman" w:eastAsia="Times New Roman" w:hint="default"/>
          <w:spacing w:val="-5"/>
        </w:rPr>
        <w:t>2018</w:t>
      </w:r>
      <w:r>
        <w:rPr>
          <w:spacing w:val="-5"/>
        </w:rPr>
        <w:t>年股票期权激励计划激励对象名单的核查意见及公示情况说明》。</w:t>
      </w:r>
    </w:p>
    <w:p>
      <w:pPr>
        <w:pStyle w:val="BodyText"/>
        <w:spacing w:line="338" w:lineRule="auto" w:before="16"/>
        <w:ind w:right="1127" w:firstLine="480"/>
        <w:jc w:val="both"/>
      </w:pPr>
      <w:r>
        <w:rPr/>
        <w:t>（四）</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日，公司召开</w:t>
      </w:r>
      <w:r>
        <w:rPr>
          <w:rFonts w:ascii="Times New Roman" w:hAnsi="Times New Roman" w:cs="Times New Roman" w:eastAsia="Times New Roman" w:hint="default"/>
        </w:rPr>
        <w:t>2018</w:t>
      </w:r>
      <w:r>
        <w:rPr/>
        <w:t>年第一次临时股东大会，审议通过了《关于</w:t>
      </w:r>
      <w:r>
        <w:rPr>
          <w:rFonts w:ascii="Times New Roman" w:hAnsi="Times New Roman" w:cs="Times New Roman" w:eastAsia="Times New Roman" w:hint="default"/>
        </w:rPr>
        <w:t>&lt;</w:t>
      </w:r>
      <w:r>
        <w:rPr/>
        <w:t>浙江 正元智慧科技股份有限公司</w:t>
      </w:r>
      <w:r>
        <w:rPr>
          <w:rFonts w:ascii="Times New Roman" w:hAnsi="Times New Roman" w:cs="Times New Roman" w:eastAsia="Times New Roman" w:hint="default"/>
        </w:rPr>
        <w:t>2018</w:t>
      </w:r>
      <w:r>
        <w:rPr/>
        <w:t>年股票期权激励计划（草案）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浙 </w:t>
      </w:r>
      <w:r>
        <w:rPr>
          <w:spacing w:val="-3"/>
        </w:rPr>
        <w:t>江正元智慧科技股份有限公司</w:t>
      </w:r>
      <w:r>
        <w:rPr>
          <w:rFonts w:ascii="Times New Roman" w:hAnsi="Times New Roman" w:cs="Times New Roman" w:eastAsia="Times New Roman" w:hint="default"/>
          <w:spacing w:val="-3"/>
        </w:rPr>
        <w:t>2018</w:t>
      </w:r>
      <w:r>
        <w:rPr>
          <w:spacing w:val="-3"/>
        </w:rPr>
        <w:t>年股票期权激励计划实施考核管理办法</w:t>
      </w:r>
      <w:r>
        <w:rPr>
          <w:rFonts w:ascii="Times New Roman" w:hAnsi="Times New Roman" w:cs="Times New Roman" w:eastAsia="Times New Roman" w:hint="default"/>
          <w:spacing w:val="-3"/>
        </w:rPr>
        <w:t>&gt;</w:t>
      </w:r>
      <w:r>
        <w:rPr>
          <w:spacing w:val="-3"/>
        </w:rPr>
        <w:t>的议案》《关于提</w:t>
      </w:r>
      <w:r>
        <w:rPr>
          <w:spacing w:val="-87"/>
        </w:rPr>
        <w:t> </w:t>
      </w:r>
      <w:r>
        <w:rPr>
          <w:spacing w:val="-87"/>
        </w:rPr>
      </w:r>
      <w:r>
        <w:rPr>
          <w:spacing w:val="-5"/>
        </w:rPr>
        <w:t>请股东大会授权董事会办理</w:t>
      </w:r>
      <w:r>
        <w:rPr>
          <w:rFonts w:ascii="Times New Roman" w:hAnsi="Times New Roman" w:cs="Times New Roman" w:eastAsia="Times New Roman" w:hint="default"/>
          <w:spacing w:val="-5"/>
        </w:rPr>
        <w:t>2018</w:t>
      </w:r>
      <w:r>
        <w:rPr>
          <w:spacing w:val="-5"/>
        </w:rPr>
        <w:t>年股票期权激励计划相关事宜的议案》，并披露了《关于</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38"/>
        </w:rPr>
        <w:t> </w:t>
      </w:r>
      <w:r>
        <w:rPr/>
        <w:t>年股票期权激励计划内幕信息知情人及激励对象买卖公司股票情况的自查报告》。</w:t>
      </w:r>
    </w:p>
    <w:p>
      <w:pPr>
        <w:pStyle w:val="BodyText"/>
        <w:spacing w:line="348" w:lineRule="auto" w:before="58"/>
        <w:ind w:right="1167" w:firstLine="480"/>
        <w:jc w:val="both"/>
      </w:pPr>
      <w:r>
        <w:rPr/>
        <w:t>（五）</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日，公司召开了第二届董事会第二十三次会议和第二届监事会第十四 次会议，审议通过《关于向激励对象授予股票期权的议案》，公司独立董事对相关事项发表 了独立意见，监事会对本次股票期权激励计划激励对象名单进行了核实。</w:t>
      </w:r>
    </w:p>
    <w:p>
      <w:pPr>
        <w:pStyle w:val="BodyText"/>
        <w:spacing w:line="338" w:lineRule="auto" w:before="43"/>
        <w:ind w:right="1119" w:firstLine="480"/>
        <w:jc w:val="left"/>
      </w:pPr>
      <w:r>
        <w:rPr>
          <w:spacing w:val="-2"/>
        </w:rPr>
        <w:t>（六）</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日，公司在巨潮资讯网披露了《关于</w:t>
      </w:r>
      <w:r>
        <w:rPr>
          <w:rFonts w:ascii="Times New Roman" w:hAnsi="Times New Roman" w:cs="Times New Roman" w:eastAsia="Times New Roman" w:hint="default"/>
          <w:spacing w:val="-2"/>
        </w:rPr>
        <w:t>2018</w:t>
      </w:r>
      <w:r>
        <w:rPr>
          <w:spacing w:val="-2"/>
        </w:rPr>
        <w:t>年股票期权激励计划授予登</w:t>
      </w:r>
      <w:r>
        <w:rPr/>
        <w:t> 记完成的公告》，公司向</w:t>
      </w:r>
      <w:r>
        <w:rPr>
          <w:rFonts w:ascii="Times New Roman" w:hAnsi="Times New Roman" w:cs="Times New Roman" w:eastAsia="Times New Roman" w:hint="default"/>
        </w:rPr>
        <w:t>176</w:t>
      </w:r>
      <w:r>
        <w:rPr/>
        <w:t>名激励对象授予股票期权，本次股票期权授予日为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 </w:t>
      </w:r>
      <w:r>
        <w:rPr/>
        <w:t>日，授予股票期权登记完成时间为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w:t>
      </w:r>
    </w:p>
    <w:p>
      <w:pPr>
        <w:pStyle w:val="BodyText"/>
        <w:spacing w:line="338" w:lineRule="auto" w:before="29"/>
        <w:ind w:right="1006" w:firstLine="480"/>
        <w:jc w:val="left"/>
      </w:pPr>
      <w:r>
        <w:rPr>
          <w:spacing w:val="-5"/>
        </w:rPr>
        <w:t>（七）</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23</w:t>
      </w:r>
      <w:r>
        <w:rPr>
          <w:spacing w:val="-5"/>
        </w:rPr>
        <w:t>日，公司召开的第三届董事会第六次会议和第三届监事会第六次会议，</w:t>
      </w:r>
      <w:r>
        <w:rPr/>
        <w:t> 审议通过了《关于调整公司</w:t>
      </w:r>
      <w:r>
        <w:rPr>
          <w:rFonts w:ascii="Times New Roman" w:hAnsi="Times New Roman" w:cs="Times New Roman" w:eastAsia="Times New Roman" w:hint="default"/>
        </w:rPr>
        <w:t>2018</w:t>
      </w:r>
      <w:r>
        <w:rPr/>
        <w:t>年股票期权激励计划股票期权数量及行权价格的议案》《关 于注销</w:t>
      </w:r>
      <w:r>
        <w:rPr>
          <w:rFonts w:ascii="Times New Roman" w:hAnsi="Times New Roman" w:cs="Times New Roman" w:eastAsia="Times New Roman" w:hint="default"/>
        </w:rPr>
        <w:t>2018</w:t>
      </w:r>
      <w:r>
        <w:rPr/>
        <w:t>年股票期权激励计划部分股票期权的议案》《关于</w:t>
      </w:r>
      <w:r>
        <w:rPr>
          <w:rFonts w:ascii="Times New Roman" w:hAnsi="Times New Roman" w:cs="Times New Roman" w:eastAsia="Times New Roman" w:hint="default"/>
        </w:rPr>
        <w:t>2018</w:t>
      </w:r>
      <w:r>
        <w:rPr/>
        <w:t>年股票期权激励计划第一 个行权期行权条件成就的议案》。</w:t>
      </w:r>
    </w:p>
    <w:p>
      <w:pPr>
        <w:pStyle w:val="BodyText"/>
        <w:spacing w:line="336" w:lineRule="auto" w:before="58"/>
        <w:ind w:left="633" w:right="1126"/>
        <w:jc w:val="left"/>
      </w:pPr>
      <w:r>
        <w:rPr>
          <w:rFonts w:ascii="Times New Roman" w:hAnsi="Times New Roman" w:cs="Times New Roman" w:eastAsia="Times New Roman" w:hint="default"/>
        </w:rPr>
        <w:t>1</w:t>
      </w:r>
      <w:r>
        <w:rPr/>
        <w:t>、期权数量及行权价格的调整 </w:t>
      </w:r>
      <w:r>
        <w:rPr>
          <w:spacing w:val="-5"/>
        </w:rPr>
        <w:t>因公司实施</w:t>
      </w:r>
      <w:r>
        <w:rPr>
          <w:rFonts w:ascii="Times New Roman" w:hAnsi="Times New Roman" w:cs="Times New Roman" w:eastAsia="Times New Roman" w:hint="default"/>
          <w:spacing w:val="-5"/>
        </w:rPr>
        <w:t>2018</w:t>
      </w:r>
      <w:r>
        <w:rPr>
          <w:spacing w:val="-5"/>
        </w:rPr>
        <w:t>年年度权益分派方案，董事会同意根据《公司</w:t>
      </w:r>
      <w:r>
        <w:rPr>
          <w:rFonts w:ascii="Times New Roman" w:hAnsi="Times New Roman" w:cs="Times New Roman" w:eastAsia="Times New Roman" w:hint="default"/>
          <w:spacing w:val="-5"/>
        </w:rPr>
        <w:t>2018</w:t>
      </w:r>
      <w:r>
        <w:rPr>
          <w:spacing w:val="-5"/>
        </w:rPr>
        <w:t>年股票期权激励计划》</w:t>
      </w:r>
    </w:p>
    <w:p>
      <w:pPr>
        <w:pStyle w:val="BodyText"/>
        <w:spacing w:line="240" w:lineRule="auto" w:before="31"/>
        <w:ind w:right="0"/>
        <w:jc w:val="both"/>
      </w:pPr>
      <w:r>
        <w:rPr/>
        <w:t>的规定及股东大会授权对公司</w:t>
      </w:r>
      <w:r>
        <w:rPr>
          <w:rFonts w:ascii="Times New Roman" w:hAnsi="Times New Roman" w:cs="Times New Roman" w:eastAsia="Times New Roman" w:hint="default"/>
        </w:rPr>
        <w:t>2018</w:t>
      </w:r>
      <w:r>
        <w:rPr/>
        <w:t>年股票期权激励计划股票期权数量及行权价格进行调整，</w:t>
      </w:r>
    </w:p>
    <w:p>
      <w:pPr>
        <w:spacing w:after="0" w:line="240"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240" w:lineRule="auto" w:before="26"/>
        <w:ind w:right="0"/>
        <w:jc w:val="left"/>
      </w:pPr>
      <w:r>
        <w:rPr/>
        <w:t>期权予数量由</w:t>
      </w:r>
      <w:r>
        <w:rPr>
          <w:rFonts w:ascii="Times New Roman" w:hAnsi="Times New Roman" w:cs="Times New Roman" w:eastAsia="Times New Roman" w:hint="default"/>
        </w:rPr>
        <w:t>300</w:t>
      </w:r>
      <w:r>
        <w:rPr/>
        <w:t>万份调整为</w:t>
      </w:r>
      <w:r>
        <w:rPr>
          <w:rFonts w:ascii="Times New Roman" w:hAnsi="Times New Roman" w:cs="Times New Roman" w:eastAsia="Times New Roman" w:hint="default"/>
        </w:rPr>
        <w:t>570</w:t>
      </w:r>
      <w:r>
        <w:rPr/>
        <w:t>万份，行权价格由</w:t>
      </w:r>
      <w:r>
        <w:rPr>
          <w:rFonts w:ascii="Times New Roman" w:hAnsi="Times New Roman" w:cs="Times New Roman" w:eastAsia="Times New Roman" w:hint="default"/>
        </w:rPr>
        <w:t>33.49</w:t>
      </w:r>
      <w:r>
        <w:rPr/>
        <w:t>元</w:t>
      </w:r>
      <w:r>
        <w:rPr>
          <w:rFonts w:ascii="Times New Roman" w:hAnsi="Times New Roman" w:cs="Times New Roman" w:eastAsia="Times New Roman" w:hint="default"/>
        </w:rPr>
        <w:t>/</w:t>
      </w:r>
      <w:r>
        <w:rPr/>
        <w:t>份调整为</w:t>
      </w:r>
      <w:r>
        <w:rPr>
          <w:rFonts w:ascii="Times New Roman" w:hAnsi="Times New Roman" w:cs="Times New Roman" w:eastAsia="Times New Roman" w:hint="default"/>
        </w:rPr>
        <w:t>17.55</w:t>
      </w:r>
      <w:r>
        <w:rPr/>
        <w:t>元</w:t>
      </w:r>
      <w:r>
        <w:rPr>
          <w:rFonts w:ascii="Times New Roman" w:hAnsi="Times New Roman" w:cs="Times New Roman" w:eastAsia="Times New Roman" w:hint="default"/>
        </w:rPr>
        <w:t>/</w:t>
      </w:r>
      <w:r>
        <w:rPr/>
        <w:t>份。</w:t>
      </w:r>
    </w:p>
    <w:p>
      <w:pPr>
        <w:pStyle w:val="BodyText"/>
        <w:spacing w:line="240" w:lineRule="auto" w:before="133"/>
        <w:ind w:left="633" w:right="0"/>
        <w:jc w:val="left"/>
      </w:pPr>
      <w:r>
        <w:rPr>
          <w:rFonts w:ascii="Times New Roman" w:hAnsi="Times New Roman" w:cs="Times New Roman" w:eastAsia="Times New Roman" w:hint="default"/>
        </w:rPr>
        <w:t>2</w:t>
      </w:r>
      <w:r>
        <w:rPr/>
        <w:t>、注销部分已授期权</w:t>
      </w:r>
    </w:p>
    <w:p>
      <w:pPr>
        <w:pStyle w:val="BodyText"/>
        <w:spacing w:line="338" w:lineRule="auto" w:before="138"/>
        <w:ind w:right="1151" w:firstLine="480"/>
        <w:jc w:val="left"/>
      </w:pPr>
      <w:r>
        <w:rPr/>
        <w:t>（</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2018</w:t>
      </w:r>
      <w:r>
        <w:rPr/>
        <w:t>年股票期权激励计划已获授股票期权的激励对象中，有</w:t>
      </w:r>
      <w:r>
        <w:rPr>
          <w:rFonts w:ascii="Times New Roman" w:hAnsi="Times New Roman" w:cs="Times New Roman" w:eastAsia="Times New Roman" w:hint="default"/>
        </w:rPr>
        <w:t>3</w:t>
      </w:r>
      <w:r>
        <w:rPr/>
        <w:t>人因个人原因离 职，根据《上市公司股权激励管理办法》《公司</w:t>
      </w:r>
      <w:r>
        <w:rPr>
          <w:rFonts w:ascii="Times New Roman" w:hAnsi="Times New Roman" w:cs="Times New Roman" w:eastAsia="Times New Roman" w:hint="default"/>
        </w:rPr>
        <w:t>2018</w:t>
      </w:r>
      <w:r>
        <w:rPr/>
        <w:t>年股票期权激励计划》等规定，上述</w:t>
      </w:r>
      <w:r>
        <w:rPr>
          <w:rFonts w:ascii="Times New Roman" w:hAnsi="Times New Roman" w:cs="Times New Roman" w:eastAsia="Times New Roman" w:hint="default"/>
        </w:rPr>
        <w:t>3 </w:t>
      </w:r>
      <w:r>
        <w:rPr/>
        <w:t>名离职人员已获授但尚未行权的</w:t>
      </w:r>
      <w:r>
        <w:rPr>
          <w:rFonts w:ascii="Times New Roman" w:hAnsi="Times New Roman" w:cs="Times New Roman" w:eastAsia="Times New Roman" w:hint="default"/>
        </w:rPr>
        <w:t>1.520</w:t>
      </w:r>
      <w:r>
        <w:rPr/>
        <w:t>万份股票期权不得行权，由公司进行注销。</w:t>
      </w:r>
    </w:p>
    <w:p>
      <w:pPr>
        <w:pStyle w:val="BodyText"/>
        <w:spacing w:line="338" w:lineRule="auto" w:before="24"/>
        <w:ind w:right="0" w:firstLine="480"/>
        <w:jc w:val="left"/>
      </w:pPr>
      <w:r>
        <w:rPr>
          <w:spacing w:val="-8"/>
          <w:w w:val="99"/>
        </w:rPr>
        <w:t>（</w:t>
      </w:r>
      <w:r>
        <w:rPr>
          <w:rFonts w:ascii="Times New Roman" w:hAnsi="Times New Roman" w:cs="Times New Roman" w:eastAsia="Times New Roman" w:hint="default"/>
          <w:spacing w:val="-8"/>
          <w:w w:val="99"/>
        </w:rPr>
        <w:t>2</w:t>
      </w:r>
      <w:r>
        <w:rPr>
          <w:spacing w:val="-8"/>
          <w:w w:val="99"/>
        </w:rPr>
        <w:t>）公司</w:t>
      </w:r>
      <w:r>
        <w:rPr>
          <w:rFonts w:ascii="Times New Roman" w:hAnsi="Times New Roman" w:cs="Times New Roman" w:eastAsia="Times New Roman" w:hint="default"/>
          <w:spacing w:val="-8"/>
          <w:w w:val="99"/>
        </w:rPr>
        <w:t>2018</w:t>
      </w:r>
      <w:r>
        <w:rPr>
          <w:spacing w:val="-8"/>
          <w:w w:val="99"/>
        </w:rPr>
        <w:t>年度绩效考核结果为：</w:t>
      </w:r>
      <w:r>
        <w:rPr>
          <w:rFonts w:ascii="Times New Roman" w:hAnsi="Times New Roman" w:cs="Times New Roman" w:eastAsia="Times New Roman" w:hint="default"/>
          <w:spacing w:val="-8"/>
          <w:w w:val="99"/>
        </w:rPr>
        <w:t>167</w:t>
      </w:r>
      <w:r>
        <w:rPr>
          <w:spacing w:val="-8"/>
          <w:w w:val="99"/>
        </w:rPr>
        <w:t>名激励对象考核结果为</w:t>
      </w:r>
      <w:r>
        <w:rPr>
          <w:rFonts w:ascii="Times New Roman" w:hAnsi="Times New Roman" w:cs="Times New Roman" w:eastAsia="Times New Roman" w:hint="default"/>
          <w:spacing w:val="-8"/>
          <w:w w:val="99"/>
        </w:rPr>
        <w:t>A</w:t>
      </w:r>
      <w:r>
        <w:rPr>
          <w:spacing w:val="-8"/>
          <w:w w:val="99"/>
        </w:rPr>
        <w:t>，对应的行权系数</w:t>
      </w:r>
      <w:r>
        <w:rPr>
          <w:rFonts w:ascii="Times New Roman" w:hAnsi="Times New Roman" w:cs="Times New Roman" w:eastAsia="Times New Roman" w:hint="default"/>
          <w:spacing w:val="-8"/>
          <w:w w:val="99"/>
        </w:rPr>
        <w:t>100%</w:t>
      </w:r>
      <w:r>
        <w:rPr>
          <w:spacing w:val="-8"/>
          <w:w w:val="99"/>
        </w:rPr>
        <w:t>，</w:t>
      </w:r>
      <w:r>
        <w:rPr/>
        <w:t> 可行权的股票期权额度为</w:t>
      </w:r>
      <w:r>
        <w:rPr>
          <w:rFonts w:ascii="Times New Roman" w:hAnsi="Times New Roman" w:cs="Times New Roman" w:eastAsia="Times New Roman" w:hint="default"/>
        </w:rPr>
        <w:t>271.700</w:t>
      </w:r>
      <w:r>
        <w:rPr/>
        <w:t>万份，不得行权的股票期权为</w:t>
      </w:r>
      <w:r>
        <w:rPr>
          <w:rFonts w:ascii="Times New Roman" w:hAnsi="Times New Roman" w:cs="Times New Roman" w:eastAsia="Times New Roman" w:hint="default"/>
        </w:rPr>
        <w:t>0</w:t>
      </w:r>
      <w:r>
        <w:rPr/>
        <w:t>万份；</w:t>
      </w:r>
      <w:r>
        <w:rPr>
          <w:rFonts w:ascii="Times New Roman" w:hAnsi="Times New Roman" w:cs="Times New Roman" w:eastAsia="Times New Roman" w:hint="default"/>
        </w:rPr>
        <w:t>1</w:t>
      </w:r>
      <w:r>
        <w:rPr/>
        <w:t>名激励对象考核结果 </w:t>
      </w:r>
      <w:r>
        <w:rPr>
          <w:spacing w:val="-5"/>
        </w:rPr>
        <w:t>为</w:t>
      </w:r>
      <w:r>
        <w:rPr>
          <w:rFonts w:ascii="Times New Roman" w:hAnsi="Times New Roman" w:cs="Times New Roman" w:eastAsia="Times New Roman" w:hint="default"/>
          <w:spacing w:val="-5"/>
        </w:rPr>
        <w:t>B</w:t>
      </w:r>
      <w:r>
        <w:rPr>
          <w:spacing w:val="-5"/>
        </w:rPr>
        <w:t>，对应的行权系数</w:t>
      </w:r>
      <w:r>
        <w:rPr>
          <w:rFonts w:ascii="Times New Roman" w:hAnsi="Times New Roman" w:cs="Times New Roman" w:eastAsia="Times New Roman" w:hint="default"/>
          <w:spacing w:val="-5"/>
        </w:rPr>
        <w:t>80%</w:t>
      </w:r>
      <w:r>
        <w:rPr>
          <w:spacing w:val="-5"/>
        </w:rPr>
        <w:t>，可行权的股票期权额度为</w:t>
      </w:r>
      <w:r>
        <w:rPr>
          <w:rFonts w:ascii="Times New Roman" w:hAnsi="Times New Roman" w:cs="Times New Roman" w:eastAsia="Times New Roman" w:hint="default"/>
          <w:spacing w:val="-5"/>
        </w:rPr>
        <w:t>2.736</w:t>
      </w:r>
      <w:r>
        <w:rPr>
          <w:spacing w:val="-5"/>
        </w:rPr>
        <w:t>万份，不得行权的股票期权为</w:t>
      </w:r>
      <w:r>
        <w:rPr>
          <w:rFonts w:ascii="Times New Roman" w:hAnsi="Times New Roman" w:cs="Times New Roman" w:eastAsia="Times New Roman" w:hint="default"/>
          <w:spacing w:val="-5"/>
        </w:rPr>
        <w:t>0.684</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万份；</w:t>
      </w:r>
      <w:r>
        <w:rPr>
          <w:rFonts w:ascii="Times New Roman" w:hAnsi="Times New Roman" w:cs="Times New Roman" w:eastAsia="Times New Roman" w:hint="default"/>
        </w:rPr>
        <w:t>0</w:t>
      </w:r>
      <w:r>
        <w:rPr/>
        <w:t>名激励对象考核结果为</w:t>
      </w:r>
      <w:r>
        <w:rPr>
          <w:rFonts w:ascii="Times New Roman" w:hAnsi="Times New Roman" w:cs="Times New Roman" w:eastAsia="Times New Roman" w:hint="default"/>
        </w:rPr>
        <w:t>C</w:t>
      </w:r>
      <w:r>
        <w:rPr/>
        <w:t>，对应的行权系数</w:t>
      </w:r>
      <w:r>
        <w:rPr>
          <w:rFonts w:ascii="Times New Roman" w:hAnsi="Times New Roman" w:cs="Times New Roman" w:eastAsia="Times New Roman" w:hint="default"/>
        </w:rPr>
        <w:t>50%</w:t>
      </w:r>
      <w:r>
        <w:rPr/>
        <w:t>，可行权的股票期权额度为</w:t>
      </w:r>
      <w:r>
        <w:rPr>
          <w:rFonts w:ascii="Times New Roman" w:hAnsi="Times New Roman" w:cs="Times New Roman" w:eastAsia="Times New Roman" w:hint="default"/>
        </w:rPr>
        <w:t>0</w:t>
      </w:r>
      <w:r>
        <w:rPr/>
        <w:t>万份，不 得行权的股票期权为</w:t>
      </w:r>
      <w:r>
        <w:rPr>
          <w:rFonts w:ascii="Times New Roman" w:hAnsi="Times New Roman" w:cs="Times New Roman" w:eastAsia="Times New Roman" w:hint="default"/>
        </w:rPr>
        <w:t>0</w:t>
      </w:r>
      <w:r>
        <w:rPr/>
        <w:t>万份；</w:t>
      </w:r>
      <w:r>
        <w:rPr>
          <w:rFonts w:ascii="Times New Roman" w:hAnsi="Times New Roman" w:cs="Times New Roman" w:eastAsia="Times New Roman" w:hint="default"/>
        </w:rPr>
        <w:t>5</w:t>
      </w:r>
      <w:r>
        <w:rPr/>
        <w:t>名激励对象考核结果为</w:t>
      </w:r>
      <w:r>
        <w:rPr>
          <w:rFonts w:ascii="Times New Roman" w:hAnsi="Times New Roman" w:cs="Times New Roman" w:eastAsia="Times New Roman" w:hint="default"/>
        </w:rPr>
        <w:t>D</w:t>
      </w:r>
      <w:r>
        <w:rPr/>
        <w:t>，对应的行权系数</w:t>
      </w:r>
      <w:r>
        <w:rPr>
          <w:rFonts w:ascii="Times New Roman" w:hAnsi="Times New Roman" w:cs="Times New Roman" w:eastAsia="Times New Roman" w:hint="default"/>
        </w:rPr>
        <w:t>0%</w:t>
      </w:r>
      <w:r>
        <w:rPr/>
        <w:t>，可行权的股票 期权额度为</w:t>
      </w:r>
      <w:r>
        <w:rPr>
          <w:rFonts w:ascii="Times New Roman" w:hAnsi="Times New Roman" w:cs="Times New Roman" w:eastAsia="Times New Roman" w:hint="default"/>
        </w:rPr>
        <w:t>0</w:t>
      </w:r>
      <w:r>
        <w:rPr/>
        <w:t>万份，不得行权的股票期权为</w:t>
      </w:r>
      <w:r>
        <w:rPr>
          <w:rFonts w:ascii="Times New Roman" w:hAnsi="Times New Roman" w:cs="Times New Roman" w:eastAsia="Times New Roman" w:hint="default"/>
        </w:rPr>
        <w:t>9.120</w:t>
      </w:r>
      <w:r>
        <w:rPr/>
        <w:t>万份。根据《公司</w:t>
      </w:r>
      <w:r>
        <w:rPr>
          <w:rFonts w:ascii="Times New Roman" w:hAnsi="Times New Roman" w:cs="Times New Roman" w:eastAsia="Times New Roman" w:hint="default"/>
        </w:rPr>
        <w:t>2018</w:t>
      </w:r>
      <w:r>
        <w:rPr/>
        <w:t>年股票期权激励计划 实施考核管理办法》相关规定，激励对象不得行权的股票期权由公司注销。</w:t>
      </w:r>
    </w:p>
    <w:p>
      <w:pPr>
        <w:pStyle w:val="BodyText"/>
        <w:spacing w:line="336" w:lineRule="auto" w:before="58"/>
        <w:ind w:left="633" w:right="1211"/>
        <w:jc w:val="left"/>
      </w:pPr>
      <w:r>
        <w:rPr>
          <w:rFonts w:ascii="Times New Roman" w:hAnsi="Times New Roman" w:cs="Times New Roman" w:eastAsia="Times New Roman" w:hint="default"/>
        </w:rPr>
        <w:t>3</w:t>
      </w:r>
      <w:r>
        <w:rPr/>
        <w:t>、第一个行权期行权条件成就 经审议，公司董事会同意注销不得行权的股票期权共计</w:t>
      </w:r>
      <w:r>
        <w:rPr>
          <w:rFonts w:ascii="Times New Roman" w:hAnsi="Times New Roman" w:cs="Times New Roman" w:eastAsia="Times New Roman" w:hint="default"/>
        </w:rPr>
        <w:t>11.324</w:t>
      </w:r>
      <w:r>
        <w:rPr/>
        <w:t>万份，注销后，</w:t>
      </w:r>
      <w:r>
        <w:rPr>
          <w:rFonts w:ascii="Times New Roman" w:hAnsi="Times New Roman" w:cs="Times New Roman" w:eastAsia="Times New Roman" w:hint="default"/>
        </w:rPr>
        <w:t>2018</w:t>
      </w:r>
      <w:r>
        <w:rPr/>
        <w:t>年股</w:t>
      </w:r>
    </w:p>
    <w:p>
      <w:pPr>
        <w:pStyle w:val="BodyText"/>
        <w:spacing w:line="240" w:lineRule="auto" w:before="32"/>
        <w:ind w:right="0"/>
        <w:jc w:val="left"/>
      </w:pPr>
      <w:r>
        <w:rPr/>
        <w:t>票期权激励计划第一个行权期可行权的激励对象人数为</w:t>
      </w:r>
      <w:r>
        <w:rPr>
          <w:rFonts w:ascii="Times New Roman" w:hAnsi="Times New Roman" w:cs="Times New Roman" w:eastAsia="Times New Roman" w:hint="default"/>
        </w:rPr>
        <w:t>168</w:t>
      </w:r>
      <w:r>
        <w:rPr/>
        <w:t>人，实际可行权股票期权数量为</w:t>
      </w:r>
    </w:p>
    <w:p>
      <w:pPr>
        <w:pStyle w:val="BodyText"/>
        <w:spacing w:line="240" w:lineRule="auto" w:before="133"/>
        <w:ind w:right="0"/>
        <w:jc w:val="left"/>
      </w:pPr>
      <w:r>
        <w:rPr>
          <w:rFonts w:ascii="Times New Roman" w:hAnsi="Times New Roman" w:cs="Times New Roman" w:eastAsia="Times New Roman" w:hint="default"/>
        </w:rPr>
        <w:t>274.436</w:t>
      </w:r>
      <w:r>
        <w:rPr/>
        <w:t>万份。</w:t>
      </w:r>
    </w:p>
    <w:p>
      <w:pPr>
        <w:spacing w:before="15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pStyle w:val="BodyText"/>
        <w:spacing w:line="336" w:lineRule="auto" w:before="132"/>
        <w:ind w:right="1121" w:firstLine="480"/>
        <w:jc w:val="left"/>
      </w:pPr>
      <w:r>
        <w:rPr>
          <w:spacing w:val="-2"/>
        </w:rPr>
        <w:t>本报告期计提股权激励费用</w:t>
      </w:r>
      <w:r>
        <w:rPr>
          <w:rFonts w:ascii="Times New Roman" w:hAnsi="Times New Roman" w:cs="Times New Roman" w:eastAsia="Times New Roman" w:hint="default"/>
          <w:spacing w:val="-2"/>
        </w:rPr>
        <w:t>404.45</w:t>
      </w:r>
      <w:r>
        <w:rPr>
          <w:spacing w:val="-2"/>
        </w:rPr>
        <w:t>万元，对公司净利润的影响为</w:t>
      </w:r>
      <w:r>
        <w:rPr>
          <w:rFonts w:ascii="Times New Roman" w:hAnsi="Times New Roman" w:cs="Times New Roman" w:eastAsia="Times New Roman" w:hint="default"/>
          <w:spacing w:val="-2"/>
        </w:rPr>
        <w:t>404.45</w:t>
      </w:r>
      <w:r>
        <w:rPr>
          <w:spacing w:val="-2"/>
        </w:rPr>
        <w:t>万元。其中核心技</w:t>
      </w:r>
      <w:r>
        <w:rPr/>
        <w:t> 术人员的股权激励费用为</w:t>
      </w:r>
      <w:r>
        <w:rPr>
          <w:rFonts w:ascii="Times New Roman" w:hAnsi="Times New Roman" w:cs="Times New Roman" w:eastAsia="Times New Roman" w:hint="default"/>
        </w:rPr>
        <w:t>162.69</w:t>
      </w:r>
      <w:r>
        <w:rPr/>
        <w:t>万元，占公司当期股权激励费用的</w:t>
      </w:r>
      <w:r>
        <w:rPr>
          <w:rFonts w:ascii="Times New Roman" w:hAnsi="Times New Roman" w:cs="Times New Roman" w:eastAsia="Times New Roman" w:hint="default"/>
        </w:rPr>
        <w:t>40.23%</w:t>
      </w:r>
      <w:r>
        <w:rPr/>
        <w:t>。</w:t>
      </w: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与日常经营相关的关联交易" w:id="79"/>
      <w:bookmarkEnd w:id="7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公司报告期未发生与日常经营相关的关联交易。</w:t>
      </w:r>
    </w:p>
    <w:p>
      <w:pPr>
        <w:spacing w:line="240" w:lineRule="auto" w:before="9"/>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2、资产或股权收购、出售发生的关联交易" w:id="80"/>
      <w:bookmarkEnd w:id="8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43" w:lineRule="auto" w:before="0"/>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公司报告期未发生资产或股权收购、出售的关联交易。</w:t>
      </w:r>
    </w:p>
    <w:p>
      <w:pPr>
        <w:spacing w:line="240" w:lineRule="auto" w:before="5"/>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3、共同对外投资的关联交易" w:id="81"/>
      <w:bookmarkEnd w:id="8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公司报告期未发生共同对外投资的关联交易。</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关联债权债务往来" w:id="82"/>
      <w:bookmarkEnd w:id="8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43"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公司报告期不存在关联债权债务往来。</w:t>
      </w:r>
    </w:p>
    <w:p>
      <w:pPr>
        <w:spacing w:line="240" w:lineRule="auto" w:before="5"/>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5、其他重大关联交易" w:id="83"/>
      <w:bookmarkEnd w:id="8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38" w:lineRule="auto" w:before="127"/>
        <w:ind w:right="1002" w:firstLine="48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日，公司召开第三届董事会第二次会议、第三届监事会第二次会议，审 议通过了《关于对外投资暨关联交易的议案》，同意公司以自有资金人民币</w:t>
      </w:r>
      <w:r>
        <w:rPr>
          <w:rFonts w:ascii="Times New Roman" w:hAnsi="Times New Roman" w:cs="Times New Roman" w:eastAsia="Times New Roman" w:hint="default"/>
        </w:rPr>
        <w:t>1,600</w:t>
      </w:r>
      <w:r>
        <w:rPr/>
        <w:t>万元向杭州 卓然实业有限公司（以下简称</w:t>
      </w:r>
      <w:r>
        <w:rPr>
          <w:rFonts w:ascii="Times New Roman" w:hAnsi="Times New Roman" w:cs="Times New Roman" w:eastAsia="Times New Roman" w:hint="default"/>
        </w:rPr>
        <w:t>“</w:t>
      </w:r>
      <w:r>
        <w:rPr/>
        <w:t>卓然实业</w:t>
      </w:r>
      <w:r>
        <w:rPr>
          <w:rFonts w:ascii="Times New Roman" w:hAnsi="Times New Roman" w:cs="Times New Roman" w:eastAsia="Times New Roman" w:hint="default"/>
        </w:rPr>
        <w:t>”</w:t>
      </w:r>
      <w:r>
        <w:rPr/>
        <w:t>）增资，其他股东同比例增资。增资后卓然实业注</w:t>
      </w:r>
      <w:r>
        <w:rPr>
          <w:spacing w:val="-72"/>
        </w:rPr>
        <w:t> </w:t>
      </w:r>
      <w:r>
        <w:rPr>
          <w:spacing w:val="-72"/>
        </w:rPr>
      </w:r>
      <w:r>
        <w:rPr>
          <w:spacing w:val="-5"/>
        </w:rPr>
        <w:t>册资本由人民币</w:t>
      </w:r>
      <w:r>
        <w:rPr>
          <w:rFonts w:ascii="Times New Roman" w:hAnsi="Times New Roman" w:cs="Times New Roman" w:eastAsia="Times New Roman" w:hint="default"/>
          <w:spacing w:val="-5"/>
        </w:rPr>
        <w:t>16,000</w:t>
      </w:r>
      <w:r>
        <w:rPr>
          <w:spacing w:val="-5"/>
        </w:rPr>
        <w:t>万元增加至</w:t>
      </w:r>
      <w:r>
        <w:rPr>
          <w:rFonts w:ascii="Times New Roman" w:hAnsi="Times New Roman" w:cs="Times New Roman" w:eastAsia="Times New Roman" w:hint="default"/>
          <w:spacing w:val="-5"/>
        </w:rPr>
        <w:t>20,000</w:t>
      </w:r>
      <w:r>
        <w:rPr>
          <w:spacing w:val="-5"/>
        </w:rPr>
        <w:t>万元，其中公司认缴出资额</w:t>
      </w:r>
      <w:r>
        <w:rPr>
          <w:rFonts w:ascii="Times New Roman" w:hAnsi="Times New Roman" w:cs="Times New Roman" w:eastAsia="Times New Roman" w:hint="default"/>
          <w:spacing w:val="-5"/>
        </w:rPr>
        <w:t>8,000</w:t>
      </w:r>
      <w:r>
        <w:rPr>
          <w:spacing w:val="-5"/>
        </w:rPr>
        <w:t>万元，出资比例</w:t>
      </w:r>
      <w:r>
        <w:rPr>
          <w:rFonts w:ascii="Times New Roman" w:hAnsi="Times New Roman" w:cs="Times New Roman" w:eastAsia="Times New Roman" w:hint="default"/>
          <w:spacing w:val="-5"/>
        </w:rPr>
        <w:t>40%</w:t>
      </w:r>
      <w:r>
        <w:rPr>
          <w:spacing w:val="-5"/>
        </w:rPr>
        <w:t>。</w:t>
      </w:r>
    </w:p>
    <w:p>
      <w:pPr>
        <w:pStyle w:val="BodyText"/>
        <w:spacing w:line="345" w:lineRule="auto" w:before="24"/>
        <w:ind w:right="1132"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日，公司召开第三届董事会第五次会议（临时会议）、第三届监事会第 五次会议（临时会议），审议通过了《关于对外投资暨关联交易的议案》，同意公司以自有</w:t>
      </w:r>
      <w:r>
        <w:rPr>
          <w:spacing w:val="-93"/>
        </w:rPr>
        <w:t> </w:t>
      </w:r>
      <w:r>
        <w:rPr>
          <w:spacing w:val="-93"/>
        </w:rPr>
      </w:r>
      <w:r>
        <w:rPr/>
        <w:t>资金人民币</w:t>
      </w:r>
      <w:r>
        <w:rPr>
          <w:rFonts w:ascii="Times New Roman" w:hAnsi="Times New Roman" w:cs="Times New Roman" w:eastAsia="Times New Roman" w:hint="default"/>
        </w:rPr>
        <w:t>2,000</w:t>
      </w:r>
      <w:r>
        <w:rPr/>
        <w:t>万元向卓然实业增资，增资后卓然实业注册资本由</w:t>
      </w:r>
      <w:r>
        <w:rPr>
          <w:rFonts w:ascii="Times New Roman" w:hAnsi="Times New Roman" w:cs="Times New Roman" w:eastAsia="Times New Roman" w:hint="default"/>
        </w:rPr>
        <w:t>20,000</w:t>
      </w:r>
      <w:r>
        <w:rPr/>
        <w:t>万元增加至</w:t>
      </w:r>
      <w:r>
        <w:rPr>
          <w:rFonts w:ascii="Times New Roman" w:hAnsi="Times New Roman" w:cs="Times New Roman" w:eastAsia="Times New Roman" w:hint="default"/>
        </w:rPr>
        <w:t>25,000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万元，其中公司认缴出资额</w:t>
      </w:r>
      <w:r>
        <w:rPr>
          <w:rFonts w:ascii="Times New Roman" w:hAnsi="Times New Roman" w:cs="Times New Roman" w:eastAsia="Times New Roman" w:hint="default"/>
        </w:rPr>
        <w:t>10,000</w:t>
      </w:r>
      <w:r>
        <w:rPr/>
        <w:t>万元，出资比例</w:t>
      </w:r>
      <w:r>
        <w:rPr>
          <w:rFonts w:ascii="Times New Roman" w:hAnsi="Times New Roman" w:cs="Times New Roman" w:eastAsia="Times New Roman" w:hint="default"/>
        </w:rPr>
        <w:t>40%</w:t>
      </w:r>
      <w:r>
        <w:rPr/>
        <w:t>。</w:t>
      </w:r>
    </w:p>
    <w:p>
      <w:pPr>
        <w:spacing w:before="29"/>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重大关联交易临时报告披露网站相关查询</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2"/>
        <w:gridCol w:w="2650"/>
        <w:gridCol w:w="3457"/>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399"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关于对外投资暨关联交易的公告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关于对外投资暨关联交易的公告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托管、承包、租赁事项情况" w:id="85"/>
      <w:bookmarkEnd w:id="8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托管情况" w:id="86"/>
      <w:bookmarkEnd w:id="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84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公司报告期不存在托管情况。</w:t>
      </w:r>
    </w:p>
    <w:p>
      <w:pPr>
        <w:spacing w:line="240" w:lineRule="auto" w:before="0"/>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承包情况" w:id="87"/>
      <w:bookmarkEnd w:id="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84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公司报告期不存在承包情况。</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3）租赁情况" w:id="88"/>
      <w:bookmarkEnd w:id="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84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租赁情况说明</w:t>
      </w:r>
    </w:p>
    <w:p>
      <w:pPr>
        <w:pStyle w:val="BodyText"/>
        <w:spacing w:line="338" w:lineRule="auto" w:before="67"/>
        <w:ind w:right="1127" w:firstLine="480"/>
        <w:jc w:val="both"/>
      </w:pPr>
      <w:r>
        <w:rPr>
          <w:spacing w:val="10"/>
        </w:rPr>
        <w:t>公司承租卓然实业位于杭州市余杭区舒心路</w:t>
      </w:r>
      <w:r>
        <w:rPr>
          <w:rFonts w:ascii="Times New Roman" w:hAnsi="Times New Roman" w:cs="Times New Roman" w:eastAsia="Times New Roman" w:hint="default"/>
          <w:spacing w:val="10"/>
        </w:rPr>
        <w:t>359</w:t>
      </w:r>
      <w:r>
        <w:rPr>
          <w:spacing w:val="10"/>
        </w:rPr>
        <w:t>号正元智慧大厦办公用房，租赁面积</w:t>
      </w:r>
      <w:r>
        <w:rPr/>
        <w:t> </w:t>
      </w:r>
      <w:r>
        <w:rPr>
          <w:rFonts w:ascii="Times New Roman" w:hAnsi="Times New Roman" w:cs="Times New Roman" w:eastAsia="Times New Roman" w:hint="default"/>
          <w:spacing w:val="-1"/>
        </w:rPr>
        <w:t>9,593.10</w:t>
      </w:r>
      <w:r>
        <w:rPr>
          <w:spacing w:val="-1"/>
        </w:rPr>
        <w:t>平方米，租金为</w:t>
      </w:r>
      <w:r>
        <w:rPr>
          <w:rFonts w:ascii="Times New Roman" w:hAnsi="Times New Roman" w:cs="Times New Roman" w:eastAsia="Times New Roman" w:hint="default"/>
          <w:spacing w:val="-1"/>
        </w:rPr>
        <w:t>1.5</w:t>
      </w:r>
      <w:r>
        <w:rPr>
          <w:spacing w:val="-1"/>
        </w:rPr>
        <w:t>元</w:t>
      </w:r>
      <w:r>
        <w:rPr>
          <w:rFonts w:ascii="Times New Roman" w:hAnsi="Times New Roman" w:cs="Times New Roman" w:eastAsia="Times New Roman" w:hint="default"/>
          <w:spacing w:val="-1"/>
        </w:rPr>
        <w:t>/</w:t>
      </w:r>
      <w:r>
        <w:rPr>
          <w:spacing w:val="-1"/>
        </w:rPr>
        <w:t>平方米</w:t>
      </w:r>
      <w:r>
        <w:rPr>
          <w:rFonts w:ascii="Times New Roman" w:hAnsi="Times New Roman" w:cs="Times New Roman" w:eastAsia="Times New Roman" w:hint="default"/>
          <w:spacing w:val="-1"/>
        </w:rPr>
        <w:t>·</w:t>
      </w:r>
      <w:r>
        <w:rPr>
          <w:spacing w:val="-1"/>
        </w:rPr>
        <w:t>天，按年支付，租赁期限自入驻之日起至</w:t>
      </w:r>
      <w:r>
        <w:rPr>
          <w:rFonts w:ascii="Times New Roman" w:hAnsi="Times New Roman" w:cs="Times New Roman" w:eastAsia="Times New Roman" w:hint="default"/>
          <w:spacing w:val="-1"/>
        </w:rPr>
        <w:t>2022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rPr>
        <w:t> </w:t>
      </w:r>
      <w:r>
        <w:rPr/>
        <w:t>日止，租金价格按每年递增</w:t>
      </w:r>
      <w:r>
        <w:rPr>
          <w:rFonts w:ascii="Times New Roman" w:hAnsi="Times New Roman" w:cs="Times New Roman" w:eastAsia="Times New Roman" w:hint="default"/>
        </w:rPr>
        <w:t>0.1</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天计算。</w:t>
      </w:r>
    </w:p>
    <w:p>
      <w:pPr>
        <w:spacing w:line="240" w:lineRule="auto" w:before="1"/>
        <w:rPr>
          <w:rFonts w:ascii="宋体" w:hAnsi="宋体" w:cs="宋体" w:eastAsia="宋体" w:hint="default"/>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为公司带来的损益达到公司报告期利润总额</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以上的项目</w:t>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公司报告期不存在为公司带来的损益达到公司报告期利润总额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重大担保" w:id="89"/>
      <w:bookmarkEnd w:id="8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担保情况" w:id="90"/>
      <w:bookmarkEnd w:id="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9"/>
        <w:gridCol w:w="927"/>
        <w:gridCol w:w="922"/>
        <w:gridCol w:w="1296"/>
        <w:gridCol w:w="1066"/>
        <w:gridCol w:w="1037"/>
        <w:gridCol w:w="1047"/>
        <w:gridCol w:w="792"/>
        <w:gridCol w:w="778"/>
      </w:tblGrid>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02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05"/>
              <w:jc w:val="right"/>
              <w:rPr>
                <w:rFonts w:ascii="宋体" w:hAnsi="宋体" w:cs="宋体" w:eastAsia="宋体" w:hint="default"/>
                <w:sz w:val="18"/>
                <w:szCs w:val="18"/>
              </w:rPr>
            </w:pPr>
            <w:r>
              <w:rPr>
                <w:rFonts w:ascii="宋体" w:hAnsi="宋体" w:cs="宋体" w:eastAsia="宋体" w:hint="default"/>
                <w:spacing w:val="-2"/>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89"/>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5" w:right="22"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05"/>
              <w:jc w:val="right"/>
              <w:rPr>
                <w:rFonts w:ascii="宋体" w:hAnsi="宋体" w:cs="宋体" w:eastAsia="宋体" w:hint="default"/>
                <w:sz w:val="18"/>
                <w:szCs w:val="18"/>
              </w:rPr>
            </w:pPr>
            <w:r>
              <w:rPr>
                <w:rFonts w:ascii="宋体" w:hAnsi="宋体" w:cs="宋体" w:eastAsia="宋体" w:hint="default"/>
                <w:spacing w:val="-2"/>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5" w:right="94"/>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06" w:right="27"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青岛天高</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150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3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广西筑波</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小兰智慧</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 w:right="79"/>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709"/>
        <w:gridCol w:w="898"/>
        <w:gridCol w:w="925"/>
        <w:gridCol w:w="1319"/>
        <w:gridCol w:w="1026"/>
        <w:gridCol w:w="1060"/>
        <w:gridCol w:w="1062"/>
        <w:gridCol w:w="776"/>
        <w:gridCol w:w="787"/>
      </w:tblGrid>
      <w:tr>
        <w:trPr>
          <w:trHeight w:val="720"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4"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5,100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0" w:right="71"/>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2,650</w:t>
            </w:r>
          </w:p>
        </w:tc>
      </w:tr>
      <w:tr>
        <w:trPr>
          <w:trHeight w:val="396"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79" w:right="82"/>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19" w:type="dxa"/>
            <w:vMerge w:val="restart"/>
            <w:tcBorders>
              <w:top w:val="single" w:sz="4" w:space="0" w:color="000000"/>
              <w:left w:val="single" w:sz="4" w:space="0" w:color="000000"/>
              <w:right w:val="single" w:sz="4" w:space="0" w:color="000000"/>
            </w:tcBorders>
            <w:shd w:val="clear" w:color="auto" w:fill="D2D2D2"/>
          </w:tcPr>
          <w:p>
            <w:pPr/>
          </w:p>
        </w:tc>
        <w:tc>
          <w:tcPr>
            <w:tcW w:w="10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0" w:type="dxa"/>
            <w:vMerge w:val="restart"/>
            <w:tcBorders>
              <w:top w:val="single" w:sz="4" w:space="0" w:color="000000"/>
              <w:left w:val="single" w:sz="4" w:space="0" w:color="000000"/>
              <w:right w:val="single" w:sz="4" w:space="0" w:color="000000"/>
            </w:tcBorders>
            <w:shd w:val="clear" w:color="auto" w:fill="D2D2D2"/>
          </w:tcPr>
          <w:p>
            <w:pPr/>
          </w:p>
        </w:tc>
        <w:tc>
          <w:tcPr>
            <w:tcW w:w="1062" w:type="dxa"/>
            <w:vMerge w:val="restart"/>
            <w:tcBorders>
              <w:top w:val="single" w:sz="4" w:space="0" w:color="000000"/>
              <w:left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19" w:type="dxa"/>
            <w:vMerge/>
            <w:tcBorders>
              <w:left w:val="single" w:sz="4" w:space="0" w:color="000000"/>
              <w:bottom w:val="nil" w:sz="6" w:space="0" w:color="auto"/>
              <w:right w:val="single" w:sz="4" w:space="0" w:color="000000"/>
            </w:tcBorders>
            <w:shd w:val="clear" w:color="auto" w:fill="D2D2D2"/>
          </w:tcPr>
          <w:p>
            <w:pPr/>
          </w:p>
        </w:tc>
        <w:tc>
          <w:tcPr>
            <w:tcW w:w="102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23" w:right="48"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0" w:type="dxa"/>
            <w:vMerge/>
            <w:tcBorders>
              <w:left w:val="single" w:sz="4" w:space="0" w:color="000000"/>
              <w:bottom w:val="nil" w:sz="6" w:space="0" w:color="auto"/>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94" w:right="22"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8" w:right="21"/>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89"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8"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26" w:type="dxa"/>
            <w:vMerge/>
            <w:tcBorders>
              <w:left w:val="single" w:sz="4" w:space="0" w:color="000000"/>
              <w:right w:val="single" w:sz="4" w:space="0" w:color="000000"/>
            </w:tcBorders>
            <w:shd w:val="clear" w:color="auto" w:fill="D2D2D2"/>
          </w:tcPr>
          <w:p>
            <w:pPr/>
          </w:p>
        </w:tc>
        <w:tc>
          <w:tcPr>
            <w:tcW w:w="10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7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5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6"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8"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19" w:type="dxa"/>
            <w:vMerge w:val="restart"/>
            <w:tcBorders>
              <w:top w:val="nil" w:sz="6" w:space="0" w:color="auto"/>
              <w:left w:val="single" w:sz="4" w:space="0" w:color="000000"/>
              <w:right w:val="single" w:sz="4" w:space="0" w:color="000000"/>
            </w:tcBorders>
            <w:shd w:val="clear" w:color="auto" w:fill="D2D2D2"/>
          </w:tcPr>
          <w:p>
            <w:pPr/>
          </w:p>
        </w:tc>
        <w:tc>
          <w:tcPr>
            <w:tcW w:w="1026" w:type="dxa"/>
            <w:vMerge/>
            <w:tcBorders>
              <w:left w:val="single" w:sz="4" w:space="0" w:color="000000"/>
              <w:bottom w:val="nil" w:sz="6" w:space="0" w:color="auto"/>
              <w:right w:val="single" w:sz="4" w:space="0" w:color="000000"/>
            </w:tcBorders>
            <w:shd w:val="clear" w:color="auto" w:fill="D2D2D2"/>
          </w:tcPr>
          <w:p>
            <w:pPr/>
          </w:p>
        </w:tc>
        <w:tc>
          <w:tcPr>
            <w:tcW w:w="1060" w:type="dxa"/>
            <w:vMerge w:val="restart"/>
            <w:tcBorders>
              <w:top w:val="nil" w:sz="6" w:space="0" w:color="auto"/>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19" w:type="dxa"/>
            <w:vMerge/>
            <w:tcBorders>
              <w:left w:val="single" w:sz="4" w:space="0" w:color="000000"/>
              <w:bottom w:val="single" w:sz="4" w:space="0" w:color="000000"/>
              <w:right w:val="single" w:sz="4" w:space="0" w:color="000000"/>
            </w:tcBorders>
            <w:shd w:val="clear" w:color="auto" w:fill="D2D2D2"/>
          </w:tcPr>
          <w:p>
            <w:pPr/>
          </w:p>
        </w:tc>
        <w:tc>
          <w:tcPr>
            <w:tcW w:w="10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0"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20"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4"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0" w:right="71"/>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w:t>
            </w:r>
          </w:p>
        </w:tc>
      </w:tr>
      <w:tr>
        <w:trPr>
          <w:trHeight w:val="713"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4"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5,100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0" w:right="71"/>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2,650</w:t>
            </w:r>
          </w:p>
        </w:tc>
      </w:tr>
      <w:tr>
        <w:trPr>
          <w:trHeight w:val="406" w:hRule="exact"/>
        </w:trPr>
        <w:tc>
          <w:tcPr>
            <w:tcW w:w="48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12"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sz w:val="18"/>
              </w:rPr>
              <w:t>4.26%</w:t>
            </w:r>
          </w:p>
        </w:tc>
      </w:tr>
      <w:tr>
        <w:trPr>
          <w:trHeight w:val="394"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为股东、实际控制人及其关联方提供担保的余额（</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w:t>
            </w:r>
          </w:p>
        </w:tc>
        <w:tc>
          <w:tcPr>
            <w:tcW w:w="4712"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3" w:hRule="exact"/>
        </w:trPr>
        <w:tc>
          <w:tcPr>
            <w:tcW w:w="48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27"/>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2"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48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部分的金额（</w:t>
            </w:r>
            <w:r>
              <w:rPr>
                <w:rFonts w:ascii="Times New Roman" w:hAnsi="Times New Roman" w:cs="Times New Roman" w:eastAsia="Times New Roman" w:hint="default"/>
                <w:spacing w:val="-3"/>
                <w:sz w:val="18"/>
                <w:szCs w:val="18"/>
              </w:rPr>
              <w:t>F</w:t>
            </w:r>
            <w:r>
              <w:rPr>
                <w:rFonts w:ascii="宋体" w:hAnsi="宋体" w:cs="宋体" w:eastAsia="宋体" w:hint="default"/>
                <w:spacing w:val="-3"/>
                <w:sz w:val="18"/>
                <w:szCs w:val="18"/>
              </w:rPr>
              <w:t>）</w:t>
            </w:r>
          </w:p>
        </w:tc>
        <w:tc>
          <w:tcPr>
            <w:tcW w:w="4712"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8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2"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48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jc w:val="left"/>
              <w:rPr>
                <w:rFonts w:ascii="宋体" w:hAnsi="宋体" w:cs="宋体" w:eastAsia="宋体" w:hint="default"/>
                <w:sz w:val="18"/>
                <w:szCs w:val="18"/>
              </w:rPr>
            </w:pPr>
            <w:r>
              <w:rPr>
                <w:rFonts w:ascii="宋体" w:hAnsi="宋体" w:cs="宋体" w:eastAsia="宋体" w:hint="default"/>
                <w:spacing w:val="-5"/>
                <w:sz w:val="18"/>
                <w:szCs w:val="18"/>
              </w:rPr>
              <w:t>对未到期担保，报告期内已发生担保责任或可能承担连带清偿</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责任的情况说明（如有）</w:t>
            </w:r>
          </w:p>
        </w:tc>
        <w:tc>
          <w:tcPr>
            <w:tcW w:w="4712"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48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违反规定程序对外提供担保的说明（如有）</w:t>
            </w:r>
          </w:p>
        </w:tc>
        <w:tc>
          <w:tcPr>
            <w:tcW w:w="4712"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采用复合方式担保的具体情况说明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违规对外担保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43"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公司报告期无违规对外担保情况。</w:t>
      </w:r>
    </w:p>
    <w:p>
      <w:pPr>
        <w:spacing w:line="240" w:lineRule="auto" w:before="5"/>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3、委托他人进行现金资产管理情况" w:id="92"/>
      <w:bookmarkEnd w:id="9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委托理财情况" w:id="93"/>
      <w:bookmarkEnd w:id="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line="338" w:lineRule="auto"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785"/>
            <w:col w:w="2186"/>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3"/>
        <w:gridCol w:w="1906"/>
        <w:gridCol w:w="1848"/>
      </w:tblGrid>
      <w:tr>
        <w:trPr>
          <w:trHeight w:val="398"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pacing w:val="-3"/>
                <w:sz w:val="18"/>
                <w:szCs w:val="18"/>
              </w:rPr>
              <w:t>委托理财的资金来源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pacing w:val="-3"/>
                <w:sz w:val="18"/>
                <w:szCs w:val="18"/>
              </w:rPr>
              <w:t>委托理财发生额</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单项金额重大或安全性较低、流动性较差、不保本的高风险委托理财具体情况</w:t>
      </w:r>
    </w:p>
    <w:p>
      <w:pPr>
        <w:spacing w:line="343" w:lineRule="auto" w:before="115"/>
        <w:ind w:left="153" w:right="55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委托理财出现预期无法收回本金或存在其他可能导致减值的情形</w:t>
      </w:r>
    </w:p>
    <w:p>
      <w:pPr>
        <w:spacing w:before="38"/>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bookmarkStart w:name="（2）委托贷款情况" w:id="94"/>
      <w:bookmarkEnd w:id="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43" w:lineRule="auto" w:before="0"/>
        <w:ind w:left="153" w:right="84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公司报告期不存在委托贷款。</w:t>
      </w:r>
    </w:p>
    <w:p>
      <w:pPr>
        <w:spacing w:line="240" w:lineRule="auto" w:before="5"/>
        <w:rPr>
          <w:rFonts w:ascii="宋体" w:hAnsi="宋体" w:cs="宋体" w:eastAsia="宋体" w:hint="default"/>
          <w:sz w:val="20"/>
          <w:szCs w:val="20"/>
        </w:rPr>
      </w:pPr>
    </w:p>
    <w:p>
      <w:pPr>
        <w:spacing w:before="0"/>
        <w:ind w:left="153" w:right="0" w:firstLine="0"/>
        <w:jc w:val="both"/>
        <w:rPr>
          <w:rFonts w:ascii="宋体" w:hAnsi="宋体" w:cs="宋体" w:eastAsia="宋体" w:hint="default"/>
          <w:sz w:val="21"/>
          <w:szCs w:val="21"/>
        </w:rPr>
      </w:pPr>
      <w:bookmarkStart w:name="4、其他重大合同" w:id="95"/>
      <w:bookmarkEnd w:id="9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公司报告期不存在其他重大合同。</w:t>
      </w:r>
    </w:p>
    <w:p>
      <w:pPr>
        <w:spacing w:line="240" w:lineRule="auto" w:before="10"/>
        <w:rPr>
          <w:rFonts w:ascii="宋体" w:hAnsi="宋体" w:cs="宋体" w:eastAsia="宋体" w:hint="default"/>
          <w:sz w:val="18"/>
          <w:szCs w:val="18"/>
        </w:rPr>
      </w:pPr>
    </w:p>
    <w:p>
      <w:pPr>
        <w:pStyle w:val="Heading2"/>
        <w:spacing w:line="240" w:lineRule="auto"/>
        <w:ind w:right="0"/>
        <w:jc w:val="both"/>
        <w:rPr>
          <w:b w:val="0"/>
          <w:bCs w:val="0"/>
        </w:rPr>
      </w:pPr>
      <w:bookmarkStart w:name="十七、社会责任情况" w:id="96"/>
      <w:bookmarkEnd w:id="96"/>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履行社会责任情况" w:id="97"/>
      <w:bookmarkEnd w:id="9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340" w:lineRule="auto"/>
        <w:ind w:left="633" w:right="1177"/>
        <w:jc w:val="left"/>
      </w:pPr>
      <w:r>
        <w:rPr/>
        <w:t>（</w:t>
      </w:r>
      <w:r>
        <w:rPr>
          <w:rFonts w:ascii="Times New Roman" w:hAnsi="Times New Roman" w:cs="Times New Roman" w:eastAsia="Times New Roman" w:hint="default"/>
        </w:rPr>
        <w:t>1</w:t>
      </w:r>
      <w:r>
        <w:rPr/>
        <w:t>）概述 公司一直秉承</w:t>
      </w:r>
      <w:r>
        <w:rPr>
          <w:rFonts w:ascii="Times New Roman" w:hAnsi="Times New Roman" w:cs="Times New Roman" w:eastAsia="Times New Roman" w:hint="default"/>
        </w:rPr>
        <w:t>“</w:t>
      </w:r>
      <w:r>
        <w:rPr/>
        <w:t>正合奇胜、积贤培元</w:t>
      </w:r>
      <w:r>
        <w:rPr>
          <w:rFonts w:ascii="Times New Roman" w:hAnsi="Times New Roman" w:cs="Times New Roman" w:eastAsia="Times New Roman" w:hint="default"/>
        </w:rPr>
        <w:t>”</w:t>
      </w:r>
      <w:r>
        <w:rPr/>
        <w:t>的企业文化，自</w:t>
      </w:r>
      <w:r>
        <w:rPr>
          <w:rFonts w:ascii="Times New Roman" w:hAnsi="Times New Roman" w:cs="Times New Roman" w:eastAsia="Times New Roman" w:hint="default"/>
        </w:rPr>
        <w:t>2017</w:t>
      </w:r>
      <w:r>
        <w:rPr/>
        <w:t>年上市以来，始终以建设现代</w:t>
      </w:r>
    </w:p>
    <w:p>
      <w:pPr>
        <w:pStyle w:val="BodyText"/>
        <w:spacing w:line="357" w:lineRule="auto" w:before="21"/>
        <w:ind w:right="1135"/>
        <w:jc w:val="both"/>
      </w:pPr>
      <w:r>
        <w:rPr>
          <w:spacing w:val="-6"/>
        </w:rPr>
        <w:t>企业制度为目标，努力探索，完善公司治理，与投资者建立信任共赢关系，注重保护投资者、</w:t>
      </w:r>
      <w:r>
        <w:rPr>
          <w:spacing w:val="-82"/>
        </w:rPr>
        <w:t> </w:t>
      </w:r>
      <w:r>
        <w:rPr>
          <w:spacing w:val="-82"/>
        </w:rPr>
      </w:r>
      <w:r>
        <w:rPr/>
        <w:t>尤其是中小投资者的合法权益。本着客观、规范、透明、全面的原则，本节内容详细披露了 公司本年度在经营、社会、环境等责任领域的实践和绩效。</w:t>
      </w:r>
    </w:p>
    <w:p>
      <w:pPr>
        <w:pStyle w:val="BodyText"/>
        <w:spacing w:line="336" w:lineRule="auto" w:before="38"/>
        <w:ind w:left="633" w:right="1151"/>
        <w:jc w:val="left"/>
      </w:pPr>
      <w:r>
        <w:rPr/>
        <w:t>（</w:t>
      </w:r>
      <w:r>
        <w:rPr>
          <w:rFonts w:ascii="Times New Roman" w:hAnsi="Times New Roman" w:cs="Times New Roman" w:eastAsia="Times New Roman" w:hint="default"/>
        </w:rPr>
        <w:t>2</w:t>
      </w:r>
      <w:r>
        <w:rPr/>
        <w:t>）股东及债权人权益保护 公司严格按照《公司法》《证券法》和中国证监会有关法律法规及公司章程等规定，以</w:t>
      </w:r>
    </w:p>
    <w:p>
      <w:pPr>
        <w:pStyle w:val="BodyText"/>
        <w:spacing w:line="348" w:lineRule="auto" w:before="61"/>
        <w:ind w:right="1122"/>
        <w:jc w:val="both"/>
      </w:pPr>
      <w:r>
        <w:rPr>
          <w:spacing w:val="-2"/>
        </w:rPr>
        <w:t>建立公开、公正、透明、零维度的投资者关系为目标，报告期内共发布公告</w:t>
      </w:r>
      <w:r>
        <w:rPr>
          <w:rFonts w:ascii="Times New Roman" w:hAnsi="Times New Roman" w:cs="Times New Roman" w:eastAsia="Times New Roman" w:hint="default"/>
          <w:spacing w:val="-2"/>
        </w:rPr>
        <w:t>153</w:t>
      </w:r>
      <w:r>
        <w:rPr>
          <w:spacing w:val="-2"/>
        </w:rPr>
        <w:t>份，举办网上</w:t>
      </w:r>
      <w:r>
        <w:rPr>
          <w:spacing w:val="-114"/>
        </w:rPr>
        <w:t> </w:t>
      </w:r>
      <w:r>
        <w:rPr>
          <w:spacing w:val="-114"/>
        </w:rPr>
      </w:r>
      <w:r>
        <w:rPr/>
        <w:t>业绩说明会</w:t>
      </w:r>
      <w:r>
        <w:rPr>
          <w:rFonts w:ascii="Times New Roman" w:hAnsi="Times New Roman" w:cs="Times New Roman" w:eastAsia="Times New Roman" w:hint="default"/>
        </w:rPr>
        <w:t>1</w:t>
      </w:r>
      <w:r>
        <w:rPr/>
        <w:t>次，回答投资者互动易提问</w:t>
      </w:r>
      <w:r>
        <w:rPr>
          <w:rFonts w:ascii="Times New Roman" w:hAnsi="Times New Roman" w:cs="Times New Roman" w:eastAsia="Times New Roman" w:hint="default"/>
        </w:rPr>
        <w:t>103</w:t>
      </w:r>
      <w:r>
        <w:rPr/>
        <w:t>个；通过投资者电话、传真、电子邮箱和投资者 关系互动平台、接待投资者现场调研等多种方式与投资者进行沟通交流，建立良好的互动平 </w:t>
      </w:r>
      <w:r>
        <w:rPr>
          <w:spacing w:val="-2"/>
        </w:rPr>
        <w:t>台；建立完善的决策机制，共召开股东大会</w:t>
      </w:r>
      <w:r>
        <w:rPr>
          <w:rFonts w:ascii="Times New Roman" w:hAnsi="Times New Roman" w:cs="Times New Roman" w:eastAsia="Times New Roman" w:hint="default"/>
          <w:spacing w:val="-2"/>
        </w:rPr>
        <w:t>4</w:t>
      </w:r>
      <w:r>
        <w:rPr>
          <w:spacing w:val="-2"/>
        </w:rPr>
        <w:t>次、董事会</w:t>
      </w:r>
      <w:r>
        <w:rPr>
          <w:rFonts w:ascii="Times New Roman" w:hAnsi="Times New Roman" w:cs="Times New Roman" w:eastAsia="Times New Roman" w:hint="default"/>
          <w:spacing w:val="-2"/>
        </w:rPr>
        <w:t>9</w:t>
      </w:r>
      <w:r>
        <w:rPr>
          <w:spacing w:val="-2"/>
        </w:rPr>
        <w:t>次、监事会</w:t>
      </w:r>
      <w:r>
        <w:rPr>
          <w:rFonts w:ascii="Times New Roman" w:hAnsi="Times New Roman" w:cs="Times New Roman" w:eastAsia="Times New Roman" w:hint="default"/>
          <w:spacing w:val="-2"/>
        </w:rPr>
        <w:t>7</w:t>
      </w:r>
      <w:r>
        <w:rPr>
          <w:spacing w:val="-2"/>
        </w:rPr>
        <w:t>次，公司独立董事遵守</w:t>
      </w:r>
      <w:r>
        <w:rPr>
          <w:spacing w:val="-115"/>
        </w:rPr>
        <w:t> </w:t>
      </w:r>
      <w:r>
        <w:rPr>
          <w:spacing w:val="-115"/>
        </w:rPr>
      </w:r>
      <w:r>
        <w:rPr/>
        <w:t>法律法规，对公司重大事项发表独立意见，切实维护了公司整体利益与中小股东利益；公司</w:t>
      </w:r>
      <w:r>
        <w:rPr>
          <w:spacing w:val="-117"/>
        </w:rPr>
        <w:t> </w:t>
      </w:r>
      <w:r>
        <w:rPr>
          <w:spacing w:val="-117"/>
        </w:rPr>
      </w:r>
      <w:r>
        <w:rPr/>
        <w:t>遵循真实、准确、完整、及时的信息披露原则，多层次地反应公司经营动态，充分保障投资 者的知情权；公司积极响应证监会和交易所等监管部门的倡导，以实实在在的现金分红回报 </w:t>
      </w:r>
      <w:r>
        <w:rPr>
          <w:spacing w:val="-6"/>
        </w:rPr>
        <w:t>股东，实施权益分派方案，分派现金红利合计</w:t>
      </w:r>
      <w:r>
        <w:rPr>
          <w:rFonts w:ascii="Times New Roman" w:hAnsi="Times New Roman" w:cs="Times New Roman" w:eastAsia="Times New Roman" w:hint="default"/>
          <w:spacing w:val="-6"/>
        </w:rPr>
        <w:t>1000.00</w:t>
      </w:r>
      <w:r>
        <w:rPr>
          <w:spacing w:val="-6"/>
        </w:rPr>
        <w:t>万元，增强了投资机构对公司的关注度；</w:t>
      </w:r>
      <w:r>
        <w:rPr>
          <w:spacing w:val="-113"/>
        </w:rPr>
        <w:t> </w:t>
      </w:r>
      <w:r>
        <w:rPr>
          <w:spacing w:val="-113"/>
        </w:rPr>
      </w:r>
      <w:r>
        <w:rPr>
          <w:spacing w:val="-6"/>
        </w:rPr>
        <w:t>根据上市公司要求，公司不断健全内部控制体系，增强控制环境建设、风险评估、控制活动、</w:t>
      </w:r>
      <w:r>
        <w:rPr>
          <w:spacing w:val="-86"/>
        </w:rPr>
        <w:t> </w:t>
      </w:r>
      <w:r>
        <w:rPr>
          <w:spacing w:val="-86"/>
        </w:rPr>
      </w:r>
      <w:r>
        <w:rPr/>
        <w:t>信息沟通、内部监督等内控功能，保证公司经营管理合规、资金安全、财报完整；公司进一</w:t>
      </w:r>
    </w:p>
    <w:p>
      <w:pPr>
        <w:spacing w:after="0" w:line="348"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55" w:lineRule="auto" w:before="26"/>
        <w:ind w:right="1135"/>
        <w:jc w:val="both"/>
      </w:pPr>
      <w:r>
        <w:rPr/>
        <w:t>步规范合同审批、会计核算、资金管控、工程建设等日常经营管理行为，促进公司发展。公 司的财务政策稳健，资产、资金安全，在维护股东利益的同时兼顾债权人的利益。报告期内 公司不存在控股股东及其他关联方占用公司资金的情况，也不存在以前期间发生并延续到报 告期的控股股东及其他关联方占用公司资金的情况。报告期内，公司除对控股子公司提供担 </w:t>
      </w:r>
      <w:r>
        <w:rPr>
          <w:spacing w:val="-1"/>
        </w:rPr>
        <w:t>保外</w:t>
      </w:r>
      <w:r>
        <w:rPr>
          <w:rFonts w:ascii="Times New Roman" w:hAnsi="Times New Roman" w:cs="Times New Roman" w:eastAsia="Times New Roman" w:hint="default"/>
          <w:spacing w:val="-1"/>
        </w:rPr>
        <w:t>,</w:t>
      </w:r>
      <w:r>
        <w:rPr>
          <w:spacing w:val="-1"/>
        </w:rPr>
        <w:t>没有为控股股东、实际控制人及其他关联方、任何非法人单位或个人提供担保；控股股</w:t>
      </w:r>
      <w:r>
        <w:rPr>
          <w:spacing w:val="-107"/>
        </w:rPr>
        <w:t> </w:t>
      </w:r>
      <w:r>
        <w:rPr>
          <w:spacing w:val="-107"/>
        </w:rPr>
      </w:r>
      <w:r>
        <w:rPr/>
        <w:t>东、实际控制人及其他关联方也未强制公司为他人提供担保，公司为子公司提供担保事项的 决策程序符合相关法律、法规及公司章程的规定</w:t>
      </w:r>
      <w:r>
        <w:rPr>
          <w:rFonts w:ascii="Times New Roman" w:hAnsi="Times New Roman" w:cs="Times New Roman" w:eastAsia="Times New Roman" w:hint="default"/>
        </w:rPr>
        <w:t>,</w:t>
      </w:r>
      <w:r>
        <w:rPr/>
        <w:t>不存在损害公司和中小股东利益的情形。</w:t>
      </w:r>
    </w:p>
    <w:p>
      <w:pPr>
        <w:pStyle w:val="BodyText"/>
        <w:spacing w:line="340" w:lineRule="auto" w:before="5"/>
        <w:ind w:left="633" w:right="1151"/>
        <w:jc w:val="left"/>
      </w:pPr>
      <w:r>
        <w:rPr/>
        <w:t>（</w:t>
      </w:r>
      <w:r>
        <w:rPr>
          <w:rFonts w:ascii="Times New Roman" w:hAnsi="Times New Roman" w:cs="Times New Roman" w:eastAsia="Times New Roman" w:hint="default"/>
        </w:rPr>
        <w:t>3</w:t>
      </w:r>
      <w:r>
        <w:rPr/>
        <w:t>）职工权益保护 公司严格遵守《劳动法》和《劳动合同法》，依法保护职工的合法权益。公司严格按照</w:t>
      </w:r>
    </w:p>
    <w:p>
      <w:pPr>
        <w:pStyle w:val="BodyText"/>
        <w:spacing w:line="357" w:lineRule="auto" w:before="51"/>
        <w:ind w:right="1135"/>
        <w:jc w:val="both"/>
      </w:pPr>
      <w:r>
        <w:rPr>
          <w:spacing w:val="-6"/>
        </w:rPr>
        <w:t>国家规定和标准，及时发放工资、缴纳社保，为员工提供福利保障；不断优化员工关怀体系，</w:t>
      </w:r>
      <w:r>
        <w:rPr>
          <w:spacing w:val="-82"/>
        </w:rPr>
        <w:t> </w:t>
      </w:r>
      <w:r>
        <w:rPr>
          <w:spacing w:val="-82"/>
        </w:rPr>
      </w:r>
      <w:r>
        <w:rPr/>
        <w:t>定期发放节日礼品提供更多人文关怀；注重员工自身素质提升，建立合理的职业发展通道， 积极开展培训工作。报告期内，公司股权激励计划第一期行权；注重员工的培训，建立了完 善的培训体系，正元学堂按营销、研发、技术、管理四个岗位类别持续开课，根据不同对象 制定对应的培训计划；积极开展党建活动，增加团队凝聚力。</w:t>
      </w:r>
    </w:p>
    <w:p>
      <w:pPr>
        <w:pStyle w:val="BodyText"/>
        <w:spacing w:line="336" w:lineRule="auto" w:before="38"/>
        <w:ind w:left="633" w:right="0"/>
        <w:jc w:val="left"/>
      </w:pPr>
      <w:r>
        <w:rPr/>
        <w:t>（</w:t>
      </w:r>
      <w:r>
        <w:rPr>
          <w:rFonts w:ascii="Times New Roman" w:hAnsi="Times New Roman" w:cs="Times New Roman" w:eastAsia="Times New Roman" w:hint="default"/>
        </w:rPr>
        <w:t>4</w:t>
      </w:r>
      <w:r>
        <w:rPr/>
        <w:t>）供应商、客户权益保护 </w:t>
      </w:r>
      <w:r>
        <w:rPr>
          <w:spacing w:val="-3"/>
        </w:rPr>
        <w:t>公司将诚实守信作为企业发展之基，与供应商和客户建立合作共赢的战略合作伙伴关系，</w:t>
      </w:r>
    </w:p>
    <w:p>
      <w:pPr>
        <w:pStyle w:val="BodyText"/>
        <w:spacing w:line="357" w:lineRule="auto" w:before="60"/>
        <w:ind w:right="1168"/>
        <w:jc w:val="both"/>
      </w:pPr>
      <w:r>
        <w:rPr/>
        <w:t>与之保持长期良好的合作关系，充分尊重并保护供应商、客户的合法权益。与供应商依法履 行合同、本着公平公正的原则建立完善的采购制度；与合作伙伴积极开展项目合作，带动行 业健康发展；建立完善的监控监测体系，实行客户满意度调查。</w:t>
      </w:r>
    </w:p>
    <w:p>
      <w:pPr>
        <w:pStyle w:val="BodyText"/>
        <w:spacing w:line="340" w:lineRule="auto" w:before="34"/>
        <w:ind w:left="633" w:right="1151"/>
        <w:jc w:val="left"/>
      </w:pPr>
      <w:r>
        <w:rPr/>
        <w:t>（</w:t>
      </w:r>
      <w:r>
        <w:rPr>
          <w:rFonts w:ascii="Times New Roman" w:hAnsi="Times New Roman" w:cs="Times New Roman" w:eastAsia="Times New Roman" w:hint="default"/>
        </w:rPr>
        <w:t>5</w:t>
      </w:r>
      <w:r>
        <w:rPr/>
        <w:t>）环境保护与可持续发展 公司坚持环境保护与资源的合理利用，努力实现经济与环境的可持续发展，为国家经济</w:t>
      </w:r>
    </w:p>
    <w:p>
      <w:pPr>
        <w:pStyle w:val="BodyText"/>
        <w:spacing w:line="348" w:lineRule="auto" w:before="50"/>
        <w:ind w:right="1128"/>
        <w:jc w:val="both"/>
      </w:pPr>
      <w:r>
        <w:rPr/>
        <w:t>建设而努力。在报告期内，公司坚持创新、关注环保节能，公司使用节能材料，合理规划空 </w:t>
      </w:r>
      <w:r>
        <w:rPr>
          <w:spacing w:val="-2"/>
        </w:rPr>
        <w:t>调、灯具等使用，节约能源；公司推进信息化办公，通过</w:t>
      </w:r>
      <w:r>
        <w:rPr>
          <w:rFonts w:ascii="Times New Roman" w:hAnsi="Times New Roman" w:cs="Times New Roman" w:eastAsia="Times New Roman" w:hint="default"/>
          <w:spacing w:val="-2"/>
        </w:rPr>
        <w:t>OA</w:t>
      </w:r>
      <w:r>
        <w:rPr>
          <w:spacing w:val="-2"/>
        </w:rPr>
        <w:t>等系统，减少办公用纸，提升工</w:t>
      </w:r>
      <w:r>
        <w:rPr>
          <w:spacing w:val="-110"/>
        </w:rPr>
        <w:t> </w:t>
      </w:r>
      <w:r>
        <w:rPr>
          <w:spacing w:val="-110"/>
        </w:rPr>
      </w:r>
      <w:r>
        <w:rPr/>
        <w:t>作效率。</w:t>
      </w:r>
    </w:p>
    <w:p>
      <w:pPr>
        <w:pStyle w:val="BodyText"/>
        <w:spacing w:line="336" w:lineRule="auto" w:before="48"/>
        <w:ind w:left="633" w:right="1151"/>
        <w:jc w:val="left"/>
      </w:pPr>
      <w:r>
        <w:rPr/>
        <w:t>（</w:t>
      </w:r>
      <w:r>
        <w:rPr>
          <w:rFonts w:ascii="Times New Roman" w:hAnsi="Times New Roman" w:cs="Times New Roman" w:eastAsia="Times New Roman" w:hint="default"/>
        </w:rPr>
        <w:t>6</w:t>
      </w:r>
      <w:r>
        <w:rPr/>
        <w:t>）公共关系 公司积极参与各类智慧教育活动，努力构建全感知的智慧校园，推动教育行业的全面变</w:t>
      </w:r>
    </w:p>
    <w:p>
      <w:pPr>
        <w:pStyle w:val="BodyText"/>
        <w:spacing w:line="355" w:lineRule="auto" w:before="60"/>
        <w:ind w:right="1167"/>
        <w:jc w:val="both"/>
      </w:pPr>
      <w:r>
        <w:rPr/>
        <w:t>革。在报告期内，公司加大研发投入，打造科研平台，贡献技术成果，推动一卡通行业大数 据化。</w:t>
      </w:r>
    </w:p>
    <w:p>
      <w:pPr>
        <w:pStyle w:val="BodyText"/>
        <w:spacing w:line="240" w:lineRule="auto" w:before="41"/>
        <w:ind w:left="633" w:right="0"/>
        <w:jc w:val="left"/>
      </w:pPr>
      <w:r>
        <w:rPr/>
        <w:t>（</w:t>
      </w:r>
      <w:r>
        <w:rPr>
          <w:rFonts w:ascii="Times New Roman" w:hAnsi="Times New Roman" w:cs="Times New Roman" w:eastAsia="Times New Roman" w:hint="default"/>
        </w:rPr>
        <w:t>7</w:t>
      </w:r>
      <w:r>
        <w:rPr/>
        <w:t>）慈善公益</w:t>
      </w:r>
    </w:p>
    <w:p>
      <w:pPr>
        <w:spacing w:after="0" w:line="240" w:lineRule="auto"/>
        <w:jc w:val="left"/>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55" w:lineRule="auto" w:before="26"/>
        <w:ind w:right="1151" w:firstLine="480"/>
        <w:jc w:val="left"/>
      </w:pPr>
      <w:r>
        <w:rPr/>
        <w:t>公司积极履行上市公司社会责任，向多所高校捐赠款项，向部队拥军捐赠物资，积极参 与扶贫工作，响应当地政府号召赴贫困地区扶贫。</w:t>
      </w: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履行精准扶贫社会责任情况" w:id="98"/>
      <w:bookmarkEnd w:id="9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精准扶贫规划" w:id="99"/>
      <w:bookmarkEnd w:id="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ind w:left="633" w:right="0"/>
        <w:jc w:val="left"/>
      </w:pPr>
      <w:r>
        <w:rPr/>
        <w:t>公司积极参与政府号召的扶贫活动。</w:t>
      </w:r>
    </w:p>
    <w:p>
      <w:pPr>
        <w:spacing w:line="240" w:lineRule="auto" w:before="10"/>
        <w:rPr>
          <w:rFonts w:ascii="宋体" w:hAnsi="宋体" w:cs="宋体" w:eastAsia="宋体" w:hint="default"/>
          <w:sz w:val="30"/>
          <w:szCs w:val="30"/>
        </w:rPr>
      </w:pPr>
    </w:p>
    <w:p>
      <w:pPr>
        <w:spacing w:before="0"/>
        <w:ind w:left="153" w:right="0" w:firstLine="0"/>
        <w:jc w:val="left"/>
        <w:rPr>
          <w:rFonts w:ascii="宋体" w:hAnsi="宋体" w:cs="宋体" w:eastAsia="宋体" w:hint="default"/>
          <w:sz w:val="21"/>
          <w:szCs w:val="21"/>
        </w:rPr>
      </w:pPr>
      <w:bookmarkStart w:name="（2）年度精准扶贫概要" w:id="100"/>
      <w:bookmarkEnd w:id="1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ind w:left="633" w:right="0"/>
        <w:jc w:val="left"/>
      </w:pPr>
      <w:r>
        <w:rPr/>
        <w:t>积极参与扶贫工作，响应杭州市余杭区仓前街道号召赴湖北咸丰等地扶贫。</w:t>
      </w:r>
    </w:p>
    <w:p>
      <w:pPr>
        <w:spacing w:line="240" w:lineRule="auto" w:before="6"/>
        <w:rPr>
          <w:rFonts w:ascii="宋体" w:hAnsi="宋体" w:cs="宋体" w:eastAsia="宋体" w:hint="default"/>
          <w:sz w:val="30"/>
          <w:szCs w:val="30"/>
        </w:rPr>
      </w:pPr>
    </w:p>
    <w:p>
      <w:pPr>
        <w:spacing w:before="0"/>
        <w:ind w:left="153" w:right="0" w:firstLine="0"/>
        <w:jc w:val="left"/>
        <w:rPr>
          <w:rFonts w:ascii="宋体" w:hAnsi="宋体" w:cs="宋体" w:eastAsia="宋体" w:hint="default"/>
          <w:sz w:val="21"/>
          <w:szCs w:val="21"/>
        </w:rPr>
      </w:pPr>
      <w:bookmarkStart w:name="（3）精准扶贫成效" w:id="101"/>
      <w:bookmarkEnd w:id="1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）精准扶贫成效</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626"/>
        <w:gridCol w:w="1556"/>
        <w:gridCol w:w="4389"/>
      </w:tblGrid>
      <w:tr>
        <w:trPr>
          <w:trHeight w:val="398"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8"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8"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8"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三、所获奖项（内容、级别）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bookmarkStart w:name="（4）后续精准扶贫计划" w:id="102"/>
      <w:bookmarkEnd w:id="1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环境保护相关的情况" w:id="103"/>
      <w:bookmarkEnd w:id="10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62" w:lineRule="auto" w:before="0"/>
        <w:ind w:left="153" w:right="5655" w:firstLine="0"/>
        <w:jc w:val="left"/>
        <w:rPr>
          <w:rFonts w:ascii="宋体" w:hAnsi="宋体" w:cs="宋体" w:eastAsia="宋体" w:hint="default"/>
          <w:sz w:val="18"/>
          <w:szCs w:val="18"/>
        </w:rPr>
      </w:pPr>
      <w:r>
        <w:rPr>
          <w:rFonts w:ascii="宋体" w:hAnsi="宋体" w:cs="宋体" w:eastAsia="宋体" w:hint="default"/>
          <w:spacing w:val="-3"/>
          <w:sz w:val="18"/>
          <w:szCs w:val="18"/>
        </w:rPr>
        <w:t>上市公司及其子公司是否属于环境保护部门公布的重点排污单位</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否</w:t>
      </w:r>
    </w:p>
    <w:p>
      <w:pPr>
        <w:pStyle w:val="BodyText"/>
        <w:spacing w:line="240" w:lineRule="auto" w:before="49"/>
        <w:ind w:left="633" w:right="0"/>
        <w:jc w:val="left"/>
      </w:pPr>
      <w:r>
        <w:rPr/>
        <w:t>本公司及子公司不属于重点排污单位。</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十八、其他重大事项的说明" w:id="104"/>
      <w:bookmarkEnd w:id="104"/>
      <w:r>
        <w:rPr>
          <w:b w:val="0"/>
          <w:bCs w:val="0"/>
        </w:rPr>
      </w:r>
      <w:r>
        <w:rPr/>
        <w:t>十八、其他重大事项的说明</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45" w:lineRule="auto" w:before="127"/>
        <w:ind w:right="1128" w:firstLine="480"/>
        <w:jc w:val="both"/>
      </w:pPr>
      <w:r>
        <w:rPr/>
        <w:t>公司根据《公司法》《证券法》及《创业板上市公司证券发行管理暂行办法》等法律法 </w:t>
      </w:r>
      <w:r>
        <w:rPr>
          <w:spacing w:val="-2"/>
        </w:rPr>
        <w:t>规和规范性文件的有关规定，结合公司实际情况，公开发行可转换公司债券（以下简称</w:t>
      </w:r>
      <w:r>
        <w:rPr>
          <w:rFonts w:ascii="Times New Roman" w:hAnsi="Times New Roman" w:cs="Times New Roman" w:eastAsia="Times New Roman" w:hint="default"/>
          <w:spacing w:val="-2"/>
        </w:rPr>
        <w:t>“</w:t>
      </w:r>
      <w:r>
        <w:rPr>
          <w:spacing w:val="-2"/>
        </w:rPr>
        <w:t>可转</w:t>
      </w:r>
      <w:r>
        <w:rPr>
          <w:spacing w:val="-108"/>
        </w:rPr>
        <w:t> </w:t>
      </w:r>
      <w:r>
        <w:rPr/>
        <w:t>债</w:t>
      </w:r>
      <w:r>
        <w:rPr>
          <w:rFonts w:ascii="Times New Roman" w:hAnsi="Times New Roman" w:cs="Times New Roman" w:eastAsia="Times New Roman" w:hint="default"/>
        </w:rPr>
        <w:t>”</w:t>
      </w:r>
      <w:r>
        <w:rPr/>
        <w:t>）。本次发行证券的种类为可转换为公司</w:t>
      </w:r>
      <w:r>
        <w:rPr>
          <w:rFonts w:ascii="Times New Roman" w:hAnsi="Times New Roman" w:cs="Times New Roman" w:eastAsia="Times New Roman" w:hint="default"/>
        </w:rPr>
        <w:t>A</w:t>
      </w:r>
      <w:r>
        <w:rPr/>
        <w:t>股股票的可转换公司债券。该可转换公司债券 及未来转换的公司</w:t>
      </w:r>
      <w:r>
        <w:rPr>
          <w:rFonts w:ascii="Times New Roman" w:hAnsi="Times New Roman" w:cs="Times New Roman" w:eastAsia="Times New Roman" w:hint="default"/>
        </w:rPr>
        <w:t>A</w:t>
      </w:r>
      <w:r>
        <w:rPr/>
        <w:t>股股票在深圳证券交易所上市。具体情况如下：</w:t>
      </w:r>
    </w:p>
    <w:p>
      <w:pPr>
        <w:pStyle w:val="BodyText"/>
        <w:spacing w:line="338" w:lineRule="auto" w:before="17"/>
        <w:ind w:right="1127" w:firstLine="48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日，公司召开第三届董事会第四次会议（临时会议），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日召 开</w:t>
      </w:r>
      <w:r>
        <w:rPr>
          <w:rFonts w:ascii="Times New Roman" w:hAnsi="Times New Roman" w:cs="Times New Roman" w:eastAsia="Times New Roman" w:hint="default"/>
        </w:rPr>
        <w:t>2019</w:t>
      </w:r>
      <w:r>
        <w:rPr/>
        <w:t>年第一次临时股东大会，审议通过《关于公司符合公开发行可转换公司债券条件的议</w:t>
      </w:r>
      <w:r>
        <w:rPr>
          <w:spacing w:val="-93"/>
        </w:rPr>
        <w:t> </w:t>
      </w:r>
      <w:r>
        <w:rPr>
          <w:spacing w:val="-93"/>
        </w:rPr>
      </w:r>
      <w:r>
        <w:rPr>
          <w:spacing w:val="-3"/>
        </w:rPr>
        <w:t>案》《关于公司公开发行可转换公司债券发行方案的议案》《关于公司</w:t>
      </w:r>
      <w:r>
        <w:rPr>
          <w:rFonts w:ascii="Times New Roman" w:hAnsi="Times New Roman" w:cs="Times New Roman" w:eastAsia="Times New Roman" w:hint="default"/>
          <w:spacing w:val="-3"/>
        </w:rPr>
        <w:t>&lt;</w:t>
      </w:r>
      <w:r>
        <w:rPr>
          <w:spacing w:val="-3"/>
        </w:rPr>
        <w:t>公开发行可转换公司</w:t>
      </w:r>
      <w:r>
        <w:rPr>
          <w:spacing w:val="-92"/>
        </w:rPr>
        <w:t> </w:t>
      </w:r>
      <w:r>
        <w:rPr>
          <w:spacing w:val="2"/>
        </w:rPr>
        <w:t>债券预案</w:t>
      </w:r>
      <w:r>
        <w:rPr>
          <w:rFonts w:ascii="Times New Roman" w:hAnsi="Times New Roman" w:cs="Times New Roman" w:eastAsia="Times New Roman" w:hint="default"/>
          <w:spacing w:val="2"/>
        </w:rPr>
        <w:t>&gt;</w:t>
      </w:r>
      <w:r>
        <w:rPr>
          <w:spacing w:val="2"/>
        </w:rPr>
        <w:t>的议案》《关于公司</w:t>
      </w:r>
      <w:r>
        <w:rPr>
          <w:rFonts w:ascii="Times New Roman" w:hAnsi="Times New Roman" w:cs="Times New Roman" w:eastAsia="Times New Roman" w:hint="default"/>
          <w:spacing w:val="2"/>
        </w:rPr>
        <w:t>&lt;</w:t>
      </w:r>
      <w:r>
        <w:rPr>
          <w:spacing w:val="2"/>
        </w:rPr>
        <w:t>公开发行可转换公司债券的论证分析报告</w:t>
      </w:r>
      <w:r>
        <w:rPr>
          <w:rFonts w:ascii="Times New Roman" w:hAnsi="Times New Roman" w:cs="Times New Roman" w:eastAsia="Times New Roman" w:hint="default"/>
          <w:spacing w:val="2"/>
        </w:rPr>
        <w:t>&gt;</w:t>
      </w:r>
      <w:r>
        <w:rPr>
          <w:spacing w:val="2"/>
        </w:rPr>
        <w:t>的议案》《关于</w:t>
      </w:r>
      <w:r>
        <w:rPr>
          <w:spacing w:val="-103"/>
        </w:rPr>
        <w:t> </w:t>
      </w:r>
      <w:r>
        <w:rPr>
          <w:spacing w:val="-103"/>
        </w:rPr>
      </w:r>
      <w:r>
        <w:rPr>
          <w:spacing w:val="-2"/>
        </w:rPr>
        <w:t>公司</w:t>
      </w:r>
      <w:r>
        <w:rPr>
          <w:rFonts w:ascii="Times New Roman" w:hAnsi="Times New Roman" w:cs="Times New Roman" w:eastAsia="Times New Roman" w:hint="default"/>
          <w:spacing w:val="-2"/>
        </w:rPr>
        <w:t>&lt;</w:t>
      </w:r>
      <w:r>
        <w:rPr>
          <w:spacing w:val="-2"/>
        </w:rPr>
        <w:t>公开发行</w:t>
      </w:r>
      <w:r>
        <w:rPr>
          <w:rFonts w:ascii="Times New Roman" w:hAnsi="Times New Roman" w:cs="Times New Roman" w:eastAsia="Times New Roman" w:hint="default"/>
          <w:spacing w:val="-2"/>
        </w:rPr>
        <w:t>A</w:t>
      </w:r>
      <w:r>
        <w:rPr>
          <w:spacing w:val="-2"/>
        </w:rPr>
        <w:t>股可转换公司债券募集资金使用可行性分析报告</w:t>
      </w:r>
      <w:r>
        <w:rPr>
          <w:rFonts w:ascii="Times New Roman" w:hAnsi="Times New Roman" w:cs="Times New Roman" w:eastAsia="Times New Roman" w:hint="default"/>
          <w:spacing w:val="-2"/>
        </w:rPr>
        <w:t>&gt;</w:t>
      </w:r>
      <w:r>
        <w:rPr>
          <w:spacing w:val="-2"/>
        </w:rPr>
        <w:t>的议案》《关于公司</w:t>
      </w:r>
      <w:r>
        <w:rPr>
          <w:rFonts w:ascii="Times New Roman" w:hAnsi="Times New Roman" w:cs="Times New Roman" w:eastAsia="Times New Roman" w:hint="default"/>
          <w:spacing w:val="-2"/>
        </w:rPr>
        <w:t>&lt;</w:t>
      </w:r>
      <w:r>
        <w:rPr>
          <w:spacing w:val="-2"/>
        </w:rPr>
        <w:t>前次</w:t>
      </w:r>
      <w:r>
        <w:rPr>
          <w:spacing w:val="-97"/>
        </w:rPr>
        <w:t> </w:t>
      </w:r>
      <w:r>
        <w:rPr>
          <w:spacing w:val="-3"/>
        </w:rPr>
        <w:t>募集资金使用情况报告</w:t>
      </w:r>
      <w:r>
        <w:rPr>
          <w:rFonts w:ascii="Times New Roman" w:hAnsi="Times New Roman" w:cs="Times New Roman" w:eastAsia="Times New Roman" w:hint="default"/>
          <w:spacing w:val="-3"/>
        </w:rPr>
        <w:t>&gt;</w:t>
      </w:r>
      <w:r>
        <w:rPr>
          <w:spacing w:val="-3"/>
        </w:rPr>
        <w:t>的议案》《关于公开发行可转换公司债券摊薄即期回报、填补即期回</w:t>
      </w:r>
      <w:r>
        <w:rPr>
          <w:spacing w:val="-96"/>
        </w:rPr>
        <w:t> </w:t>
      </w:r>
      <w:r>
        <w:rPr>
          <w:spacing w:val="-96"/>
        </w:rPr>
      </w:r>
      <w:r>
        <w:rPr/>
        <w:t>报措施及相关主体承诺的议案》《关于制定公司</w:t>
      </w:r>
      <w:r>
        <w:rPr>
          <w:rFonts w:ascii="Times New Roman" w:hAnsi="Times New Roman" w:cs="Times New Roman" w:eastAsia="Times New Roman" w:hint="default"/>
        </w:rPr>
        <w:t>&lt;</w:t>
      </w:r>
      <w:r>
        <w:rPr/>
        <w:t>可转换公司债券持有人会议规则</w:t>
      </w:r>
      <w:r>
        <w:rPr>
          <w:rFonts w:ascii="Times New Roman" w:hAnsi="Times New Roman" w:cs="Times New Roman" w:eastAsia="Times New Roman" w:hint="default"/>
        </w:rPr>
        <w:t>&gt;</w:t>
      </w:r>
      <w:r>
        <w:rPr/>
        <w:t>的议案》</w:t>
      </w:r>
    </w:p>
    <w:p>
      <w:pPr>
        <w:pStyle w:val="BodyText"/>
        <w:spacing w:line="355" w:lineRule="auto" w:before="29"/>
        <w:ind w:right="0"/>
        <w:jc w:val="left"/>
      </w:pPr>
      <w:r>
        <w:rPr/>
        <w:t>《关于提请股东大会授权董事会全权办理本次公开发行可转换公司债券具体事宜的议案》。</w:t>
      </w:r>
      <w:r>
        <w:rPr>
          <w:spacing w:val="-92"/>
        </w:rPr>
        <w:t> </w:t>
      </w:r>
      <w:r>
        <w:rPr>
          <w:spacing w:val="-92"/>
        </w:rPr>
      </w:r>
      <w:r>
        <w:rPr/>
        <w:t>公司拟发行可转债规模为不超过人民币</w:t>
      </w:r>
      <w:r>
        <w:rPr>
          <w:rFonts w:ascii="Times New Roman" w:hAnsi="Times New Roman" w:cs="Times New Roman" w:eastAsia="Times New Roman" w:hint="default"/>
        </w:rPr>
        <w:t>23,200.00</w:t>
      </w:r>
      <w:r>
        <w:rPr/>
        <w:t>万元（含</w:t>
      </w:r>
      <w:r>
        <w:rPr>
          <w:rFonts w:ascii="Times New Roman" w:hAnsi="Times New Roman" w:cs="Times New Roman" w:eastAsia="Times New Roman" w:hint="default"/>
        </w:rPr>
        <w:t>23,200.00</w:t>
      </w:r>
      <w:r>
        <w:rPr/>
        <w:t>万元）。</w:t>
      </w:r>
    </w:p>
    <w:p>
      <w:pPr>
        <w:pStyle w:val="BodyText"/>
        <w:spacing w:line="336" w:lineRule="auto" w:before="10"/>
        <w:ind w:right="1132"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日，公司收到中国证券监督管理委员会（以下简称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）出具 的《中国证监会行政许可申请受理单》（受理序号：</w:t>
      </w:r>
      <w:r>
        <w:rPr>
          <w:rFonts w:ascii="Times New Roman" w:hAnsi="Times New Roman" w:cs="Times New Roman" w:eastAsia="Times New Roman" w:hint="default"/>
        </w:rPr>
        <w:t>191904</w:t>
      </w:r>
      <w:r>
        <w:rPr/>
        <w:t>）。</w:t>
      </w:r>
    </w:p>
    <w:p>
      <w:pPr>
        <w:pStyle w:val="BodyText"/>
        <w:spacing w:line="336" w:lineRule="auto" w:before="32"/>
        <w:ind w:right="1134"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日，公司收到中国证监会出具的《中国证监会行政许可项目审查一次反 馈意见通知书》（</w:t>
      </w:r>
      <w:r>
        <w:rPr>
          <w:rFonts w:ascii="Times New Roman" w:hAnsi="Times New Roman" w:cs="Times New Roman" w:eastAsia="Times New Roman" w:hint="default"/>
        </w:rPr>
        <w:t>191904</w:t>
      </w:r>
      <w:r>
        <w:rPr/>
        <w:t>号），并于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日根据相关要求对反馈意见进行回复，披露</w:t>
      </w:r>
    </w:p>
    <w:p>
      <w:pPr>
        <w:pStyle w:val="BodyText"/>
        <w:spacing w:line="240" w:lineRule="auto" w:before="32"/>
        <w:ind w:right="0"/>
        <w:jc w:val="left"/>
      </w:pPr>
      <w:r>
        <w:rPr/>
        <w:t>《浙江正元智慧科技股份有限公司公开发行可转换公司债券申请文件反馈意见之回复报告》。</w:t>
      </w:r>
    </w:p>
    <w:p>
      <w:pPr>
        <w:pStyle w:val="BodyText"/>
        <w:spacing w:line="340" w:lineRule="auto" w:before="152"/>
        <w:ind w:right="1126" w:firstLine="48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日，公司召开第三届董事会第八次会议（临时会议），审议通过《关于 </w:t>
      </w:r>
      <w:r>
        <w:rPr>
          <w:spacing w:val="-3"/>
        </w:rPr>
        <w:t>调整公司公开发行可转换公司债券发行方案的议案》《关于公司</w:t>
      </w:r>
      <w:r>
        <w:rPr>
          <w:rFonts w:ascii="Times New Roman" w:hAnsi="Times New Roman" w:cs="Times New Roman" w:eastAsia="Times New Roman" w:hint="default"/>
          <w:spacing w:val="-3"/>
        </w:rPr>
        <w:t>&lt;</w:t>
      </w:r>
      <w:r>
        <w:rPr>
          <w:spacing w:val="-3"/>
        </w:rPr>
        <w:t>公开发行可转换公司债券预</w:t>
      </w:r>
      <w:r>
        <w:rPr>
          <w:spacing w:val="-92"/>
        </w:rPr>
        <w:t> </w:t>
      </w:r>
      <w:r>
        <w:rPr>
          <w:spacing w:val="2"/>
        </w:rPr>
        <w:t>案（修订稿）</w:t>
      </w:r>
      <w:r>
        <w:rPr>
          <w:rFonts w:ascii="Times New Roman" w:hAnsi="Times New Roman" w:cs="Times New Roman" w:eastAsia="Times New Roman" w:hint="default"/>
          <w:spacing w:val="2"/>
        </w:rPr>
        <w:t>&gt;</w:t>
      </w:r>
      <w:r>
        <w:rPr>
          <w:spacing w:val="2"/>
        </w:rPr>
        <w:t>的议案》《关于公司</w:t>
      </w:r>
      <w:r>
        <w:rPr>
          <w:rFonts w:ascii="Times New Roman" w:hAnsi="Times New Roman" w:cs="Times New Roman" w:eastAsia="Times New Roman" w:hint="default"/>
          <w:spacing w:val="2"/>
        </w:rPr>
        <w:t>&lt;</w:t>
      </w:r>
      <w:r>
        <w:rPr>
          <w:spacing w:val="2"/>
        </w:rPr>
        <w:t>公开发行可转换公司债券的论证分析报告（修订稿）</w:t>
      </w:r>
      <w:r>
        <w:rPr>
          <w:rFonts w:ascii="Times New Roman" w:hAnsi="Times New Roman" w:cs="Times New Roman" w:eastAsia="Times New Roman" w:hint="default"/>
          <w:spacing w:val="2"/>
        </w:rPr>
        <w:t>&gt;</w:t>
      </w:r>
      <w:r>
        <w:rPr>
          <w:rFonts w:ascii="Times New Roman" w:hAnsi="Times New Roman" w:cs="Times New Roman" w:eastAsia="Times New Roman" w:hint="default"/>
          <w:spacing w:val="-40"/>
        </w:rPr>
        <w:t> </w:t>
      </w:r>
      <w:r>
        <w:rPr>
          <w:spacing w:val="-1"/>
        </w:rPr>
        <w:t>的议案》《关于公司</w:t>
      </w:r>
      <w:r>
        <w:rPr>
          <w:rFonts w:ascii="Times New Roman" w:hAnsi="Times New Roman" w:cs="Times New Roman" w:eastAsia="Times New Roman" w:hint="default"/>
          <w:spacing w:val="-1"/>
        </w:rPr>
        <w:t>&lt;</w:t>
      </w:r>
      <w:r>
        <w:rPr>
          <w:spacing w:val="-1"/>
        </w:rPr>
        <w:t>公开发行</w:t>
      </w:r>
      <w:r>
        <w:rPr>
          <w:rFonts w:ascii="Times New Roman" w:hAnsi="Times New Roman" w:cs="Times New Roman" w:eastAsia="Times New Roman" w:hint="default"/>
          <w:spacing w:val="-1"/>
        </w:rPr>
        <w:t>A</w:t>
      </w:r>
      <w:r>
        <w:rPr>
          <w:spacing w:val="-1"/>
        </w:rPr>
        <w:t>股可转换公司债券募集资金投资项目可行性分析报告（修订</w:t>
      </w:r>
      <w:r>
        <w:rPr>
          <w:spacing w:val="-112"/>
        </w:rPr>
        <w:t> </w:t>
      </w:r>
      <w:r>
        <w:rPr>
          <w:spacing w:val="-112"/>
        </w:rPr>
      </w:r>
      <w:r>
        <w:rPr>
          <w:spacing w:val="-3"/>
        </w:rPr>
        <w:t>稿）</w:t>
      </w:r>
      <w:r>
        <w:rPr>
          <w:rFonts w:ascii="Times New Roman" w:hAnsi="Times New Roman" w:cs="Times New Roman" w:eastAsia="Times New Roman" w:hint="default"/>
          <w:spacing w:val="-3"/>
        </w:rPr>
        <w:t>&gt;</w:t>
      </w:r>
      <w:r>
        <w:rPr>
          <w:spacing w:val="-3"/>
        </w:rPr>
        <w:t>的议案》《关于公开发行可转换公司债券摊薄即期回报、填补即期回报措施及相关主体</w:t>
      </w:r>
      <w:r>
        <w:rPr>
          <w:spacing w:val="-94"/>
        </w:rPr>
        <w:t> </w:t>
      </w:r>
      <w:r>
        <w:rPr>
          <w:spacing w:val="-94"/>
        </w:rPr>
      </w:r>
      <w:r>
        <w:rPr/>
        <w:t>承诺（修订稿）的议案》。公司根据监管政策、资本市场环境、公司财务状况及投资计划，</w:t>
      </w:r>
      <w:r>
        <w:rPr>
          <w:spacing w:val="-93"/>
        </w:rPr>
        <w:t> </w:t>
      </w:r>
      <w:r>
        <w:rPr>
          <w:spacing w:val="-93"/>
        </w:rPr>
      </w:r>
      <w:r>
        <w:rPr/>
        <w:t>决定将本次可转债的发行规模从不超过人民币</w:t>
      </w:r>
      <w:r>
        <w:rPr>
          <w:rFonts w:ascii="Times New Roman" w:hAnsi="Times New Roman" w:cs="Times New Roman" w:eastAsia="Times New Roman" w:hint="default"/>
        </w:rPr>
        <w:t>23,200.00</w:t>
      </w:r>
      <w:r>
        <w:rPr/>
        <w:t>万元（含</w:t>
      </w:r>
      <w:r>
        <w:rPr>
          <w:rFonts w:ascii="Times New Roman" w:hAnsi="Times New Roman" w:cs="Times New Roman" w:eastAsia="Times New Roman" w:hint="default"/>
        </w:rPr>
        <w:t>23,200.00</w:t>
      </w:r>
      <w:r>
        <w:rPr/>
        <w:t>万元）调减为不超</w:t>
      </w:r>
      <w:r>
        <w:rPr>
          <w:spacing w:val="-89"/>
        </w:rPr>
        <w:t> </w:t>
      </w:r>
      <w:r>
        <w:rPr>
          <w:spacing w:val="-6"/>
        </w:rPr>
        <w:t>过人民币</w:t>
      </w:r>
      <w:r>
        <w:rPr>
          <w:rFonts w:ascii="Times New Roman" w:hAnsi="Times New Roman" w:cs="Times New Roman" w:eastAsia="Times New Roman" w:hint="default"/>
          <w:spacing w:val="-6"/>
        </w:rPr>
        <w:t>17,500.00</w:t>
      </w:r>
      <w:r>
        <w:rPr>
          <w:spacing w:val="-6"/>
        </w:rPr>
        <w:t>万元（含</w:t>
      </w:r>
      <w:r>
        <w:rPr>
          <w:rFonts w:ascii="Times New Roman" w:hAnsi="Times New Roman" w:cs="Times New Roman" w:eastAsia="Times New Roman" w:hint="default"/>
          <w:spacing w:val="-6"/>
        </w:rPr>
        <w:t>17,500.00</w:t>
      </w:r>
      <w:r>
        <w:rPr>
          <w:spacing w:val="-6"/>
        </w:rPr>
        <w:t>万元）。调减内容为补充营运资金项目减少</w:t>
      </w:r>
      <w:r>
        <w:rPr>
          <w:rFonts w:ascii="Times New Roman" w:hAnsi="Times New Roman" w:cs="Times New Roman" w:eastAsia="Times New Roman" w:hint="default"/>
          <w:spacing w:val="-6"/>
        </w:rPr>
        <w:t>5,700.00</w:t>
      </w:r>
      <w:r>
        <w:rPr>
          <w:spacing w:val="-6"/>
        </w:rPr>
        <w:t>万元，</w:t>
      </w:r>
      <w:r>
        <w:rPr>
          <w:spacing w:val="-109"/>
        </w:rPr>
        <w:t> </w:t>
      </w:r>
      <w:r>
        <w:rPr>
          <w:spacing w:val="-109"/>
        </w:rPr>
      </w:r>
      <w:r>
        <w:rPr/>
        <w:t>公开发行可转换债券方案的其他条款不变。</w:t>
      </w:r>
    </w:p>
    <w:p>
      <w:pPr>
        <w:spacing w:after="0" w:line="340"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48" w:lineRule="auto" w:before="26"/>
        <w:ind w:right="1135" w:firstLine="48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日，公司根据中国证监会的进一步审核意见，公司及相关机构对反馈意 见回复内容进行了相应的补充和修订，披露《浙江正元智慧科技股份有限公司公开发行可转</w:t>
      </w:r>
      <w:r>
        <w:rPr>
          <w:spacing w:val="-92"/>
        </w:rPr>
        <w:t> </w:t>
      </w:r>
      <w:r>
        <w:rPr>
          <w:spacing w:val="-92"/>
        </w:rPr>
      </w:r>
      <w:r>
        <w:rPr/>
        <w:t>换公司债券申请文件反馈意见之回复报告（修订稿）》。</w:t>
      </w:r>
    </w:p>
    <w:p>
      <w:pPr>
        <w:pStyle w:val="BodyText"/>
        <w:spacing w:line="340" w:lineRule="auto" w:before="43"/>
        <w:ind w:right="1134" w:firstLine="48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日，公司披露了《</w:t>
      </w:r>
      <w:r>
        <w:rPr>
          <w:rFonts w:ascii="Times New Roman" w:hAnsi="Times New Roman" w:cs="Times New Roman" w:eastAsia="Times New Roman" w:hint="default"/>
        </w:rPr>
        <w:t>&lt;</w:t>
      </w:r>
      <w:r>
        <w:rPr/>
        <w:t>关于请做好正元智慧公开发行可转债发审委会议准 备工作的函</w:t>
      </w:r>
      <w:r>
        <w:rPr>
          <w:rFonts w:ascii="Times New Roman" w:hAnsi="Times New Roman" w:cs="Times New Roman" w:eastAsia="Times New Roman" w:hint="default"/>
        </w:rPr>
        <w:t>&gt;</w:t>
      </w:r>
      <w:r>
        <w:rPr/>
        <w:t>相关问题的回复》。</w:t>
      </w:r>
    </w:p>
    <w:p>
      <w:pPr>
        <w:pStyle w:val="BodyText"/>
        <w:spacing w:line="348" w:lineRule="auto" w:before="21"/>
        <w:ind w:right="1127" w:firstLine="480"/>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日，中国证券监督管理委员会第十八届发行审核委员会</w:t>
      </w:r>
      <w:r>
        <w:rPr>
          <w:rFonts w:ascii="Times New Roman" w:hAnsi="Times New Roman" w:cs="Times New Roman" w:eastAsia="Times New Roman" w:hint="default"/>
          <w:spacing w:val="-2"/>
        </w:rPr>
        <w:t>2019</w:t>
      </w:r>
      <w:r>
        <w:rPr>
          <w:spacing w:val="-2"/>
        </w:rPr>
        <w:t>年第</w:t>
      </w:r>
      <w:r>
        <w:rPr>
          <w:rFonts w:ascii="Times New Roman" w:hAnsi="Times New Roman" w:cs="Times New Roman" w:eastAsia="Times New Roman" w:hint="default"/>
          <w:spacing w:val="-2"/>
        </w:rPr>
        <w:t>196</w:t>
      </w:r>
      <w:r>
        <w:rPr>
          <w:spacing w:val="-2"/>
        </w:rPr>
        <w:t>次工</w:t>
      </w:r>
      <w:r>
        <w:rPr/>
        <w:t> 作会议对公司公开发行可转换公司债券的申请进行了审核。公司本次公开发行可转换公司债</w:t>
      </w:r>
      <w:r>
        <w:rPr>
          <w:spacing w:val="-93"/>
        </w:rPr>
        <w:t> </w:t>
      </w:r>
      <w:r>
        <w:rPr>
          <w:spacing w:val="-93"/>
        </w:rPr>
      </w:r>
      <w:r>
        <w:rPr/>
        <w:t>券的申请获得审核通过。</w:t>
      </w:r>
    </w:p>
    <w:p>
      <w:pPr>
        <w:pStyle w:val="BodyText"/>
        <w:spacing w:line="338" w:lineRule="auto" w:before="48"/>
        <w:ind w:right="1122" w:firstLine="480"/>
        <w:jc w:val="both"/>
      </w:pPr>
      <w:r>
        <w:rPr>
          <w:spacing w:val="-2"/>
        </w:rPr>
        <w:t>公司于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21</w:t>
      </w:r>
      <w:r>
        <w:rPr>
          <w:spacing w:val="-2"/>
        </w:rPr>
        <w:t>日收到中国证券监督管理委员会出具的《关于核准浙江正元智慧科技</w:t>
      </w:r>
      <w:r>
        <w:rPr/>
        <w:t> 股份有限公司公开发行可转换公司债券的批复》（证监许可</w:t>
      </w:r>
      <w:r>
        <w:rPr>
          <w:rFonts w:ascii="Times New Roman" w:hAnsi="Times New Roman" w:cs="Times New Roman" w:eastAsia="Times New Roman" w:hint="default"/>
        </w:rPr>
        <w:t>[2019]2985</w:t>
      </w:r>
      <w:r>
        <w:rPr/>
        <w:t>号）；</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w:t>
      </w:r>
      <w:r>
        <w:rPr>
          <w:spacing w:val="-115"/>
        </w:rPr>
        <w:t> </w:t>
      </w:r>
      <w:r>
        <w:rPr/>
        <w:t>公司可转债在深圳证券交易所上市。</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十九、公司子公司重大事项" w:id="105"/>
      <w:bookmarkEnd w:id="105"/>
      <w:r>
        <w:rPr>
          <w:b w:val="0"/>
          <w:bCs w:val="0"/>
        </w:rPr>
      </w:r>
      <w:r>
        <w:rPr/>
        <w:t>十九、公司子公司重大事项</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503" w:right="308"/>
        <w:jc w:val="left"/>
        <w:rPr>
          <w:b w:val="0"/>
          <w:bCs w:val="0"/>
        </w:rPr>
      </w:pPr>
      <w:bookmarkStart w:name="第六节股份变动及股东情况" w:id="106"/>
      <w:bookmarkEnd w:id="106"/>
      <w:r>
        <w:rPr>
          <w:b w:val="0"/>
          <w:bCs w:val="0"/>
        </w:rPr>
      </w:r>
      <w:bookmarkStart w:name="_bookmark4" w:id="107"/>
      <w:bookmarkEnd w:id="107"/>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left="613" w:right="308"/>
        <w:jc w:val="left"/>
        <w:rPr>
          <w:b w:val="0"/>
          <w:bCs w:val="0"/>
        </w:rPr>
      </w:pPr>
      <w:bookmarkStart w:name="一、股份变动情况" w:id="108"/>
      <w:bookmarkEnd w:id="108"/>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spacing w:before="0"/>
        <w:ind w:left="613" w:right="308" w:firstLine="0"/>
        <w:jc w:val="left"/>
        <w:rPr>
          <w:rFonts w:ascii="宋体" w:hAnsi="宋体" w:cs="宋体" w:eastAsia="宋体" w:hint="default"/>
          <w:sz w:val="21"/>
          <w:szCs w:val="21"/>
        </w:rPr>
      </w:pPr>
      <w:bookmarkStart w:name="1、股份变动情况" w:id="109"/>
      <w:bookmarkEnd w:id="10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079"/>
        <w:gridCol w:w="1032"/>
        <w:gridCol w:w="985"/>
        <w:gridCol w:w="701"/>
        <w:gridCol w:w="639"/>
        <w:gridCol w:w="1138"/>
        <w:gridCol w:w="710"/>
        <w:gridCol w:w="1177"/>
        <w:gridCol w:w="1244"/>
        <w:gridCol w:w="937"/>
      </w:tblGrid>
      <w:tr>
        <w:trPr>
          <w:trHeight w:val="398" w:hRule="exact"/>
        </w:trPr>
        <w:tc>
          <w:tcPr>
            <w:tcW w:w="2079" w:type="dxa"/>
            <w:vMerge w:val="restart"/>
            <w:tcBorders>
              <w:top w:val="single" w:sz="4" w:space="0" w:color="000000"/>
              <w:left w:val="single" w:sz="4" w:space="0" w:color="000000"/>
              <w:right w:val="single" w:sz="4" w:space="0" w:color="000000"/>
            </w:tcBorders>
            <w:shd w:val="clear" w:color="auto" w:fill="D9D9D9"/>
          </w:tcPr>
          <w:p>
            <w:pPr/>
          </w:p>
        </w:tc>
        <w:tc>
          <w:tcPr>
            <w:tcW w:w="201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65"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90"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218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63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2079" w:type="dxa"/>
            <w:vMerge/>
            <w:tcBorders>
              <w:left w:val="single" w:sz="4" w:space="0" w:color="000000"/>
              <w:bottom w:val="single" w:sz="4" w:space="0" w:color="000000"/>
              <w:right w:val="single" w:sz="4" w:space="0" w:color="000000"/>
            </w:tcBorders>
            <w:shd w:val="clear" w:color="auto" w:fill="D9D9D9"/>
          </w:tcPr>
          <w:p>
            <w:pPr/>
          </w:p>
        </w:tc>
        <w:tc>
          <w:tcPr>
            <w:tcW w:w="10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254" w:right="69" w:hanging="178"/>
              <w:jc w:val="left"/>
              <w:rPr>
                <w:rFonts w:ascii="宋体" w:hAnsi="宋体" w:cs="宋体" w:eastAsia="宋体" w:hint="default"/>
                <w:sz w:val="18"/>
                <w:szCs w:val="18"/>
              </w:rPr>
            </w:pPr>
            <w:r>
              <w:rPr>
                <w:rFonts w:ascii="宋体" w:hAnsi="宋体" w:cs="宋体" w:eastAsia="宋体" w:hint="default"/>
                <w:sz w:val="18"/>
                <w:szCs w:val="18"/>
              </w:rPr>
              <w:t>发行新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pacing w:val="-2"/>
                <w:sz w:val="18"/>
                <w:szCs w:val="18"/>
              </w:rPr>
              <w:t>公积金转股</w:t>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4"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1"/>
              <w:jc w:val="right"/>
              <w:rPr>
                <w:rFonts w:ascii="Times New Roman" w:hAnsi="Times New Roman" w:cs="Times New Roman" w:eastAsia="Times New Roman" w:hint="default"/>
                <w:sz w:val="18"/>
                <w:szCs w:val="18"/>
              </w:rPr>
            </w:pPr>
            <w:r>
              <w:rPr>
                <w:rFonts w:ascii="Times New Roman"/>
                <w:spacing w:val="-1"/>
                <w:sz w:val="18"/>
              </w:rPr>
              <w:t>21,247,568</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31.87%</w:t>
            </w:r>
          </w:p>
        </w:tc>
        <w:tc>
          <w:tcPr>
            <w:tcW w:w="70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2"/>
                <w:sz w:val="18"/>
              </w:rPr>
              <w:t>19,122,811</w:t>
            </w:r>
          </w:p>
        </w:tc>
        <w:tc>
          <w:tcPr>
            <w:tcW w:w="71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2"/>
                <w:sz w:val="18"/>
              </w:rPr>
              <w:t>19,122,811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40,370,379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31.87%</w:t>
            </w:r>
          </w:p>
        </w:tc>
      </w:tr>
      <w:tr>
        <w:trPr>
          <w:trHeight w:val="403"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1"/>
              <w:jc w:val="right"/>
              <w:rPr>
                <w:rFonts w:ascii="Times New Roman" w:hAnsi="Times New Roman" w:cs="Times New Roman" w:eastAsia="Times New Roman" w:hint="default"/>
                <w:sz w:val="18"/>
                <w:szCs w:val="18"/>
              </w:rPr>
            </w:pPr>
            <w:r>
              <w:rPr>
                <w:rFonts w:ascii="Times New Roman"/>
                <w:spacing w:val="-1"/>
                <w:sz w:val="18"/>
              </w:rPr>
              <w:t>21,247,568</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31.87%</w:t>
            </w:r>
          </w:p>
        </w:tc>
        <w:tc>
          <w:tcPr>
            <w:tcW w:w="70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2"/>
                <w:sz w:val="18"/>
              </w:rPr>
              <w:t>19,122,811</w:t>
            </w:r>
          </w:p>
        </w:tc>
        <w:tc>
          <w:tcPr>
            <w:tcW w:w="71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2"/>
                <w:sz w:val="18"/>
              </w:rPr>
              <w:t>19,122,811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40,370,379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31.87%</w:t>
            </w:r>
          </w:p>
        </w:tc>
      </w:tr>
      <w:tr>
        <w:trPr>
          <w:trHeight w:val="398"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1"/>
              <w:jc w:val="right"/>
              <w:rPr>
                <w:rFonts w:ascii="Times New Roman" w:hAnsi="Times New Roman" w:cs="Times New Roman" w:eastAsia="Times New Roman" w:hint="default"/>
                <w:sz w:val="18"/>
                <w:szCs w:val="18"/>
              </w:rPr>
            </w:pPr>
            <w:r>
              <w:rPr>
                <w:rFonts w:ascii="Times New Roman"/>
                <w:spacing w:val="-1"/>
                <w:sz w:val="18"/>
              </w:rPr>
              <w:t>19,305,588</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28.96%</w:t>
            </w:r>
          </w:p>
        </w:tc>
        <w:tc>
          <w:tcPr>
            <w:tcW w:w="70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17,375,029</w:t>
            </w:r>
          </w:p>
        </w:tc>
        <w:tc>
          <w:tcPr>
            <w:tcW w:w="71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17,375,029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36,680,617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28.96%</w:t>
            </w:r>
          </w:p>
        </w:tc>
      </w:tr>
      <w:tr>
        <w:trPr>
          <w:trHeight w:val="403"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1"/>
              <w:jc w:val="right"/>
              <w:rPr>
                <w:rFonts w:ascii="Times New Roman" w:hAnsi="Times New Roman" w:cs="Times New Roman" w:eastAsia="Times New Roman" w:hint="default"/>
                <w:sz w:val="18"/>
                <w:szCs w:val="18"/>
              </w:rPr>
            </w:pPr>
            <w:r>
              <w:rPr>
                <w:rFonts w:ascii="Times New Roman"/>
                <w:spacing w:val="-1"/>
                <w:sz w:val="18"/>
              </w:rPr>
              <w:t>1,941,980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2.91%</w:t>
            </w:r>
          </w:p>
        </w:tc>
        <w:tc>
          <w:tcPr>
            <w:tcW w:w="70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1,747,782</w:t>
            </w:r>
          </w:p>
        </w:tc>
        <w:tc>
          <w:tcPr>
            <w:tcW w:w="71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1,747,782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3,689,762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7"/>
              <w:jc w:val="right"/>
              <w:rPr>
                <w:rFonts w:ascii="Times New Roman" w:hAnsi="Times New Roman" w:cs="Times New Roman" w:eastAsia="Times New Roman" w:hint="default"/>
                <w:sz w:val="18"/>
                <w:szCs w:val="18"/>
              </w:rPr>
            </w:pPr>
            <w:r>
              <w:rPr>
                <w:rFonts w:ascii="Times New Roman"/>
                <w:spacing w:val="-1"/>
                <w:sz w:val="18"/>
              </w:rPr>
              <w:t>2.91%</w:t>
            </w:r>
          </w:p>
        </w:tc>
      </w:tr>
      <w:tr>
        <w:trPr>
          <w:trHeight w:val="403"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1"/>
              <w:jc w:val="right"/>
              <w:rPr>
                <w:rFonts w:ascii="Times New Roman" w:hAnsi="Times New Roman" w:cs="Times New Roman" w:eastAsia="Times New Roman" w:hint="default"/>
                <w:sz w:val="18"/>
                <w:szCs w:val="18"/>
              </w:rPr>
            </w:pPr>
            <w:r>
              <w:rPr>
                <w:rFonts w:ascii="Times New Roman"/>
                <w:spacing w:val="-1"/>
                <w:sz w:val="18"/>
              </w:rPr>
              <w:t>45,419,099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68.13%</w:t>
            </w:r>
          </w:p>
        </w:tc>
        <w:tc>
          <w:tcPr>
            <w:tcW w:w="70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40,877,189</w:t>
            </w:r>
          </w:p>
        </w:tc>
        <w:tc>
          <w:tcPr>
            <w:tcW w:w="71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40,877,189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86,296,288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68.13%</w:t>
            </w:r>
          </w:p>
        </w:tc>
      </w:tr>
      <w:tr>
        <w:trPr>
          <w:trHeight w:val="404"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1"/>
              <w:jc w:val="right"/>
              <w:rPr>
                <w:rFonts w:ascii="Times New Roman" w:hAnsi="Times New Roman" w:cs="Times New Roman" w:eastAsia="Times New Roman" w:hint="default"/>
                <w:sz w:val="18"/>
                <w:szCs w:val="18"/>
              </w:rPr>
            </w:pPr>
            <w:r>
              <w:rPr>
                <w:rFonts w:ascii="Times New Roman"/>
                <w:spacing w:val="-1"/>
                <w:sz w:val="18"/>
              </w:rPr>
              <w:t>45,419,099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68.13%</w:t>
            </w:r>
          </w:p>
        </w:tc>
        <w:tc>
          <w:tcPr>
            <w:tcW w:w="70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40,877,189</w:t>
            </w:r>
          </w:p>
        </w:tc>
        <w:tc>
          <w:tcPr>
            <w:tcW w:w="71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40,877,189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86,296,288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68.13%</w:t>
            </w:r>
          </w:p>
        </w:tc>
      </w:tr>
      <w:tr>
        <w:trPr>
          <w:trHeight w:val="398"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1"/>
              <w:jc w:val="right"/>
              <w:rPr>
                <w:rFonts w:ascii="Times New Roman" w:hAnsi="Times New Roman" w:cs="Times New Roman" w:eastAsia="Times New Roman" w:hint="default"/>
                <w:sz w:val="18"/>
                <w:szCs w:val="18"/>
              </w:rPr>
            </w:pPr>
            <w:r>
              <w:rPr>
                <w:rFonts w:ascii="Times New Roman"/>
                <w:spacing w:val="-1"/>
                <w:sz w:val="18"/>
              </w:rPr>
              <w:t>66,666,667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2"/>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60,000,000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60,000,000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126,666,667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2"/>
                <w:sz w:val="18"/>
              </w:rPr>
              <w:t>100.00%</w:t>
            </w:r>
          </w:p>
        </w:tc>
      </w:tr>
    </w:tbl>
    <w:p>
      <w:pPr>
        <w:spacing w:before="53"/>
        <w:ind w:left="613" w:right="308"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股份变动的原因</w:t>
      </w:r>
    </w:p>
    <w:p>
      <w:pPr>
        <w:spacing w:before="119"/>
        <w:ind w:left="613" w:right="30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38" w:lineRule="auto" w:before="127"/>
        <w:ind w:left="613" w:right="308" w:firstLine="480"/>
        <w:jc w:val="left"/>
      </w:pPr>
      <w:r>
        <w:rPr/>
        <w:t>报告期内，公司实施</w:t>
      </w:r>
      <w:r>
        <w:rPr>
          <w:rFonts w:ascii="Times New Roman" w:hAnsi="Times New Roman" w:cs="Times New Roman" w:eastAsia="Times New Roman" w:hint="default"/>
        </w:rPr>
        <w:t>2018</w:t>
      </w:r>
      <w:r>
        <w:rPr/>
        <w:t>年度权益分派：以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66,666,667</w:t>
      </w:r>
      <w:r>
        <w:rPr/>
        <w:t>股为基数，</w:t>
      </w:r>
      <w:r>
        <w:rPr>
          <w:spacing w:val="4"/>
        </w:rPr>
        <w:t> </w:t>
      </w:r>
      <w:r>
        <w:rPr/>
        <w:t>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w:t>
      </w:r>
      <w:r>
        <w:rPr/>
        <w:t>股，共计转增</w:t>
      </w:r>
      <w:r>
        <w:rPr>
          <w:rFonts w:ascii="Times New Roman" w:hAnsi="Times New Roman" w:cs="Times New Roman" w:eastAsia="Times New Roman" w:hint="default"/>
        </w:rPr>
        <w:t>60,000,000</w:t>
      </w:r>
      <w:r>
        <w:rPr/>
        <w:t>股，本次转增完成后公司总股 本增加至</w:t>
      </w:r>
      <w:r>
        <w:rPr>
          <w:rFonts w:ascii="Times New Roman" w:hAnsi="Times New Roman" w:cs="Times New Roman" w:eastAsia="Times New Roman" w:hint="default"/>
        </w:rPr>
        <w:t>126,666,667</w:t>
      </w:r>
      <w:r>
        <w:rPr/>
        <w:t>股。</w:t>
      </w:r>
    </w:p>
    <w:p>
      <w:pPr>
        <w:spacing w:before="41"/>
        <w:ind w:left="613" w:right="308"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股份变动的批准情况</w:t>
      </w:r>
    </w:p>
    <w:p>
      <w:pPr>
        <w:spacing w:before="120"/>
        <w:ind w:left="613" w:right="30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38" w:lineRule="auto" w:before="127"/>
        <w:ind w:left="613" w:right="1127" w:firstLine="480"/>
        <w:jc w:val="both"/>
      </w:pP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日召开第三届董事会第二次会议及第三届监事会第二次会议、于</w:t>
      </w:r>
      <w:r>
        <w:rPr>
          <w:rFonts w:ascii="Times New Roman" w:hAnsi="Times New Roman" w:cs="Times New Roman" w:eastAsia="Times New Roman" w:hint="default"/>
          <w:spacing w:val="-2"/>
        </w:rPr>
        <w:t>2019</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日召开</w:t>
      </w:r>
      <w:r>
        <w:rPr>
          <w:rFonts w:ascii="Times New Roman" w:hAnsi="Times New Roman" w:cs="Times New Roman" w:eastAsia="Times New Roman" w:hint="default"/>
          <w:spacing w:val="-2"/>
        </w:rPr>
        <w:t>2018</w:t>
      </w:r>
      <w:r>
        <w:rPr>
          <w:spacing w:val="-2"/>
        </w:rPr>
        <w:t>年度股东大会，审议通过了《关于</w:t>
      </w:r>
      <w:r>
        <w:rPr>
          <w:rFonts w:ascii="Times New Roman" w:hAnsi="Times New Roman" w:cs="Times New Roman" w:eastAsia="Times New Roman" w:hint="default"/>
          <w:spacing w:val="-2"/>
        </w:rPr>
        <w:t>2018</w:t>
      </w:r>
      <w:r>
        <w:rPr>
          <w:spacing w:val="-2"/>
        </w:rPr>
        <w:t>年度利润分配及资本公积金转增股</w:t>
      </w:r>
      <w:r>
        <w:rPr>
          <w:spacing w:val="-115"/>
        </w:rPr>
        <w:t> </w:t>
      </w:r>
      <w:r>
        <w:rPr/>
        <w:t>本预案的议案》，以资本公积金向全体股东每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w:t>
      </w:r>
      <w:r>
        <w:rPr/>
        <w:t>股，并于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日实施完毕。</w:t>
      </w:r>
    </w:p>
    <w:p>
      <w:pPr>
        <w:spacing w:before="37"/>
        <w:ind w:left="613" w:right="308"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股份变动的过户情况</w:t>
      </w:r>
    </w:p>
    <w:p>
      <w:pPr>
        <w:spacing w:line="338" w:lineRule="auto" w:before="119"/>
        <w:ind w:left="613" w:right="75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股份回购的实施进展情况</w:t>
      </w:r>
    </w:p>
    <w:p>
      <w:pPr>
        <w:spacing w:line="338" w:lineRule="auto" w:before="46"/>
        <w:ind w:left="613" w:right="57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采用集中竞价方式减持回购股份的实施进展情况</w:t>
      </w:r>
    </w:p>
    <w:p>
      <w:pPr>
        <w:spacing w:line="343" w:lineRule="auto" w:before="41"/>
        <w:ind w:left="613" w:right="30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股份变动对最近一年和最近一期基本每股收益和稀释每股收益、归属于公司普通股股东的每股净资产等财务指标的影响</w:t>
      </w:r>
    </w:p>
    <w:p>
      <w:pPr>
        <w:spacing w:after="0" w:line="343" w:lineRule="auto"/>
        <w:jc w:val="left"/>
        <w:rPr>
          <w:rFonts w:ascii="宋体" w:hAnsi="宋体" w:cs="宋体" w:eastAsia="宋体" w:hint="default"/>
          <w:sz w:val="18"/>
          <w:szCs w:val="18"/>
        </w:rPr>
        <w:sectPr>
          <w:pgSz w:w="11910" w:h="16840"/>
          <w:pgMar w:header="741" w:footer="979" w:top="1060" w:bottom="1160" w:left="520" w:right="0"/>
        </w:sectPr>
      </w:pPr>
    </w:p>
    <w:p>
      <w:pPr>
        <w:spacing w:line="240" w:lineRule="auto" w:before="6"/>
        <w:rPr>
          <w:rFonts w:ascii="宋体" w:hAnsi="宋体" w:cs="宋体" w:eastAsia="宋体" w:hint="default"/>
          <w:sz w:val="26"/>
          <w:szCs w:val="26"/>
        </w:rPr>
      </w:pPr>
    </w:p>
    <w:p>
      <w:pPr>
        <w:spacing w:line="338" w:lineRule="auto" w:before="46"/>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公司认为必要或证券监管机构要求披露的其他内容</w:t>
      </w: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限售股份变动情况" w:id="110"/>
      <w:bookmarkEnd w:id="11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报告期内证券发行（不含优先股）情况" w:id="112"/>
      <w:bookmarkEnd w:id="1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公司股份总数及股东结构的变动、公司资产和负债结构的变动情况说明" w:id="113"/>
      <w:bookmarkEnd w:id="1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38" w:lineRule="auto" w:before="132"/>
        <w:ind w:right="0" w:firstLine="480"/>
        <w:jc w:val="left"/>
      </w:pPr>
      <w:r>
        <w:rPr/>
        <w:t>报告期内，公司实施</w:t>
      </w:r>
      <w:r>
        <w:rPr>
          <w:rFonts w:ascii="Times New Roman" w:hAnsi="Times New Roman" w:cs="Times New Roman" w:eastAsia="Times New Roman" w:hint="default"/>
        </w:rPr>
        <w:t>2018</w:t>
      </w:r>
      <w:r>
        <w:rPr/>
        <w:t>年度权益分派：以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66,666,667</w:t>
      </w:r>
      <w:r>
        <w:rPr/>
        <w:t>股为基数，</w:t>
      </w:r>
      <w:r>
        <w:rPr>
          <w:spacing w:val="4"/>
        </w:rPr>
        <w:t> </w:t>
      </w:r>
      <w:r>
        <w:rPr/>
        <w:t>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w:t>
      </w:r>
      <w:r>
        <w:rPr/>
        <w:t>股，共计转增</w:t>
      </w:r>
      <w:r>
        <w:rPr>
          <w:rFonts w:ascii="Times New Roman" w:hAnsi="Times New Roman" w:cs="Times New Roman" w:eastAsia="Times New Roman" w:hint="default"/>
        </w:rPr>
        <w:t>60,000,000</w:t>
      </w:r>
      <w:r>
        <w:rPr/>
        <w:t>股，本次转增完成后公司总股 本由</w:t>
      </w:r>
      <w:r>
        <w:rPr>
          <w:rFonts w:ascii="Times New Roman" w:hAnsi="Times New Roman" w:cs="Times New Roman" w:eastAsia="Times New Roman" w:hint="default"/>
        </w:rPr>
        <w:t>66,666,667</w:t>
      </w:r>
      <w:r>
        <w:rPr/>
        <w:t>股增加至</w:t>
      </w:r>
      <w:r>
        <w:rPr>
          <w:rFonts w:ascii="Times New Roman" w:hAnsi="Times New Roman" w:cs="Times New Roman" w:eastAsia="Times New Roman" w:hint="default"/>
        </w:rPr>
        <w:t>126,666,667</w:t>
      </w:r>
      <w:r>
        <w:rPr/>
        <w:t>股。</w:t>
      </w:r>
    </w:p>
    <w:p>
      <w:pPr>
        <w:spacing w:line="240" w:lineRule="auto" w:before="9"/>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3、现存的内部职工股情况" w:id="114"/>
      <w:bookmarkEnd w:id="11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公司股东数量及持股情况" w:id="116"/>
      <w:bookmarkEnd w:id="11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pict>
          <v:group style="position:absolute;margin-left:335.399994pt;margin-top:68.107727pt;width:52.6pt;height:31.25pt;mso-position-horizontal-relative:page;mso-position-vertical-relative:paragraph;z-index:-1182856" coordorigin="6708,1362" coordsize="1052,625">
            <v:shape style="position:absolute;left:6708;top:1362;width:1052;height:625" coordorigin="6708,1362" coordsize="1052,625" path="m6708,1987l7760,1987,7760,1362,6708,1362,6708,1987xe" filled="true" fillcolor="#ffffff" stroked="false">
              <v:path arrowok="t"/>
              <v:fill type="solid"/>
            </v:shape>
            <w10:wrap type="none"/>
          </v:group>
        </w:pict>
      </w:r>
      <w:r>
        <w:rPr>
          <w:rFonts w:ascii="宋体" w:hAnsi="宋体" w:cs="宋体" w:eastAsia="宋体" w:hint="default"/>
          <w:spacing w:val="-2"/>
          <w:sz w:val="18"/>
          <w:szCs w:val="18"/>
        </w:rPr>
        <w:t>单位：股</w:t>
      </w:r>
    </w:p>
    <w:p>
      <w:pPr>
        <w:spacing w:line="240" w:lineRule="auto" w:before="13"/>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189"/>
        <w:gridCol w:w="1403"/>
        <w:gridCol w:w="873"/>
        <w:gridCol w:w="1076"/>
        <w:gridCol w:w="1050"/>
        <w:gridCol w:w="1077"/>
        <w:gridCol w:w="921"/>
        <w:gridCol w:w="1061"/>
        <w:gridCol w:w="1066"/>
      </w:tblGrid>
      <w:tr>
        <w:trPr>
          <w:trHeight w:val="158" w:hRule="exact"/>
        </w:trPr>
        <w:tc>
          <w:tcPr>
            <w:tcW w:w="1189" w:type="dxa"/>
            <w:vMerge w:val="restart"/>
            <w:tcBorders>
              <w:top w:val="single" w:sz="4" w:space="0" w:color="000000"/>
              <w:left w:val="single" w:sz="4" w:space="0" w:color="000000"/>
              <w:right w:val="single" w:sz="4" w:space="0" w:color="000000"/>
            </w:tcBorders>
            <w:shd w:val="clear" w:color="auto" w:fill="D2D2D2"/>
          </w:tcPr>
          <w:p>
            <w:pPr/>
          </w:p>
        </w:tc>
        <w:tc>
          <w:tcPr>
            <w:tcW w:w="1403"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11,675</w:t>
            </w:r>
          </w:p>
        </w:tc>
        <w:tc>
          <w:tcPr>
            <w:tcW w:w="87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8" w:right="118"/>
              <w:jc w:val="both"/>
              <w:rPr>
                <w:rFonts w:ascii="宋体" w:hAnsi="宋体" w:cs="宋体" w:eastAsia="宋体" w:hint="default"/>
                <w:sz w:val="18"/>
                <w:szCs w:val="18"/>
              </w:rPr>
            </w:pPr>
            <w:r>
              <w:rPr>
                <w:rFonts w:ascii="宋体" w:hAnsi="宋体" w:cs="宋体" w:eastAsia="宋体" w:hint="default"/>
                <w:sz w:val="18"/>
                <w:szCs w:val="18"/>
              </w:rPr>
              <w:t>年度报告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东总数</w:t>
            </w:r>
          </w:p>
        </w:tc>
        <w:tc>
          <w:tcPr>
            <w:tcW w:w="1076"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13,582</w:t>
            </w:r>
          </w:p>
        </w:tc>
        <w:tc>
          <w:tcPr>
            <w:tcW w:w="10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 w:right="118"/>
              <w:jc w:val="both"/>
              <w:rPr>
                <w:rFonts w:ascii="宋体" w:hAnsi="宋体" w:cs="宋体" w:eastAsia="宋体" w:hint="default"/>
                <w:sz w:val="18"/>
                <w:szCs w:val="18"/>
              </w:rPr>
            </w:pPr>
            <w:r>
              <w:rPr>
                <w:rFonts w:ascii="宋体" w:hAnsi="宋体" w:cs="宋体" w:eastAsia="宋体" w:hint="default"/>
                <w:spacing w:val="-2"/>
                <w:sz w:val="18"/>
                <w:szCs w:val="18"/>
              </w:rPr>
              <w:t>报告期末表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决权恢复的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优先股股东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总数（如有</w:t>
            </w:r>
          </w:p>
          <w:p>
            <w:pPr>
              <w:pStyle w:val="TableParagraph"/>
              <w:spacing w:line="240" w:lineRule="auto" w:before="24"/>
              <w:ind w:left="17"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7"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58"/>
              <w:ind w:left="-138"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9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12" w:hRule="exact"/>
        </w:trPr>
        <w:tc>
          <w:tcPr>
            <w:tcW w:w="1189" w:type="dxa"/>
            <w:vMerge/>
            <w:tcBorders>
              <w:left w:val="single" w:sz="4" w:space="0" w:color="000000"/>
              <w:bottom w:val="nil" w:sz="6" w:space="0" w:color="auto"/>
              <w:right w:val="single" w:sz="4" w:space="0" w:color="000000"/>
            </w:tcBorders>
            <w:shd w:val="clear" w:color="auto" w:fill="D2D2D2"/>
          </w:tcPr>
          <w:p>
            <w:pPr/>
          </w:p>
        </w:tc>
        <w:tc>
          <w:tcPr>
            <w:tcW w:w="1403" w:type="dxa"/>
            <w:vMerge/>
            <w:tcBorders>
              <w:left w:val="single" w:sz="8" w:space="0" w:color="D2D2D2"/>
              <w:right w:val="single" w:sz="13" w:space="0" w:color="D2D2D2"/>
            </w:tcBorders>
          </w:tcPr>
          <w:p>
            <w:pPr/>
          </w:p>
        </w:tc>
        <w:tc>
          <w:tcPr>
            <w:tcW w:w="873" w:type="dxa"/>
            <w:vMerge/>
            <w:tcBorders>
              <w:left w:val="single" w:sz="4" w:space="0" w:color="000000"/>
              <w:right w:val="single" w:sz="4" w:space="0" w:color="000000"/>
            </w:tcBorders>
            <w:shd w:val="clear" w:color="auto" w:fill="D2D2D2"/>
          </w:tcPr>
          <w:p>
            <w:pPr/>
          </w:p>
        </w:tc>
        <w:tc>
          <w:tcPr>
            <w:tcW w:w="1076" w:type="dxa"/>
            <w:vMerge/>
            <w:tcBorders>
              <w:left w:val="single" w:sz="10" w:space="0" w:color="D2D2D2"/>
              <w:right w:val="single" w:sz="10" w:space="0" w:color="D2D2D2"/>
            </w:tcBorders>
          </w:tcPr>
          <w:p>
            <w:pPr/>
          </w:p>
        </w:tc>
        <w:tc>
          <w:tcPr>
            <w:tcW w:w="1050" w:type="dxa"/>
            <w:vMerge/>
            <w:tcBorders>
              <w:left w:val="single" w:sz="4" w:space="0" w:color="000000"/>
              <w:right w:val="single" w:sz="4" w:space="0" w:color="000000"/>
            </w:tcBorders>
            <w:shd w:val="clear" w:color="auto" w:fill="D2D2D2"/>
          </w:tcPr>
          <w:p>
            <w:pPr/>
          </w:p>
        </w:tc>
        <w:tc>
          <w:tcPr>
            <w:tcW w:w="1077" w:type="dxa"/>
            <w:vMerge/>
            <w:tcBorders>
              <w:left w:val="single" w:sz="10" w:space="0" w:color="D2D2D2"/>
              <w:right w:val="single" w:sz="10" w:space="0" w:color="D2D2D2"/>
            </w:tcBorders>
          </w:tcPr>
          <w:p>
            <w:pPr/>
          </w:p>
        </w:tc>
        <w:tc>
          <w:tcPr>
            <w:tcW w:w="19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8" w:right="56"/>
              <w:jc w:val="left"/>
              <w:rPr>
                <w:rFonts w:ascii="宋体" w:hAnsi="宋体" w:cs="宋体" w:eastAsia="宋体" w:hint="default"/>
                <w:sz w:val="18"/>
                <w:szCs w:val="18"/>
              </w:rPr>
            </w:pPr>
            <w:r>
              <w:rPr>
                <w:rFonts w:ascii="宋体" w:hAnsi="宋体" w:cs="宋体" w:eastAsia="宋体" w:hint="default"/>
                <w:sz w:val="18"/>
                <w:szCs w:val="18"/>
              </w:rPr>
              <w:t>年度报告披露日前上一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月末表决权恢复的优先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w w:val="101"/>
                <w:sz w:val="18"/>
                <w:szCs w:val="18"/>
              </w:rPr>
              <w:t>股股东总数（如有）（参</w:t>
            </w:r>
            <w:r>
              <w:rPr>
                <w:rFonts w:ascii="宋体" w:hAnsi="宋体" w:cs="宋体" w:eastAsia="宋体" w:hint="default"/>
                <w:w w:val="101"/>
                <w:sz w:val="18"/>
                <w:szCs w:val="18"/>
              </w:rPr>
              <w:t> </w:t>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6" w:type="dxa"/>
            <w:vMerge/>
            <w:tcBorders>
              <w:left w:val="single" w:sz="8" w:space="0" w:color="D2D2D2"/>
              <w:right w:val="single" w:sz="4" w:space="0" w:color="000000"/>
            </w:tcBorders>
          </w:tcPr>
          <w:p>
            <w:pPr/>
          </w:p>
        </w:tc>
      </w:tr>
      <w:tr>
        <w:trPr>
          <w:trHeight w:val="706" w:hRule="exact"/>
        </w:trPr>
        <w:tc>
          <w:tcPr>
            <w:tcW w:w="1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2" w:right="80"/>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403" w:type="dxa"/>
            <w:vMerge/>
            <w:tcBorders>
              <w:left w:val="single" w:sz="8" w:space="0" w:color="D2D2D2"/>
              <w:right w:val="single" w:sz="13" w:space="0" w:color="D2D2D2"/>
            </w:tcBorders>
          </w:tcPr>
          <w:p>
            <w:pPr/>
          </w:p>
        </w:tc>
        <w:tc>
          <w:tcPr>
            <w:tcW w:w="873" w:type="dxa"/>
            <w:vMerge/>
            <w:tcBorders>
              <w:left w:val="single" w:sz="4" w:space="0" w:color="000000"/>
              <w:right w:val="single" w:sz="4" w:space="0" w:color="000000"/>
            </w:tcBorders>
            <w:shd w:val="clear" w:color="auto" w:fill="D2D2D2"/>
          </w:tcPr>
          <w:p>
            <w:pPr/>
          </w:p>
        </w:tc>
        <w:tc>
          <w:tcPr>
            <w:tcW w:w="1076" w:type="dxa"/>
            <w:vMerge/>
            <w:tcBorders>
              <w:left w:val="single" w:sz="10" w:space="0" w:color="D2D2D2"/>
              <w:right w:val="single" w:sz="10" w:space="0" w:color="D2D2D2"/>
            </w:tcBorders>
          </w:tcPr>
          <w:p>
            <w:pPr/>
          </w:p>
        </w:tc>
        <w:tc>
          <w:tcPr>
            <w:tcW w:w="1050" w:type="dxa"/>
            <w:vMerge/>
            <w:tcBorders>
              <w:left w:val="single" w:sz="4" w:space="0" w:color="000000"/>
              <w:right w:val="single" w:sz="4" w:space="0" w:color="000000"/>
            </w:tcBorders>
            <w:shd w:val="clear" w:color="auto" w:fill="D2D2D2"/>
          </w:tcPr>
          <w:p>
            <w:pPr/>
          </w:p>
        </w:tc>
        <w:tc>
          <w:tcPr>
            <w:tcW w:w="1077" w:type="dxa"/>
            <w:vMerge/>
            <w:tcBorders>
              <w:left w:val="single" w:sz="10" w:space="0" w:color="D2D2D2"/>
              <w:right w:val="single" w:sz="10" w:space="0" w:color="D2D2D2"/>
            </w:tcBorders>
          </w:tcPr>
          <w:p>
            <w:pPr/>
          </w:p>
        </w:tc>
        <w:tc>
          <w:tcPr>
            <w:tcW w:w="1982" w:type="dxa"/>
            <w:gridSpan w:val="2"/>
            <w:vMerge/>
            <w:tcBorders>
              <w:left w:val="single" w:sz="4" w:space="0" w:color="000000"/>
              <w:right w:val="single" w:sz="4" w:space="0" w:color="000000"/>
            </w:tcBorders>
            <w:shd w:val="clear" w:color="auto" w:fill="D2D2D2"/>
          </w:tcPr>
          <w:p>
            <w:pPr/>
          </w:p>
        </w:tc>
        <w:tc>
          <w:tcPr>
            <w:tcW w:w="1066" w:type="dxa"/>
            <w:vMerge/>
            <w:tcBorders>
              <w:left w:val="single" w:sz="8" w:space="0" w:color="D2D2D2"/>
              <w:right w:val="single" w:sz="4" w:space="0" w:color="000000"/>
            </w:tcBorders>
          </w:tcPr>
          <w:p>
            <w:pPr/>
          </w:p>
        </w:tc>
      </w:tr>
      <w:tr>
        <w:trPr>
          <w:trHeight w:val="312" w:hRule="exact"/>
        </w:trPr>
        <w:tc>
          <w:tcPr>
            <w:tcW w:w="1189" w:type="dxa"/>
            <w:vMerge w:val="restart"/>
            <w:tcBorders>
              <w:top w:val="nil" w:sz="6" w:space="0" w:color="auto"/>
              <w:left w:val="single" w:sz="4" w:space="0" w:color="000000"/>
              <w:right w:val="single" w:sz="4" w:space="0" w:color="000000"/>
            </w:tcBorders>
            <w:shd w:val="clear" w:color="auto" w:fill="D2D2D2"/>
          </w:tcPr>
          <w:p>
            <w:pPr/>
          </w:p>
        </w:tc>
        <w:tc>
          <w:tcPr>
            <w:tcW w:w="1403" w:type="dxa"/>
            <w:vMerge/>
            <w:tcBorders>
              <w:left w:val="single" w:sz="8" w:space="0" w:color="D2D2D2"/>
              <w:right w:val="single" w:sz="13" w:space="0" w:color="D2D2D2"/>
            </w:tcBorders>
          </w:tcPr>
          <w:p>
            <w:pPr/>
          </w:p>
        </w:tc>
        <w:tc>
          <w:tcPr>
            <w:tcW w:w="873" w:type="dxa"/>
            <w:vMerge/>
            <w:tcBorders>
              <w:left w:val="single" w:sz="4" w:space="0" w:color="000000"/>
              <w:right w:val="single" w:sz="4" w:space="0" w:color="000000"/>
            </w:tcBorders>
            <w:shd w:val="clear" w:color="auto" w:fill="D2D2D2"/>
          </w:tcPr>
          <w:p>
            <w:pPr/>
          </w:p>
        </w:tc>
        <w:tc>
          <w:tcPr>
            <w:tcW w:w="1076" w:type="dxa"/>
            <w:vMerge/>
            <w:tcBorders>
              <w:left w:val="single" w:sz="10" w:space="0" w:color="D2D2D2"/>
              <w:right w:val="single" w:sz="10" w:space="0" w:color="D2D2D2"/>
            </w:tcBorders>
          </w:tcPr>
          <w:p>
            <w:pPr/>
          </w:p>
        </w:tc>
        <w:tc>
          <w:tcPr>
            <w:tcW w:w="1050" w:type="dxa"/>
            <w:vMerge/>
            <w:tcBorders>
              <w:left w:val="single" w:sz="4" w:space="0" w:color="000000"/>
              <w:right w:val="single" w:sz="4" w:space="0" w:color="000000"/>
            </w:tcBorders>
            <w:shd w:val="clear" w:color="auto" w:fill="D2D2D2"/>
          </w:tcPr>
          <w:p>
            <w:pPr/>
          </w:p>
        </w:tc>
        <w:tc>
          <w:tcPr>
            <w:tcW w:w="1077" w:type="dxa"/>
            <w:vMerge/>
            <w:tcBorders>
              <w:left w:val="single" w:sz="10" w:space="0" w:color="D2D2D2"/>
              <w:right w:val="single" w:sz="10" w:space="0" w:color="D2D2D2"/>
            </w:tcBorders>
          </w:tcPr>
          <w:p>
            <w:pPr/>
          </w:p>
        </w:tc>
        <w:tc>
          <w:tcPr>
            <w:tcW w:w="1982" w:type="dxa"/>
            <w:gridSpan w:val="2"/>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8" w:space="0" w:color="D2D2D2"/>
              <w:right w:val="single" w:sz="4" w:space="0" w:color="000000"/>
            </w:tcBorders>
          </w:tcPr>
          <w:p>
            <w:pPr/>
          </w:p>
        </w:tc>
      </w:tr>
      <w:tr>
        <w:trPr>
          <w:trHeight w:val="161" w:hRule="exact"/>
        </w:trPr>
        <w:tc>
          <w:tcPr>
            <w:tcW w:w="1189" w:type="dxa"/>
            <w:vMerge/>
            <w:tcBorders>
              <w:left w:val="single" w:sz="4" w:space="0" w:color="000000"/>
              <w:bottom w:val="single" w:sz="4" w:space="0" w:color="000000"/>
              <w:right w:val="single" w:sz="4" w:space="0" w:color="000000"/>
            </w:tcBorders>
            <w:shd w:val="clear" w:color="auto" w:fill="D2D2D2"/>
          </w:tcPr>
          <w:p>
            <w:pPr/>
          </w:p>
        </w:tc>
        <w:tc>
          <w:tcPr>
            <w:tcW w:w="1403" w:type="dxa"/>
            <w:vMerge/>
            <w:tcBorders>
              <w:left w:val="single" w:sz="8" w:space="0" w:color="D2D2D2"/>
              <w:bottom w:val="single" w:sz="4" w:space="0" w:color="000000"/>
              <w:right w:val="single" w:sz="13" w:space="0" w:color="D2D2D2"/>
            </w:tcBorders>
          </w:tcPr>
          <w:p>
            <w:pPr/>
          </w:p>
        </w:tc>
        <w:tc>
          <w:tcPr>
            <w:tcW w:w="873"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10" w:space="0" w:color="D2D2D2"/>
              <w:bottom w:val="single" w:sz="4" w:space="0" w:color="000000"/>
              <w:right w:val="single" w:sz="10" w:space="0" w:color="D2D2D2"/>
            </w:tcBorders>
          </w:tcPr>
          <w:p>
            <w:pPr/>
          </w:p>
        </w:tc>
        <w:tc>
          <w:tcPr>
            <w:tcW w:w="1050" w:type="dxa"/>
            <w:vMerge/>
            <w:tcBorders>
              <w:left w:val="single" w:sz="4" w:space="0" w:color="000000"/>
              <w:bottom w:val="single" w:sz="4" w:space="0" w:color="000000"/>
              <w:right w:val="single" w:sz="4" w:space="0" w:color="000000"/>
            </w:tcBorders>
            <w:shd w:val="clear" w:color="auto" w:fill="D2D2D2"/>
          </w:tcPr>
          <w:p>
            <w:pPr/>
          </w:p>
        </w:tc>
        <w:tc>
          <w:tcPr>
            <w:tcW w:w="1077" w:type="dxa"/>
            <w:vMerge/>
            <w:tcBorders>
              <w:left w:val="single" w:sz="10" w:space="0" w:color="D2D2D2"/>
              <w:bottom w:val="single" w:sz="4" w:space="0" w:color="000000"/>
              <w:right w:val="single" w:sz="10" w:space="0" w:color="D2D2D2"/>
            </w:tcBorders>
          </w:tcPr>
          <w:p>
            <w:pPr/>
          </w:p>
        </w:tc>
        <w:tc>
          <w:tcPr>
            <w:tcW w:w="19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8" w:space="0" w:color="D2D2D2"/>
              <w:bottom w:val="single" w:sz="4" w:space="0" w:color="000000"/>
              <w:right w:val="single" w:sz="4" w:space="0" w:color="000000"/>
            </w:tcBorders>
          </w:tcPr>
          <w:p>
            <w:pPr/>
          </w:p>
        </w:tc>
      </w:tr>
      <w:tr>
        <w:trPr>
          <w:trHeight w:val="396" w:hRule="exact"/>
        </w:trPr>
        <w:tc>
          <w:tcPr>
            <w:tcW w:w="971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28"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168" w:hRule="exact"/>
        </w:trPr>
        <w:tc>
          <w:tcPr>
            <w:tcW w:w="1189" w:type="dxa"/>
            <w:vMerge w:val="restart"/>
            <w:tcBorders>
              <w:top w:val="single" w:sz="4" w:space="0" w:color="000000"/>
              <w:left w:val="single" w:sz="4" w:space="0" w:color="000000"/>
              <w:right w:val="single" w:sz="4" w:space="0" w:color="000000"/>
            </w:tcBorders>
            <w:shd w:val="clear" w:color="auto" w:fill="D2D2D2"/>
          </w:tcPr>
          <w:p>
            <w:pPr/>
          </w:p>
        </w:tc>
        <w:tc>
          <w:tcPr>
            <w:tcW w:w="1403" w:type="dxa"/>
            <w:vMerge w:val="restart"/>
            <w:tcBorders>
              <w:top w:val="single" w:sz="4" w:space="0" w:color="000000"/>
              <w:left w:val="single" w:sz="4" w:space="0" w:color="000000"/>
              <w:right w:val="single" w:sz="4" w:space="0" w:color="000000"/>
            </w:tcBorders>
            <w:shd w:val="clear" w:color="auto" w:fill="D2D2D2"/>
          </w:tcPr>
          <w:p>
            <w:pPr/>
          </w:p>
        </w:tc>
        <w:tc>
          <w:tcPr>
            <w:tcW w:w="873" w:type="dxa"/>
            <w:vMerge w:val="restart"/>
            <w:tcBorders>
              <w:top w:val="single" w:sz="4" w:space="0" w:color="000000"/>
              <w:left w:val="single" w:sz="4" w:space="0" w:color="000000"/>
              <w:right w:val="single" w:sz="4" w:space="0" w:color="000000"/>
            </w:tcBorders>
            <w:shd w:val="clear" w:color="auto" w:fill="D2D2D2"/>
          </w:tcPr>
          <w:p>
            <w:pPr/>
          </w:p>
        </w:tc>
        <w:tc>
          <w:tcPr>
            <w:tcW w:w="10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81" w:right="81"/>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92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90" w:right="94"/>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54" w:hRule="exact"/>
        </w:trPr>
        <w:tc>
          <w:tcPr>
            <w:tcW w:w="1189" w:type="dxa"/>
            <w:vMerge/>
            <w:tcBorders>
              <w:left w:val="single" w:sz="4" w:space="0" w:color="000000"/>
              <w:bottom w:val="nil" w:sz="6" w:space="0" w:color="auto"/>
              <w:right w:val="single" w:sz="4" w:space="0" w:color="000000"/>
            </w:tcBorders>
            <w:shd w:val="clear" w:color="auto" w:fill="D2D2D2"/>
          </w:tcPr>
          <w:p>
            <w:pPr/>
          </w:p>
        </w:tc>
        <w:tc>
          <w:tcPr>
            <w:tcW w:w="1403" w:type="dxa"/>
            <w:vMerge/>
            <w:tcBorders>
              <w:left w:val="single" w:sz="4" w:space="0" w:color="000000"/>
              <w:bottom w:val="nil" w:sz="6" w:space="0" w:color="auto"/>
              <w:right w:val="single" w:sz="4" w:space="0" w:color="000000"/>
            </w:tcBorders>
            <w:shd w:val="clear" w:color="auto" w:fill="D2D2D2"/>
          </w:tcPr>
          <w:p>
            <w:pPr/>
          </w:p>
        </w:tc>
        <w:tc>
          <w:tcPr>
            <w:tcW w:w="873" w:type="dxa"/>
            <w:vMerge/>
            <w:tcBorders>
              <w:left w:val="single" w:sz="4" w:space="0" w:color="000000"/>
              <w:bottom w:val="nil" w:sz="6" w:space="0" w:color="auto"/>
              <w:right w:val="single" w:sz="4" w:space="0" w:color="000000"/>
            </w:tcBorders>
            <w:shd w:val="clear" w:color="auto" w:fill="D2D2D2"/>
          </w:tcPr>
          <w:p>
            <w:pPr/>
          </w:p>
        </w:tc>
        <w:tc>
          <w:tcPr>
            <w:tcW w:w="10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68" w:right="75" w:hanging="183"/>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10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71" w:right="65"/>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1077" w:type="dxa"/>
            <w:vMerge/>
            <w:tcBorders>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right w:val="single" w:sz="4" w:space="0" w:color="000000"/>
            </w:tcBorders>
            <w:shd w:val="clear" w:color="auto" w:fill="D2D2D2"/>
          </w:tcPr>
          <w:p>
            <w:pPr/>
          </w:p>
        </w:tc>
      </w:tr>
      <w:tr>
        <w:trPr>
          <w:trHeight w:val="142" w:hRule="exact"/>
        </w:trPr>
        <w:tc>
          <w:tcPr>
            <w:tcW w:w="11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6" w:type="dxa"/>
            <w:vMerge/>
            <w:tcBorders>
              <w:left w:val="single" w:sz="4" w:space="0" w:color="000000"/>
              <w:right w:val="single" w:sz="4" w:space="0" w:color="000000"/>
            </w:tcBorders>
            <w:shd w:val="clear" w:color="auto" w:fill="D2D2D2"/>
          </w:tcPr>
          <w:p>
            <w:pPr/>
          </w:p>
        </w:tc>
        <w:tc>
          <w:tcPr>
            <w:tcW w:w="1050" w:type="dxa"/>
            <w:vMerge/>
            <w:tcBorders>
              <w:left w:val="single" w:sz="4" w:space="0" w:color="000000"/>
              <w:right w:val="single" w:sz="4" w:space="0" w:color="000000"/>
            </w:tcBorders>
            <w:shd w:val="clear" w:color="auto" w:fill="D2D2D2"/>
          </w:tcPr>
          <w:p>
            <w:pPr/>
          </w:p>
        </w:tc>
        <w:tc>
          <w:tcPr>
            <w:tcW w:w="1077" w:type="dxa"/>
            <w:vMerge/>
            <w:tcBorders>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189" w:type="dxa"/>
            <w:vMerge/>
            <w:tcBorders>
              <w:left w:val="single" w:sz="4" w:space="0" w:color="000000"/>
              <w:bottom w:val="nil" w:sz="6" w:space="0" w:color="auto"/>
              <w:right w:val="single" w:sz="4" w:space="0" w:color="000000"/>
            </w:tcBorders>
            <w:shd w:val="clear" w:color="auto" w:fill="D2D2D2"/>
          </w:tcPr>
          <w:p>
            <w:pPr/>
          </w:p>
        </w:tc>
        <w:tc>
          <w:tcPr>
            <w:tcW w:w="1403" w:type="dxa"/>
            <w:vMerge/>
            <w:tcBorders>
              <w:left w:val="single" w:sz="4" w:space="0" w:color="000000"/>
              <w:bottom w:val="nil" w:sz="6" w:space="0" w:color="auto"/>
              <w:right w:val="single" w:sz="4" w:space="0" w:color="000000"/>
            </w:tcBorders>
            <w:shd w:val="clear" w:color="auto" w:fill="D2D2D2"/>
          </w:tcPr>
          <w:p>
            <w:pPr/>
          </w:p>
        </w:tc>
        <w:tc>
          <w:tcPr>
            <w:tcW w:w="873" w:type="dxa"/>
            <w:vMerge/>
            <w:tcBorders>
              <w:left w:val="single" w:sz="4" w:space="0" w:color="000000"/>
              <w:bottom w:val="nil" w:sz="6" w:space="0" w:color="auto"/>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c>
          <w:tcPr>
            <w:tcW w:w="1050" w:type="dxa"/>
            <w:vMerge/>
            <w:tcBorders>
              <w:left w:val="single" w:sz="4" w:space="0" w:color="000000"/>
              <w:right w:val="single" w:sz="4" w:space="0" w:color="000000"/>
            </w:tcBorders>
            <w:shd w:val="clear" w:color="auto" w:fill="D2D2D2"/>
          </w:tcPr>
          <w:p>
            <w:pPr/>
          </w:p>
        </w:tc>
        <w:tc>
          <w:tcPr>
            <w:tcW w:w="1077" w:type="dxa"/>
            <w:vMerge/>
            <w:tcBorders>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16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4" w:hRule="exact"/>
        </w:trPr>
        <w:tc>
          <w:tcPr>
            <w:tcW w:w="1189" w:type="dxa"/>
            <w:vMerge w:val="restart"/>
            <w:tcBorders>
              <w:top w:val="nil" w:sz="6" w:space="0" w:color="auto"/>
              <w:left w:val="single" w:sz="4" w:space="0" w:color="000000"/>
              <w:right w:val="single" w:sz="4" w:space="0" w:color="000000"/>
            </w:tcBorders>
            <w:shd w:val="clear" w:color="auto" w:fill="D2D2D2"/>
          </w:tcPr>
          <w:p>
            <w:pPr/>
          </w:p>
        </w:tc>
        <w:tc>
          <w:tcPr>
            <w:tcW w:w="1403" w:type="dxa"/>
            <w:vMerge w:val="restart"/>
            <w:tcBorders>
              <w:top w:val="nil" w:sz="6" w:space="0" w:color="auto"/>
              <w:left w:val="single" w:sz="4" w:space="0" w:color="000000"/>
              <w:right w:val="single" w:sz="4" w:space="0" w:color="000000"/>
            </w:tcBorders>
            <w:shd w:val="clear" w:color="auto" w:fill="D2D2D2"/>
          </w:tcPr>
          <w:p>
            <w:pPr/>
          </w:p>
        </w:tc>
        <w:tc>
          <w:tcPr>
            <w:tcW w:w="873" w:type="dxa"/>
            <w:vMerge w:val="restart"/>
            <w:tcBorders>
              <w:top w:val="nil" w:sz="6" w:space="0" w:color="auto"/>
              <w:left w:val="single" w:sz="4" w:space="0" w:color="000000"/>
              <w:right w:val="single" w:sz="4" w:space="0" w:color="000000"/>
            </w:tcBorders>
            <w:shd w:val="clear" w:color="auto" w:fill="D2D2D2"/>
          </w:tcPr>
          <w:p>
            <w:pPr/>
          </w:p>
        </w:tc>
        <w:tc>
          <w:tcPr>
            <w:tcW w:w="1076" w:type="dxa"/>
            <w:vMerge/>
            <w:tcBorders>
              <w:left w:val="single" w:sz="4" w:space="0" w:color="000000"/>
              <w:bottom w:val="nil" w:sz="6" w:space="0" w:color="auto"/>
              <w:right w:val="single" w:sz="4" w:space="0" w:color="000000"/>
            </w:tcBorders>
            <w:shd w:val="clear" w:color="auto" w:fill="D2D2D2"/>
          </w:tcPr>
          <w:p>
            <w:pPr/>
          </w:p>
        </w:tc>
        <w:tc>
          <w:tcPr>
            <w:tcW w:w="1050" w:type="dxa"/>
            <w:vMerge/>
            <w:tcBorders>
              <w:left w:val="single" w:sz="4" w:space="0" w:color="000000"/>
              <w:bottom w:val="nil" w:sz="6" w:space="0" w:color="auto"/>
              <w:right w:val="single" w:sz="4" w:space="0" w:color="000000"/>
            </w:tcBorders>
            <w:shd w:val="clear" w:color="auto" w:fill="D2D2D2"/>
          </w:tcPr>
          <w:p>
            <w:pPr/>
          </w:p>
        </w:tc>
        <w:tc>
          <w:tcPr>
            <w:tcW w:w="1077" w:type="dxa"/>
            <w:vMerge/>
            <w:tcBorders>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r>
      <w:tr>
        <w:trPr>
          <w:trHeight w:val="164" w:hRule="exact"/>
        </w:trPr>
        <w:tc>
          <w:tcPr>
            <w:tcW w:w="1189" w:type="dxa"/>
            <w:vMerge/>
            <w:tcBorders>
              <w:left w:val="single" w:sz="4" w:space="0" w:color="000000"/>
              <w:bottom w:val="single" w:sz="4" w:space="0" w:color="000000"/>
              <w:right w:val="single" w:sz="4" w:space="0" w:color="000000"/>
            </w:tcBorders>
            <w:shd w:val="clear" w:color="auto" w:fill="D2D2D2"/>
          </w:tcPr>
          <w:p>
            <w:pPr/>
          </w:p>
        </w:tc>
        <w:tc>
          <w:tcPr>
            <w:tcW w:w="1403" w:type="dxa"/>
            <w:vMerge/>
            <w:tcBorders>
              <w:left w:val="single" w:sz="4" w:space="0" w:color="000000"/>
              <w:bottom w:val="single" w:sz="4" w:space="0" w:color="000000"/>
              <w:right w:val="single" w:sz="4" w:space="0" w:color="000000"/>
            </w:tcBorders>
            <w:shd w:val="clear" w:color="auto" w:fill="D2D2D2"/>
          </w:tcPr>
          <w:p>
            <w:pPr/>
          </w:p>
        </w:tc>
        <w:tc>
          <w:tcPr>
            <w:tcW w:w="873" w:type="dxa"/>
            <w:vMerge/>
            <w:tcBorders>
              <w:left w:val="single" w:sz="4" w:space="0" w:color="000000"/>
              <w:bottom w:val="single" w:sz="4" w:space="0" w:color="000000"/>
              <w:right w:val="single" w:sz="4" w:space="0" w:color="000000"/>
            </w:tcBorders>
            <w:shd w:val="clear" w:color="auto" w:fill="D2D2D2"/>
          </w:tcPr>
          <w:p>
            <w:pPr/>
          </w:p>
        </w:tc>
        <w:tc>
          <w:tcPr>
            <w:tcW w:w="10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7"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672"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2" w:right="80"/>
              <w:jc w:val="left"/>
              <w:rPr>
                <w:rFonts w:ascii="宋体" w:hAnsi="宋体" w:cs="宋体" w:eastAsia="宋体" w:hint="default"/>
                <w:sz w:val="18"/>
                <w:szCs w:val="18"/>
              </w:rPr>
            </w:pPr>
            <w:r>
              <w:rPr>
                <w:rFonts w:ascii="宋体" w:hAnsi="宋体" w:cs="宋体" w:eastAsia="宋体" w:hint="default"/>
                <w:spacing w:val="-2"/>
                <w:sz w:val="18"/>
                <w:szCs w:val="18"/>
              </w:rPr>
              <w:t>杭州正元企业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管理咨询有限</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28.96%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36,680,617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1,7375,029</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36,680,617</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32"/>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22,852,440</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01"/>
        <w:gridCol w:w="1397"/>
        <w:gridCol w:w="884"/>
        <w:gridCol w:w="1066"/>
        <w:gridCol w:w="1061"/>
        <w:gridCol w:w="1066"/>
        <w:gridCol w:w="716"/>
        <w:gridCol w:w="211"/>
        <w:gridCol w:w="1066"/>
        <w:gridCol w:w="1061"/>
      </w:tblGrid>
      <w:tr>
        <w:trPr>
          <w:trHeight w:val="36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9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27"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杭州易康投资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管理有限公司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8,225,492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3,632,496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8,225,492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杭州正浩投资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管理有限公司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5,542,081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2,355,975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5,542,081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浙江合力创业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投资有限公司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5,381,873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2,549,308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5,381,873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3,689,762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1,747,782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3,689,762</w:t>
            </w:r>
          </w:p>
        </w:tc>
        <w:tc>
          <w:tcPr>
            <w:tcW w:w="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3,689,762</w:t>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浙江盈瓯创业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投资有限公司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3,193,119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1,512,530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3,193,119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董书倩</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2,000,950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2,000,950</w:t>
            </w:r>
          </w:p>
        </w:tc>
        <w:tc>
          <w:tcPr>
            <w:tcW w:w="1066" w:type="dxa"/>
            <w:tcBorders>
              <w:top w:val="single" w:sz="4" w:space="0" w:color="000000"/>
              <w:left w:val="single" w:sz="4" w:space="0" w:color="000000"/>
              <w:bottom w:val="single" w:sz="4" w:space="0" w:color="000000"/>
              <w:right w:val="single" w:sz="4" w:space="0" w:color="000000"/>
            </w:tcBorders>
          </w:tcPr>
          <w:p>
            <w:pPr/>
          </w:p>
        </w:tc>
        <w:tc>
          <w:tcPr>
            <w:tcW w:w="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2,000,950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杭州乾盈投资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管理有限公司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1,862,310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230,947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1,862,310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李成</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1,518,200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506,655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1,518,200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浙江连连投资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1,247,370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-293,130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1,247,370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5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36"/>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战略投资者或一般法人因配售新</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股成为前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名股东的情况（如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6"/>
                <w:w w:val="101"/>
                <w:sz w:val="18"/>
                <w:szCs w:val="18"/>
              </w:rPr>
              <w:t>有）（参见注</w:t>
            </w:r>
            <w:r>
              <w:rPr>
                <w:rFonts w:ascii="宋体" w:hAnsi="宋体" w:cs="宋体" w:eastAsia="宋体" w:hint="default"/>
                <w:spacing w:val="-55"/>
                <w:w w:val="101"/>
                <w:sz w:val="18"/>
                <w:szCs w:val="18"/>
              </w:rPr>
              <w:t> </w:t>
            </w:r>
            <w:r>
              <w:rPr>
                <w:rFonts w:ascii="Times New Roman" w:hAnsi="Times New Roman" w:cs="Times New Roman" w:eastAsia="Times New Roman" w:hint="default"/>
                <w:w w:val="101"/>
                <w:sz w:val="18"/>
                <w:szCs w:val="18"/>
              </w:rPr>
              <w:t>4</w:t>
            </w:r>
            <w:r>
              <w:rPr>
                <w:rFonts w:ascii="宋体" w:hAnsi="宋体" w:cs="宋体" w:eastAsia="宋体" w:hint="default"/>
                <w:w w:val="101"/>
                <w:sz w:val="18"/>
                <w:szCs w:val="18"/>
              </w:rPr>
              <w:t>）</w:t>
            </w:r>
            <w:r>
              <w:rPr>
                <w:rFonts w:ascii="宋体" w:hAnsi="宋体" w:cs="宋体" w:eastAsia="宋体" w:hint="default"/>
                <w:sz w:val="18"/>
                <w:szCs w:val="18"/>
              </w:rPr>
            </w:r>
          </w:p>
        </w:tc>
        <w:tc>
          <w:tcPr>
            <w:tcW w:w="713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33" w:hRule="exact"/>
        </w:trPr>
        <w:tc>
          <w:tcPr>
            <w:tcW w:w="25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31" w:type="dxa"/>
            <w:gridSpan w:val="8"/>
            <w:vMerge w:val="restart"/>
            <w:tcBorders>
              <w:top w:val="single" w:sz="4" w:space="0" w:color="000000"/>
              <w:left w:val="single" w:sz="10" w:space="0" w:color="D2D2D2"/>
              <w:right w:val="single" w:sz="4" w:space="0" w:color="000000"/>
            </w:tcBorders>
          </w:tcPr>
          <w:p>
            <w:pPr>
              <w:pStyle w:val="TableParagraph"/>
              <w:spacing w:line="300" w:lineRule="auto" w:before="53"/>
              <w:ind w:left="16"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）杭州正元控股股东陈坚和李琳为夫妻关系，根据其声明李琳女士为陈坚先生的一致行</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动人；</w:t>
            </w:r>
          </w:p>
          <w:p>
            <w:pPr>
              <w:pStyle w:val="TableParagraph"/>
              <w:spacing w:line="240" w:lineRule="auto" w:before="75"/>
              <w:ind w:left="1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）易康投资和正浩投资均系为实施员工股权激励而设立的持股公司，部分股东重合；</w:t>
            </w:r>
          </w:p>
          <w:p>
            <w:pPr>
              <w:pStyle w:val="TableParagraph"/>
              <w:spacing w:line="240" w:lineRule="auto" w:before="101"/>
              <w:ind w:left="16"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）陈坚持有易康投资</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35.42%</w:t>
            </w:r>
            <w:r>
              <w:rPr>
                <w:rFonts w:ascii="宋体" w:hAnsi="宋体" w:cs="宋体" w:eastAsia="宋体" w:hint="default"/>
                <w:spacing w:val="-2"/>
                <w:sz w:val="18"/>
                <w:szCs w:val="18"/>
              </w:rPr>
              <w:t>的股权；</w:t>
            </w:r>
          </w:p>
          <w:p>
            <w:pPr>
              <w:pStyle w:val="TableParagraph"/>
              <w:spacing w:line="240" w:lineRule="auto" w:before="101"/>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）陈坚之妹陈英持有正浩投资</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10.22%</w:t>
            </w:r>
            <w:r>
              <w:rPr>
                <w:rFonts w:ascii="宋体" w:hAnsi="宋体" w:cs="宋体" w:eastAsia="宋体" w:hint="default"/>
                <w:spacing w:val="-3"/>
                <w:sz w:val="18"/>
                <w:szCs w:val="18"/>
              </w:rPr>
              <w:t>股权，且担任正浩投资的执行董事兼总经理。</w:t>
            </w:r>
          </w:p>
        </w:tc>
      </w:tr>
      <w:tr>
        <w:trPr>
          <w:trHeight w:val="706" w:hRule="exact"/>
        </w:trPr>
        <w:tc>
          <w:tcPr>
            <w:tcW w:w="259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24" w:right="36"/>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说明</w:t>
            </w:r>
          </w:p>
        </w:tc>
        <w:tc>
          <w:tcPr>
            <w:tcW w:w="7131" w:type="dxa"/>
            <w:gridSpan w:val="8"/>
            <w:vMerge/>
            <w:tcBorders>
              <w:left w:val="single" w:sz="10" w:space="0" w:color="D2D2D2"/>
              <w:right w:val="single" w:sz="4" w:space="0" w:color="000000"/>
            </w:tcBorders>
          </w:tcPr>
          <w:p>
            <w:pPr/>
          </w:p>
        </w:tc>
      </w:tr>
      <w:tr>
        <w:trPr>
          <w:trHeight w:val="533" w:hRule="exact"/>
        </w:trPr>
        <w:tc>
          <w:tcPr>
            <w:tcW w:w="25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31" w:type="dxa"/>
            <w:gridSpan w:val="8"/>
            <w:vMerge/>
            <w:tcBorders>
              <w:left w:val="single" w:sz="10" w:space="0" w:color="D2D2D2"/>
              <w:bottom w:val="single" w:sz="4" w:space="0" w:color="000000"/>
              <w:right w:val="single" w:sz="4" w:space="0" w:color="000000"/>
            </w:tcBorders>
          </w:tcPr>
          <w:p>
            <w:pPr/>
          </w:p>
        </w:tc>
      </w:tr>
      <w:tr>
        <w:trPr>
          <w:trHeight w:val="398" w:hRule="exact"/>
        </w:trPr>
        <w:tc>
          <w:tcPr>
            <w:tcW w:w="972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06" w:hRule="exact"/>
        </w:trPr>
        <w:tc>
          <w:tcPr>
            <w:tcW w:w="25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79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33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59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79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42"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33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598" w:type="dxa"/>
            <w:gridSpan w:val="2"/>
            <w:vMerge/>
            <w:tcBorders>
              <w:left w:val="single" w:sz="4" w:space="0" w:color="000000"/>
              <w:bottom w:val="nil" w:sz="6" w:space="0" w:color="auto"/>
              <w:right w:val="single" w:sz="4" w:space="0" w:color="000000"/>
            </w:tcBorders>
            <w:shd w:val="clear" w:color="auto" w:fill="D2D2D2"/>
          </w:tcPr>
          <w:p>
            <w:pPr/>
          </w:p>
        </w:tc>
        <w:tc>
          <w:tcPr>
            <w:tcW w:w="4792" w:type="dxa"/>
            <w:gridSpan w:val="5"/>
            <w:vMerge/>
            <w:tcBorders>
              <w:left w:val="single" w:sz="4" w:space="0" w:color="000000"/>
              <w:bottom w:val="nil" w:sz="6" w:space="0" w:color="auto"/>
              <w:right w:val="single" w:sz="4" w:space="0" w:color="000000"/>
            </w:tcBorders>
            <w:shd w:val="clear" w:color="auto" w:fill="D2D2D2"/>
          </w:tcPr>
          <w:p>
            <w:pP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7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5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79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杭州易康投资管理有限公司</w:t>
            </w:r>
          </w:p>
        </w:tc>
        <w:tc>
          <w:tcPr>
            <w:tcW w:w="47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8,225,492</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8,225,492</w:t>
            </w:r>
          </w:p>
        </w:tc>
      </w:tr>
      <w:tr>
        <w:trPr>
          <w:trHeight w:val="398" w:hRule="exact"/>
        </w:trPr>
        <w:tc>
          <w:tcPr>
            <w:tcW w:w="2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杭州正浩投资管理有限公司</w:t>
            </w:r>
          </w:p>
        </w:tc>
        <w:tc>
          <w:tcPr>
            <w:tcW w:w="47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5,542,081</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5,542,081</w:t>
            </w:r>
          </w:p>
        </w:tc>
      </w:tr>
      <w:tr>
        <w:trPr>
          <w:trHeight w:val="403" w:hRule="exact"/>
        </w:trPr>
        <w:tc>
          <w:tcPr>
            <w:tcW w:w="2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浙江合力创业投资有限公司</w:t>
            </w:r>
          </w:p>
        </w:tc>
        <w:tc>
          <w:tcPr>
            <w:tcW w:w="47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5,381,873</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5,381,873</w:t>
            </w:r>
          </w:p>
        </w:tc>
      </w:tr>
      <w:tr>
        <w:trPr>
          <w:trHeight w:val="404" w:hRule="exact"/>
        </w:trPr>
        <w:tc>
          <w:tcPr>
            <w:tcW w:w="2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浙江盈瓯创业投资有限公司</w:t>
            </w:r>
          </w:p>
        </w:tc>
        <w:tc>
          <w:tcPr>
            <w:tcW w:w="47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3,193,119</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3,193,119</w:t>
            </w:r>
          </w:p>
        </w:tc>
      </w:tr>
      <w:tr>
        <w:trPr>
          <w:trHeight w:val="403" w:hRule="exact"/>
        </w:trPr>
        <w:tc>
          <w:tcPr>
            <w:tcW w:w="2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董书倩</w:t>
            </w:r>
          </w:p>
        </w:tc>
        <w:tc>
          <w:tcPr>
            <w:tcW w:w="47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2,000,950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2,000,950</w:t>
            </w:r>
          </w:p>
        </w:tc>
      </w:tr>
      <w:tr>
        <w:trPr>
          <w:trHeight w:val="398" w:hRule="exact"/>
        </w:trPr>
        <w:tc>
          <w:tcPr>
            <w:tcW w:w="2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杭州乾盈投资管理有限公司</w:t>
            </w:r>
          </w:p>
        </w:tc>
        <w:tc>
          <w:tcPr>
            <w:tcW w:w="47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1,862,310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1,862,310</w:t>
            </w:r>
          </w:p>
        </w:tc>
      </w:tr>
      <w:tr>
        <w:trPr>
          <w:trHeight w:val="403" w:hRule="exact"/>
        </w:trPr>
        <w:tc>
          <w:tcPr>
            <w:tcW w:w="2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李成</w:t>
            </w:r>
          </w:p>
        </w:tc>
        <w:tc>
          <w:tcPr>
            <w:tcW w:w="47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1,518,200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1,518,200</w:t>
            </w:r>
          </w:p>
        </w:tc>
      </w:tr>
      <w:tr>
        <w:trPr>
          <w:trHeight w:val="404" w:hRule="exact"/>
        </w:trPr>
        <w:tc>
          <w:tcPr>
            <w:tcW w:w="2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浙江连连投资有限公司</w:t>
            </w:r>
          </w:p>
        </w:tc>
        <w:tc>
          <w:tcPr>
            <w:tcW w:w="47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1,247,370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1,247,370</w:t>
            </w:r>
          </w:p>
        </w:tc>
      </w:tr>
      <w:tr>
        <w:trPr>
          <w:trHeight w:val="715" w:hRule="exact"/>
        </w:trPr>
        <w:tc>
          <w:tcPr>
            <w:tcW w:w="2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left"/>
              <w:rPr>
                <w:rFonts w:ascii="宋体" w:hAnsi="宋体" w:cs="宋体" w:eastAsia="宋体" w:hint="default"/>
                <w:sz w:val="18"/>
                <w:szCs w:val="18"/>
              </w:rPr>
            </w:pPr>
            <w:r>
              <w:rPr>
                <w:rFonts w:ascii="宋体" w:hAnsi="宋体" w:cs="宋体" w:eastAsia="宋体" w:hint="default"/>
                <w:spacing w:val="-3"/>
                <w:sz w:val="18"/>
                <w:szCs w:val="18"/>
              </w:rPr>
              <w:t>舟山金础创业投资合伙企业（有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限合伙）</w:t>
            </w:r>
          </w:p>
        </w:tc>
        <w:tc>
          <w:tcPr>
            <w:tcW w:w="47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676,675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676,675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598"/>
        <w:gridCol w:w="4792"/>
        <w:gridCol w:w="1277"/>
        <w:gridCol w:w="1061"/>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何世琼</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668,310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1" w:right="0"/>
              <w:jc w:val="left"/>
              <w:rPr>
                <w:rFonts w:ascii="Times New Roman" w:hAnsi="Times New Roman" w:cs="Times New Roman" w:eastAsia="Times New Roman" w:hint="default"/>
                <w:sz w:val="18"/>
                <w:szCs w:val="18"/>
              </w:rPr>
            </w:pPr>
            <w:r>
              <w:rPr>
                <w:rFonts w:ascii="Times New Roman"/>
                <w:sz w:val="18"/>
              </w:rPr>
              <w:t>668,310</w:t>
            </w:r>
          </w:p>
        </w:tc>
      </w:tr>
      <w:tr>
        <w:trPr>
          <w:trHeight w:val="1767" w:hRule="exact"/>
        </w:trPr>
        <w:tc>
          <w:tcPr>
            <w:tcW w:w="25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名无限售流通股股东之间</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以及前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名无限售流通股股东</w:t>
            </w:r>
          </w:p>
          <w:p>
            <w:pPr>
              <w:pStyle w:val="TableParagraph"/>
              <w:spacing w:line="304" w:lineRule="auto" w:before="63"/>
              <w:ind w:left="24" w:right="128"/>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名股东之间关联关系或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一致行动的说明</w:t>
            </w:r>
          </w:p>
        </w:tc>
        <w:tc>
          <w:tcPr>
            <w:tcW w:w="71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3" w:lineRule="exact"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）易康投资和正浩投资均系为实施员工股权激励而设立的持股公司，部分股东重合；</w:t>
            </w:r>
          </w:p>
          <w:p>
            <w:pPr>
              <w:pStyle w:val="TableParagraph"/>
              <w:spacing w:line="168" w:lineRule="exact"/>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9"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）公司实际控制人陈坚持有易康投资</w:t>
            </w:r>
            <w:r>
              <w:rPr>
                <w:rFonts w:ascii="宋体" w:hAnsi="宋体" w:cs="宋体" w:eastAsia="宋体" w:hint="default"/>
                <w:spacing w:val="12"/>
                <w:sz w:val="18"/>
                <w:szCs w:val="18"/>
              </w:rPr>
              <w:t> </w:t>
            </w:r>
            <w:r>
              <w:rPr>
                <w:rFonts w:ascii="Times New Roman" w:hAnsi="Times New Roman" w:cs="Times New Roman" w:eastAsia="Times New Roman" w:hint="default"/>
                <w:spacing w:val="-2"/>
                <w:sz w:val="18"/>
                <w:szCs w:val="18"/>
              </w:rPr>
              <w:t>35.42%</w:t>
            </w:r>
            <w:r>
              <w:rPr>
                <w:rFonts w:ascii="宋体" w:hAnsi="宋体" w:cs="宋体" w:eastAsia="宋体" w:hint="default"/>
                <w:spacing w:val="-2"/>
                <w:sz w:val="18"/>
                <w:szCs w:val="18"/>
              </w:rPr>
              <w:t>的股权；</w:t>
            </w: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）陈坚之妹陈英持有正浩投资</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10.22%</w:t>
            </w:r>
            <w:r>
              <w:rPr>
                <w:rFonts w:ascii="宋体" w:hAnsi="宋体" w:cs="宋体" w:eastAsia="宋体" w:hint="default"/>
                <w:spacing w:val="-3"/>
                <w:sz w:val="18"/>
                <w:szCs w:val="18"/>
              </w:rPr>
              <w:t>股权，且担任正浩投资的执行董事兼总经理；</w:t>
            </w:r>
          </w:p>
          <w:p>
            <w:pPr>
              <w:pStyle w:val="TableParagraph"/>
              <w:spacing w:line="304" w:lineRule="auto" w:before="96"/>
              <w:ind w:left="24" w:right="1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）公司未知其他前 </w:t>
            </w:r>
            <w:r>
              <w:rPr>
                <w:rFonts w:ascii="Times New Roman" w:hAnsi="Times New Roman" w:cs="Times New Roman" w:eastAsia="Times New Roman" w:hint="default"/>
                <w:sz w:val="18"/>
                <w:szCs w:val="18"/>
              </w:rPr>
              <w:t>10 </w:t>
            </w:r>
            <w:r>
              <w:rPr>
                <w:rFonts w:ascii="宋体" w:hAnsi="宋体" w:cs="宋体" w:eastAsia="宋体" w:hint="default"/>
                <w:spacing w:val="-4"/>
                <w:sz w:val="18"/>
                <w:szCs w:val="18"/>
              </w:rPr>
              <w:t>名无限售流通股股东之间，以及前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名无限售流通股股东和公司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限售股股东之间是否存在关联关系，也未知是否属于一致行动人。</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如</w:t>
            </w:r>
            <w:r>
              <w:rPr>
                <w:rFonts w:ascii="宋体" w:hAnsi="宋体" w:cs="宋体" w:eastAsia="宋体" w:hint="default"/>
                <w:w w:val="101"/>
                <w:sz w:val="18"/>
                <w:szCs w:val="18"/>
              </w:rPr>
              <w:t>有</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参见注</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5</w:t>
            </w:r>
            <w:r>
              <w:rPr>
                <w:rFonts w:ascii="宋体" w:hAnsi="宋体" w:cs="宋体" w:eastAsia="宋体" w:hint="default"/>
                <w:w w:val="101"/>
                <w:sz w:val="18"/>
                <w:szCs w:val="18"/>
              </w:rPr>
              <w:t>）</w:t>
            </w:r>
            <w:r>
              <w:rPr>
                <w:rFonts w:ascii="宋体" w:hAnsi="宋体" w:cs="宋体" w:eastAsia="宋体" w:hint="default"/>
                <w:sz w:val="18"/>
                <w:szCs w:val="18"/>
              </w:rPr>
            </w:r>
          </w:p>
        </w:tc>
        <w:tc>
          <w:tcPr>
            <w:tcW w:w="71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公司股东李成除通过普通证券账户持有 </w:t>
            </w:r>
            <w:r>
              <w:rPr>
                <w:rFonts w:ascii="Times New Roman" w:hAnsi="Times New Roman" w:cs="Times New Roman" w:eastAsia="Times New Roman" w:hint="default"/>
                <w:sz w:val="18"/>
                <w:szCs w:val="18"/>
              </w:rPr>
              <w:t>100 </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股外，还通过方正证券股份有限公司客户信用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交易担保证券账户持有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1,518,100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股，实际合计持有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1,518,200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名无限售条件普通股股东在报告期内是否进行约定购回交易</w:t>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名无限售条件普通股股东在报告期内未进行约定购回交易。</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公司控股股东情况" w:id="117"/>
      <w:bookmarkEnd w:id="11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57" w:lineRule="auto" w:before="0"/>
        <w:ind w:left="153" w:right="8420" w:firstLine="0"/>
        <w:jc w:val="left"/>
        <w:rPr>
          <w:rFonts w:ascii="宋体" w:hAnsi="宋体" w:cs="宋体" w:eastAsia="宋体" w:hint="default"/>
          <w:sz w:val="18"/>
          <w:szCs w:val="18"/>
        </w:rPr>
      </w:pPr>
      <w:r>
        <w:rPr>
          <w:rFonts w:ascii="宋体" w:hAnsi="宋体" w:cs="宋体" w:eastAsia="宋体" w:hint="default"/>
          <w:spacing w:val="-3"/>
          <w:sz w:val="18"/>
          <w:szCs w:val="18"/>
        </w:rPr>
        <w:t>控股股东性质：自然人控股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控股股东类型：法人</w:t>
      </w:r>
    </w:p>
    <w:tbl>
      <w:tblPr>
        <w:tblW w:w="0" w:type="auto"/>
        <w:jc w:val="left"/>
        <w:tblInd w:w="148" w:type="dxa"/>
        <w:tblLayout w:type="fixed"/>
        <w:tblCellMar>
          <w:top w:w="0" w:type="dxa"/>
          <w:left w:w="0" w:type="dxa"/>
          <w:bottom w:w="0" w:type="dxa"/>
          <w:right w:w="0" w:type="dxa"/>
        </w:tblCellMar>
        <w:tblLook w:val="01E0"/>
      </w:tblPr>
      <w:tblGrid>
        <w:gridCol w:w="2199"/>
        <w:gridCol w:w="1791"/>
        <w:gridCol w:w="1594"/>
        <w:gridCol w:w="1758"/>
        <w:gridCol w:w="2228"/>
      </w:tblGrid>
      <w:tr>
        <w:trPr>
          <w:trHeight w:val="716"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801" w:right="46" w:hanging="744"/>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1"/>
              <w:jc w:val="left"/>
              <w:rPr>
                <w:rFonts w:ascii="宋体" w:hAnsi="宋体" w:cs="宋体" w:eastAsia="宋体" w:hint="default"/>
                <w:sz w:val="18"/>
                <w:szCs w:val="18"/>
              </w:rPr>
            </w:pPr>
            <w:r>
              <w:rPr>
                <w:rFonts w:ascii="宋体" w:hAnsi="宋体" w:cs="宋体" w:eastAsia="宋体" w:hint="default"/>
                <w:spacing w:val="-3"/>
                <w:sz w:val="18"/>
                <w:szCs w:val="18"/>
              </w:rPr>
              <w:t>杭州正元企业管理咨询有</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限公司</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5"/>
              <w:jc w:val="center"/>
              <w:rPr>
                <w:rFonts w:ascii="Times New Roman" w:hAnsi="Times New Roman" w:cs="Times New Roman" w:eastAsia="Times New Roman" w:hint="default"/>
                <w:sz w:val="18"/>
                <w:szCs w:val="18"/>
              </w:rPr>
            </w:pPr>
            <w:r>
              <w:rPr>
                <w:rFonts w:ascii="Times New Roman"/>
                <w:sz w:val="18"/>
              </w:rPr>
              <w:t>913301087337992009</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企业管理咨询</w:t>
            </w:r>
          </w:p>
        </w:tc>
      </w:tr>
      <w:tr>
        <w:trPr>
          <w:trHeight w:val="1028"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81"/>
              <w:jc w:val="both"/>
              <w:rPr>
                <w:rFonts w:ascii="宋体" w:hAnsi="宋体" w:cs="宋体" w:eastAsia="宋体" w:hint="default"/>
                <w:sz w:val="18"/>
                <w:szCs w:val="18"/>
              </w:rPr>
            </w:pPr>
            <w:r>
              <w:rPr>
                <w:rFonts w:ascii="宋体" w:hAnsi="宋体" w:cs="宋体" w:eastAsia="宋体" w:hint="default"/>
                <w:spacing w:val="-3"/>
                <w:sz w:val="18"/>
                <w:szCs w:val="18"/>
              </w:rPr>
              <w:t>控股股东报告期内控股和</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参股的其他境内外上市公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司的股权情况</w:t>
            </w:r>
          </w:p>
        </w:tc>
        <w:tc>
          <w:tcPr>
            <w:tcW w:w="7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65"/>
        <w:ind w:left="153"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3" w:lineRule="auto" w:before="115"/>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公司报告期控股股东未发生变更。</w:t>
      </w:r>
    </w:p>
    <w:p>
      <w:pPr>
        <w:spacing w:line="240" w:lineRule="auto" w:before="5"/>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3、公司实际控制人及其一致行动人" w:id="118"/>
      <w:bookmarkEnd w:id="11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57" w:lineRule="auto" w:before="0"/>
        <w:ind w:left="153" w:right="842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实际控制人性质：境内自然人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实际控制人类型：自然人</w:t>
      </w: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12" w:right="103" w:hanging="903"/>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留权</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陈坚</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一致行动（含协议、亲属、同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一控制）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陈坚先生为公司董事长兼总经理。</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9"/>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年曾控股的境内外上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实际控制人报告期内变更</w:t>
      </w:r>
    </w:p>
    <w:p>
      <w:pPr>
        <w:spacing w:line="350" w:lineRule="auto" w:before="115"/>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公司报告期实际控制人未发生变更。</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公司与实际控制人之间的产权及控制关系的方框图</w:t>
      </w:r>
    </w:p>
    <w:p>
      <w:pPr>
        <w:spacing w:line="240" w:lineRule="auto" w:before="1"/>
        <w:rPr>
          <w:rFonts w:ascii="宋体" w:hAnsi="宋体" w:cs="宋体" w:eastAsia="宋体" w:hint="default"/>
          <w:sz w:val="18"/>
          <w:szCs w:val="18"/>
        </w:rPr>
      </w:pPr>
    </w:p>
    <w:p>
      <w:pPr>
        <w:spacing w:line="2989" w:lineRule="exact"/>
        <w:ind w:left="2332"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3349233" cy="189823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3349233" cy="1898237"/>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9"/>
        <w:rPr>
          <w:rFonts w:ascii="宋体" w:hAnsi="宋体" w:cs="宋体" w:eastAsia="宋体" w:hint="default"/>
          <w:sz w:val="17"/>
          <w:szCs w:val="17"/>
        </w:rPr>
      </w:pPr>
    </w:p>
    <w:p>
      <w:pPr>
        <w:pStyle w:val="BodyText"/>
        <w:spacing w:line="240" w:lineRule="auto"/>
        <w:ind w:right="0"/>
        <w:jc w:val="left"/>
      </w:pPr>
      <w:r>
        <w:rPr/>
        <w:t>实际控制人通过信托或其他资产管理方式控制公司</w:t>
      </w:r>
    </w:p>
    <w:p>
      <w:pPr>
        <w:spacing w:line="240" w:lineRule="auto" w:before="7"/>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4、其他持股在10%以上的法人股东" w:id="119"/>
      <w:bookmarkEnd w:id="11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控股股东、实际控制人、重组方及其他承诺主体股份限制减持情况" w:id="120"/>
      <w:bookmarkEnd w:id="12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365" w:right="0"/>
        <w:jc w:val="left"/>
        <w:rPr>
          <w:b w:val="0"/>
          <w:bCs w:val="0"/>
        </w:rPr>
      </w:pPr>
      <w:bookmarkStart w:name="第七节优先股相关情况" w:id="121"/>
      <w:bookmarkEnd w:id="121"/>
      <w:r>
        <w:rPr>
          <w:b w:val="0"/>
          <w:bCs w:val="0"/>
        </w:rPr>
      </w:r>
      <w:bookmarkStart w:name="_bookmark5" w:id="122"/>
      <w:bookmarkEnd w:id="122"/>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6"/>
        <w:ind w:left="153" w:right="84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报告期公司不存在优先股。</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722" w:right="0"/>
        <w:jc w:val="left"/>
        <w:rPr>
          <w:b w:val="0"/>
          <w:bCs w:val="0"/>
        </w:rPr>
      </w:pPr>
      <w:bookmarkStart w:name="第八节可转换公司债券相关情况" w:id="123"/>
      <w:bookmarkEnd w:id="123"/>
      <w:r>
        <w:rPr>
          <w:b w:val="0"/>
          <w:bCs w:val="0"/>
        </w:rPr>
      </w:r>
      <w:bookmarkStart w:name="_bookmark6" w:id="124"/>
      <w:bookmarkEnd w:id="124"/>
      <w:r>
        <w:rPr>
          <w:b w:val="0"/>
          <w:bCs w:val="0"/>
        </w:rPr>
      </w:r>
      <w:r>
        <w:rPr/>
        <w:t>第八节可转换公司债券相关情况</w:t>
      </w:r>
      <w:r>
        <w:rPr>
          <w:b w:val="0"/>
          <w:bCs w:val="0"/>
        </w:rPr>
      </w:r>
    </w:p>
    <w:p>
      <w:pPr>
        <w:spacing w:line="240" w:lineRule="auto" w:before="12"/>
        <w:rPr>
          <w:rFonts w:ascii="宋体" w:hAnsi="宋体" w:cs="宋体" w:eastAsia="宋体" w:hint="default"/>
          <w:b/>
          <w:bCs/>
          <w:sz w:val="42"/>
          <w:szCs w:val="42"/>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报告期公司不存在可转换公司债券。</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937" w:right="1151"/>
        <w:jc w:val="left"/>
        <w:rPr>
          <w:b w:val="0"/>
          <w:bCs w:val="0"/>
        </w:rPr>
      </w:pPr>
      <w:bookmarkStart w:name="第九节董事、监事、高级管理人员和员工情况" w:id="125"/>
      <w:bookmarkEnd w:id="125"/>
      <w:r>
        <w:rPr>
          <w:b w:val="0"/>
          <w:bCs w:val="0"/>
        </w:rPr>
      </w:r>
      <w:bookmarkStart w:name="_bookmark7" w:id="126"/>
      <w:bookmarkEnd w:id="126"/>
      <w:r>
        <w:rPr>
          <w:b w:val="0"/>
          <w:bCs w:val="0"/>
        </w:rPr>
      </w:r>
      <w:r>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left="333" w:right="1151"/>
        <w:jc w:val="left"/>
        <w:rPr>
          <w:b w:val="0"/>
          <w:bCs w:val="0"/>
        </w:rPr>
      </w:pPr>
      <w:bookmarkStart w:name="一、 董事、监事和高级管理人员持股变动" w:id="127"/>
      <w:bookmarkEnd w:id="127"/>
      <w:r>
        <w:rPr>
          <w:b w:val="0"/>
          <w:bCs w:val="0"/>
        </w:rPr>
      </w:r>
      <w:r>
        <w:rPr/>
        <w:t>一、</w:t>
      </w:r>
      <w:r>
        <w:rPr>
          <w:spacing w:val="-98"/>
        </w:rPr>
        <w:t> </w:t>
      </w:r>
      <w:r>
        <w:rPr/>
        <w:t>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12" w:type="dxa"/>
        <w:tblLayout w:type="fixed"/>
        <w:tblCellMar>
          <w:top w:w="0" w:type="dxa"/>
          <w:left w:w="0" w:type="dxa"/>
          <w:bottom w:w="0" w:type="dxa"/>
          <w:right w:w="0" w:type="dxa"/>
        </w:tblCellMar>
        <w:tblLook w:val="01E0"/>
      </w:tblPr>
      <w:tblGrid>
        <w:gridCol w:w="1277"/>
        <w:gridCol w:w="1277"/>
        <w:gridCol w:w="566"/>
        <w:gridCol w:w="567"/>
        <w:gridCol w:w="566"/>
        <w:gridCol w:w="1047"/>
        <w:gridCol w:w="994"/>
        <w:gridCol w:w="754"/>
        <w:gridCol w:w="754"/>
        <w:gridCol w:w="759"/>
        <w:gridCol w:w="754"/>
        <w:gridCol w:w="754"/>
      </w:tblGrid>
      <w:tr>
        <w:trPr>
          <w:trHeight w:val="133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96" w:right="95"/>
              <w:jc w:val="left"/>
              <w:rPr>
                <w:rFonts w:ascii="宋体" w:hAnsi="宋体" w:cs="宋体" w:eastAsia="宋体" w:hint="default"/>
                <w:sz w:val="18"/>
                <w:szCs w:val="18"/>
              </w:rPr>
            </w:pPr>
            <w:r>
              <w:rPr>
                <w:rFonts w:ascii="宋体" w:hAnsi="宋体" w:cs="宋体" w:eastAsia="宋体" w:hint="default"/>
                <w:sz w:val="18"/>
                <w:szCs w:val="18"/>
              </w:rPr>
              <w:t>任职</w:t>
            </w:r>
            <w:r>
              <w:rPr>
                <w:rFonts w:ascii="宋体" w:hAnsi="宋体" w:cs="宋体" w:eastAsia="宋体" w:hint="default"/>
                <w:spacing w:val="-86"/>
                <w:sz w:val="18"/>
                <w:szCs w:val="18"/>
              </w:rPr>
              <w:t> </w:t>
            </w:r>
            <w:r>
              <w:rPr>
                <w:rFonts w:ascii="宋体" w:hAnsi="宋体" w:cs="宋体" w:eastAsia="宋体" w:hint="default"/>
                <w:sz w:val="18"/>
                <w:szCs w:val="18"/>
              </w:rPr>
              <w:t>状态</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62" w:lineRule="auto"/>
              <w:ind w:left="340" w:right="147"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62" w:lineRule="auto"/>
              <w:ind w:left="311" w:right="127"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191" w:right="93" w:hanging="87"/>
              <w:jc w:val="left"/>
              <w:rPr>
                <w:rFonts w:ascii="宋体" w:hAnsi="宋体" w:cs="宋体" w:eastAsia="宋体" w:hint="default"/>
                <w:sz w:val="18"/>
                <w:szCs w:val="18"/>
              </w:rPr>
            </w:pPr>
            <w:r>
              <w:rPr>
                <w:rFonts w:ascii="宋体" w:hAnsi="宋体" w:cs="宋体" w:eastAsia="宋体" w:hint="default"/>
                <w:sz w:val="18"/>
                <w:szCs w:val="18"/>
              </w:rPr>
              <w:t>期初持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股数</w:t>
            </w:r>
          </w:p>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jc w:val="both"/>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p>
            <w:pPr>
              <w:pStyle w:val="TableParagraph"/>
              <w:spacing w:line="240" w:lineRule="auto" w:before="23"/>
              <w:ind w:left="10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9"/>
              <w:jc w:val="both"/>
              <w:rPr>
                <w:rFonts w:ascii="宋体" w:hAnsi="宋体" w:cs="宋体" w:eastAsia="宋体" w:hint="default"/>
                <w:sz w:val="18"/>
                <w:szCs w:val="18"/>
              </w:rPr>
            </w:pPr>
            <w:r>
              <w:rPr>
                <w:rFonts w:ascii="宋体" w:hAnsi="宋体" w:cs="宋体" w:eastAsia="宋体" w:hint="default"/>
                <w:sz w:val="18"/>
                <w:szCs w:val="18"/>
              </w:rPr>
              <w:t>本期减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p>
            <w:pPr>
              <w:pStyle w:val="TableParagraph"/>
              <w:spacing w:line="240" w:lineRule="auto" w:before="23"/>
              <w:ind w:left="10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105" w:right="93"/>
              <w:jc w:val="left"/>
              <w:rPr>
                <w:rFonts w:ascii="宋体" w:hAnsi="宋体" w:cs="宋体" w:eastAsia="宋体" w:hint="default"/>
                <w:sz w:val="18"/>
                <w:szCs w:val="18"/>
              </w:rPr>
            </w:pPr>
            <w:r>
              <w:rPr>
                <w:rFonts w:ascii="宋体" w:hAnsi="宋体" w:cs="宋体" w:eastAsia="宋体" w:hint="default"/>
                <w:sz w:val="18"/>
                <w:szCs w:val="18"/>
              </w:rPr>
              <w:t>其他增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减变动</w:t>
            </w:r>
          </w:p>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191" w:right="94" w:hanging="87"/>
              <w:jc w:val="left"/>
              <w:rPr>
                <w:rFonts w:ascii="宋体" w:hAnsi="宋体" w:cs="宋体" w:eastAsia="宋体" w:hint="default"/>
                <w:sz w:val="18"/>
                <w:szCs w:val="18"/>
              </w:rPr>
            </w:pPr>
            <w:r>
              <w:rPr>
                <w:rFonts w:ascii="宋体" w:hAnsi="宋体" w:cs="宋体" w:eastAsia="宋体" w:hint="default"/>
                <w:sz w:val="18"/>
                <w:szCs w:val="18"/>
              </w:rPr>
              <w:t>期末持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股数</w:t>
            </w:r>
          </w:p>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8"/>
                <w:sz w:val="18"/>
                <w:szCs w:val="18"/>
              </w:rPr>
              <w:t>董事长、总经理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陈根清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董事、副总经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理、财务总监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81" w:right="78" w:firstLine="177"/>
              <w:jc w:val="left"/>
              <w:rPr>
                <w:rFonts w:ascii="Times New Roman" w:hAnsi="Times New Roman" w:cs="Times New Roman" w:eastAsia="Times New Roman" w:hint="default"/>
                <w:sz w:val="18"/>
                <w:szCs w:val="18"/>
              </w:rPr>
            </w:pPr>
            <w:r>
              <w:rPr>
                <w:rFonts w:ascii="Times New Roman"/>
                <w:spacing w:val="-8"/>
                <w:sz w:val="18"/>
              </w:rPr>
              <w:t>JAY </w:t>
            </w:r>
            <w:r>
              <w:rPr>
                <w:rFonts w:ascii="Times New Roman"/>
                <w:sz w:val="18"/>
              </w:rPr>
              <w:t>TSAI</w:t>
            </w:r>
            <w:r>
              <w:rPr>
                <w:rFonts w:ascii="Times New Roman"/>
                <w:w w:val="101"/>
                <w:sz w:val="18"/>
              </w:rPr>
              <w:t> </w:t>
            </w:r>
            <w:r>
              <w:rPr>
                <w:rFonts w:ascii="Times New Roman"/>
                <w:spacing w:val="-3"/>
                <w:sz w:val="18"/>
              </w:rPr>
              <w:t>CHIEN</w:t>
            </w:r>
            <w:r>
              <w:rPr>
                <w:rFonts w:ascii="Times New Roman"/>
                <w:spacing w:val="12"/>
                <w:sz w:val="18"/>
              </w:rPr>
              <w:t> </w:t>
            </w:r>
            <w:r>
              <w:rPr>
                <w:rFonts w:ascii="Times New Roman"/>
                <w:sz w:val="18"/>
              </w:rPr>
              <w:t>CHOU</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董事、副总经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理、总工程师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龚明勇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朱军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8"/>
                <w:sz w:val="18"/>
                <w:szCs w:val="18"/>
              </w:rPr>
              <w:t>董事、副总经理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童本立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朱加宁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8"/>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翁玉涛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李战鹏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刘智海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施东圣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吕晓平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800" w:right="0"/>
        </w:sectPr>
      </w:pPr>
    </w:p>
    <w:p>
      <w:pPr>
        <w:spacing w:line="240" w:lineRule="auto" w:before="11"/>
        <w:rPr>
          <w:rFonts w:ascii="宋体" w:hAnsi="宋体" w:cs="宋体" w:eastAsia="宋体" w:hint="default"/>
          <w:b/>
          <w:bCs/>
          <w:sz w:val="28"/>
          <w:szCs w:val="28"/>
        </w:rPr>
      </w:pPr>
    </w:p>
    <w:tbl>
      <w:tblPr>
        <w:tblW w:w="0" w:type="auto"/>
        <w:jc w:val="left"/>
        <w:tblInd w:w="112" w:type="dxa"/>
        <w:tblLayout w:type="fixed"/>
        <w:tblCellMar>
          <w:top w:w="0" w:type="dxa"/>
          <w:left w:w="0" w:type="dxa"/>
          <w:bottom w:w="0" w:type="dxa"/>
          <w:right w:w="0" w:type="dxa"/>
        </w:tblCellMar>
        <w:tblLook w:val="01E0"/>
      </w:tblPr>
      <w:tblGrid>
        <w:gridCol w:w="1277"/>
        <w:gridCol w:w="1277"/>
        <w:gridCol w:w="566"/>
        <w:gridCol w:w="567"/>
        <w:gridCol w:w="566"/>
        <w:gridCol w:w="1047"/>
        <w:gridCol w:w="994"/>
        <w:gridCol w:w="754"/>
        <w:gridCol w:w="754"/>
        <w:gridCol w:w="759"/>
        <w:gridCol w:w="754"/>
        <w:gridCol w:w="754"/>
      </w:tblGrid>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周军辉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8"/>
                <w:sz w:val="18"/>
                <w:szCs w:val="18"/>
              </w:rPr>
              <w:t>副总经理、董事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689"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11"/>
        <w:rPr>
          <w:rFonts w:ascii="宋体" w:hAnsi="宋体" w:cs="宋体" w:eastAsia="宋体" w:hint="default"/>
          <w:b/>
          <w:bCs/>
          <w:sz w:val="17"/>
          <w:szCs w:val="17"/>
        </w:rPr>
      </w:pPr>
    </w:p>
    <w:p>
      <w:pPr>
        <w:pStyle w:val="Heading2"/>
        <w:spacing w:line="240" w:lineRule="auto" w:before="26"/>
        <w:ind w:left="333" w:right="0"/>
        <w:jc w:val="both"/>
        <w:rPr>
          <w:b w:val="0"/>
          <w:bCs w:val="0"/>
        </w:rPr>
      </w:pPr>
      <w:bookmarkStart w:name="二、公司董事、监事、高级管理人员变动情况" w:id="128"/>
      <w:bookmarkEnd w:id="128"/>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spacing w:before="0"/>
        <w:ind w:left="3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left="333" w:right="0"/>
        <w:jc w:val="both"/>
        <w:rPr>
          <w:b w:val="0"/>
          <w:bCs w:val="0"/>
        </w:rPr>
      </w:pPr>
      <w:bookmarkStart w:name="三、任职情况" w:id="129"/>
      <w:bookmarkEnd w:id="129"/>
      <w:r>
        <w:rPr>
          <w:b w:val="0"/>
          <w:bCs w:val="0"/>
        </w:rPr>
      </w:r>
      <w:r>
        <w:rPr/>
        <w:t>三、任职情况</w:t>
      </w:r>
      <w:r>
        <w:rPr>
          <w:b w:val="0"/>
          <w:bCs w:val="0"/>
        </w:rPr>
      </w:r>
    </w:p>
    <w:p>
      <w:pPr>
        <w:spacing w:line="240" w:lineRule="auto" w:before="7"/>
        <w:rPr>
          <w:rFonts w:ascii="宋体" w:hAnsi="宋体" w:cs="宋体" w:eastAsia="宋体" w:hint="default"/>
          <w:b/>
          <w:bCs/>
          <w:sz w:val="27"/>
          <w:szCs w:val="27"/>
        </w:rPr>
      </w:pPr>
    </w:p>
    <w:p>
      <w:pPr>
        <w:spacing w:before="0"/>
        <w:ind w:left="333" w:right="0" w:firstLine="0"/>
        <w:jc w:val="both"/>
        <w:rPr>
          <w:rFonts w:ascii="宋体" w:hAnsi="宋体" w:cs="宋体" w:eastAsia="宋体" w:hint="default"/>
          <w:sz w:val="18"/>
          <w:szCs w:val="18"/>
        </w:rPr>
      </w:pPr>
      <w:r>
        <w:rPr>
          <w:rFonts w:ascii="宋体" w:hAnsi="宋体" w:cs="宋体" w:eastAsia="宋体" w:hint="default"/>
          <w:spacing w:val="-3"/>
          <w:sz w:val="18"/>
          <w:szCs w:val="18"/>
        </w:rPr>
        <w:t>公司现任董事、监事、高级管理人员专业背景、主要工作经历以及目前在公司的主要职责</w:t>
      </w:r>
    </w:p>
    <w:p>
      <w:pPr>
        <w:pStyle w:val="BodyText"/>
        <w:spacing w:line="630" w:lineRule="exact" w:before="32"/>
        <w:ind w:left="813" w:right="1151"/>
        <w:jc w:val="left"/>
      </w:pPr>
      <w:r>
        <w:rPr>
          <w:rFonts w:ascii="Times New Roman" w:hAnsi="Times New Roman" w:cs="Times New Roman" w:eastAsia="Times New Roman" w:hint="default"/>
        </w:rPr>
        <w:t>1</w:t>
      </w:r>
      <w:r>
        <w:rPr/>
        <w:t>、现任董事会成员简历 陈坚，男，</w:t>
      </w:r>
      <w:r>
        <w:rPr>
          <w:rFonts w:ascii="Times New Roman" w:hAnsi="Times New Roman" w:cs="Times New Roman" w:eastAsia="Times New Roman" w:hint="default"/>
        </w:rPr>
        <w:t>1962</w:t>
      </w:r>
      <w:r>
        <w:rPr/>
        <w:t>年出生，中国国籍，无境外永久居留权。毕业于南京陆军学校军事指挥</w:t>
      </w:r>
    </w:p>
    <w:p>
      <w:pPr>
        <w:pStyle w:val="BodyText"/>
        <w:spacing w:line="338" w:lineRule="auto" w:before="59"/>
        <w:ind w:left="333" w:right="1131"/>
        <w:jc w:val="both"/>
      </w:pPr>
      <w:r>
        <w:rPr/>
        <w:t>专业，中欧国际工商学院</w:t>
      </w:r>
      <w:r>
        <w:rPr>
          <w:rFonts w:ascii="Times New Roman" w:hAnsi="Times New Roman" w:cs="Times New Roman" w:eastAsia="Times New Roman" w:hint="default"/>
        </w:rPr>
        <w:t>EMBA</w:t>
      </w:r>
      <w:r>
        <w:rPr/>
        <w:t>，高级经济师。曾在团、集团军、南京军区三级机关任职， </w:t>
      </w:r>
      <w:r>
        <w:rPr>
          <w:spacing w:val="-2"/>
        </w:rPr>
        <w:t>先后荣立二、三等功，被誉为</w:t>
      </w:r>
      <w:r>
        <w:rPr>
          <w:rFonts w:ascii="Times New Roman" w:hAnsi="Times New Roman" w:cs="Times New Roman" w:eastAsia="Times New Roman" w:hint="default"/>
          <w:spacing w:val="-2"/>
        </w:rPr>
        <w:t>“</w:t>
      </w:r>
      <w:r>
        <w:rPr>
          <w:spacing w:val="-2"/>
        </w:rPr>
        <w:t>佩剑连长</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1994</w:t>
      </w:r>
      <w:r>
        <w:rPr>
          <w:spacing w:val="-2"/>
        </w:rPr>
        <w:t>年转业并自主创业，</w:t>
      </w:r>
      <w:r>
        <w:rPr>
          <w:rFonts w:ascii="Times New Roman" w:hAnsi="Times New Roman" w:cs="Times New Roman" w:eastAsia="Times New Roman" w:hint="default"/>
          <w:spacing w:val="-2"/>
        </w:rPr>
        <w:t>2009</w:t>
      </w:r>
      <w:r>
        <w:rPr>
          <w:spacing w:val="-2"/>
        </w:rPr>
        <w:t>年被评为</w:t>
      </w:r>
      <w:r>
        <w:rPr>
          <w:rFonts w:ascii="Times New Roman" w:hAnsi="Times New Roman" w:cs="Times New Roman" w:eastAsia="Times New Roman" w:hint="default"/>
          <w:spacing w:val="-2"/>
        </w:rPr>
        <w:t>“</w:t>
      </w:r>
      <w:r>
        <w:rPr>
          <w:spacing w:val="-2"/>
        </w:rPr>
        <w:t>全国模范</w:t>
      </w:r>
      <w:r>
        <w:rPr>
          <w:spacing w:val="-76"/>
        </w:rPr>
        <w:t> </w:t>
      </w:r>
      <w:r>
        <w:rPr/>
        <w:t>军队转业干部</w:t>
      </w:r>
      <w:r>
        <w:rPr>
          <w:rFonts w:ascii="Times New Roman" w:hAnsi="Times New Roman" w:cs="Times New Roman" w:eastAsia="Times New Roman" w:hint="default"/>
        </w:rPr>
        <w:t>”</w:t>
      </w:r>
      <w:r>
        <w:rPr/>
        <w:t>。现任公司董事长兼总经理，兼任杭州正元执行董事等职务。</w:t>
      </w:r>
    </w:p>
    <w:p>
      <w:pPr>
        <w:pStyle w:val="BodyText"/>
        <w:spacing w:line="350" w:lineRule="auto" w:before="29"/>
        <w:ind w:left="333" w:right="1167" w:firstLine="480"/>
        <w:jc w:val="both"/>
      </w:pPr>
      <w:r>
        <w:rPr/>
        <w:t>陈英，女，</w:t>
      </w:r>
      <w:r>
        <w:rPr>
          <w:rFonts w:ascii="Times New Roman" w:hAnsi="Times New Roman" w:cs="Times New Roman" w:eastAsia="Times New Roman" w:hint="default"/>
        </w:rPr>
        <w:t>1967</w:t>
      </w:r>
      <w:r>
        <w:rPr/>
        <w:t>年出生，中国国籍，无境外永久居留权。毕业于杭州大学财经系金融学 专业，本科学历，会计师、讲师。历任东南国际投资有限公司会计、杭州正元财务经理、正 元有限总裁助理；现任公司董事、浙江树人大学社会合作与服务处副处长兼现代服务业学院 金融系主任、杭州正元经理、杭州正浩执行董事兼总经理等职务。</w:t>
      </w:r>
    </w:p>
    <w:p>
      <w:pPr>
        <w:pStyle w:val="BodyText"/>
        <w:spacing w:line="352" w:lineRule="auto" w:before="46"/>
        <w:ind w:left="333" w:right="1165" w:firstLine="480"/>
        <w:jc w:val="both"/>
      </w:pPr>
      <w:r>
        <w:rPr/>
        <w:t>陈根清，男，</w:t>
      </w:r>
      <w:r>
        <w:rPr>
          <w:rFonts w:ascii="Times New Roman" w:hAnsi="Times New Roman" w:cs="Times New Roman" w:eastAsia="Times New Roman" w:hint="default"/>
        </w:rPr>
        <w:t>1969</w:t>
      </w:r>
      <w:r>
        <w:rPr/>
        <w:t>年出生，中国国籍，无境外永久居留权。毕业于浙江大学数学专业， 硕士，注册会计师、注册税务师、一级建造师、高级项目经理。曾任金华市环球计算机工程 有限公司开发经理、金华金信电脑工程有限公司总经理、浙江金信软件有限公司副总经理、</w:t>
      </w:r>
      <w:r>
        <w:rPr>
          <w:spacing w:val="-117"/>
        </w:rPr>
        <w:t> </w:t>
      </w:r>
      <w:r>
        <w:rPr>
          <w:spacing w:val="-117"/>
        </w:rPr>
      </w:r>
      <w:r>
        <w:rPr/>
        <w:t>金信信托投资股份公司信息中心总经理；历任正元有限工程部部长、客服中心总经理、总经 理助理、副总经理；现任公司董事、副总经理兼财务总监，兼任浙江坚果董事长，浙江云马 董事兼经理，浙江小兰、浙江校云、四川正元董事。</w:t>
      </w:r>
    </w:p>
    <w:p>
      <w:pPr>
        <w:pStyle w:val="BodyText"/>
        <w:spacing w:line="350" w:lineRule="auto" w:before="44"/>
        <w:ind w:left="333" w:right="1116" w:firstLine="480"/>
        <w:jc w:val="left"/>
      </w:pPr>
      <w:r>
        <w:rPr>
          <w:rFonts w:ascii="Times New Roman" w:hAnsi="Times New Roman" w:cs="Times New Roman" w:eastAsia="Times New Roman" w:hint="default"/>
        </w:rPr>
        <w:t>JAY TSAI CHIEN</w:t>
      </w:r>
      <w:r>
        <w:rPr>
          <w:rFonts w:ascii="Times New Roman" w:hAnsi="Times New Roman" w:cs="Times New Roman" w:eastAsia="Times New Roman" w:hint="default"/>
          <w:spacing w:val="-2"/>
        </w:rPr>
        <w:t> </w:t>
      </w:r>
      <w:r>
        <w:rPr>
          <w:rFonts w:ascii="Times New Roman" w:hAnsi="Times New Roman" w:cs="Times New Roman" w:eastAsia="Times New Roman" w:hint="default"/>
        </w:rPr>
        <w:t>CHOU</w:t>
      </w:r>
      <w:r>
        <w:rPr/>
        <w:t>，男，</w:t>
      </w:r>
      <w:r>
        <w:rPr>
          <w:rFonts w:ascii="Times New Roman" w:hAnsi="Times New Roman" w:cs="Times New Roman" w:eastAsia="Times New Roman" w:hint="default"/>
        </w:rPr>
        <w:t>1962</w:t>
      </w:r>
      <w:r>
        <w:rPr/>
        <w:t>年出生，美国国籍。毕业于美国马里兰大学，先后 </w:t>
      </w:r>
      <w:r>
        <w:rPr>
          <w:spacing w:val="-7"/>
        </w:rPr>
        <w:t>获电子工程学学士、应用物理学硕士、电子通信学博士，并获得约翰霍普金斯大学</w:t>
      </w:r>
      <w:r>
        <w:rPr>
          <w:rFonts w:ascii="Times New Roman" w:hAnsi="Times New Roman" w:cs="Times New Roman" w:eastAsia="Times New Roman" w:hint="default"/>
          <w:spacing w:val="-7"/>
        </w:rPr>
        <w:t>MBA</w:t>
      </w:r>
      <w:r>
        <w:rPr>
          <w:spacing w:val="-7"/>
        </w:rPr>
        <w:t>学位，</w:t>
      </w:r>
      <w:r>
        <w:rPr>
          <w:spacing w:val="-103"/>
        </w:rPr>
        <w:t> </w:t>
      </w:r>
      <w:r>
        <w:rPr>
          <w:spacing w:val="-5"/>
        </w:rPr>
        <w:t>国家特聘专家，曾获浙江省海外留学人士英才奖、浙江省海外华侨华人专业人士杰出创业奖。</w:t>
      </w:r>
      <w:r>
        <w:rPr>
          <w:spacing w:val="-117"/>
        </w:rPr>
        <w:t> </w:t>
      </w:r>
      <w:r>
        <w:rPr>
          <w:spacing w:val="-117"/>
        </w:rPr>
      </w:r>
      <w:r>
        <w:rPr/>
        <w:t>曾就职于威瑞森等跨国企业，担任过项目经理、部门经理、网络与工程部总监、供应链总监</w:t>
      </w:r>
      <w:r>
        <w:rPr/>
        <w:t> 等职，回国后曾任杭州吉柏信息科技有限公司总经理；现任浙江正元智慧科技股份有限公司 董事、副总经理兼总工程师，杭州汇萃智能科技有限公司董事长，广东广源智能科技有限公</w:t>
      </w:r>
    </w:p>
    <w:p>
      <w:pPr>
        <w:spacing w:after="0" w:line="350" w:lineRule="auto"/>
        <w:jc w:val="left"/>
        <w:sectPr>
          <w:pgSz w:w="11910" w:h="16840"/>
          <w:pgMar w:header="741" w:footer="979" w:top="1060" w:bottom="1160" w:left="800" w:right="0"/>
        </w:sectPr>
      </w:pPr>
    </w:p>
    <w:p>
      <w:pPr>
        <w:spacing w:line="240" w:lineRule="auto" w:before="13"/>
        <w:rPr>
          <w:rFonts w:ascii="宋体" w:hAnsi="宋体" w:cs="宋体" w:eastAsia="宋体" w:hint="default"/>
          <w:sz w:val="29"/>
          <w:szCs w:val="29"/>
        </w:rPr>
      </w:pPr>
    </w:p>
    <w:p>
      <w:pPr>
        <w:pStyle w:val="BodyText"/>
        <w:spacing w:line="240" w:lineRule="auto" w:before="26"/>
        <w:ind w:right="0"/>
        <w:jc w:val="left"/>
      </w:pPr>
      <w:r>
        <w:rPr/>
        <w:t>司董事长等。</w:t>
      </w:r>
    </w:p>
    <w:p>
      <w:pPr>
        <w:pStyle w:val="BodyText"/>
        <w:spacing w:line="352" w:lineRule="auto" w:before="151"/>
        <w:ind w:right="1167" w:firstLine="480"/>
        <w:jc w:val="both"/>
      </w:pPr>
      <w:r>
        <w:rPr/>
        <w:t>龚明勇，男，</w:t>
      </w:r>
      <w:r>
        <w:rPr>
          <w:rFonts w:ascii="Times New Roman" w:hAnsi="Times New Roman" w:cs="Times New Roman" w:eastAsia="Times New Roman" w:hint="default"/>
        </w:rPr>
        <w:t>1974</w:t>
      </w:r>
      <w:r>
        <w:rPr/>
        <w:t>年出生，中国国籍，无境外永久居留权。毕业于中共中央党校经济管 理专业，本科学历。历任中国农业银行鄞县支行客户经理，兴业银行宁波江东支行公司部经 理、行长助理，兴业银行宁波分行企业金融业务部总经理等职务；现任公司董事、浙江华瓯 股权投资管理有限公司投资管理部总经理等职务。</w:t>
      </w:r>
    </w:p>
    <w:p>
      <w:pPr>
        <w:pStyle w:val="BodyText"/>
        <w:spacing w:line="352" w:lineRule="auto" w:before="38"/>
        <w:ind w:right="1167" w:firstLine="480"/>
        <w:jc w:val="both"/>
      </w:pPr>
      <w:r>
        <w:rPr/>
        <w:t>朱军，男，</w:t>
      </w:r>
      <w:r>
        <w:rPr>
          <w:rFonts w:ascii="Times New Roman" w:hAnsi="Times New Roman" w:cs="Times New Roman" w:eastAsia="Times New Roman" w:hint="default"/>
        </w:rPr>
        <w:t>1962</w:t>
      </w:r>
      <w:r>
        <w:rPr/>
        <w:t>年出生，中国国籍，无境外永久居留权。毕业于南开大学汉语言文学专 业，浙江省委党校经济学研究生，高级经济师。曾任浙江财经学院院长助理，奉化市政府副 市长（挂职），杭州师范大学党委副书记，春和集团有限公司常务副总裁等职务；现任公司 董事、副总经理。</w:t>
      </w:r>
    </w:p>
    <w:p>
      <w:pPr>
        <w:pStyle w:val="BodyText"/>
        <w:spacing w:line="360" w:lineRule="auto" w:before="39"/>
        <w:ind w:left="633" w:right="1151"/>
        <w:jc w:val="left"/>
      </w:pPr>
      <w:r>
        <w:rPr/>
        <w:t>独立董事成员： 童本立，男，</w:t>
      </w:r>
      <w:r>
        <w:rPr>
          <w:rFonts w:ascii="Times New Roman" w:hAnsi="Times New Roman" w:cs="Times New Roman" w:eastAsia="Times New Roman" w:hint="default"/>
        </w:rPr>
        <w:t>1950</w:t>
      </w:r>
      <w:r>
        <w:rPr/>
        <w:t>年出生，中国国籍，无境外永久居留权。毕业于财政部财政科学研究</w:t>
      </w:r>
    </w:p>
    <w:p>
      <w:pPr>
        <w:pStyle w:val="BodyText"/>
        <w:spacing w:line="352" w:lineRule="auto"/>
        <w:ind w:left="0" w:right="1122"/>
        <w:jc w:val="right"/>
      </w:pPr>
      <w:r>
        <w:rPr/>
        <w:t>所财政专业，硕士，高级会计师、教授。历任浙江省财政厅科长、副处长、处长，浙江财经 </w:t>
      </w:r>
      <w:r>
        <w:rPr>
          <w:spacing w:val="-2"/>
        </w:rPr>
        <w:t>学院副院长、院长、党委书记，浙江省审计学会副会长，</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月退休；曾任杭州长乔旅游</w:t>
      </w:r>
      <w:r>
        <w:rPr/>
        <w:t> 投资集团股份有限公司独立董事；现任公司独立董事，杭州解百股份有限公司、浙江昂利康 </w:t>
      </w:r>
      <w:r>
        <w:rPr>
          <w:spacing w:val="-5"/>
        </w:rPr>
        <w:t>制药股份有限公司、浙商银行股份有限公司、浙江浦江农村商业银行股份有限公司独立董事。</w:t>
      </w:r>
      <w:r>
        <w:rPr/>
        <w:t> 朱加宁，男，</w:t>
      </w:r>
      <w:r>
        <w:rPr>
          <w:rFonts w:ascii="Times New Roman" w:hAnsi="Times New Roman" w:cs="Times New Roman" w:eastAsia="Times New Roman" w:hint="default"/>
        </w:rPr>
        <w:t>1957</w:t>
      </w:r>
      <w:r>
        <w:rPr/>
        <w:t>年出生，中国国籍，无境外永久居留权。华东政法学院法律专业本科 </w:t>
      </w:r>
      <w:r>
        <w:rPr>
          <w:spacing w:val="-5"/>
        </w:rPr>
        <w:t>毕业，杭州大学法学研究生课程班、中国政法大学国际法学院法学博士生课程班结业，律师，</w:t>
      </w:r>
      <w:r>
        <w:rPr/>
        <w:t> 中国人民大学律师学院等多所高等院校兼职教授和硕士生导师，北京师范大学刑事法律科学 研究院特邀研究员，中华全国律师协会行政法专业委员会委员、浙江省律师协会法律顾问专 业委员会副主任。历任北京市国纲华辰（杭州）律师事务所律师、主任，农夫山泉股份有限 公司及山东赛托生物科技股份有限公司独立董事；现任北京浩天信和（杭州）律师事务所律 师、主任，公司独立董事，浙江天台祥和实业股份有限公司、浙江晨丰科技股份有限公司独</w:t>
      </w:r>
    </w:p>
    <w:p>
      <w:pPr>
        <w:pStyle w:val="BodyText"/>
        <w:spacing w:line="240" w:lineRule="auto" w:before="43"/>
        <w:ind w:right="0"/>
        <w:jc w:val="left"/>
      </w:pPr>
      <w:r>
        <w:rPr/>
        <w:t>立董事。</w:t>
      </w:r>
    </w:p>
    <w:p>
      <w:pPr>
        <w:pStyle w:val="BodyText"/>
        <w:spacing w:line="350" w:lineRule="auto" w:before="151"/>
        <w:ind w:right="1166" w:firstLine="480"/>
        <w:jc w:val="both"/>
      </w:pPr>
      <w:r>
        <w:rPr/>
        <w:t>张耀辉，男，</w:t>
      </w:r>
      <w:r>
        <w:rPr>
          <w:rFonts w:ascii="Times New Roman" w:hAnsi="Times New Roman" w:cs="Times New Roman" w:eastAsia="Times New Roman" w:hint="default"/>
        </w:rPr>
        <w:t>1965</w:t>
      </w:r>
      <w:r>
        <w:rPr/>
        <w:t>年出生，中国国籍，无境外永久居留权。江西财经大学经济学硕士， 中欧国际工商学院</w:t>
      </w:r>
      <w:r>
        <w:rPr>
          <w:rFonts w:ascii="Times New Roman" w:hAnsi="Times New Roman" w:cs="Times New Roman" w:eastAsia="Times New Roman" w:hint="default"/>
        </w:rPr>
        <w:t>EMBA</w:t>
      </w:r>
      <w:r>
        <w:rPr/>
        <w:t>，副教授。历任江西财经大学副教授、中经开南昌营业部经理、横 店集团有限公司总裁、海南晓奥集团总裁、哈尔滨高科技股份有限公司董事长；现任浙江正 元智慧科技股份有限公司独立董事、上海明辉股权投资管理有限公司执行董事兼总经理、上 海明辉股权投资合伙企业（有限合伙）执行事务合伙人委派代表、上海明辉创业投资有限公 司执行董事、上海康曜投资管理有限公司执行董事等职务。</w:t>
      </w:r>
    </w:p>
    <w:p>
      <w:pPr>
        <w:spacing w:after="0" w:line="350" w:lineRule="auto"/>
        <w:jc w:val="both"/>
        <w:sectPr>
          <w:pgSz w:w="11910" w:h="16840"/>
          <w:pgMar w:header="741" w:footer="979" w:top="1060" w:bottom="1160" w:left="980" w:right="0"/>
        </w:sectPr>
      </w:pPr>
    </w:p>
    <w:p>
      <w:pPr>
        <w:spacing w:line="240" w:lineRule="auto" w:before="8"/>
        <w:rPr>
          <w:rFonts w:ascii="宋体" w:hAnsi="宋体" w:cs="宋体" w:eastAsia="宋体" w:hint="default"/>
          <w:sz w:val="29"/>
          <w:szCs w:val="29"/>
        </w:rPr>
      </w:pPr>
    </w:p>
    <w:p>
      <w:pPr>
        <w:pStyle w:val="BodyText"/>
        <w:spacing w:line="240" w:lineRule="auto" w:before="26"/>
        <w:ind w:left="633" w:right="0"/>
        <w:jc w:val="left"/>
      </w:pPr>
      <w:r>
        <w:rPr>
          <w:rFonts w:ascii="Times New Roman" w:hAnsi="Times New Roman" w:cs="Times New Roman" w:eastAsia="Times New Roman" w:hint="default"/>
        </w:rPr>
        <w:t>2</w:t>
      </w:r>
      <w:r>
        <w:rPr/>
        <w:t>、现任监事会成员简历</w:t>
      </w:r>
    </w:p>
    <w:p>
      <w:pPr>
        <w:spacing w:line="240" w:lineRule="auto" w:before="9"/>
        <w:rPr>
          <w:rFonts w:ascii="宋体" w:hAnsi="宋体" w:cs="宋体" w:eastAsia="宋体" w:hint="default"/>
          <w:sz w:val="22"/>
          <w:szCs w:val="22"/>
        </w:rPr>
      </w:pPr>
    </w:p>
    <w:p>
      <w:pPr>
        <w:pStyle w:val="BodyText"/>
        <w:spacing w:line="350" w:lineRule="auto"/>
        <w:ind w:right="1167" w:firstLine="480"/>
        <w:jc w:val="both"/>
      </w:pPr>
      <w:r>
        <w:rPr/>
        <w:t>翁玉涛，男，</w:t>
      </w:r>
      <w:r>
        <w:rPr>
          <w:rFonts w:ascii="Times New Roman" w:hAnsi="Times New Roman" w:cs="Times New Roman" w:eastAsia="Times New Roman" w:hint="default"/>
        </w:rPr>
        <w:t>1963</w:t>
      </w:r>
      <w:r>
        <w:rPr/>
        <w:t>年出生，中国国籍，无境外永久居留权。毕业于江西财经管理干部学 院投资经济专业。历任中国建设银行淳安县支行副行长、中国银行淳安县支行行长、浙江恒 基房地产开发经营有限公司执行董事；现任公司非职工监事、浙江浙企财富投资管理有限公 司董事长、兼任上海融都房地产开发有限公司、嘉兴融都置业有限公司董事长等职务。</w:t>
      </w:r>
    </w:p>
    <w:p>
      <w:pPr>
        <w:pStyle w:val="BodyText"/>
        <w:spacing w:line="350" w:lineRule="auto" w:before="46"/>
        <w:ind w:right="1130" w:firstLine="480"/>
        <w:jc w:val="both"/>
      </w:pPr>
      <w:r>
        <w:rPr>
          <w:spacing w:val="-1"/>
        </w:rPr>
        <w:t>李战鹏，男，</w:t>
      </w:r>
      <w:r>
        <w:rPr>
          <w:rFonts w:ascii="Times New Roman" w:hAnsi="Times New Roman" w:cs="Times New Roman" w:eastAsia="Times New Roman" w:hint="default"/>
          <w:spacing w:val="-1"/>
        </w:rPr>
        <w:t>1975</w:t>
      </w:r>
      <w:r>
        <w:rPr>
          <w:spacing w:val="-1"/>
        </w:rPr>
        <w:t>年出生，中国国籍，无境外永久居留权，浙江工商大学</w:t>
      </w:r>
      <w:r>
        <w:rPr>
          <w:rFonts w:ascii="Times New Roman" w:hAnsi="Times New Roman" w:cs="Times New Roman" w:eastAsia="Times New Roman" w:hint="default"/>
          <w:spacing w:val="-1"/>
        </w:rPr>
        <w:t>MBA</w:t>
      </w:r>
      <w:r>
        <w:rPr>
          <w:spacing w:val="-1"/>
        </w:rPr>
        <w:t>。历任公</w:t>
      </w:r>
      <w:r>
        <w:rPr/>
        <w:t> 司绍兴分公司经理、江西分公司总经理、客户服务中心总经理、运营事业部总经理，杭州捷 </w:t>
      </w:r>
      <w:r>
        <w:rPr>
          <w:spacing w:val="-5"/>
        </w:rPr>
        <w:t>卡智慧科技有限公司总经理等职务；现任公司总经理助理、营销中心总经理、职工代表监事、</w:t>
      </w:r>
      <w:r>
        <w:rPr/>
        <w:t> 工会主席，兼任浙江校云董事长，南昌正元董事长，青岛天高董事，四川正元董事。</w:t>
      </w:r>
    </w:p>
    <w:p>
      <w:pPr>
        <w:pStyle w:val="BodyText"/>
        <w:spacing w:line="348" w:lineRule="auto" w:before="46"/>
        <w:ind w:right="1167" w:firstLine="480"/>
        <w:jc w:val="both"/>
      </w:pPr>
      <w:r>
        <w:rPr/>
        <w:t>刘智海，男，</w:t>
      </w:r>
      <w:r>
        <w:rPr>
          <w:rFonts w:ascii="Times New Roman" w:hAnsi="Times New Roman" w:cs="Times New Roman" w:eastAsia="Times New Roman" w:hint="default"/>
        </w:rPr>
        <w:t>1978</w:t>
      </w:r>
      <w:r>
        <w:rPr/>
        <w:t>年出生，中国国籍，无境外永久居留权，毕业于杭州电子科技大学软 件工程专业，硕士。历任公司平台软件部经理、市场部副总监、品质管理部经理、总工程师 助理等职务；现任公司副总工程师、软件研发中心总监、职工代表监事。</w:t>
      </w:r>
    </w:p>
    <w:p>
      <w:pPr>
        <w:pStyle w:val="BodyText"/>
        <w:spacing w:line="240" w:lineRule="auto" w:before="197"/>
        <w:ind w:left="633" w:right="0"/>
        <w:jc w:val="left"/>
      </w:pPr>
      <w:r>
        <w:rPr>
          <w:rFonts w:ascii="Times New Roman" w:hAnsi="Times New Roman" w:cs="Times New Roman" w:eastAsia="Times New Roman" w:hint="default"/>
        </w:rPr>
        <w:t>3</w:t>
      </w:r>
      <w:r>
        <w:rPr/>
        <w:t>、现任高级管理人员简历</w:t>
      </w:r>
    </w:p>
    <w:p>
      <w:pPr>
        <w:spacing w:line="240" w:lineRule="auto" w:before="9"/>
        <w:rPr>
          <w:rFonts w:ascii="宋体" w:hAnsi="宋体" w:cs="宋体" w:eastAsia="宋体" w:hint="default"/>
          <w:sz w:val="22"/>
          <w:szCs w:val="22"/>
        </w:rPr>
      </w:pPr>
    </w:p>
    <w:p>
      <w:pPr>
        <w:pStyle w:val="BodyText"/>
        <w:spacing w:line="336" w:lineRule="auto"/>
        <w:ind w:left="633" w:right="2377"/>
        <w:jc w:val="left"/>
      </w:pPr>
      <w:r>
        <w:rPr/>
        <w:t>陈坚，公司总经理，简历参见本节</w:t>
      </w:r>
      <w:r>
        <w:rPr>
          <w:rFonts w:ascii="Times New Roman" w:hAnsi="Times New Roman" w:cs="Times New Roman" w:eastAsia="Times New Roman" w:hint="default"/>
        </w:rPr>
        <w:t>“</w:t>
      </w:r>
      <w:r>
        <w:rPr/>
        <w:t>现任董事会成员简历</w:t>
      </w:r>
      <w:r>
        <w:rPr>
          <w:rFonts w:ascii="Times New Roman" w:hAnsi="Times New Roman" w:cs="Times New Roman" w:eastAsia="Times New Roman" w:hint="default"/>
        </w:rPr>
        <w:t>”</w:t>
      </w:r>
      <w:r>
        <w:rPr/>
        <w:t>。 陈根清，公司副总经理兼财务总监，简历参见本节</w:t>
      </w:r>
      <w:r>
        <w:rPr>
          <w:rFonts w:ascii="Times New Roman" w:hAnsi="Times New Roman" w:cs="Times New Roman" w:eastAsia="Times New Roman" w:hint="default"/>
        </w:rPr>
        <w:t>“</w:t>
      </w:r>
      <w:r>
        <w:rPr/>
        <w:t>现任董事会成员简历</w:t>
      </w:r>
      <w:r>
        <w:rPr>
          <w:rFonts w:ascii="Times New Roman" w:hAnsi="Times New Roman" w:cs="Times New Roman" w:eastAsia="Times New Roman" w:hint="default"/>
        </w:rPr>
        <w:t>”</w:t>
      </w:r>
      <w:r>
        <w:rPr/>
        <w:t>。</w:t>
      </w:r>
    </w:p>
    <w:p>
      <w:pPr>
        <w:pStyle w:val="BodyText"/>
        <w:spacing w:line="336" w:lineRule="auto" w:before="32"/>
        <w:ind w:right="1137" w:firstLine="480"/>
        <w:jc w:val="both"/>
      </w:pPr>
      <w:r>
        <w:rPr>
          <w:rFonts w:ascii="Times New Roman" w:hAnsi="Times New Roman" w:cs="Times New Roman" w:eastAsia="Times New Roman" w:hint="default"/>
        </w:rPr>
        <w:t>JAY TSAI CHIEN</w:t>
      </w:r>
      <w:r>
        <w:rPr>
          <w:rFonts w:ascii="Times New Roman" w:hAnsi="Times New Roman" w:cs="Times New Roman" w:eastAsia="Times New Roman" w:hint="default"/>
          <w:spacing w:val="-10"/>
        </w:rPr>
        <w:t> </w:t>
      </w:r>
      <w:r>
        <w:rPr>
          <w:rFonts w:ascii="Times New Roman" w:hAnsi="Times New Roman" w:cs="Times New Roman" w:eastAsia="Times New Roman" w:hint="default"/>
        </w:rPr>
        <w:t>CHOU</w:t>
      </w:r>
      <w:r>
        <w:rPr/>
        <w:t>，公司副总经理、总工程师，简历参见本节</w:t>
      </w:r>
      <w:r>
        <w:rPr>
          <w:rFonts w:ascii="Times New Roman" w:hAnsi="Times New Roman" w:cs="Times New Roman" w:eastAsia="Times New Roman" w:hint="default"/>
        </w:rPr>
        <w:t>“</w:t>
      </w:r>
      <w:r>
        <w:rPr/>
        <w:t>现任董事会成员简 历</w:t>
      </w:r>
      <w:r>
        <w:rPr>
          <w:rFonts w:ascii="Times New Roman" w:hAnsi="Times New Roman" w:cs="Times New Roman" w:eastAsia="Times New Roman" w:hint="default"/>
        </w:rPr>
        <w:t>”</w:t>
      </w:r>
      <w:r>
        <w:rPr/>
        <w:t>。</w:t>
      </w:r>
    </w:p>
    <w:p>
      <w:pPr>
        <w:pStyle w:val="BodyText"/>
        <w:spacing w:line="336" w:lineRule="auto" w:before="32"/>
        <w:ind w:left="633" w:right="1116"/>
        <w:jc w:val="left"/>
      </w:pPr>
      <w:r>
        <w:rPr/>
        <w:t>朱军，公司副总经理，简历参见本节</w:t>
      </w:r>
      <w:r>
        <w:rPr>
          <w:rFonts w:ascii="Times New Roman" w:hAnsi="Times New Roman" w:cs="Times New Roman" w:eastAsia="Times New Roman" w:hint="default"/>
        </w:rPr>
        <w:t>“</w:t>
      </w:r>
      <w:r>
        <w:rPr/>
        <w:t>现任董事会成员简历</w:t>
      </w:r>
      <w:r>
        <w:rPr>
          <w:rFonts w:ascii="Times New Roman" w:hAnsi="Times New Roman" w:cs="Times New Roman" w:eastAsia="Times New Roman" w:hint="default"/>
        </w:rPr>
        <w:t>”</w:t>
      </w:r>
      <w:r>
        <w:rPr/>
        <w:t>。 </w:t>
      </w:r>
      <w:r>
        <w:rPr>
          <w:spacing w:val="-5"/>
        </w:rPr>
        <w:t>施东圣，男，</w:t>
      </w:r>
      <w:r>
        <w:rPr>
          <w:rFonts w:ascii="Times New Roman" w:hAnsi="Times New Roman" w:cs="Times New Roman" w:eastAsia="Times New Roman" w:hint="default"/>
          <w:spacing w:val="-5"/>
        </w:rPr>
        <w:t>1962</w:t>
      </w:r>
      <w:r>
        <w:rPr>
          <w:spacing w:val="-5"/>
        </w:rPr>
        <w:t>年出生，中国国籍，无境外永久居留权。毕业于杭州大学，本科学历。</w:t>
      </w:r>
    </w:p>
    <w:p>
      <w:pPr>
        <w:pStyle w:val="BodyText"/>
        <w:spacing w:line="355" w:lineRule="auto" w:before="32"/>
        <w:ind w:left="633" w:right="1116" w:hanging="480"/>
        <w:jc w:val="left"/>
      </w:pPr>
      <w:r>
        <w:rPr/>
        <w:t>历任浙江医科大学教师；现任公司副总经理。 </w:t>
      </w:r>
      <w:r>
        <w:rPr>
          <w:spacing w:val="-5"/>
        </w:rPr>
        <w:t>吕晓平，男，</w:t>
      </w:r>
      <w:r>
        <w:rPr>
          <w:rFonts w:ascii="Times New Roman" w:hAnsi="Times New Roman" w:cs="Times New Roman" w:eastAsia="Times New Roman" w:hint="default"/>
          <w:spacing w:val="-5"/>
        </w:rPr>
        <w:t>1973</w:t>
      </w:r>
      <w:r>
        <w:rPr>
          <w:spacing w:val="-5"/>
        </w:rPr>
        <w:t>年出生，中国国籍，无境外永久居留权。毕业于杭州大学，本科学历。</w:t>
      </w:r>
    </w:p>
    <w:p>
      <w:pPr>
        <w:pStyle w:val="BodyText"/>
        <w:spacing w:line="355" w:lineRule="auto" w:before="10"/>
        <w:ind w:right="1151"/>
        <w:jc w:val="left"/>
      </w:pPr>
      <w:r>
        <w:rPr/>
        <w:t>历任公司杭州分公司经理、营销部部长、省内营销公司总经理、金卡事业部总经理、总经理 助理等职务；现任公司副总经理，兼任杭州正浩监事。</w:t>
      </w:r>
    </w:p>
    <w:p>
      <w:pPr>
        <w:pStyle w:val="BodyText"/>
        <w:spacing w:line="352" w:lineRule="auto" w:before="41"/>
        <w:ind w:right="1167" w:firstLine="480"/>
        <w:jc w:val="both"/>
      </w:pPr>
      <w:r>
        <w:rPr/>
        <w:t>周军辉，男，</w:t>
      </w:r>
      <w:r>
        <w:rPr>
          <w:rFonts w:ascii="Times New Roman" w:hAnsi="Times New Roman" w:cs="Times New Roman" w:eastAsia="Times New Roman" w:hint="default"/>
        </w:rPr>
        <w:t>1973</w:t>
      </w:r>
      <w:r>
        <w:rPr/>
        <w:t>年出生，中国国籍，无境外永久居留权。毕业于浙江农业大学经济管 理专业，本科学历，经济师、人力资源管理师，浙江省优秀职业经理人，具有深圳证券交易 所颁发的《董事会秘书资格证书》。历任公司总经理办公室副主任、工会委员，职工代表监 事；现任公司副总经理、董事会秘书，兼任杭州易康执行董事兼总经理，校云智慧、坚果智 慧、双旗智慧董事。</w:t>
      </w:r>
    </w:p>
    <w:p>
      <w:pPr>
        <w:spacing w:before="51"/>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在股东单位任职情况</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77" w:type="dxa"/>
        <w:tblLayout w:type="fixed"/>
        <w:tblCellMar>
          <w:top w:w="0" w:type="dxa"/>
          <w:left w:w="0" w:type="dxa"/>
          <w:bottom w:w="0" w:type="dxa"/>
          <w:right w:w="0" w:type="dxa"/>
        </w:tblCellMar>
        <w:tblLook w:val="01E0"/>
      </w:tblPr>
      <w:tblGrid>
        <w:gridCol w:w="1201"/>
        <w:gridCol w:w="2910"/>
        <w:gridCol w:w="1066"/>
        <w:gridCol w:w="1488"/>
        <w:gridCol w:w="1330"/>
        <w:gridCol w:w="1590"/>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6" w:right="75"/>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1" w:right="66" w:hanging="274"/>
              <w:jc w:val="left"/>
              <w:rPr>
                <w:rFonts w:ascii="宋体" w:hAnsi="宋体" w:cs="宋体" w:eastAsia="宋体" w:hint="default"/>
                <w:sz w:val="18"/>
                <w:szCs w:val="18"/>
              </w:rPr>
            </w:pPr>
            <w:r>
              <w:rPr>
                <w:rFonts w:ascii="宋体" w:hAnsi="宋体" w:cs="宋体" w:eastAsia="宋体" w:hint="default"/>
                <w:spacing w:val="-2"/>
                <w:sz w:val="18"/>
                <w:szCs w:val="18"/>
              </w:rPr>
              <w:t>在股东单位是否领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杭州正元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69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陈英</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杭州正元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经理</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69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陈英</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正浩投资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9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吕晓平</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正浩投资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69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周军辉</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易康投资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9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57" w:right="46"/>
              <w:jc w:val="left"/>
              <w:rPr>
                <w:rFonts w:ascii="宋体" w:hAnsi="宋体" w:cs="宋体" w:eastAsia="宋体" w:hint="default"/>
                <w:sz w:val="18"/>
                <w:szCs w:val="18"/>
              </w:rPr>
            </w:pPr>
            <w:r>
              <w:rPr>
                <w:rFonts w:ascii="宋体" w:hAnsi="宋体" w:cs="宋体" w:eastAsia="宋体" w:hint="default"/>
                <w:spacing w:val="-2"/>
                <w:sz w:val="18"/>
                <w:szCs w:val="18"/>
              </w:rPr>
              <w:t>在股东单位任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84"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在其他单位任职情况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86" w:type="dxa"/>
        <w:tblLayout w:type="fixed"/>
        <w:tblCellMar>
          <w:top w:w="0" w:type="dxa"/>
          <w:left w:w="0" w:type="dxa"/>
          <w:bottom w:w="0" w:type="dxa"/>
          <w:right w:w="0" w:type="dxa"/>
        </w:tblCellMar>
        <w:tblLook w:val="01E0"/>
      </w:tblPr>
      <w:tblGrid>
        <w:gridCol w:w="1201"/>
        <w:gridCol w:w="3587"/>
        <w:gridCol w:w="1066"/>
        <w:gridCol w:w="1489"/>
        <w:gridCol w:w="1133"/>
        <w:gridCol w:w="1090"/>
      </w:tblGrid>
      <w:tr>
        <w:trPr>
          <w:trHeight w:val="1023"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76" w:right="75"/>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62" w:lineRule="auto"/>
              <w:ind w:left="383" w:right="195"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91" w:right="84"/>
              <w:jc w:val="center"/>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是否领取报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酬津贴</w:t>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正元投资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正元医疗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卓然实业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重庆汇贤</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无锡汇众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正元曦客</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四川正元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云马智慧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小兰智慧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陈英</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浙江树人大学</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67" w:right="75" w:hanging="92"/>
              <w:jc w:val="left"/>
              <w:rPr>
                <w:rFonts w:ascii="宋体" w:hAnsi="宋体" w:cs="宋体" w:eastAsia="宋体" w:hint="default"/>
                <w:sz w:val="18"/>
                <w:szCs w:val="18"/>
              </w:rPr>
            </w:pPr>
            <w:r>
              <w:rPr>
                <w:rFonts w:ascii="宋体" w:hAnsi="宋体" w:cs="宋体" w:eastAsia="宋体" w:hint="default"/>
                <w:spacing w:val="-2"/>
                <w:sz w:val="18"/>
                <w:szCs w:val="18"/>
              </w:rPr>
              <w:t>副处长兼金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融系主任</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1201"/>
        <w:gridCol w:w="3587"/>
        <w:gridCol w:w="1066"/>
        <w:gridCol w:w="1489"/>
        <w:gridCol w:w="1133"/>
        <w:gridCol w:w="1090"/>
      </w:tblGrid>
      <w:tr>
        <w:trPr>
          <w:trHeight w:val="1027"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62" w:lineRule="auto"/>
              <w:ind w:left="383" w:right="195"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84"/>
              <w:jc w:val="center"/>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是否领取报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酬津贴</w:t>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陈英</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正元投资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陈英</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正元医疗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陈英</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pacing w:val="-3"/>
                <w:sz w:val="18"/>
                <w:szCs w:val="18"/>
              </w:rPr>
              <w:t>浙江方圆智能技术检测有限公司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陈根清</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四川正元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陈根清</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校云智慧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陈根清</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云马智慧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董事、经理</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陈根清</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小兰智慧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陈根清</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坚果智慧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43" w:right="39" w:firstLine="182"/>
              <w:jc w:val="left"/>
              <w:rPr>
                <w:rFonts w:ascii="Times New Roman" w:hAnsi="Times New Roman" w:cs="Times New Roman" w:eastAsia="Times New Roman" w:hint="default"/>
                <w:sz w:val="18"/>
                <w:szCs w:val="18"/>
              </w:rPr>
            </w:pPr>
            <w:r>
              <w:rPr>
                <w:rFonts w:ascii="Times New Roman"/>
                <w:spacing w:val="-8"/>
                <w:sz w:val="18"/>
              </w:rPr>
              <w:t>JAY </w:t>
            </w:r>
            <w:r>
              <w:rPr>
                <w:rFonts w:ascii="Times New Roman"/>
                <w:sz w:val="18"/>
              </w:rPr>
              <w:t>TSAI</w:t>
            </w:r>
            <w:r>
              <w:rPr>
                <w:rFonts w:ascii="Times New Roman"/>
                <w:w w:val="101"/>
                <w:sz w:val="18"/>
              </w:rPr>
              <w:t> </w:t>
            </w:r>
            <w:r>
              <w:rPr>
                <w:rFonts w:ascii="Times New Roman"/>
                <w:spacing w:val="-3"/>
                <w:sz w:val="18"/>
              </w:rPr>
              <w:t>CHIEN</w:t>
            </w:r>
            <w:r>
              <w:rPr>
                <w:rFonts w:ascii="Times New Roman"/>
                <w:spacing w:val="12"/>
                <w:sz w:val="18"/>
              </w:rPr>
              <w:t> </w:t>
            </w:r>
            <w:r>
              <w:rPr>
                <w:rFonts w:ascii="Times New Roman"/>
                <w:sz w:val="18"/>
              </w:rPr>
              <w:t>CHOU</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3"/>
                <w:sz w:val="18"/>
                <w:szCs w:val="18"/>
              </w:rPr>
              <w:t>杭州汇萃智能科技有限公司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43" w:right="39" w:firstLine="182"/>
              <w:jc w:val="left"/>
              <w:rPr>
                <w:rFonts w:ascii="Times New Roman" w:hAnsi="Times New Roman" w:cs="Times New Roman" w:eastAsia="Times New Roman" w:hint="default"/>
                <w:sz w:val="18"/>
                <w:szCs w:val="18"/>
              </w:rPr>
            </w:pPr>
            <w:r>
              <w:rPr>
                <w:rFonts w:ascii="Times New Roman"/>
                <w:spacing w:val="-8"/>
                <w:sz w:val="18"/>
              </w:rPr>
              <w:t>JAY </w:t>
            </w:r>
            <w:r>
              <w:rPr>
                <w:rFonts w:ascii="Times New Roman"/>
                <w:sz w:val="18"/>
              </w:rPr>
              <w:t>TSAI</w:t>
            </w:r>
            <w:r>
              <w:rPr>
                <w:rFonts w:ascii="Times New Roman"/>
                <w:w w:val="101"/>
                <w:sz w:val="18"/>
              </w:rPr>
              <w:t> </w:t>
            </w:r>
            <w:r>
              <w:rPr>
                <w:rFonts w:ascii="Times New Roman"/>
                <w:spacing w:val="-3"/>
                <w:sz w:val="18"/>
              </w:rPr>
              <w:t>CHIEN</w:t>
            </w:r>
            <w:r>
              <w:rPr>
                <w:rFonts w:ascii="Times New Roman"/>
                <w:spacing w:val="12"/>
                <w:sz w:val="18"/>
              </w:rPr>
              <w:t> </w:t>
            </w:r>
            <w:r>
              <w:rPr>
                <w:rFonts w:ascii="Times New Roman"/>
                <w:sz w:val="18"/>
              </w:rPr>
              <w:t>CHOU</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3"/>
                <w:sz w:val="18"/>
                <w:szCs w:val="18"/>
              </w:rPr>
              <w:t>广东广源智能科技有限公司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43" w:right="39" w:firstLine="182"/>
              <w:jc w:val="left"/>
              <w:rPr>
                <w:rFonts w:ascii="Times New Roman" w:hAnsi="Times New Roman" w:cs="Times New Roman" w:eastAsia="Times New Roman" w:hint="default"/>
                <w:sz w:val="18"/>
                <w:szCs w:val="18"/>
              </w:rPr>
            </w:pPr>
            <w:r>
              <w:rPr>
                <w:rFonts w:ascii="Times New Roman"/>
                <w:spacing w:val="-8"/>
                <w:sz w:val="18"/>
              </w:rPr>
              <w:t>JAY </w:t>
            </w:r>
            <w:r>
              <w:rPr>
                <w:rFonts w:ascii="Times New Roman"/>
                <w:sz w:val="18"/>
              </w:rPr>
              <w:t>TSAI</w:t>
            </w:r>
            <w:r>
              <w:rPr>
                <w:rFonts w:ascii="Times New Roman"/>
                <w:w w:val="101"/>
                <w:sz w:val="18"/>
              </w:rPr>
              <w:t> </w:t>
            </w:r>
            <w:r>
              <w:rPr>
                <w:rFonts w:ascii="Times New Roman"/>
                <w:spacing w:val="-3"/>
                <w:sz w:val="18"/>
              </w:rPr>
              <w:t>CHIEN</w:t>
            </w:r>
            <w:r>
              <w:rPr>
                <w:rFonts w:ascii="Times New Roman"/>
                <w:spacing w:val="12"/>
                <w:sz w:val="18"/>
              </w:rPr>
              <w:t> </w:t>
            </w:r>
            <w:r>
              <w:rPr>
                <w:rFonts w:ascii="Times New Roman"/>
                <w:sz w:val="18"/>
              </w:rPr>
              <w:t>CHOU</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3"/>
                <w:sz w:val="18"/>
                <w:szCs w:val="18"/>
              </w:rPr>
              <w:t>苏州汇萃智能科技有限公司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龚明勇</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pacing w:val="-3"/>
                <w:sz w:val="18"/>
                <w:szCs w:val="18"/>
              </w:rPr>
              <w:t>浙江华瓯股权投资管理有限公司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投资管理部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龚明勇</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pacing w:val="-3"/>
                <w:sz w:val="18"/>
                <w:szCs w:val="18"/>
              </w:rPr>
              <w:t>浙江陆特能源科技股份有限公司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龚明勇</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pacing w:val="-3"/>
                <w:sz w:val="18"/>
                <w:szCs w:val="18"/>
              </w:rPr>
              <w:t>杭州信核数据科技股份有限公司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龚明勇</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3"/>
                <w:sz w:val="18"/>
                <w:szCs w:val="18"/>
              </w:rPr>
              <w:t>杭州姆珉网络科技有限公司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龚明勇</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pacing w:val="-3"/>
                <w:sz w:val="18"/>
                <w:szCs w:val="18"/>
              </w:rPr>
              <w:t>浙江捷尚视觉科技股份有限公司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童本立</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杭州解百股份有限公司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童本立</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浙商银行股份有限公司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童本立</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pacing w:val="-3"/>
                <w:sz w:val="18"/>
                <w:szCs w:val="18"/>
              </w:rPr>
              <w:t>浙江昂利康制药股份有限公司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99.399994pt;margin-top:462.355988pt;width:50.45pt;height:15.65pt;mso-position-horizontal-relative:page;mso-position-vertical-relative:page;z-index:-1182832" coordorigin="5988,9247" coordsize="1009,313">
            <v:shape style="position:absolute;left:5988;top:9247;width:1009;height:313" coordorigin="5988,9247" coordsize="1009,313" path="m5988,9560l6996,9560,6996,9247,5988,9247,5988,9560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1201"/>
        <w:gridCol w:w="3587"/>
        <w:gridCol w:w="1066"/>
        <w:gridCol w:w="1489"/>
        <w:gridCol w:w="1133"/>
        <w:gridCol w:w="1090"/>
      </w:tblGrid>
      <w:tr>
        <w:trPr>
          <w:trHeight w:val="1027"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62" w:lineRule="auto"/>
              <w:ind w:left="383" w:right="195"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84"/>
              <w:jc w:val="center"/>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是否领取报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酬津贴</w:t>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
        </w:tc>
        <w:tc>
          <w:tcPr>
            <w:tcW w:w="3587"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童本立</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pacing w:val="-3"/>
                <w:sz w:val="18"/>
                <w:szCs w:val="18"/>
              </w:rPr>
              <w:t>浙江浦江农村商业银行股份有限公司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9" w:right="0"/>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朱加宁</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pacing w:val="-3"/>
                <w:sz w:val="18"/>
                <w:szCs w:val="18"/>
              </w:rPr>
              <w:t>北京浩天信和（杭州）律师事务所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主任</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朱加宁</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pacing w:val="-3"/>
                <w:sz w:val="18"/>
                <w:szCs w:val="18"/>
              </w:rPr>
              <w:t>浙江天台祥和实业股份有限公司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朱加宁</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pacing w:val="-3"/>
                <w:sz w:val="18"/>
                <w:szCs w:val="18"/>
              </w:rPr>
              <w:t>浙江晨丰科技股份有限公司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pacing w:val="-3"/>
                <w:sz w:val="18"/>
                <w:szCs w:val="18"/>
              </w:rPr>
              <w:t>上海明辉股权投资管理有限公司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62"/>
              <w:jc w:val="right"/>
              <w:rPr>
                <w:rFonts w:ascii="宋体" w:hAnsi="宋体" w:cs="宋体" w:eastAsia="宋体" w:hint="default"/>
                <w:sz w:val="18"/>
                <w:szCs w:val="18"/>
              </w:rPr>
            </w:pPr>
            <w:r>
              <w:rPr>
                <w:rFonts w:ascii="宋体" w:hAnsi="宋体" w:cs="宋体" w:eastAsia="宋体" w:hint="default"/>
                <w:spacing w:val="-3"/>
                <w:sz w:val="18"/>
                <w:szCs w:val="18"/>
              </w:rPr>
              <w:t>上海明辉股权投资合伙企业（有限合伙）</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76" w:right="75"/>
              <w:jc w:val="center"/>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伙人委派代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表</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pacing w:val="-3"/>
                <w:sz w:val="18"/>
                <w:szCs w:val="18"/>
              </w:rPr>
              <w:t>上海明辉创业投资有限公司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pacing w:val="-3"/>
                <w:sz w:val="18"/>
                <w:szCs w:val="18"/>
              </w:rPr>
              <w:t>上海康曜投资管理有限公司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21"/>
              <w:jc w:val="right"/>
              <w:rPr>
                <w:rFonts w:ascii="宋体" w:hAnsi="宋体" w:cs="宋体" w:eastAsia="宋体" w:hint="default"/>
                <w:sz w:val="18"/>
                <w:szCs w:val="18"/>
              </w:rPr>
            </w:pPr>
            <w:r>
              <w:rPr>
                <w:rFonts w:ascii="宋体" w:hAnsi="宋体" w:cs="宋体" w:eastAsia="宋体" w:hint="default"/>
                <w:spacing w:val="-3"/>
                <w:sz w:val="18"/>
                <w:szCs w:val="18"/>
              </w:rPr>
              <w:t>共青城明辉新能源投资合伙企业（有限合伙</w:t>
            </w:r>
          </w:p>
        </w:tc>
        <w:tc>
          <w:tcPr>
            <w:tcW w:w="106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240" w:lineRule="auto" w:before="77"/>
              <w:ind w:left="-1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2"/>
                <w:sz w:val="18"/>
                <w:szCs w:val="18"/>
              </w:rPr>
              <w:t> </w:t>
            </w:r>
            <w:r>
              <w:rPr>
                <w:rFonts w:ascii="宋体" w:hAnsi="宋体" w:cs="宋体" w:eastAsia="宋体" w:hint="default"/>
                <w:sz w:val="18"/>
                <w:szCs w:val="18"/>
              </w:rPr>
              <w:t>伙人委派代</w:t>
            </w:r>
          </w:p>
          <w:p>
            <w:pPr>
              <w:pStyle w:val="TableParagraph"/>
              <w:spacing w:line="240" w:lineRule="auto" w:before="76"/>
              <w:ind w:right="5"/>
              <w:jc w:val="center"/>
              <w:rPr>
                <w:rFonts w:ascii="宋体" w:hAnsi="宋体" w:cs="宋体" w:eastAsia="宋体" w:hint="default"/>
                <w:sz w:val="18"/>
                <w:szCs w:val="18"/>
              </w:rPr>
            </w:pPr>
            <w:r>
              <w:rPr>
                <w:rFonts w:ascii="宋体" w:hAnsi="宋体" w:cs="宋体" w:eastAsia="宋体" w:hint="default"/>
                <w:w w:val="101"/>
                <w:sz w:val="18"/>
                <w:szCs w:val="18"/>
              </w:rPr>
              <w:t>表</w:t>
            </w:r>
            <w:r>
              <w:rPr>
                <w:rFonts w:ascii="宋体" w:hAnsi="宋体" w:cs="宋体" w:eastAsia="宋体" w:hint="default"/>
                <w:sz w:val="18"/>
                <w:szCs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pacing w:val="-3"/>
                <w:sz w:val="18"/>
                <w:szCs w:val="18"/>
              </w:rPr>
              <w:t>徐州大晶新材料科技集团有限公司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pacing w:val="-3"/>
                <w:sz w:val="18"/>
                <w:szCs w:val="18"/>
              </w:rPr>
              <w:t>晶虹生物化学（徐州）有限公司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pacing w:val="-3"/>
                <w:sz w:val="18"/>
                <w:szCs w:val="18"/>
              </w:rPr>
              <w:t>蚁术新材料科技（上海）有限公司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pacing w:val="-3"/>
                <w:sz w:val="18"/>
                <w:szCs w:val="18"/>
              </w:rPr>
              <w:t>大晶信息化学品（徐州）有限公司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pacing w:val="-3"/>
                <w:sz w:val="18"/>
                <w:szCs w:val="18"/>
              </w:rPr>
              <w:t>科利生物科技（徐州）有限公司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pacing w:val="-3"/>
                <w:sz w:val="18"/>
                <w:szCs w:val="18"/>
              </w:rPr>
              <w:t>照旷科技（上海）有限公司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pacing w:val="-3"/>
                <w:sz w:val="18"/>
                <w:szCs w:val="18"/>
              </w:rPr>
              <w:t>敦至医疗科技（上海）有限公司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345" w:right="75" w:hanging="269"/>
              <w:jc w:val="left"/>
              <w:rPr>
                <w:rFonts w:ascii="宋体" w:hAnsi="宋体" w:cs="宋体" w:eastAsia="宋体" w:hint="default"/>
                <w:sz w:val="18"/>
                <w:szCs w:val="18"/>
              </w:rPr>
            </w:pPr>
            <w:r>
              <w:rPr>
                <w:rFonts w:ascii="宋体" w:hAnsi="宋体" w:cs="宋体" w:eastAsia="宋体" w:hint="default"/>
                <w:spacing w:val="-2"/>
                <w:sz w:val="18"/>
                <w:szCs w:val="18"/>
              </w:rPr>
              <w:t>董事长兼总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经理</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pacing w:val="-3"/>
                <w:sz w:val="18"/>
                <w:szCs w:val="18"/>
              </w:rPr>
              <w:t>送子宝医院投资管理（上海）有限公司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1201"/>
        <w:gridCol w:w="3587"/>
        <w:gridCol w:w="1066"/>
        <w:gridCol w:w="1489"/>
        <w:gridCol w:w="1133"/>
        <w:gridCol w:w="1090"/>
      </w:tblGrid>
      <w:tr>
        <w:trPr>
          <w:trHeight w:val="1027"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62" w:lineRule="auto"/>
              <w:ind w:left="383" w:right="195"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84"/>
              <w:jc w:val="center"/>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是否领取报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酬津贴</w:t>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上海敦复医院有限公司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345" w:right="75" w:hanging="269"/>
              <w:jc w:val="left"/>
              <w:rPr>
                <w:rFonts w:ascii="宋体" w:hAnsi="宋体" w:cs="宋体" w:eastAsia="宋体" w:hint="default"/>
                <w:sz w:val="18"/>
                <w:szCs w:val="18"/>
              </w:rPr>
            </w:pPr>
            <w:r>
              <w:rPr>
                <w:rFonts w:ascii="宋体" w:hAnsi="宋体" w:cs="宋体" w:eastAsia="宋体" w:hint="default"/>
                <w:spacing w:val="-2"/>
                <w:sz w:val="18"/>
                <w:szCs w:val="18"/>
              </w:rPr>
              <w:t>董事长兼总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经理</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盛利维尔（中国）新材料技术股份有限公司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3"/>
                <w:sz w:val="18"/>
                <w:szCs w:val="18"/>
              </w:rPr>
              <w:t>镇江耐丝新型材料有限公司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东方电子支付有限公司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3"/>
                <w:sz w:val="18"/>
                <w:szCs w:val="18"/>
              </w:rPr>
              <w:t>苏州本控电子科技有限公司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pacing w:val="-3"/>
                <w:sz w:val="18"/>
                <w:szCs w:val="18"/>
              </w:rPr>
              <w:t>凤凰都市传媒科技股份有限公司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pacing w:val="-3"/>
                <w:sz w:val="18"/>
                <w:szCs w:val="18"/>
              </w:rPr>
              <w:t>山东十二学教育科技有限公司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pacing w:val="-3"/>
                <w:sz w:val="18"/>
                <w:szCs w:val="18"/>
              </w:rPr>
              <w:t>吉林省汇融生物科技有限公司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翁玉涛</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3"/>
                <w:sz w:val="18"/>
                <w:szCs w:val="18"/>
              </w:rPr>
              <w:t>杭州百博实业投资有限公司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翁玉涛</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pacing w:val="-3"/>
                <w:sz w:val="18"/>
                <w:szCs w:val="18"/>
              </w:rPr>
              <w:t>浙江浙企财富投资管理有限公司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345" w:right="17" w:hanging="322"/>
              <w:jc w:val="left"/>
              <w:rPr>
                <w:rFonts w:ascii="宋体" w:hAnsi="宋体" w:cs="宋体" w:eastAsia="宋体" w:hint="default"/>
                <w:sz w:val="18"/>
                <w:szCs w:val="18"/>
              </w:rPr>
            </w:pPr>
            <w:r>
              <w:rPr>
                <w:rFonts w:ascii="宋体" w:hAnsi="宋体" w:cs="宋体" w:eastAsia="宋体" w:hint="default"/>
                <w:spacing w:val="-14"/>
                <w:w w:val="101"/>
                <w:sz w:val="18"/>
                <w:szCs w:val="18"/>
              </w:rPr>
              <w:t>执行董事、总</w:t>
            </w:r>
            <w:r>
              <w:rPr>
                <w:rFonts w:ascii="宋体" w:hAnsi="宋体" w:cs="宋体" w:eastAsia="宋体" w:hint="default"/>
                <w:w w:val="101"/>
                <w:sz w:val="18"/>
                <w:szCs w:val="18"/>
              </w:rPr>
              <w:t> </w:t>
            </w:r>
            <w:r>
              <w:rPr>
                <w:rFonts w:ascii="宋体" w:hAnsi="宋体" w:cs="宋体" w:eastAsia="宋体" w:hint="default"/>
                <w:sz w:val="18"/>
                <w:szCs w:val="18"/>
              </w:rPr>
              <w:t>经理</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李战鹏</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四川正元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李战鹏</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校云智慧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李战鹏</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南昌正元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周军辉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校云智慧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周军辉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坚果智慧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周军辉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双旗智慧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7" w:right="46"/>
              <w:jc w:val="left"/>
              <w:rPr>
                <w:rFonts w:ascii="宋体" w:hAnsi="宋体" w:cs="宋体" w:eastAsia="宋体" w:hint="default"/>
                <w:sz w:val="18"/>
                <w:szCs w:val="18"/>
              </w:rPr>
            </w:pPr>
            <w:r>
              <w:rPr>
                <w:rFonts w:ascii="宋体" w:hAnsi="宋体" w:cs="宋体" w:eastAsia="宋体" w:hint="default"/>
                <w:spacing w:val="-2"/>
                <w:sz w:val="18"/>
                <w:szCs w:val="18"/>
              </w:rPr>
              <w:t>在其他单位任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6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公司现任及报告期内离任董事、监事和高级管理人员近三年证券监管机构处罚的情况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5"/>
        <w:rPr>
          <w:rFonts w:ascii="宋体" w:hAnsi="宋体" w:cs="宋体" w:eastAsia="宋体" w:hint="default"/>
          <w:sz w:val="23"/>
          <w:szCs w:val="23"/>
        </w:rPr>
      </w:pPr>
      <w:r>
        <w:rPr/>
        <w:pict>
          <v:group style="position:absolute;margin-left:193.75pt;margin-top:357.459991pt;width:67.95pt;height:28pt;mso-position-horizontal-relative:page;mso-position-vertical-relative:page;z-index:-1182784" coordorigin="3875,7149" coordsize="1359,560">
            <v:group style="position:absolute;left:3875;top:7149;width:1359;height:154" coordorigin="3875,7149" coordsize="1359,154">
              <v:shape style="position:absolute;left:3875;top:7149;width:1359;height:154" coordorigin="3875,7149" coordsize="1359,154" path="m3875,7303l5234,7303,5234,7149,3875,7149,3875,7303xe" filled="true" fillcolor="#ffffff" stroked="false">
                <v:path arrowok="t"/>
                <v:fill type="solid"/>
              </v:shape>
            </v:group>
            <v:group style="position:absolute;left:3887;top:7303;width:2;height:395" coordorigin="3887,7303" coordsize="2,395">
              <v:shape style="position:absolute;left:3887;top:7303;width:2;height:395" coordorigin="3887,7303" coordsize="0,395" path="m3887,7303l3887,7697e" filled="false" stroked="true" strokeweight="1.2pt" strokecolor="#ffffff">
                <v:path arrowok="t"/>
              </v:shape>
            </v:group>
            <v:group style="position:absolute;left:3899;top:7303;width:1311;height:395" coordorigin="3899,7303" coordsize="1311,395">
              <v:shape style="position:absolute;left:3899;top:7303;width:1311;height:395" coordorigin="3899,7303" coordsize="1311,395" path="m3899,7697l5210,7697,5210,7303,3899,7303,3899,7697xe" filled="true" fillcolor="#ffffff" stroked="false">
                <v:path arrowok="t"/>
                <v:fill type="solid"/>
              </v:shape>
            </v:group>
            <w10:wrap type="none"/>
          </v:group>
        </w:pict>
      </w:r>
    </w:p>
    <w:p>
      <w:pPr>
        <w:pStyle w:val="Heading2"/>
        <w:spacing w:line="240" w:lineRule="auto" w:before="26"/>
        <w:ind w:right="0"/>
        <w:jc w:val="left"/>
        <w:rPr>
          <w:b w:val="0"/>
          <w:bCs w:val="0"/>
        </w:rPr>
      </w:pPr>
      <w:bookmarkStart w:name="四、董事、监事、高级管理人员报酬情况" w:id="130"/>
      <w:bookmarkEnd w:id="130"/>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董事、监事、高级管理人员报酬的决策程序、确定依据、实际支付情况</w:t>
      </w:r>
    </w:p>
    <w:p>
      <w:pPr>
        <w:pStyle w:val="BodyText"/>
        <w:spacing w:line="357" w:lineRule="auto" w:before="141"/>
        <w:ind w:right="1136" w:firstLine="480"/>
        <w:jc w:val="both"/>
      </w:pPr>
      <w:r>
        <w:rPr/>
        <w:t>公司独立董事津贴由董事会提交股东大会审议通过后实施，在公司任职的其他董事、监 事、高级管理人员根据公司薪酬体系和绩效考核体系综合考评后领取薪酬。公司已向董事、</w:t>
      </w:r>
      <w:r>
        <w:rPr>
          <w:spacing w:val="-93"/>
        </w:rPr>
        <w:t> </w:t>
      </w:r>
      <w:r>
        <w:rPr>
          <w:spacing w:val="-93"/>
        </w:rPr>
      </w:r>
      <w:r>
        <w:rPr/>
        <w:t>监事及高级管理人员全额支付报告期内的薪酬。</w:t>
      </w:r>
    </w:p>
    <w:p>
      <w:pPr>
        <w:spacing w:before="51"/>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公司报告期内董事、监事和高级管理人员报酬情况</w:t>
      </w:r>
    </w:p>
    <w:p>
      <w:pPr>
        <w:spacing w:before="115"/>
        <w:ind w:left="0" w:right="1122" w:firstLine="0"/>
        <w:jc w:val="right"/>
        <w:rPr>
          <w:rFonts w:ascii="宋体" w:hAnsi="宋体" w:cs="宋体" w:eastAsia="宋体" w:hint="default"/>
          <w:sz w:val="18"/>
          <w:szCs w:val="18"/>
        </w:rPr>
      </w:pPr>
      <w:r>
        <w:rPr/>
        <w:pict>
          <v:group style="position:absolute;margin-left:193.75pt;margin-top:116.611725pt;width:67.95pt;height:28pt;mso-position-horizontal-relative:page;mso-position-vertical-relative:paragraph;z-index:-1182808" coordorigin="3875,2332" coordsize="1359,560">
            <v:group style="position:absolute;left:3875;top:2332;width:1359;height:154" coordorigin="3875,2332" coordsize="1359,154">
              <v:shape style="position:absolute;left:3875;top:2332;width:1359;height:154" coordorigin="3875,2332" coordsize="1359,154" path="m3875,2486l5234,2486,5234,2332,3875,2332,3875,2486xe" filled="true" fillcolor="#ffffff" stroked="false">
                <v:path arrowok="t"/>
                <v:fill type="solid"/>
              </v:shape>
            </v:group>
            <v:group style="position:absolute;left:3887;top:2486;width:2;height:394" coordorigin="3887,2486" coordsize="2,394">
              <v:shape style="position:absolute;left:3887;top:2486;width:2;height:394" coordorigin="3887,2486" coordsize="0,394" path="m3887,2486l3887,2879e" filled="false" stroked="true" strokeweight="1.2pt" strokecolor="#ffffff">
                <v:path arrowok="t"/>
              </v:shape>
            </v:group>
            <v:group style="position:absolute;left:3899;top:2486;width:1311;height:394" coordorigin="3899,2486" coordsize="1311,394">
              <v:shape style="position:absolute;left:3899;top:2486;width:1311;height:394" coordorigin="3899,2486" coordsize="1311,394" path="m3899,2879l5210,2879,5210,2486,3899,2486,3899,2879xe" filled="true" fillcolor="#ffffff" stroked="false">
                <v:path arrowok="t"/>
                <v:fill type="solid"/>
              </v:shape>
            </v:group>
            <w10:wrap type="none"/>
          </v:group>
        </w:pict>
      </w: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331"/>
        <w:gridCol w:w="1037"/>
        <w:gridCol w:w="1368"/>
        <w:gridCol w:w="1364"/>
        <w:gridCol w:w="1369"/>
        <w:gridCol w:w="1369"/>
      </w:tblGrid>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1"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58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pacing w:val="-3"/>
                <w:sz w:val="18"/>
                <w:szCs w:val="18"/>
              </w:rPr>
              <w:t>董事长、总经理</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7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陈英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陈根清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316" w:right="108" w:hanging="293"/>
              <w:jc w:val="left"/>
              <w:rPr>
                <w:rFonts w:ascii="宋体" w:hAnsi="宋体" w:cs="宋体" w:eastAsia="宋体" w:hint="default"/>
                <w:sz w:val="18"/>
                <w:szCs w:val="18"/>
              </w:rPr>
            </w:pPr>
            <w:r>
              <w:rPr>
                <w:rFonts w:ascii="宋体" w:hAnsi="宋体" w:cs="宋体" w:eastAsia="宋体" w:hint="default"/>
                <w:spacing w:val="-8"/>
                <w:sz w:val="18"/>
                <w:szCs w:val="18"/>
              </w:rPr>
              <w:t>董事、副总经理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财务总监</w:t>
            </w:r>
          </w:p>
        </w:tc>
        <w:tc>
          <w:tcPr>
            <w:tcW w:w="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129" w:right="121" w:firstLine="177"/>
              <w:jc w:val="left"/>
              <w:rPr>
                <w:rFonts w:ascii="Times New Roman" w:hAnsi="Times New Roman" w:cs="Times New Roman" w:eastAsia="Times New Roman" w:hint="default"/>
                <w:sz w:val="18"/>
                <w:szCs w:val="18"/>
              </w:rPr>
            </w:pPr>
            <w:r>
              <w:rPr>
                <w:rFonts w:ascii="Times New Roman"/>
                <w:spacing w:val="-8"/>
                <w:sz w:val="18"/>
              </w:rPr>
              <w:t>JAY </w:t>
            </w:r>
            <w:r>
              <w:rPr>
                <w:rFonts w:ascii="Times New Roman"/>
                <w:sz w:val="18"/>
              </w:rPr>
              <w:t>TSAI</w:t>
            </w:r>
            <w:r>
              <w:rPr>
                <w:rFonts w:ascii="Times New Roman"/>
                <w:w w:val="101"/>
                <w:sz w:val="18"/>
              </w:rPr>
              <w:t> </w:t>
            </w:r>
            <w:r>
              <w:rPr>
                <w:rFonts w:ascii="Times New Roman"/>
                <w:spacing w:val="-3"/>
                <w:sz w:val="18"/>
              </w:rPr>
              <w:t>CHIEN</w:t>
            </w:r>
            <w:r>
              <w:rPr>
                <w:rFonts w:ascii="Times New Roman"/>
                <w:spacing w:val="12"/>
                <w:sz w:val="18"/>
              </w:rPr>
              <w:t> </w:t>
            </w:r>
            <w:r>
              <w:rPr>
                <w:rFonts w:ascii="Times New Roman"/>
                <w:sz w:val="18"/>
              </w:rPr>
              <w:t>CHOU</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316" w:right="108" w:hanging="293"/>
              <w:jc w:val="left"/>
              <w:rPr>
                <w:rFonts w:ascii="宋体" w:hAnsi="宋体" w:cs="宋体" w:eastAsia="宋体" w:hint="default"/>
                <w:sz w:val="18"/>
                <w:szCs w:val="18"/>
              </w:rPr>
            </w:pPr>
            <w:r>
              <w:rPr>
                <w:rFonts w:ascii="宋体" w:hAnsi="宋体" w:cs="宋体" w:eastAsia="宋体" w:hint="default"/>
                <w:spacing w:val="-8"/>
                <w:sz w:val="18"/>
                <w:szCs w:val="18"/>
              </w:rPr>
              <w:t>董事、副总经理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总工程师</w:t>
            </w:r>
          </w:p>
        </w:tc>
        <w:tc>
          <w:tcPr>
            <w:tcW w:w="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57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 w:right="0"/>
              <w:jc w:val="center"/>
              <w:rPr>
                <w:rFonts w:ascii="宋体" w:hAnsi="宋体" w:cs="宋体" w:eastAsia="宋体" w:hint="default"/>
                <w:sz w:val="18"/>
                <w:szCs w:val="18"/>
              </w:rPr>
            </w:pPr>
            <w:r>
              <w:rPr>
                <w:rFonts w:ascii="宋体" w:hAnsi="宋体" w:cs="宋体" w:eastAsia="宋体" w:hint="default"/>
                <w:sz w:val="18"/>
                <w:szCs w:val="18"/>
              </w:rPr>
              <w:t>龚明勇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8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朱军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7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童本立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9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57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朱加宁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63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9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57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9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58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 w:right="0"/>
              <w:jc w:val="center"/>
              <w:rPr>
                <w:rFonts w:ascii="宋体" w:hAnsi="宋体" w:cs="宋体" w:eastAsia="宋体" w:hint="default"/>
                <w:sz w:val="18"/>
                <w:szCs w:val="18"/>
              </w:rPr>
            </w:pPr>
            <w:r>
              <w:rPr>
                <w:rFonts w:ascii="宋体" w:hAnsi="宋体" w:cs="宋体" w:eastAsia="宋体" w:hint="default"/>
                <w:sz w:val="18"/>
                <w:szCs w:val="18"/>
              </w:rPr>
              <w:t>翁玉涛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9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57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李战鹏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7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刘智海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7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施东圣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7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吕晓平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周军辉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407" w:right="46" w:hanging="360"/>
              <w:jc w:val="left"/>
              <w:rPr>
                <w:rFonts w:ascii="宋体" w:hAnsi="宋体" w:cs="宋体" w:eastAsia="宋体" w:hint="default"/>
                <w:sz w:val="18"/>
                <w:szCs w:val="18"/>
              </w:rPr>
            </w:pPr>
            <w:r>
              <w:rPr>
                <w:rFonts w:ascii="宋体" w:hAnsi="宋体" w:cs="宋体" w:eastAsia="宋体" w:hint="default"/>
                <w:spacing w:val="-3"/>
                <w:sz w:val="18"/>
                <w:szCs w:val="18"/>
              </w:rPr>
              <w:t>副总经理、董事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会秘书</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7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418.14</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公司董事、高级管理人员报告期内被授予的股权激励情况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7" w:space="4265"/>
            <w:col w:w="200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94"/>
        <w:gridCol w:w="869"/>
        <w:gridCol w:w="869"/>
        <w:gridCol w:w="869"/>
        <w:gridCol w:w="869"/>
        <w:gridCol w:w="874"/>
        <w:gridCol w:w="869"/>
        <w:gridCol w:w="869"/>
        <w:gridCol w:w="869"/>
        <w:gridCol w:w="874"/>
        <w:gridCol w:w="869"/>
      </w:tblGrid>
      <w:tr>
        <w:trPr>
          <w:trHeight w:val="1340"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可行权股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已行权股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3" w:right="60" w:firstLine="48"/>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w w:val="101"/>
                <w:sz w:val="18"/>
                <w:szCs w:val="18"/>
              </w:rPr>
              <w:t> </w:t>
            </w:r>
            <w:r>
              <w:rPr>
                <w:rFonts w:ascii="宋体" w:hAnsi="宋体" w:cs="宋体" w:eastAsia="宋体" w:hint="default"/>
                <w:sz w:val="18"/>
                <w:szCs w:val="18"/>
              </w:rPr>
              <w:t>已行权股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数行权价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格（元</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股</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52" w:right="38" w:firstLine="2"/>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w:t>
            </w:r>
            <w:r>
              <w:rPr>
                <w:rFonts w:ascii="宋体" w:hAnsi="宋体" w:cs="宋体" w:eastAsia="宋体" w:hint="default"/>
                <w:w w:val="101"/>
                <w:sz w:val="18"/>
                <w:szCs w:val="18"/>
              </w:rPr>
              <w:t> </w:t>
            </w:r>
            <w:r>
              <w:rPr>
                <w:rFonts w:ascii="宋体" w:hAnsi="宋体" w:cs="宋体" w:eastAsia="宋体" w:hint="default"/>
                <w:spacing w:val="-2"/>
                <w:sz w:val="18"/>
                <w:szCs w:val="18"/>
              </w:rPr>
              <w:t>市价（元</w:t>
            </w:r>
            <w:r>
              <w:rPr>
                <w:rFonts w:ascii="Times New Roman" w:hAnsi="Times New Roman" w:cs="Times New Roman" w:eastAsia="Times New Roman" w:hint="default"/>
                <w:spacing w:val="-2"/>
                <w:sz w:val="18"/>
                <w:szCs w:val="18"/>
              </w:rPr>
              <w:t>/</w:t>
            </w:r>
          </w:p>
          <w:p>
            <w:pPr>
              <w:pStyle w:val="TableParagraph"/>
              <w:spacing w:line="195" w:lineRule="exact" w:before="8"/>
              <w:ind w:left="9"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5" w:lineRule="exact"/>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2" w:right="60"/>
              <w:jc w:val="both"/>
              <w:rPr>
                <w:rFonts w:ascii="宋体" w:hAnsi="宋体" w:cs="宋体" w:eastAsia="宋体" w:hint="default"/>
                <w:sz w:val="18"/>
                <w:szCs w:val="18"/>
              </w:rPr>
            </w:pPr>
            <w:r>
              <w:rPr>
                <w:rFonts w:ascii="宋体" w:hAnsi="宋体" w:cs="宋体" w:eastAsia="宋体" w:hint="default"/>
                <w:sz w:val="18"/>
                <w:szCs w:val="18"/>
              </w:rPr>
              <w:t>期初持有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0"/>
              <w:jc w:val="center"/>
              <w:rPr>
                <w:rFonts w:ascii="宋体" w:hAnsi="宋体" w:cs="宋体" w:eastAsia="宋体" w:hint="default"/>
                <w:sz w:val="18"/>
                <w:szCs w:val="18"/>
              </w:rPr>
            </w:pPr>
            <w:r>
              <w:rPr>
                <w:rFonts w:ascii="宋体" w:hAnsi="宋体" w:cs="宋体" w:eastAsia="宋体" w:hint="default"/>
                <w:spacing w:val="-2"/>
                <w:sz w:val="18"/>
                <w:szCs w:val="18"/>
              </w:rPr>
              <w:t>本期已解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锁股份数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1" w:right="60"/>
              <w:jc w:val="center"/>
              <w:rPr>
                <w:rFonts w:ascii="宋体" w:hAnsi="宋体" w:cs="宋体" w:eastAsia="宋体" w:hint="default"/>
                <w:sz w:val="18"/>
                <w:szCs w:val="18"/>
              </w:rPr>
            </w:pPr>
            <w:r>
              <w:rPr>
                <w:rFonts w:ascii="宋体" w:hAnsi="宋体" w:cs="宋体" w:eastAsia="宋体" w:hint="default"/>
                <w:spacing w:val="-2"/>
                <w:sz w:val="18"/>
                <w:szCs w:val="18"/>
              </w:rPr>
              <w:t>报告期新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授予限制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性股票数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52" w:right="38" w:firstLine="1"/>
              <w:jc w:val="center"/>
              <w:rPr>
                <w:rFonts w:ascii="宋体" w:hAnsi="宋体" w:cs="宋体" w:eastAsia="宋体" w:hint="default"/>
                <w:sz w:val="18"/>
                <w:szCs w:val="18"/>
              </w:rPr>
            </w:pPr>
            <w:r>
              <w:rPr>
                <w:rFonts w:ascii="宋体" w:hAnsi="宋体" w:cs="宋体" w:eastAsia="宋体" w:hint="default"/>
                <w:sz w:val="18"/>
                <w:szCs w:val="18"/>
              </w:rPr>
              <w:t>限制性股</w:t>
            </w:r>
            <w:r>
              <w:rPr>
                <w:rFonts w:ascii="宋体" w:hAnsi="宋体" w:cs="宋体" w:eastAsia="宋体" w:hint="default"/>
                <w:w w:val="101"/>
                <w:sz w:val="18"/>
                <w:szCs w:val="18"/>
              </w:rPr>
              <w:t> </w:t>
            </w:r>
            <w:r>
              <w:rPr>
                <w:rFonts w:ascii="宋体" w:hAnsi="宋体" w:cs="宋体" w:eastAsia="宋体" w:hint="default"/>
                <w:sz w:val="18"/>
                <w:szCs w:val="18"/>
              </w:rPr>
              <w:t>票的授予</w:t>
            </w:r>
            <w:r>
              <w:rPr>
                <w:rFonts w:ascii="宋体" w:hAnsi="宋体" w:cs="宋体" w:eastAsia="宋体" w:hint="default"/>
                <w:w w:val="101"/>
                <w:sz w:val="18"/>
                <w:szCs w:val="18"/>
              </w:rPr>
              <w:t> </w:t>
            </w:r>
            <w:r>
              <w:rPr>
                <w:rFonts w:ascii="宋体" w:hAnsi="宋体" w:cs="宋体" w:eastAsia="宋体" w:hint="default"/>
                <w:spacing w:val="-2"/>
                <w:sz w:val="18"/>
                <w:szCs w:val="18"/>
              </w:rPr>
              <w:t>价格（元</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期末持有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票数量</w:t>
            </w:r>
          </w:p>
        </w:tc>
      </w:tr>
      <w:tr>
        <w:trPr>
          <w:trHeight w:val="10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陈根清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pacing w:val="-19"/>
                <w:w w:val="101"/>
                <w:sz w:val="18"/>
                <w:szCs w:val="18"/>
              </w:rPr>
              <w:t>董事、副总</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经理兼财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90,250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施东圣</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08"/>
              <w:jc w:val="left"/>
              <w:rPr>
                <w:rFonts w:ascii="宋体" w:hAnsi="宋体" w:cs="宋体" w:eastAsia="宋体" w:hint="default"/>
                <w:sz w:val="18"/>
                <w:szCs w:val="18"/>
              </w:rPr>
            </w:pPr>
            <w:r>
              <w:rPr>
                <w:rFonts w:ascii="宋体" w:hAnsi="宋体" w:cs="宋体" w:eastAsia="宋体" w:hint="default"/>
                <w:sz w:val="18"/>
                <w:szCs w:val="18"/>
              </w:rPr>
              <w:t>董事兼副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吕晓平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周军辉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兼董事会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秘书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356,250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1"/>
              <w:ind w:right="1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34"/>
              <w:jc w:val="left"/>
              <w:rPr>
                <w:rFonts w:ascii="宋体" w:hAnsi="宋体" w:cs="宋体" w:eastAsia="宋体" w:hint="default"/>
                <w:sz w:val="18"/>
                <w:szCs w:val="18"/>
              </w:rPr>
            </w:pPr>
            <w:r>
              <w:rPr>
                <w:rFonts w:ascii="宋体" w:hAnsi="宋体" w:cs="宋体" w:eastAsia="宋体" w:hint="default"/>
                <w:spacing w:val="-17"/>
                <w:sz w:val="18"/>
                <w:szCs w:val="18"/>
              </w:rPr>
              <w:t>备注（如有）</w:t>
            </w:r>
            <w:r>
              <w:rPr>
                <w:rFonts w:ascii="宋体" w:hAnsi="宋体" w:cs="宋体" w:eastAsia="宋体" w:hint="default"/>
                <w:sz w:val="18"/>
                <w:szCs w:val="18"/>
              </w:rPr>
            </w:r>
          </w:p>
        </w:tc>
        <w:tc>
          <w:tcPr>
            <w:tcW w:w="870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r>
        <w:rPr/>
        <w:pict>
          <v:group style="position:absolute;margin-left:106.610001pt;margin-top:-32.324368pt;width:433.4pt;height:20.9pt;mso-position-horizontal-relative:page;mso-position-vertical-relative:paragraph;z-index:-1182760" coordorigin="2132,-646" coordsize="8668,418">
            <v:group style="position:absolute;left:2144;top:-634;width:2;height:394" coordorigin="2144,-634" coordsize="2,394">
              <v:shape style="position:absolute;left:2144;top:-634;width:2;height:394" coordorigin="2144,-634" coordsize="0,394" path="m2144,-634l2144,-241e" filled="false" stroked="true" strokeweight="1.2pt" strokecolor="#ffffff">
                <v:path arrowok="t"/>
              </v:shape>
            </v:group>
            <v:group style="position:absolute;left:2156;top:-634;width:8644;height:394" coordorigin="2156,-634" coordsize="8644,394">
              <v:shape style="position:absolute;left:2156;top:-634;width:8644;height:394" coordorigin="2156,-634" coordsize="8644,394" path="m2156,-241l10800,-241,10800,-634,2156,-634,2156,-241xe" filled="true" fillcolor="#ffffff" stroked="false">
                <v:path arrowok="t"/>
                <v:fill type="solid"/>
              </v:shape>
            </v:group>
            <w10:wrap type="none"/>
          </v:group>
        </w:pict>
      </w:r>
      <w:bookmarkStart w:name="五、公司员工情况" w:id="131"/>
      <w:bookmarkEnd w:id="131"/>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员工数量、专业构成及教育程度" w:id="132"/>
      <w:bookmarkEnd w:id="13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4"/>
        <w:gridCol w:w="4867"/>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8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681</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8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129</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8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8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1,283</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8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394" w:hRule="exact"/>
        </w:trPr>
        <w:tc>
          <w:tcPr>
            <w:tcW w:w="9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25"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8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28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8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369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8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682</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8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32</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8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1,230</w:t>
            </w:r>
          </w:p>
        </w:tc>
      </w:tr>
      <w:tr>
        <w:trPr>
          <w:trHeight w:val="398" w:hRule="exact"/>
        </w:trPr>
        <w:tc>
          <w:tcPr>
            <w:tcW w:w="9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教育程度</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8"/>
        <w:gridCol w:w="4855"/>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硕士及以上学历</w:t>
            </w:r>
          </w:p>
        </w:tc>
        <w:tc>
          <w:tcPr>
            <w:tcW w:w="4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35</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z w:val="18"/>
              </w:rPr>
              <w:t>607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498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90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1,230</w:t>
            </w:r>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bookmarkStart w:name="2、薪酬政策" w:id="133"/>
      <w:bookmarkEnd w:id="13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ind w:right="1136" w:firstLine="480"/>
        <w:jc w:val="both"/>
      </w:pPr>
      <w:r>
        <w:rPr/>
        <w:t>公司按照经董事会薪酬与考核委员会审议通过的薪酬考核方案，制定各岗位薪资待遇。 员工薪酬主要由基本薪酬、绩效薪酬和年终奖组成。公司薪酬政策坚持与岗位价值相匹配的</w:t>
      </w:r>
      <w:r>
        <w:rPr>
          <w:spacing w:val="-93"/>
        </w:rPr>
        <w:t> </w:t>
      </w:r>
      <w:r>
        <w:rPr>
          <w:spacing w:val="-93"/>
        </w:rPr>
      </w:r>
      <w:r>
        <w:rPr/>
        <w:t>基本原则，同时兼顾技术与专业化能力的差别化对待，根据不同类别岗位职级制定相应的薪</w:t>
      </w:r>
      <w:r>
        <w:rPr>
          <w:spacing w:val="-93"/>
        </w:rPr>
        <w:t> </w:t>
      </w:r>
      <w:r>
        <w:rPr>
          <w:spacing w:val="-93"/>
        </w:rPr>
      </w:r>
      <w:r>
        <w:rPr/>
        <w:t>酬等级体系，在每个岗位职级内根据其技术能力、专业化能力水平确定对应的薪酬。</w:t>
      </w:r>
    </w:p>
    <w:p>
      <w:pPr>
        <w:pStyle w:val="BodyText"/>
        <w:spacing w:line="336" w:lineRule="auto" w:before="38"/>
        <w:ind w:right="1138" w:firstLine="480"/>
        <w:jc w:val="both"/>
      </w:pPr>
      <w:r>
        <w:rPr/>
        <w:t>公司需遵守《深圳证券交易所行业信息披露指引第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上市公司从事软件与信息技 术服务业务》的披露要求</w:t>
      </w:r>
    </w:p>
    <w:p>
      <w:pPr>
        <w:pStyle w:val="BodyText"/>
        <w:spacing w:line="338" w:lineRule="auto" w:before="60"/>
        <w:ind w:right="1124" w:firstLine="480"/>
        <w:jc w:val="both"/>
      </w:pPr>
      <w:r>
        <w:rPr>
          <w:spacing w:val="-1"/>
        </w:rPr>
        <w:t>报告期内，公司领取薪酬员工总数为</w:t>
      </w:r>
      <w:r>
        <w:rPr>
          <w:rFonts w:ascii="Times New Roman" w:hAnsi="Times New Roman" w:cs="Times New Roman" w:eastAsia="Times New Roman" w:hint="default"/>
          <w:spacing w:val="-1"/>
        </w:rPr>
        <w:t>1,283</w:t>
      </w:r>
      <w:r>
        <w:rPr>
          <w:spacing w:val="-1"/>
        </w:rPr>
        <w:t>人，职工薪酬总额</w:t>
      </w:r>
      <w:r>
        <w:rPr>
          <w:rFonts w:ascii="Times New Roman" w:hAnsi="Times New Roman" w:cs="Times New Roman" w:eastAsia="Times New Roman" w:hint="default"/>
          <w:spacing w:val="-1"/>
        </w:rPr>
        <w:t>15,938.45</w:t>
      </w:r>
      <w:r>
        <w:rPr>
          <w:spacing w:val="-1"/>
        </w:rPr>
        <w:t>万元，占公司成本</w:t>
      </w:r>
      <w:r>
        <w:rPr/>
        <w:t> </w:t>
      </w:r>
      <w:r>
        <w:rPr>
          <w:spacing w:val="2"/>
        </w:rPr>
        <w:t>总额</w:t>
      </w:r>
      <w:r>
        <w:rPr>
          <w:rFonts w:ascii="Times New Roman" w:hAnsi="Times New Roman" w:cs="Times New Roman" w:eastAsia="Times New Roman" w:hint="default"/>
          <w:spacing w:val="2"/>
        </w:rPr>
        <w:t>22.27%</w:t>
      </w:r>
      <w:r>
        <w:rPr>
          <w:spacing w:val="2"/>
        </w:rPr>
        <w:t>，其中核心技术人员</w:t>
      </w:r>
      <w:r>
        <w:rPr>
          <w:rFonts w:ascii="Times New Roman" w:hAnsi="Times New Roman" w:cs="Times New Roman" w:eastAsia="Times New Roman" w:hint="default"/>
          <w:spacing w:val="2"/>
        </w:rPr>
        <w:t>62</w:t>
      </w:r>
      <w:r>
        <w:rPr>
          <w:spacing w:val="2"/>
        </w:rPr>
        <w:t>人，占领取薪酬员工总数</w:t>
      </w:r>
      <w:r>
        <w:rPr>
          <w:rFonts w:ascii="Times New Roman" w:hAnsi="Times New Roman" w:cs="Times New Roman" w:eastAsia="Times New Roman" w:hint="default"/>
          <w:spacing w:val="2"/>
        </w:rPr>
        <w:t>4.83%</w:t>
      </w:r>
      <w:r>
        <w:rPr>
          <w:spacing w:val="2"/>
        </w:rPr>
        <w:t>，核心技术人员薪酬总额</w:t>
      </w:r>
      <w:r>
        <w:rPr>
          <w:spacing w:val="-104"/>
        </w:rPr>
        <w:t> </w:t>
      </w:r>
      <w:r>
        <w:rPr>
          <w:spacing w:val="-104"/>
        </w:rPr>
      </w:r>
      <w:r>
        <w:rPr>
          <w:rFonts w:ascii="Times New Roman" w:hAnsi="Times New Roman" w:cs="Times New Roman" w:eastAsia="Times New Roman" w:hint="default"/>
        </w:rPr>
        <w:t>1,391.08</w:t>
      </w:r>
      <w:r>
        <w:rPr/>
        <w:t>万元，占职工薪酬总额</w:t>
      </w:r>
      <w:r>
        <w:rPr>
          <w:rFonts w:ascii="Times New Roman" w:hAnsi="Times New Roman" w:cs="Times New Roman" w:eastAsia="Times New Roman" w:hint="default"/>
        </w:rPr>
        <w:t>8.73%</w:t>
      </w:r>
      <w:r>
        <w:rPr/>
        <w:t>。</w:t>
      </w:r>
    </w:p>
    <w:p>
      <w:pPr>
        <w:pStyle w:val="BodyText"/>
        <w:spacing w:line="350" w:lineRule="auto" w:before="25"/>
        <w:ind w:right="0" w:firstLine="480"/>
        <w:jc w:val="left"/>
      </w:pPr>
      <w:r>
        <w:rPr/>
        <w:t>报告期内，公司着力构建智慧校园服务新生态，加快物联网平台建设，进一步加大全国 市场拓展力度，积极推进线上线下运营与服务，主营业务收入较上年增长明显；同时公司人</w:t>
      </w:r>
      <w:r>
        <w:rPr>
          <w:spacing w:val="-93"/>
        </w:rPr>
        <w:t> </w:t>
      </w:r>
      <w:r>
        <w:rPr>
          <w:spacing w:val="-93"/>
        </w:rPr>
      </w:r>
      <w:r>
        <w:rPr/>
        <w:t>员成本、销售费用、研发费用、管理费用均较上年有增幅，归属于母公司所有者的净利润与</w:t>
      </w:r>
      <w:r>
        <w:rPr>
          <w:spacing w:val="-88"/>
        </w:rPr>
        <w:t> </w:t>
      </w:r>
      <w:r>
        <w:rPr>
          <w:spacing w:val="-88"/>
        </w:rPr>
      </w:r>
      <w:r>
        <w:rPr/>
        <w:t>较上年略有下降。</w:t>
      </w:r>
      <w:r>
        <w:rPr>
          <w:rFonts w:ascii="Times New Roman" w:hAnsi="Times New Roman" w:cs="Times New Roman" w:eastAsia="Times New Roman" w:hint="default"/>
        </w:rPr>
        <w:t>2019</w:t>
      </w:r>
      <w:r>
        <w:rPr/>
        <w:t>年度职工薪酬总额</w:t>
      </w:r>
      <w:r>
        <w:rPr>
          <w:rFonts w:ascii="Times New Roman" w:hAnsi="Times New Roman" w:cs="Times New Roman" w:eastAsia="Times New Roman" w:hint="default"/>
        </w:rPr>
        <w:t>15,938.45</w:t>
      </w:r>
      <w:r>
        <w:rPr/>
        <w:t>万元，较上年增加</w:t>
      </w:r>
      <w:r>
        <w:rPr>
          <w:rFonts w:ascii="Times New Roman" w:hAnsi="Times New Roman" w:cs="Times New Roman" w:eastAsia="Times New Roman" w:hint="default"/>
        </w:rPr>
        <w:t>36.47%</w:t>
      </w:r>
      <w:r>
        <w:rPr/>
        <w:t>，其中核心技术</w:t>
      </w:r>
      <w:r>
        <w:rPr>
          <w:spacing w:val="-109"/>
        </w:rPr>
        <w:t> </w:t>
      </w:r>
      <w:r>
        <w:rPr>
          <w:spacing w:val="-5"/>
        </w:rPr>
        <w:t>人员薪酬</w:t>
      </w:r>
      <w:r>
        <w:rPr>
          <w:rFonts w:ascii="Times New Roman" w:hAnsi="Times New Roman" w:cs="Times New Roman" w:eastAsia="Times New Roman" w:hint="default"/>
          <w:spacing w:val="-5"/>
        </w:rPr>
        <w:t>1,391.08</w:t>
      </w:r>
      <w:r>
        <w:rPr>
          <w:spacing w:val="-5"/>
        </w:rPr>
        <w:t>万元，较上年增加</w:t>
      </w:r>
      <w:r>
        <w:rPr>
          <w:rFonts w:ascii="Times New Roman" w:hAnsi="Times New Roman" w:cs="Times New Roman" w:eastAsia="Times New Roman" w:hint="default"/>
          <w:spacing w:val="-5"/>
        </w:rPr>
        <w:t>36.89%</w:t>
      </w:r>
      <w:r>
        <w:rPr>
          <w:spacing w:val="-5"/>
        </w:rPr>
        <w:t>；实现营业收入</w:t>
      </w:r>
      <w:r>
        <w:rPr>
          <w:rFonts w:ascii="Times New Roman" w:hAnsi="Times New Roman" w:cs="Times New Roman" w:eastAsia="Times New Roman" w:hint="default"/>
          <w:spacing w:val="-5"/>
        </w:rPr>
        <w:t>75,105.45</w:t>
      </w:r>
      <w:r>
        <w:rPr>
          <w:spacing w:val="-5"/>
        </w:rPr>
        <w:t>万元，比上年增加</w:t>
      </w:r>
      <w:r>
        <w:rPr>
          <w:rFonts w:ascii="Times New Roman" w:hAnsi="Times New Roman" w:cs="Times New Roman" w:eastAsia="Times New Roman" w:hint="default"/>
          <w:spacing w:val="-5"/>
        </w:rPr>
        <w:t>32.50%</w:t>
      </w:r>
      <w:r>
        <w:rPr>
          <w:spacing w:val="-5"/>
        </w:rPr>
        <w:t>；</w:t>
      </w:r>
      <w:r>
        <w:rPr>
          <w:spacing w:val="-81"/>
        </w:rPr>
        <w:t> </w:t>
      </w:r>
      <w:r>
        <w:rPr/>
        <w:t>归属于上市公司股东的净利润</w:t>
      </w:r>
      <w:r>
        <w:rPr>
          <w:rFonts w:ascii="Times New Roman" w:hAnsi="Times New Roman" w:cs="Times New Roman" w:eastAsia="Times New Roman" w:hint="default"/>
        </w:rPr>
        <w:t>4,506.95</w:t>
      </w:r>
      <w:r>
        <w:rPr/>
        <w:t>万元，比上年减少</w:t>
      </w:r>
      <w:r>
        <w:rPr>
          <w:rFonts w:ascii="Times New Roman" w:hAnsi="Times New Roman" w:cs="Times New Roman" w:eastAsia="Times New Roman" w:hint="default"/>
        </w:rPr>
        <w:t>10.49%</w:t>
      </w:r>
      <w:r>
        <w:rPr/>
        <w:t>。</w:t>
      </w:r>
    </w:p>
    <w:p>
      <w:pPr>
        <w:spacing w:line="240" w:lineRule="auto" w:before="9"/>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3、培训计划" w:id="134"/>
      <w:bookmarkEnd w:id="13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348" w:lineRule="auto"/>
        <w:ind w:right="1130" w:firstLine="480"/>
        <w:jc w:val="both"/>
      </w:pPr>
      <w:r>
        <w:rPr>
          <w:spacing w:val="-6"/>
        </w:rPr>
        <w:t>为提升公司的凝聚力和竞争力，公司一直注重员工的培训发展，建立了完善的培训体系。</w:t>
      </w:r>
      <w:r>
        <w:rPr/>
        <w:t> </w:t>
      </w:r>
      <w:r>
        <w:rPr>
          <w:rFonts w:ascii="Times New Roman" w:hAnsi="Times New Roman" w:cs="Times New Roman" w:eastAsia="Times New Roman" w:hint="default"/>
        </w:rPr>
        <w:t>2019</w:t>
      </w:r>
      <w:r>
        <w:rPr/>
        <w:t>年正元学堂按营销、研发、技术、管理四个岗位类别持续开课，根据不同对象制定对应 的培训计划，提高标准严格要求，加速打造正元智慧人才建设体系。</w:t>
      </w:r>
    </w:p>
    <w:p>
      <w:pPr>
        <w:pStyle w:val="BodyText"/>
        <w:spacing w:line="340" w:lineRule="auto" w:before="44"/>
        <w:ind w:right="1129" w:firstLine="480"/>
        <w:jc w:val="both"/>
      </w:pPr>
      <w:r>
        <w:rPr>
          <w:rFonts w:ascii="Times New Roman" w:hAnsi="Times New Roman" w:cs="Times New Roman" w:eastAsia="Times New Roman" w:hint="default"/>
          <w:spacing w:val="-5"/>
        </w:rPr>
        <w:t>2020</w:t>
      </w:r>
      <w:r>
        <w:rPr>
          <w:spacing w:val="-5"/>
        </w:rPr>
        <w:t>年度公司将继续聘请公司内部及外部专业讲师，面向管理层及销售人员、研发人员、</w:t>
      </w:r>
      <w:r>
        <w:rPr/>
        <w:t> 技术人员、管理人员以及新员工开展专业培训，培训形式线上线下相结合，课堂授课与军训</w:t>
      </w:r>
    </w:p>
    <w:p>
      <w:pPr>
        <w:spacing w:after="0" w:line="340"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240" w:lineRule="auto" w:before="26"/>
        <w:ind w:right="0"/>
        <w:jc w:val="left"/>
      </w:pPr>
      <w:r>
        <w:rPr/>
        <w:t>相结合，为公司发展奠定人才基础。</w:t>
      </w:r>
    </w:p>
    <w:p>
      <w:pPr>
        <w:spacing w:line="240" w:lineRule="auto" w:before="5"/>
        <w:rPr>
          <w:rFonts w:ascii="宋体" w:hAnsi="宋体" w:cs="宋体" w:eastAsia="宋体" w:hint="default"/>
          <w:sz w:val="30"/>
          <w:szCs w:val="30"/>
        </w:rPr>
      </w:pPr>
    </w:p>
    <w:p>
      <w:pPr>
        <w:spacing w:before="0"/>
        <w:ind w:left="153" w:right="0" w:firstLine="0"/>
        <w:jc w:val="left"/>
        <w:rPr>
          <w:rFonts w:ascii="宋体" w:hAnsi="宋体" w:cs="宋体" w:eastAsia="宋体" w:hint="default"/>
          <w:sz w:val="21"/>
          <w:szCs w:val="21"/>
        </w:rPr>
      </w:pPr>
      <w:bookmarkStart w:name="4、劳务外包情况" w:id="135"/>
      <w:bookmarkEnd w:id="13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969"/>
        <w:jc w:val="center"/>
        <w:rPr>
          <w:b w:val="0"/>
          <w:bCs w:val="0"/>
        </w:rPr>
      </w:pPr>
      <w:bookmarkStart w:name="第十节公司治理" w:id="136"/>
      <w:bookmarkEnd w:id="136"/>
      <w:r>
        <w:rPr>
          <w:b w:val="0"/>
          <w:bCs w:val="0"/>
        </w:rPr>
      </w:r>
      <w:bookmarkStart w:name="_bookmark8" w:id="137"/>
      <w:bookmarkEnd w:id="137"/>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8"/>
      <w:bookmarkEnd w:id="138"/>
      <w:r>
        <w:rPr>
          <w:b w:val="0"/>
          <w:bCs w:val="0"/>
        </w:rPr>
      </w:r>
      <w:r>
        <w:rPr/>
        <w:t>一、公司治理的基本状况</w:t>
      </w:r>
      <w:r>
        <w:rPr>
          <w:b w:val="0"/>
          <w:bCs w:val="0"/>
        </w:rPr>
      </w:r>
    </w:p>
    <w:p>
      <w:pPr>
        <w:spacing w:line="240" w:lineRule="auto" w:before="7"/>
        <w:rPr>
          <w:rFonts w:ascii="宋体" w:hAnsi="宋体" w:cs="宋体" w:eastAsia="宋体" w:hint="default"/>
          <w:b/>
          <w:bCs/>
          <w:sz w:val="29"/>
          <w:szCs w:val="29"/>
        </w:rPr>
      </w:pPr>
    </w:p>
    <w:p>
      <w:pPr>
        <w:pStyle w:val="BodyText"/>
        <w:spacing w:line="357" w:lineRule="auto"/>
        <w:ind w:right="1167" w:firstLine="480"/>
        <w:jc w:val="both"/>
      </w:pPr>
      <w:r>
        <w:rPr/>
        <w:t>报告期内，公司严格按照《公司法》《证券法》《上市公司治理准则》《深圳证券交易 所创业板股票上市规则》《深圳证券交易所创业板上市公司规范运作指引》等法律、法规和 中国证监会有关法律法规等的要求，不断完善公司的法人治理结构，建立健全公司内部管理 和控制制度，持续深入开展公司治理活动，促进了公司规范运作，提高了公司治理水平。截 至报告期末，公司治理的实际状况符合《上市公司治理准则》和《深圳证券交易所创业板上 市公司规范运作指引》等要求。</w:t>
      </w:r>
    </w:p>
    <w:p>
      <w:pPr>
        <w:pStyle w:val="BodyText"/>
        <w:spacing w:line="336" w:lineRule="auto" w:before="38"/>
        <w:ind w:left="633" w:right="0"/>
        <w:jc w:val="left"/>
      </w:pPr>
      <w:r>
        <w:rPr>
          <w:rFonts w:ascii="Times New Roman" w:hAnsi="Times New Roman" w:cs="Times New Roman" w:eastAsia="Times New Roman" w:hint="default"/>
        </w:rPr>
        <w:t>1</w:t>
      </w:r>
      <w:r>
        <w:rPr/>
        <w:t>、股东和股东大会 </w:t>
      </w:r>
      <w:r>
        <w:rPr>
          <w:spacing w:val="-6"/>
        </w:rPr>
        <w:t>公司严格按照《公司法》《上市公司股东大会规则》《公司章程》《股东大会议事规则》</w:t>
      </w:r>
    </w:p>
    <w:p>
      <w:pPr>
        <w:pStyle w:val="BodyText"/>
        <w:spacing w:line="357" w:lineRule="auto" w:before="60"/>
        <w:ind w:right="1168"/>
        <w:jc w:val="both"/>
      </w:pPr>
      <w:r>
        <w:rPr/>
        <w:t>等相关法律法规、规范性文件和公司规章制度的有关规定和要求，规范地召集、召开股东大 会。公司平等对待所有股东，特别是中小股东、公众股东享有平等地位，使其充分行使自己 的权利。不存在损害股东利益的情形。</w:t>
      </w:r>
    </w:p>
    <w:p>
      <w:pPr>
        <w:pStyle w:val="BodyText"/>
        <w:spacing w:line="357" w:lineRule="auto" w:before="34"/>
        <w:ind w:right="1168" w:firstLine="480"/>
        <w:jc w:val="both"/>
      </w:pPr>
      <w:r>
        <w:rPr/>
        <w:t>报告期内，公司召开的股东大会均由公司董事会召集召开，由见证律师进行现场见证并 出具法律意见书。在股东大会上充分保证各位股东有充分的发言权，确保股东对公司重大事 项的知情权、参与权、表决权，使其充分行使股东合法权利。</w:t>
      </w:r>
    </w:p>
    <w:p>
      <w:pPr>
        <w:pStyle w:val="BodyText"/>
        <w:spacing w:line="336" w:lineRule="auto" w:before="38"/>
        <w:ind w:left="633" w:right="1151"/>
        <w:jc w:val="left"/>
      </w:pPr>
      <w:r>
        <w:rPr>
          <w:rFonts w:ascii="Times New Roman" w:hAnsi="Times New Roman" w:cs="Times New Roman" w:eastAsia="Times New Roman" w:hint="default"/>
        </w:rPr>
        <w:t>2</w:t>
      </w:r>
      <w:r>
        <w:rPr/>
        <w:t>、公司与控股股东 公司控股股东严格按照《上市公司治理准则》《深圳证券交易所创业板股票上市规则》</w:t>
      </w:r>
    </w:p>
    <w:p>
      <w:pPr>
        <w:pStyle w:val="BodyText"/>
        <w:spacing w:line="357" w:lineRule="auto" w:before="61"/>
        <w:ind w:right="1168"/>
        <w:jc w:val="both"/>
      </w:pPr>
      <w:r>
        <w:rPr/>
        <w:t>《深圳证券交易所创业板上市公司规范运作指引》《公司章程》等相关规定和要求，规范自 己的行为，没有超越股东大会直接或间接干预公司的决策和经营活动。公司不存在控股股东 占用公司资金及为控股股东提供担保的情形。公司拥有独立完整的业务和自主经营能力，在 业务、人员、资产、机构、财务上独立于控股股东，公司董事会、监事会和内部机构独立运 作。</w:t>
      </w:r>
    </w:p>
    <w:p>
      <w:pPr>
        <w:pStyle w:val="BodyText"/>
        <w:spacing w:line="340" w:lineRule="auto" w:before="34"/>
        <w:ind w:left="633" w:right="1125"/>
        <w:jc w:val="left"/>
      </w:pPr>
      <w:r>
        <w:rPr>
          <w:rFonts w:ascii="Times New Roman" w:hAnsi="Times New Roman" w:cs="Times New Roman" w:eastAsia="Times New Roman" w:hint="default"/>
        </w:rPr>
        <w:t>3</w:t>
      </w:r>
      <w:r>
        <w:rPr/>
        <w:t>、董事与董事会 </w:t>
      </w:r>
      <w:r>
        <w:rPr>
          <w:spacing w:val="-1"/>
        </w:rPr>
        <w:t>公司董事会设董事</w:t>
      </w:r>
      <w:r>
        <w:rPr>
          <w:rFonts w:ascii="Times New Roman" w:hAnsi="Times New Roman" w:cs="Times New Roman" w:eastAsia="Times New Roman" w:hint="default"/>
          <w:spacing w:val="-1"/>
        </w:rPr>
        <w:t>9</w:t>
      </w:r>
      <w:r>
        <w:rPr>
          <w:spacing w:val="-1"/>
        </w:rPr>
        <w:t>名，其中独立董事</w:t>
      </w:r>
      <w:r>
        <w:rPr>
          <w:rFonts w:ascii="Times New Roman" w:hAnsi="Times New Roman" w:cs="Times New Roman" w:eastAsia="Times New Roman" w:hint="default"/>
          <w:spacing w:val="-1"/>
        </w:rPr>
        <w:t>3</w:t>
      </w:r>
      <w:r>
        <w:rPr>
          <w:spacing w:val="-1"/>
        </w:rPr>
        <w:t>名，达到公司董事总数的</w:t>
      </w:r>
      <w:r>
        <w:rPr>
          <w:rFonts w:ascii="Times New Roman" w:hAnsi="Times New Roman" w:cs="Times New Roman" w:eastAsia="Times New Roman" w:hint="default"/>
          <w:spacing w:val="-1"/>
        </w:rPr>
        <w:t>1/3</w:t>
      </w:r>
      <w:r>
        <w:rPr>
          <w:spacing w:val="-1"/>
        </w:rPr>
        <w:t>。董事会的人数及人</w:t>
      </w:r>
    </w:p>
    <w:p>
      <w:pPr>
        <w:pStyle w:val="BodyText"/>
        <w:spacing w:line="360" w:lineRule="auto" w:before="22"/>
        <w:ind w:right="1168"/>
        <w:jc w:val="both"/>
      </w:pPr>
      <w:r>
        <w:rPr/>
        <w:t>员构成符合法律、法规和《公司章程》的要求。各位董事能够依据《董事会议事规则》《独 立董事制度》《深圳证券交易所创业板上市公司规范运作指引》等开展工作，按时出席董事</w:t>
      </w:r>
    </w:p>
    <w:p>
      <w:pPr>
        <w:spacing w:after="0" w:line="360"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55" w:lineRule="auto" w:before="26"/>
        <w:ind w:right="1168"/>
        <w:jc w:val="both"/>
      </w:pPr>
      <w:r>
        <w:rPr/>
        <w:t>会、专门委员会和股东大会，勤勉尽责地履行职责和义务，同时积极参加相关培训，熟悉相 关法律法规。</w:t>
      </w:r>
    </w:p>
    <w:p>
      <w:pPr>
        <w:pStyle w:val="BodyText"/>
        <w:spacing w:line="350" w:lineRule="auto" w:before="41"/>
        <w:ind w:right="1011" w:firstLine="480"/>
        <w:jc w:val="left"/>
      </w:pPr>
      <w:r>
        <w:rPr/>
        <w:t>董事会下设薪酬与考核委员会、战略委员会、提名委员会和审计委员会，除战略委员会 外其他委员会中独立董事占比均超过</w:t>
      </w:r>
      <w:r>
        <w:rPr>
          <w:rFonts w:ascii="Times New Roman" w:hAnsi="Times New Roman" w:cs="Times New Roman" w:eastAsia="Times New Roman" w:hint="default"/>
        </w:rPr>
        <w:t>1/2</w:t>
      </w:r>
      <w:r>
        <w:rPr/>
        <w:t>，为董事会的决策提供了科学和专业的意见和参考。</w:t>
      </w:r>
      <w:r>
        <w:rPr>
          <w:spacing w:val="-48"/>
        </w:rPr>
        <w:t> </w:t>
      </w:r>
      <w:r>
        <w:rPr>
          <w:spacing w:val="-48"/>
        </w:rPr>
      </w:r>
      <w:r>
        <w:rPr/>
        <w:t>各委员会依据《公司章程》和各委员会议事细则的规定履行职权，不受公司其他部门和个人 的干预。</w:t>
      </w:r>
    </w:p>
    <w:p>
      <w:pPr>
        <w:pStyle w:val="BodyText"/>
        <w:spacing w:line="336" w:lineRule="auto" w:before="46"/>
        <w:ind w:left="633" w:right="0"/>
        <w:jc w:val="left"/>
      </w:pPr>
      <w:r>
        <w:rPr>
          <w:rFonts w:ascii="Times New Roman" w:hAnsi="Times New Roman" w:cs="Times New Roman" w:eastAsia="Times New Roman" w:hint="default"/>
        </w:rPr>
        <w:t>4</w:t>
      </w:r>
      <w:r>
        <w:rPr/>
        <w:t>、监事与监事会 </w:t>
      </w:r>
      <w:r>
        <w:rPr>
          <w:spacing w:val="-6"/>
        </w:rPr>
        <w:t>公司监事会设监事</w:t>
      </w:r>
      <w:r>
        <w:rPr>
          <w:rFonts w:ascii="Times New Roman" w:hAnsi="Times New Roman" w:cs="Times New Roman" w:eastAsia="Times New Roman" w:hint="default"/>
          <w:spacing w:val="-6"/>
        </w:rPr>
        <w:t>3</w:t>
      </w:r>
      <w:r>
        <w:rPr>
          <w:spacing w:val="-6"/>
        </w:rPr>
        <w:t>名，其中职工监事</w:t>
      </w:r>
      <w:r>
        <w:rPr>
          <w:rFonts w:ascii="Times New Roman" w:hAnsi="Times New Roman" w:cs="Times New Roman" w:eastAsia="Times New Roman" w:hint="default"/>
          <w:spacing w:val="-6"/>
        </w:rPr>
        <w:t>2</w:t>
      </w:r>
      <w:r>
        <w:rPr>
          <w:spacing w:val="-6"/>
        </w:rPr>
        <w:t>名，监事会的人数和构成符合法律、法规的要求。</w:t>
      </w:r>
    </w:p>
    <w:p>
      <w:pPr>
        <w:pStyle w:val="BodyText"/>
        <w:spacing w:line="357" w:lineRule="auto" w:before="32"/>
        <w:ind w:right="1168"/>
        <w:jc w:val="both"/>
      </w:pPr>
      <w:r>
        <w:rPr/>
        <w:t>各位监事能够按照《监事会议事规则》的要求，认真履行自己的职责，对公司重大事项、关 联交易、财务状况以及董事、高管人员履行职责的合法合规性进行监督，维护公司及股东的 合法权益。</w:t>
      </w:r>
    </w:p>
    <w:p>
      <w:pPr>
        <w:pStyle w:val="BodyText"/>
        <w:spacing w:line="340" w:lineRule="auto" w:before="34"/>
        <w:ind w:left="633" w:right="1151"/>
        <w:jc w:val="left"/>
      </w:pPr>
      <w:r>
        <w:rPr>
          <w:rFonts w:ascii="Times New Roman" w:hAnsi="Times New Roman" w:cs="Times New Roman" w:eastAsia="Times New Roman" w:hint="default"/>
        </w:rPr>
        <w:t>5</w:t>
      </w:r>
      <w:r>
        <w:rPr/>
        <w:t>、绩效考核与激励机制 公司制定了《董事、监事、高级管理人员薪酬管理制度》，并建立了绩效考评体系和薪</w:t>
      </w:r>
    </w:p>
    <w:p>
      <w:pPr>
        <w:pStyle w:val="BodyText"/>
        <w:spacing w:line="357" w:lineRule="auto" w:before="51"/>
        <w:ind w:right="1168"/>
        <w:jc w:val="both"/>
      </w:pPr>
      <w:r>
        <w:rPr/>
        <w:t>酬制度，董监高的工作绩效与其收入直接挂钩。董监高人员的聘任公开、透明，符合法律、 法规的规定。公司董事会下设的提名委员会、薪酬与考核委员会负责对公司董事及高级管理 人员进行绩效考核。</w:t>
      </w:r>
    </w:p>
    <w:p>
      <w:pPr>
        <w:pStyle w:val="BodyText"/>
        <w:spacing w:line="336" w:lineRule="auto" w:before="38"/>
        <w:ind w:left="633" w:right="1151"/>
        <w:jc w:val="left"/>
      </w:pPr>
      <w:r>
        <w:rPr>
          <w:rFonts w:ascii="Times New Roman" w:hAnsi="Times New Roman" w:cs="Times New Roman" w:eastAsia="Times New Roman" w:hint="default"/>
        </w:rPr>
        <w:t>6</w:t>
      </w:r>
      <w:r>
        <w:rPr/>
        <w:t>、信息披露与透明度 公司严格按照有关法律法规以及《信息披露制度》《投资者关系管理制度》等的要求，</w:t>
      </w:r>
    </w:p>
    <w:p>
      <w:pPr>
        <w:pStyle w:val="BodyText"/>
        <w:spacing w:line="350" w:lineRule="auto" w:before="60"/>
        <w:ind w:right="1130"/>
        <w:jc w:val="both"/>
      </w:pPr>
      <w:r>
        <w:rPr>
          <w:spacing w:val="-5"/>
        </w:rPr>
        <w:t>真实、准确、及时、公平、完整地披露有关信息；并指定公司董事会秘书负责信息披露工作，</w:t>
      </w:r>
      <w:r>
        <w:rPr/>
        <w:t> 协调公司与投资者的关系，接待股东来访，回答投资者咨询，向投资者提供公司已披露的资 </w:t>
      </w:r>
      <w:r>
        <w:rPr>
          <w:spacing w:val="-5"/>
        </w:rPr>
        <w:t>料；并指定《证券时报》和巨潮网（</w:t>
      </w:r>
      <w:hyperlink r:id="rId11">
        <w:r>
          <w:rPr>
            <w:rFonts w:ascii="Times New Roman" w:hAnsi="Times New Roman" w:cs="Times New Roman" w:eastAsia="Times New Roman" w:hint="default"/>
            <w:spacing w:val="-5"/>
          </w:rPr>
          <w:t>www.cninfo.com.cn</w:t>
        </w:r>
      </w:hyperlink>
      <w:r>
        <w:rPr>
          <w:spacing w:val="-5"/>
        </w:rPr>
        <w:t>）为公司信息披露的指定报纸和网站，</w:t>
      </w:r>
      <w:r>
        <w:rPr>
          <w:spacing w:val="-115"/>
        </w:rPr>
        <w:t> </w:t>
      </w:r>
      <w:r>
        <w:rPr>
          <w:spacing w:val="-115"/>
        </w:rPr>
      </w:r>
      <w:r>
        <w:rPr/>
        <w:t>确保公司所有股东能够以平等的机会获得信息。</w:t>
      </w:r>
    </w:p>
    <w:p>
      <w:pPr>
        <w:pStyle w:val="BodyText"/>
        <w:spacing w:line="336" w:lineRule="auto" w:before="46"/>
        <w:ind w:left="633" w:right="1151"/>
        <w:jc w:val="left"/>
      </w:pPr>
      <w:r>
        <w:rPr>
          <w:rFonts w:ascii="Times New Roman" w:hAnsi="Times New Roman" w:cs="Times New Roman" w:eastAsia="Times New Roman" w:hint="default"/>
        </w:rPr>
        <w:t>7</w:t>
      </w:r>
      <w:r>
        <w:rPr/>
        <w:t>、相关利益者 公司充分尊重和维护相关利益者的合法权益，实现股东、员工、社会等各方利益的协调</w:t>
      </w:r>
    </w:p>
    <w:p>
      <w:pPr>
        <w:pStyle w:val="BodyText"/>
        <w:spacing w:line="355" w:lineRule="auto" w:before="60"/>
        <w:ind w:left="633" w:right="1151" w:hanging="480"/>
        <w:jc w:val="left"/>
      </w:pPr>
      <w:r>
        <w:rPr/>
        <w:t>平衡，共同推动公司持续、健康的发展。 报告期内以及</w:t>
      </w:r>
      <w:r>
        <w:rPr>
          <w:rFonts w:ascii="Times New Roman" w:hAnsi="Times New Roman" w:cs="Times New Roman" w:eastAsia="Times New Roman" w:hint="default"/>
        </w:rPr>
        <w:t>2019</w:t>
      </w:r>
      <w:r>
        <w:rPr/>
        <w:t>年年度报告编制期间，公司不存在向大股东、实际控制人提供未公开</w:t>
      </w:r>
    </w:p>
    <w:p>
      <w:pPr>
        <w:pStyle w:val="BodyText"/>
        <w:spacing w:line="355" w:lineRule="auto" w:before="10"/>
        <w:ind w:left="633" w:right="1151" w:hanging="480"/>
        <w:jc w:val="left"/>
      </w:pPr>
      <w:r>
        <w:rPr/>
        <w:t>信息等公司治理非规范情况。 公司自成立以来，一贯严格按照《公司法》《证券法》等有关法律、法规的要求规范运</w:t>
      </w:r>
    </w:p>
    <w:p>
      <w:pPr>
        <w:pStyle w:val="BodyText"/>
        <w:spacing w:line="240" w:lineRule="auto" w:before="41"/>
        <w:ind w:right="0"/>
        <w:jc w:val="both"/>
      </w:pPr>
      <w:r>
        <w:rPr/>
        <w:t>作，并将严格按照《上市公司治理准则》等有关规定的要求，不断完善公司的治理结构，切</w:t>
      </w:r>
    </w:p>
    <w:p>
      <w:pPr>
        <w:spacing w:after="0" w:line="240"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240" w:lineRule="auto" w:before="26"/>
        <w:ind w:right="0"/>
        <w:jc w:val="left"/>
      </w:pPr>
      <w:r>
        <w:rPr/>
        <w:t>实维护中小股东的利益。</w:t>
      </w:r>
    </w:p>
    <w:p>
      <w:pPr>
        <w:pStyle w:val="BodyText"/>
        <w:spacing w:line="340" w:lineRule="auto" w:before="151"/>
        <w:ind w:left="633" w:right="1151"/>
        <w:jc w:val="left"/>
      </w:pPr>
      <w:r>
        <w:rPr>
          <w:rFonts w:ascii="Times New Roman" w:hAnsi="Times New Roman" w:cs="Times New Roman" w:eastAsia="Times New Roman" w:hint="default"/>
        </w:rPr>
        <w:t>8</w:t>
      </w:r>
      <w:r>
        <w:rPr/>
        <w:t>、内部审计制度的执行 公司制定了《内部审计制度》《内部控制规范》，有效地规范了经营管理，控制风险的</w:t>
      </w:r>
    </w:p>
    <w:p>
      <w:pPr>
        <w:pStyle w:val="BodyText"/>
        <w:spacing w:line="360" w:lineRule="auto" w:before="50"/>
        <w:ind w:right="1151"/>
        <w:jc w:val="left"/>
      </w:pPr>
      <w:r>
        <w:rPr/>
        <w:t>同时确保经营活动的正常开展。通过对公司各项治理制度的规范和落实，公司的治理水平不 断提高，有效的保证了公司各项经营目标的实现。</w:t>
      </w:r>
    </w:p>
    <w:p>
      <w:pPr>
        <w:pStyle w:val="BodyText"/>
        <w:spacing w:line="357" w:lineRule="auto" w:before="31"/>
        <w:ind w:right="1168" w:firstLine="480"/>
        <w:jc w:val="both"/>
      </w:pPr>
      <w:r>
        <w:rPr/>
        <w:t>公司董事会下设审计委员会，主要负责公司内部审计与外部审计之间进行沟通，并监督 公司内部审计制度的实施，审查公司内部控制制度的执行情况，审查公司的财务信息等。审 计委员会下设独立的内审部，内审部直接对审计委员会负责及报告工作。</w:t>
      </w:r>
    </w:p>
    <w:p>
      <w:pPr>
        <w:spacing w:before="51"/>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公司治理的实际状况与中国证监会发布的有关上市公司治理的规范性文件是否存在重大差异</w:t>
      </w:r>
    </w:p>
    <w:p>
      <w:pPr>
        <w:spacing w:line="338" w:lineRule="auto" w:before="119"/>
        <w:ind w:left="153" w:right="31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公司治理的实际状况与中国证监会发布的有关上市公司治理的规范性文件不存在重大差异。</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二、公司相对于控股股东在业务、人员、资产、机构、财务等方面的独立情况" w:id="139"/>
      <w:bookmarkEnd w:id="139"/>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9"/>
          <w:szCs w:val="29"/>
        </w:rPr>
      </w:pPr>
    </w:p>
    <w:p>
      <w:pPr>
        <w:pStyle w:val="BodyText"/>
        <w:spacing w:line="357" w:lineRule="auto"/>
        <w:ind w:right="1167" w:firstLine="480"/>
        <w:jc w:val="both"/>
      </w:pPr>
      <w:r>
        <w:rPr/>
        <w:t>公司建立了健全的公司法人治理结构。公司与控股股东在业务、人员、资产、机构、财 务等方面完全分开，均具有独立完整的自主业务能力。公司所有的生产经营或重大事项均根 据《公司章程》及相关制度的规定按授权权限提交经理层、董事会和股东大会讨论确定。</w:t>
      </w:r>
    </w:p>
    <w:p>
      <w:pPr>
        <w:pStyle w:val="BodyText"/>
        <w:spacing w:line="336" w:lineRule="auto" w:before="38"/>
        <w:ind w:left="633" w:right="1151"/>
        <w:jc w:val="left"/>
      </w:pPr>
      <w:r>
        <w:rPr>
          <w:rFonts w:ascii="Times New Roman" w:hAnsi="Times New Roman" w:cs="Times New Roman" w:eastAsia="Times New Roman" w:hint="default"/>
        </w:rPr>
        <w:t>1</w:t>
      </w:r>
      <w:r>
        <w:rPr/>
        <w:t>、业务独立情况 公司在业务方面独立于控股股东，拥有独立完整的业务及独立自主经营能力。同时，公</w:t>
      </w:r>
    </w:p>
    <w:p>
      <w:pPr>
        <w:pStyle w:val="BodyText"/>
        <w:spacing w:line="355" w:lineRule="auto" w:before="60"/>
        <w:ind w:right="1151"/>
        <w:jc w:val="left"/>
      </w:pPr>
      <w:r>
        <w:rPr/>
        <w:t>司控股股东出具了避免同业竞争的承诺，承诺不直接或间接地从事任何与公司构成同业竞争 的业务。</w:t>
      </w:r>
    </w:p>
    <w:p>
      <w:pPr>
        <w:pStyle w:val="BodyText"/>
        <w:spacing w:line="336" w:lineRule="auto" w:before="41"/>
        <w:ind w:left="633" w:right="1151"/>
        <w:jc w:val="left"/>
      </w:pPr>
      <w:r>
        <w:rPr>
          <w:rFonts w:ascii="Times New Roman" w:hAnsi="Times New Roman" w:cs="Times New Roman" w:eastAsia="Times New Roman" w:hint="default"/>
        </w:rPr>
        <w:t>2</w:t>
      </w:r>
      <w:r>
        <w:rPr/>
        <w:t>、人员独立方面 公司有独立的人事管理机构，负责本公司员工招聘等人力资源管理工作。本公司董事、</w:t>
      </w:r>
    </w:p>
    <w:p>
      <w:pPr>
        <w:pStyle w:val="BodyText"/>
        <w:spacing w:line="348" w:lineRule="auto" w:before="60"/>
        <w:ind w:left="633" w:right="1151" w:hanging="480"/>
        <w:jc w:val="left"/>
      </w:pPr>
      <w:r>
        <w:rPr/>
        <w:t>监事、高级管理人员均严格按照《公司法》《公司章程》的有关规定经选举产生和聘任。 </w:t>
      </w:r>
      <w:r>
        <w:rPr>
          <w:rFonts w:ascii="Times New Roman" w:hAnsi="Times New Roman" w:cs="Times New Roman" w:eastAsia="Times New Roman" w:hint="default"/>
        </w:rPr>
        <w:t>3</w:t>
      </w:r>
      <w:r>
        <w:rPr/>
        <w:t>、资产独立情况 公司资产独立、完整，公司对其所有的资产具有完全的控制支配权，控股股东未占用、</w:t>
      </w:r>
    </w:p>
    <w:p>
      <w:pPr>
        <w:pStyle w:val="BodyText"/>
        <w:spacing w:line="240" w:lineRule="auto" w:before="43"/>
        <w:ind w:right="0"/>
        <w:jc w:val="left"/>
      </w:pPr>
      <w:r>
        <w:rPr/>
        <w:t>支配公司资产。</w:t>
      </w:r>
    </w:p>
    <w:p>
      <w:pPr>
        <w:pStyle w:val="BodyText"/>
        <w:spacing w:line="336" w:lineRule="auto" w:before="156"/>
        <w:ind w:left="633" w:right="1151"/>
        <w:jc w:val="left"/>
      </w:pPr>
      <w:r>
        <w:rPr>
          <w:rFonts w:ascii="Times New Roman" w:hAnsi="Times New Roman" w:cs="Times New Roman" w:eastAsia="Times New Roman" w:hint="default"/>
        </w:rPr>
        <w:t>4</w:t>
      </w:r>
      <w:r>
        <w:rPr/>
        <w:t>、机构独立情况 公司董事会、监事会和内部机构均独立运作，与控股股东完全分开，公司控股股东依法</w:t>
      </w:r>
    </w:p>
    <w:p>
      <w:pPr>
        <w:pStyle w:val="BodyText"/>
        <w:spacing w:line="240" w:lineRule="auto" w:before="61"/>
        <w:ind w:right="0"/>
        <w:jc w:val="left"/>
      </w:pPr>
      <w:r>
        <w:rPr/>
        <w:t>定程序参与公司决策。</w:t>
      </w:r>
    </w:p>
    <w:p>
      <w:pPr>
        <w:pStyle w:val="BodyText"/>
        <w:spacing w:line="240" w:lineRule="auto" w:before="151"/>
        <w:ind w:left="633" w:right="0"/>
        <w:jc w:val="left"/>
      </w:pPr>
      <w:r>
        <w:rPr>
          <w:rFonts w:ascii="Times New Roman" w:hAnsi="Times New Roman" w:cs="Times New Roman" w:eastAsia="Times New Roman" w:hint="default"/>
        </w:rPr>
        <w:t>5</w:t>
      </w:r>
      <w:r>
        <w:rPr/>
        <w:t>、财务独立情况</w:t>
      </w:r>
    </w:p>
    <w:p>
      <w:pPr>
        <w:spacing w:after="0" w:line="240" w:lineRule="auto"/>
        <w:jc w:val="left"/>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57" w:lineRule="auto" w:before="26"/>
        <w:ind w:right="1166" w:firstLine="480"/>
        <w:jc w:val="both"/>
        <w:rPr>
          <w:sz w:val="18"/>
          <w:szCs w:val="18"/>
        </w:rPr>
      </w:pPr>
      <w:r>
        <w:rPr/>
        <w:t>公司设有独立的财务部门和专职财务人员，独立核算、独立财务决策、单独纳税，有独 立会计体系和独立银行账户，独立纳税，公司的资金使用按照《公司章程》及相关制度的规 定在授权范围内独立决策，不存在股东单位干预公司资金使用的情形</w:t>
      </w:r>
      <w:r>
        <w:rPr>
          <w:sz w:val="18"/>
          <w:szCs w:val="18"/>
        </w:rPr>
        <w:t>。</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bookmarkStart w:name="三、同业竞争情况" w:id="140"/>
      <w:bookmarkEnd w:id="140"/>
      <w:r>
        <w:rPr>
          <w:b w:val="0"/>
          <w:bCs w:val="0"/>
        </w:rPr>
      </w:r>
      <w:r>
        <w:rPr/>
        <w:t>三、同业竞争情况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四、报告期内召开的年度股东大会和临时股东大会的有关情况" w:id="141"/>
      <w:bookmarkEnd w:id="141"/>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本报告期股东大会情况" w:id="142"/>
      <w:bookmarkEnd w:id="14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4"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5"/>
              <w:jc w:val="center"/>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432" w:right="46" w:hanging="38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85"/>
              <w:jc w:val="center"/>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432" w:right="46" w:hanging="38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85"/>
              <w:jc w:val="center"/>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432" w:right="46" w:hanging="38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年第三次临时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85"/>
              <w:jc w:val="center"/>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bookmarkStart w:name="2、表决权恢复的优先股股东请求召开临时股东大会" w:id="143"/>
      <w:bookmarkEnd w:id="14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报告期内独立董事履行职责的情况" w:id="144"/>
      <w:bookmarkEnd w:id="144"/>
      <w:r>
        <w:rPr>
          <w:b w:val="0"/>
          <w:bCs w:val="0"/>
        </w:rPr>
      </w: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独立董事出席董事会及股东大会的情况" w:id="145"/>
      <w:bookmarkEnd w:id="14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3"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童本立</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朱加宁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连续两次未亲自出席董事会的说明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both"/>
        <w:rPr>
          <w:rFonts w:ascii="宋体" w:hAnsi="宋体" w:cs="宋体" w:eastAsia="宋体" w:hint="default"/>
          <w:sz w:val="21"/>
          <w:szCs w:val="21"/>
        </w:rPr>
      </w:pPr>
      <w:bookmarkStart w:name="2、独立董事对公司有关事项提出异议的情况" w:id="146"/>
      <w:bookmarkEnd w:id="1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独立董事对公司有关事项是否提出异议</w:t>
      </w:r>
    </w:p>
    <w:p>
      <w:pPr>
        <w:spacing w:line="338" w:lineRule="auto" w:before="115"/>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报告期内独立董事对公司有关事项未提出异议。</w:t>
      </w:r>
    </w:p>
    <w:p>
      <w:pPr>
        <w:spacing w:line="240" w:lineRule="auto" w:before="0"/>
        <w:rPr>
          <w:rFonts w:ascii="宋体" w:hAnsi="宋体" w:cs="宋体" w:eastAsia="宋体" w:hint="default"/>
          <w:sz w:val="21"/>
          <w:szCs w:val="21"/>
        </w:rPr>
      </w:pPr>
    </w:p>
    <w:p>
      <w:pPr>
        <w:spacing w:before="0"/>
        <w:ind w:left="153" w:right="0" w:firstLine="0"/>
        <w:jc w:val="both"/>
        <w:rPr>
          <w:rFonts w:ascii="宋体" w:hAnsi="宋体" w:cs="宋体" w:eastAsia="宋体" w:hint="default"/>
          <w:sz w:val="21"/>
          <w:szCs w:val="21"/>
        </w:rPr>
      </w:pPr>
      <w:bookmarkStart w:name="3、独立董事履行职责的其他说明" w:id="147"/>
      <w:bookmarkEnd w:id="14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独立董事对公司有关建议是否被采纳</w:t>
      </w:r>
    </w:p>
    <w:p>
      <w:pPr>
        <w:spacing w:line="338" w:lineRule="auto" w:before="115"/>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独立董事对公司有关建议被采纳或未被采纳的说明</w:t>
      </w:r>
    </w:p>
    <w:p>
      <w:pPr>
        <w:pStyle w:val="BodyText"/>
        <w:spacing w:line="357" w:lineRule="auto" w:before="71"/>
        <w:ind w:right="1130" w:firstLine="480"/>
        <w:jc w:val="both"/>
      </w:pPr>
      <w:r>
        <w:rPr/>
        <w:t>公司独立董事勤勉尽责，严格按照中国证监会的相关规定及《公司章程》《董事会议事 </w:t>
      </w:r>
      <w:r>
        <w:rPr>
          <w:spacing w:val="-5"/>
        </w:rPr>
        <w:t>规则》和《独立董事制度》开展工作，关注公司运作，独立履行职责，对公司内部控制建设、</w:t>
      </w:r>
      <w:r>
        <w:rPr/>
        <w:t> 管理体系建设和重大决策等方面提出了很多宝贵的专业性建议，对公司财务及生产经营活动 进行了有效监督，提高了公司决策的科学性，为完善公司监督机制，维护公司和全体股东的 合法权益发挥了应有的作用。</w:t>
      </w:r>
    </w:p>
    <w:p>
      <w:pPr>
        <w:spacing w:line="240" w:lineRule="auto" w:before="2"/>
        <w:rPr>
          <w:rFonts w:ascii="宋体" w:hAnsi="宋体" w:cs="宋体" w:eastAsia="宋体" w:hint="default"/>
          <w:sz w:val="19"/>
          <w:szCs w:val="19"/>
        </w:rPr>
      </w:pPr>
    </w:p>
    <w:p>
      <w:pPr>
        <w:pStyle w:val="Heading2"/>
        <w:spacing w:line="240" w:lineRule="auto"/>
        <w:ind w:right="0"/>
        <w:jc w:val="both"/>
        <w:rPr>
          <w:b w:val="0"/>
          <w:bCs w:val="0"/>
        </w:rPr>
      </w:pPr>
      <w:bookmarkStart w:name="六、董事会下设专门委员会在报告期内履行职责情况" w:id="148"/>
      <w:bookmarkEnd w:id="148"/>
      <w:r>
        <w:rPr>
          <w:b w:val="0"/>
          <w:bCs w:val="0"/>
        </w:rPr>
      </w:r>
      <w:r>
        <w:rPr/>
        <w:t>六、董事会下设专门委员会在报告期内履行职责情况</w:t>
      </w:r>
      <w:r>
        <w:rPr>
          <w:b w:val="0"/>
          <w:bCs w:val="0"/>
        </w:rPr>
      </w:r>
    </w:p>
    <w:p>
      <w:pPr>
        <w:spacing w:line="240" w:lineRule="auto" w:before="2"/>
        <w:rPr>
          <w:rFonts w:ascii="宋体" w:hAnsi="宋体" w:cs="宋体" w:eastAsia="宋体" w:hint="default"/>
          <w:b/>
          <w:bCs/>
          <w:sz w:val="29"/>
          <w:szCs w:val="29"/>
        </w:rPr>
      </w:pPr>
    </w:p>
    <w:p>
      <w:pPr>
        <w:pStyle w:val="BodyText"/>
        <w:spacing w:line="240" w:lineRule="auto"/>
        <w:ind w:left="633" w:right="0"/>
        <w:jc w:val="left"/>
      </w:pPr>
      <w:r>
        <w:rPr/>
        <w:t>公司董事会下设战略委员会、审计委员会、薪酬与考核委员会、提名委员会，并制定了</w:t>
      </w:r>
    </w:p>
    <w:p>
      <w:pPr>
        <w:pStyle w:val="BodyText"/>
        <w:spacing w:line="357" w:lineRule="auto" w:before="156"/>
        <w:ind w:right="1168"/>
        <w:jc w:val="both"/>
      </w:pPr>
      <w:r>
        <w:rPr/>
        <w:t>《战略委员会工作细则》《审计委员会工作细则》《提名委员会工作细则》《薪酬和考核委 员会工作细则》。报告期内，各专门委员会均能按照相关法律、法规、规范性文件及《公司 章程》等要求认真尽职地开展工作，具体履职情况如下：</w:t>
      </w:r>
    </w:p>
    <w:p>
      <w:pPr>
        <w:pStyle w:val="BodyText"/>
        <w:spacing w:line="340" w:lineRule="auto" w:before="34"/>
        <w:ind w:left="633" w:right="1151"/>
        <w:jc w:val="left"/>
      </w:pPr>
      <w:r>
        <w:rPr>
          <w:rFonts w:ascii="Times New Roman" w:hAnsi="Times New Roman" w:cs="Times New Roman" w:eastAsia="Times New Roman" w:hint="default"/>
        </w:rPr>
        <w:t>1</w:t>
      </w:r>
      <w:r>
        <w:rPr/>
        <w:t>、战略委员会履行职责情况 报告期内，战略委员会结合公司所处行业发展阶段，立足公司实际，对公司经营现状、</w:t>
      </w:r>
    </w:p>
    <w:p>
      <w:pPr>
        <w:pStyle w:val="BodyText"/>
        <w:spacing w:line="348" w:lineRule="auto" w:before="50"/>
        <w:ind w:left="633" w:right="1151" w:hanging="480"/>
        <w:jc w:val="left"/>
      </w:pPr>
      <w:r>
        <w:rPr/>
        <w:t>未来发展规划、再融资等事项进行了分析、讨论，并向董事会提出合理建议。 </w:t>
      </w:r>
      <w:r>
        <w:rPr>
          <w:rFonts w:ascii="Times New Roman" w:hAnsi="Times New Roman" w:cs="Times New Roman" w:eastAsia="Times New Roman" w:hint="default"/>
        </w:rPr>
        <w:t>2</w:t>
      </w:r>
      <w:r>
        <w:rPr/>
        <w:t>、审计委员会履行职责情况 公司董事会审计委员会本着勤勉尽责的原则，充分发挥监督作用，报告期内主要履行了</w:t>
      </w:r>
    </w:p>
    <w:p>
      <w:pPr>
        <w:pStyle w:val="BodyText"/>
        <w:spacing w:line="357" w:lineRule="auto" w:before="48"/>
        <w:ind w:right="1167"/>
        <w:jc w:val="both"/>
      </w:pPr>
      <w:r>
        <w:rPr/>
        <w:t>以下职责：审计委员会认真审阅定期报告、募集资金使用、公司内部审计计划等，督促和指 导公司内审部门对公司经营情况进行检查；对会计师事务所的年度审计工作进行督促并就审 计过程中的相关问题进行充分沟通，确保审计工作顺利进行，积极发挥审核和监督职能。</w:t>
      </w:r>
    </w:p>
    <w:p>
      <w:pPr>
        <w:pStyle w:val="BodyText"/>
        <w:spacing w:line="340" w:lineRule="auto" w:before="34"/>
        <w:ind w:left="633" w:right="1151"/>
        <w:jc w:val="left"/>
      </w:pPr>
      <w:r>
        <w:rPr>
          <w:rFonts w:ascii="Times New Roman" w:hAnsi="Times New Roman" w:cs="Times New Roman" w:eastAsia="Times New Roman" w:hint="default"/>
        </w:rPr>
        <w:t>3</w:t>
      </w:r>
      <w:r>
        <w:rPr/>
        <w:t>、薪酬与考核委员会的履职情况 报告期内，董事会薪酬与考核委员会对公司董事、高级管理人员及其他人员的薪酬政策</w:t>
      </w:r>
    </w:p>
    <w:p>
      <w:pPr>
        <w:pStyle w:val="BodyText"/>
        <w:spacing w:line="240" w:lineRule="auto" w:before="50"/>
        <w:ind w:right="0"/>
        <w:jc w:val="both"/>
      </w:pPr>
      <w:r>
        <w:rPr/>
        <w:t>与方案提出建议，监督公司薪酬政策的执行情况；审议公司股票期权调整、注销及行权，对</w:t>
      </w:r>
    </w:p>
    <w:p>
      <w:pPr>
        <w:spacing w:after="0" w:line="240"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240" w:lineRule="auto" w:before="26"/>
        <w:ind w:right="0"/>
        <w:jc w:val="left"/>
      </w:pPr>
      <w:r>
        <w:rPr/>
        <w:t>公司及激励对象第一期行权条件的达标情况进行审核。</w:t>
      </w:r>
    </w:p>
    <w:p>
      <w:pPr>
        <w:pStyle w:val="BodyText"/>
        <w:spacing w:line="340" w:lineRule="auto" w:before="151"/>
        <w:ind w:left="633" w:right="1151"/>
        <w:jc w:val="left"/>
      </w:pPr>
      <w:r>
        <w:rPr>
          <w:rFonts w:ascii="Times New Roman" w:hAnsi="Times New Roman" w:cs="Times New Roman" w:eastAsia="Times New Roman" w:hint="default"/>
        </w:rPr>
        <w:t>4</w:t>
      </w:r>
      <w:r>
        <w:rPr/>
        <w:t>、提名委员会的履职情况 报告期内，提名委员会对公司向参股公司委派董事提出建议；对董事及高级管理人员的</w:t>
      </w:r>
    </w:p>
    <w:p>
      <w:pPr>
        <w:spacing w:line="525" w:lineRule="auto" w:before="50"/>
        <w:ind w:left="153" w:right="5231" w:firstLine="0"/>
        <w:jc w:val="left"/>
        <w:rPr>
          <w:rFonts w:ascii="宋体" w:hAnsi="宋体" w:cs="宋体" w:eastAsia="宋体" w:hint="default"/>
          <w:sz w:val="24"/>
          <w:szCs w:val="24"/>
        </w:rPr>
      </w:pPr>
      <w:r>
        <w:rPr>
          <w:rFonts w:ascii="宋体" w:hAnsi="宋体" w:cs="宋体" w:eastAsia="宋体" w:hint="default"/>
          <w:sz w:val="24"/>
          <w:szCs w:val="24"/>
        </w:rPr>
        <w:t>履职情况进行了评估，切实履行了提名委员会职责。 </w:t>
      </w:r>
      <w:bookmarkStart w:name="七、监事会工作情况" w:id="149"/>
      <w:bookmarkEnd w:id="149"/>
      <w:r>
        <w:rPr>
          <w:rFonts w:ascii="宋体" w:hAnsi="宋体" w:cs="宋体" w:eastAsia="宋体" w:hint="default"/>
          <w:sz w:val="24"/>
          <w:szCs w:val="24"/>
        </w:rPr>
      </w:r>
      <w:r>
        <w:rPr>
          <w:rFonts w:ascii="宋体" w:hAnsi="宋体" w:cs="宋体" w:eastAsia="宋体" w:hint="default"/>
          <w:b/>
          <w:bCs/>
          <w:sz w:val="24"/>
          <w:szCs w:val="24"/>
        </w:rPr>
        <w:t>七、监事会工作情况</w:t>
      </w:r>
      <w:r>
        <w:rPr>
          <w:rFonts w:ascii="宋体" w:hAnsi="宋体" w:cs="宋体" w:eastAsia="宋体" w:hint="default"/>
          <w:sz w:val="24"/>
          <w:szCs w:val="24"/>
        </w:rPr>
      </w:r>
    </w:p>
    <w:p>
      <w:pPr>
        <w:spacing w:before="71"/>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监事会在报告期内的监督活动中发现公司是否存在风险</w:t>
      </w:r>
    </w:p>
    <w:p>
      <w:pPr>
        <w:spacing w:line="338" w:lineRule="auto" w:before="119"/>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公司监事会对报告期内的监督事项无异议。</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50"/>
      <w:bookmarkEnd w:id="150"/>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9"/>
          <w:szCs w:val="29"/>
        </w:rPr>
      </w:pPr>
    </w:p>
    <w:p>
      <w:pPr>
        <w:pStyle w:val="BodyText"/>
        <w:spacing w:line="357" w:lineRule="auto"/>
        <w:ind w:right="1165" w:firstLine="480"/>
        <w:jc w:val="both"/>
      </w:pPr>
      <w:r>
        <w:rPr/>
        <w:t>报告期内，公司以市场为导向，完善考核制度，对全体高级管理人员本年度履职情况、 绩效情况进行监督及考核；对股权激励计划第一期行权的高级管理人员行权达标情况进行考 核。公司高级管理人员均由董事会聘任，对董事会负责，执行董事会的决议。公司董事会下</w:t>
      </w:r>
      <w:r>
        <w:rPr>
          <w:spacing w:val="-117"/>
        </w:rPr>
        <w:t> </w:t>
      </w:r>
      <w:r>
        <w:rPr>
          <w:spacing w:val="-117"/>
        </w:rPr>
      </w:r>
      <w:r>
        <w:rPr/>
        <w:t>设薪酬与考核委员会，负责对高级管理人员的工作能力、履职情况、责任目标完成情况等进 行考核。公司高级管理人员能够严格按照《公司法》《公司章程》及国家有关法律、法规认 真履行职责，积极落实公司股东大会和董事会相关决议，在公司规章制度、战略规划、股东 大会、董事会的决策框架内，不断优化日常经营体系，持续加强内部管理，积极完成董事会 交办的各项任务。</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bookmarkStart w:name="九、内部控制评价报告" w:id="151"/>
      <w:bookmarkEnd w:id="151"/>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报告期内发现的内部控制重大缺陷的具体情况" w:id="152"/>
      <w:bookmarkEnd w:id="15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内控自我评价报告" w:id="153"/>
      <w:bookmarkEnd w:id="15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1"/>
        <w:gridCol w:w="6386"/>
      </w:tblGrid>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http://www.cninfo.com.cn)</w:t>
            </w:r>
            <w:r>
              <w:rPr>
                <w:rFonts w:ascii="宋体" w:hAnsi="宋体" w:cs="宋体" w:eastAsia="宋体" w:hint="default"/>
                <w:spacing w:val="-3"/>
                <w:sz w:val="18"/>
                <w:szCs w:val="18"/>
              </w:rPr>
              <w:t>披露</w:t>
            </w:r>
          </w:p>
        </w:tc>
      </w:tr>
      <w:tr>
        <w:trPr>
          <w:trHeight w:val="71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4"/>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财务报表资产总额的比例</w:t>
            </w:r>
          </w:p>
        </w:tc>
        <w:tc>
          <w:tcPr>
            <w:tcW w:w="63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84"/>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财务报表营业收入的比例</w:t>
            </w:r>
          </w:p>
        </w:tc>
        <w:tc>
          <w:tcPr>
            <w:tcW w:w="63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1"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footerReference w:type="default" r:id="rId13"/>
          <w:pgSz w:w="11910" w:h="16840"/>
          <w:pgMar w:footer="979" w:header="741"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spacing w:before="46"/>
        <w:ind w:left="0" w:right="1127" w:firstLine="0"/>
        <w:jc w:val="right"/>
        <w:rPr>
          <w:rFonts w:ascii="宋体" w:hAnsi="宋体" w:cs="宋体" w:eastAsia="宋体" w:hint="default"/>
          <w:sz w:val="18"/>
          <w:szCs w:val="18"/>
        </w:rPr>
      </w:pPr>
      <w:r>
        <w:rPr/>
        <w:pict>
          <v:shape style="position:absolute;margin-left:56.424pt;margin-top:-75.538292pt;width:479.25pt;height:375.2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328"/>
                    <w:gridCol w:w="3049"/>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565" w:hRule="exact"/>
                    </w:trPr>
                    <w:tc>
                      <w:tcPr>
                        <w:tcW w:w="3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8" w:type="dxa"/>
                        <w:vMerge w:val="restart"/>
                        <w:tcBorders>
                          <w:top w:val="single" w:sz="4" w:space="0" w:color="000000"/>
                          <w:left w:val="single" w:sz="10" w:space="0" w:color="D2D2D2"/>
                          <w:right w:val="single" w:sz="4" w:space="0" w:color="000000"/>
                        </w:tcBorders>
                      </w:tcPr>
                      <w:p>
                        <w:pPr>
                          <w:pStyle w:val="TableParagraph"/>
                          <w:spacing w:line="319" w:lineRule="auto" w:before="53"/>
                          <w:ind w:left="16" w:right="46"/>
                          <w:jc w:val="both"/>
                          <w:rPr>
                            <w:rFonts w:ascii="宋体" w:hAnsi="宋体" w:cs="宋体" w:eastAsia="宋体" w:hint="default"/>
                            <w:sz w:val="18"/>
                            <w:szCs w:val="18"/>
                          </w:rPr>
                        </w:pPr>
                        <w:r>
                          <w:rPr>
                            <w:rFonts w:ascii="宋体" w:hAnsi="宋体" w:cs="宋体" w:eastAsia="宋体" w:hint="default"/>
                            <w:spacing w:val="-3"/>
                            <w:sz w:val="18"/>
                            <w:szCs w:val="18"/>
                          </w:rPr>
                          <w:t>重大缺陷：发生涉及财务信息披露的重大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舞弊行为；公司财务报告存在重大错报被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外部监管机构或审计机构发现，公司对应</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的控制活动未能识别相关错报；公司财务</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报告编报控制程序存在重大漏洞，可能导</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致公司报表出现重大错报。重要缺陷：公</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司财务报告编报控制程序存在控制漏洞，</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虽然不会导致公司报表出现重大错报，但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仍应引起公司董事会及管理层重视并改进</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的缺陷。一般缺陷：除重大缺陷和重要缺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陷之外的财务报告内部控制缺陷。</w:t>
                        </w:r>
                      </w:p>
                    </w:tc>
                    <w:tc>
                      <w:tcPr>
                        <w:tcW w:w="304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3"/>
                          <w:jc w:val="left"/>
                          <w:rPr>
                            <w:rFonts w:ascii="宋体" w:hAnsi="宋体" w:cs="宋体" w:eastAsia="宋体" w:hint="default"/>
                            <w:sz w:val="18"/>
                            <w:szCs w:val="18"/>
                          </w:rPr>
                        </w:pPr>
                        <w:r>
                          <w:rPr>
                            <w:rFonts w:ascii="宋体" w:hAnsi="宋体" w:cs="宋体" w:eastAsia="宋体" w:hint="default"/>
                            <w:spacing w:val="-7"/>
                            <w:sz w:val="18"/>
                            <w:szCs w:val="18"/>
                          </w:rPr>
                          <w:t>重大缺陷：缺陷发生的可能性高，会严</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w w:val="101"/>
                            <w:sz w:val="18"/>
                            <w:szCs w:val="18"/>
                          </w:rPr>
                          <w:t>重降低工作效率或效果、或严重加大效</w:t>
                        </w:r>
                        <w:r>
                          <w:rPr>
                            <w:rFonts w:ascii="宋体" w:hAnsi="宋体" w:cs="宋体" w:eastAsia="宋体" w:hint="default"/>
                            <w:w w:val="101"/>
                            <w:sz w:val="18"/>
                            <w:szCs w:val="18"/>
                          </w:rPr>
                          <w:t> </w:t>
                        </w:r>
                        <w:r>
                          <w:rPr>
                            <w:rFonts w:ascii="宋体" w:hAnsi="宋体" w:cs="宋体" w:eastAsia="宋体" w:hint="default"/>
                            <w:spacing w:val="-6"/>
                            <w:w w:val="101"/>
                            <w:sz w:val="18"/>
                            <w:szCs w:val="18"/>
                          </w:rPr>
                          <w:t>果的不确定性、或使之严重偏离预期目</w:t>
                        </w:r>
                        <w:r>
                          <w:rPr>
                            <w:rFonts w:ascii="宋体" w:hAnsi="宋体" w:cs="宋体" w:eastAsia="宋体" w:hint="default"/>
                            <w:w w:val="101"/>
                            <w:sz w:val="18"/>
                            <w:szCs w:val="18"/>
                          </w:rPr>
                          <w:t> </w:t>
                        </w:r>
                        <w:r>
                          <w:rPr>
                            <w:rFonts w:ascii="宋体" w:hAnsi="宋体" w:cs="宋体" w:eastAsia="宋体" w:hint="default"/>
                            <w:spacing w:val="-12"/>
                            <w:w w:val="101"/>
                            <w:sz w:val="18"/>
                            <w:szCs w:val="18"/>
                          </w:rPr>
                          <w:t>标；重要缺陷：缺陷发生的可能性较高</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6"/>
                            <w:w w:val="101"/>
                            <w:sz w:val="18"/>
                            <w:szCs w:val="18"/>
                          </w:rPr>
                          <w:t>会显著降低工作效率或效果、或显著加</w:t>
                        </w:r>
                        <w:r>
                          <w:rPr>
                            <w:rFonts w:ascii="宋体" w:hAnsi="宋体" w:cs="宋体" w:eastAsia="宋体" w:hint="default"/>
                            <w:w w:val="101"/>
                            <w:sz w:val="18"/>
                            <w:szCs w:val="18"/>
                          </w:rPr>
                          <w:t> </w:t>
                        </w:r>
                        <w:r>
                          <w:rPr>
                            <w:rFonts w:ascii="宋体" w:hAnsi="宋体" w:cs="宋体" w:eastAsia="宋体" w:hint="default"/>
                            <w:spacing w:val="-6"/>
                            <w:w w:val="101"/>
                            <w:sz w:val="18"/>
                            <w:szCs w:val="18"/>
                          </w:rPr>
                          <w:t>大效果的不确定性、或使之显著偏离预</w:t>
                        </w:r>
                        <w:r>
                          <w:rPr>
                            <w:rFonts w:ascii="宋体" w:hAnsi="宋体" w:cs="宋体" w:eastAsia="宋体" w:hint="default"/>
                            <w:w w:val="101"/>
                            <w:sz w:val="18"/>
                            <w:szCs w:val="18"/>
                          </w:rPr>
                          <w:t> </w:t>
                        </w:r>
                        <w:r>
                          <w:rPr>
                            <w:rFonts w:ascii="宋体" w:hAnsi="宋体" w:cs="宋体" w:eastAsia="宋体" w:hint="default"/>
                            <w:spacing w:val="-7"/>
                            <w:sz w:val="18"/>
                            <w:szCs w:val="18"/>
                          </w:rPr>
                          <w:t>期目标；一般缺陷：缺陷发生的可能性</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较小，会降低工作效率或效果、或加大</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效果的不确定性、或使之偏离预期目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标。</w:t>
                        </w:r>
                      </w:p>
                    </w:tc>
                  </w:tr>
                  <w:tr>
                    <w:trPr>
                      <w:trHeight w:val="389" w:hRule="exact"/>
                    </w:trPr>
                    <w:tc>
                      <w:tcPr>
                        <w:tcW w:w="3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8" w:type="dxa"/>
                        <w:vMerge/>
                        <w:tcBorders>
                          <w:left w:val="single" w:sz="10" w:space="0" w:color="D2D2D2"/>
                          <w:right w:val="single" w:sz="4" w:space="0" w:color="000000"/>
                        </w:tcBorders>
                      </w:tcPr>
                      <w:p>
                        <w:pPr/>
                      </w:p>
                    </w:tc>
                    <w:tc>
                      <w:tcPr>
                        <w:tcW w:w="3049" w:type="dxa"/>
                        <w:vMerge/>
                        <w:tcBorders>
                          <w:left w:val="single" w:sz="4" w:space="0" w:color="000000"/>
                          <w:right w:val="single" w:sz="4" w:space="0" w:color="000000"/>
                        </w:tcBorders>
                      </w:tcPr>
                      <w:p>
                        <w:pPr/>
                      </w:p>
                    </w:tc>
                  </w:tr>
                  <w:tr>
                    <w:trPr>
                      <w:trHeight w:val="1565" w:hRule="exact"/>
                    </w:trPr>
                    <w:tc>
                      <w:tcPr>
                        <w:tcW w:w="3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8" w:type="dxa"/>
                        <w:vMerge/>
                        <w:tcBorders>
                          <w:left w:val="single" w:sz="10" w:space="0" w:color="D2D2D2"/>
                          <w:bottom w:val="single" w:sz="4" w:space="0" w:color="000000"/>
                          <w:right w:val="single" w:sz="4" w:space="0" w:color="000000"/>
                        </w:tcBorders>
                      </w:tcPr>
                      <w:p>
                        <w:pPr/>
                      </w:p>
                    </w:tc>
                    <w:tc>
                      <w:tcPr>
                        <w:tcW w:w="3049" w:type="dxa"/>
                        <w:vMerge/>
                        <w:tcBorders>
                          <w:left w:val="single" w:sz="4" w:space="0" w:color="000000"/>
                          <w:bottom w:val="single" w:sz="4" w:space="0" w:color="000000"/>
                          <w:right w:val="single" w:sz="4" w:space="0" w:color="000000"/>
                        </w:tcBorders>
                      </w:tcPr>
                      <w:p>
                        <w:pPr/>
                      </w:p>
                    </w:tc>
                  </w:tr>
                  <w:tr>
                    <w:trPr>
                      <w:trHeight w:val="788" w:hRule="exact"/>
                    </w:trPr>
                    <w:tc>
                      <w:tcPr>
                        <w:tcW w:w="3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8" w:type="dxa"/>
                        <w:vMerge w:val="restart"/>
                        <w:tcBorders>
                          <w:top w:val="single" w:sz="4" w:space="0" w:color="000000"/>
                          <w:left w:val="single" w:sz="10" w:space="0" w:color="D2D2D2"/>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6" w:right="17"/>
                          <w:jc w:val="both"/>
                          <w:rPr>
                            <w:rFonts w:ascii="宋体" w:hAnsi="宋体" w:cs="宋体" w:eastAsia="宋体" w:hint="default"/>
                            <w:sz w:val="18"/>
                            <w:szCs w:val="18"/>
                          </w:rPr>
                        </w:pPr>
                        <w:r>
                          <w:rPr>
                            <w:rFonts w:ascii="宋体" w:hAnsi="宋体" w:cs="宋体" w:eastAsia="宋体" w:hint="default"/>
                            <w:spacing w:val="-6"/>
                            <w:w w:val="101"/>
                            <w:sz w:val="18"/>
                            <w:szCs w:val="18"/>
                          </w:rPr>
                          <w:t>重大缺陷：错报金额</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合并财务报表营业收</w:t>
                        </w:r>
                        <w:r>
                          <w:rPr>
                            <w:rFonts w:ascii="宋体" w:hAnsi="宋体" w:cs="宋体" w:eastAsia="宋体" w:hint="default"/>
                            <w:w w:val="101"/>
                            <w:sz w:val="18"/>
                            <w:szCs w:val="18"/>
                          </w:rPr>
                          <w:t> </w:t>
                        </w:r>
                        <w:r>
                          <w:rPr>
                            <w:rFonts w:ascii="宋体" w:hAnsi="宋体" w:cs="宋体" w:eastAsia="宋体" w:hint="default"/>
                            <w:sz w:val="18"/>
                            <w:szCs w:val="18"/>
                          </w:rPr>
                          <w:t>入的</w:t>
                        </w:r>
                        <w:r>
                          <w:rPr>
                            <w:rFonts w:ascii="宋体" w:hAnsi="宋体" w:cs="宋体" w:eastAsia="宋体" w:hint="default"/>
                            <w:spacing w:val="-18"/>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；重要缺陷：合并财务报表营业收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入的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错报金额＜合并财务报表营业收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入的</w:t>
                        </w:r>
                        <w:r>
                          <w:rPr>
                            <w:rFonts w:ascii="宋体" w:hAnsi="宋体" w:cs="宋体" w:eastAsia="宋体" w:hint="default"/>
                            <w:spacing w:val="-18"/>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；一般缺陷：错报金额＜合并财务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报表营业收入的</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p>
                    </w:tc>
                    <w:tc>
                      <w:tcPr>
                        <w:tcW w:w="3049" w:type="dxa"/>
                        <w:vMerge w:val="restart"/>
                        <w:tcBorders>
                          <w:top w:val="single" w:sz="4" w:space="0" w:color="000000"/>
                          <w:left w:val="single" w:sz="4" w:space="0" w:color="000000"/>
                          <w:right w:val="single" w:sz="4" w:space="0" w:color="000000"/>
                        </w:tcBorders>
                      </w:tcPr>
                      <w:p>
                        <w:pPr>
                          <w:pStyle w:val="TableParagraph"/>
                          <w:spacing w:line="304" w:lineRule="auto" w:before="58"/>
                          <w:ind w:left="23" w:right="22"/>
                          <w:jc w:val="left"/>
                          <w:rPr>
                            <w:rFonts w:ascii="宋体" w:hAnsi="宋体" w:cs="宋体" w:eastAsia="宋体" w:hint="default"/>
                            <w:sz w:val="18"/>
                            <w:szCs w:val="18"/>
                          </w:rPr>
                        </w:pPr>
                        <w:r>
                          <w:rPr>
                            <w:rFonts w:ascii="宋体" w:hAnsi="宋体" w:cs="宋体" w:eastAsia="宋体" w:hint="default"/>
                            <w:spacing w:val="-3"/>
                            <w:sz w:val="18"/>
                            <w:szCs w:val="18"/>
                          </w:rPr>
                          <w:t>重大缺陷：错报金额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合并财务报表营</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业收入的</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；重要缺陷：合并财务报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表营业收入的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错报金额＜合并财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务报表营业收入的</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；一般缺陷：错</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报金额＜合并财务报表营业收入的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94" w:hRule="exact"/>
                    </w:trPr>
                    <w:tc>
                      <w:tcPr>
                        <w:tcW w:w="3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8" w:type="dxa"/>
                        <w:vMerge/>
                        <w:tcBorders>
                          <w:left w:val="single" w:sz="10" w:space="0" w:color="D2D2D2"/>
                          <w:right w:val="single" w:sz="4" w:space="0" w:color="000000"/>
                        </w:tcBorders>
                      </w:tcPr>
                      <w:p>
                        <w:pPr/>
                      </w:p>
                    </w:tc>
                    <w:tc>
                      <w:tcPr>
                        <w:tcW w:w="3049" w:type="dxa"/>
                        <w:vMerge/>
                        <w:tcBorders>
                          <w:left w:val="single" w:sz="4" w:space="0" w:color="000000"/>
                          <w:right w:val="single" w:sz="4" w:space="0" w:color="000000"/>
                        </w:tcBorders>
                      </w:tcPr>
                      <w:p>
                        <w:pPr/>
                      </w:p>
                    </w:tc>
                  </w:tr>
                  <w:tr>
                    <w:trPr>
                      <w:trHeight w:val="782" w:hRule="exact"/>
                    </w:trPr>
                    <w:tc>
                      <w:tcPr>
                        <w:tcW w:w="3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8" w:type="dxa"/>
                        <w:vMerge/>
                        <w:tcBorders>
                          <w:left w:val="single" w:sz="10" w:space="0" w:color="D2D2D2"/>
                          <w:bottom w:val="single" w:sz="4" w:space="0" w:color="000000"/>
                          <w:right w:val="single" w:sz="4" w:space="0" w:color="000000"/>
                        </w:tcBorders>
                      </w:tcPr>
                      <w:p>
                        <w:pPr/>
                      </w:p>
                    </w:tc>
                    <w:tc>
                      <w:tcPr>
                        <w:tcW w:w="3049" w:type="dxa"/>
                        <w:vMerge/>
                        <w:tcBorders>
                          <w:left w:val="single" w:sz="4" w:space="0" w:color="000000"/>
                          <w:bottom w:val="single" w:sz="4" w:space="0" w:color="000000"/>
                          <w:right w:val="single" w:sz="4" w:space="0" w:color="000000"/>
                        </w:tcBorders>
                      </w:tcPr>
                      <w:p>
                        <w:pP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2"/>
        <w:spacing w:line="240" w:lineRule="auto" w:before="26"/>
        <w:ind w:right="0"/>
        <w:jc w:val="left"/>
        <w:rPr>
          <w:b w:val="0"/>
          <w:bCs w:val="0"/>
        </w:rPr>
      </w:pPr>
      <w:bookmarkStart w:name="十、内部控制审计报告或鉴证报告" w:id="154"/>
      <w:bookmarkEnd w:id="154"/>
      <w:r>
        <w:rPr>
          <w:b w:val="0"/>
          <w:bCs w:val="0"/>
        </w:rPr>
      </w:r>
      <w:r>
        <w:rPr/>
        <w:t>十、内部控制审计报告或鉴证报告</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14"/>
          <w:pgSz w:w="11910" w:h="16840"/>
          <w:pgMar w:footer="979" w:header="741" w:top="1060" w:bottom="1160" w:left="980" w:right="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43" w:right="0"/>
        <w:jc w:val="left"/>
        <w:rPr>
          <w:b w:val="0"/>
          <w:bCs w:val="0"/>
        </w:rPr>
      </w:pPr>
      <w:bookmarkStart w:name="第十一节公司债券相关情况" w:id="155"/>
      <w:bookmarkEnd w:id="155"/>
      <w:r>
        <w:rPr>
          <w:b w:val="0"/>
          <w:bCs w:val="0"/>
        </w:rPr>
      </w:r>
      <w:bookmarkStart w:name="_bookmark9" w:id="156"/>
      <w:bookmarkEnd w:id="156"/>
      <w:r>
        <w:rPr>
          <w:b w:val="0"/>
          <w:bCs w:val="0"/>
        </w:rPr>
      </w:r>
      <w:r>
        <w:rPr/>
        <w:t>第十一节公司债券相关情况</w:t>
      </w:r>
      <w:r>
        <w:rPr>
          <w:b w:val="0"/>
          <w:bCs w:val="0"/>
        </w:rPr>
      </w:r>
    </w:p>
    <w:p>
      <w:pPr>
        <w:spacing w:line="240" w:lineRule="auto" w:before="12"/>
        <w:rPr>
          <w:rFonts w:ascii="宋体" w:hAnsi="宋体" w:cs="宋体" w:eastAsia="宋体" w:hint="default"/>
          <w:b/>
          <w:bCs/>
          <w:sz w:val="42"/>
          <w:szCs w:val="42"/>
        </w:rPr>
      </w:pPr>
    </w:p>
    <w:p>
      <w:pPr>
        <w:spacing w:line="357" w:lineRule="auto" w:before="0"/>
        <w:ind w:left="153" w:right="2115" w:firstLine="0"/>
        <w:jc w:val="left"/>
        <w:rPr>
          <w:rFonts w:ascii="宋体" w:hAnsi="宋体" w:cs="宋体" w:eastAsia="宋体" w:hint="default"/>
          <w:sz w:val="18"/>
          <w:szCs w:val="18"/>
        </w:rPr>
      </w:pPr>
      <w:r>
        <w:rPr>
          <w:rFonts w:ascii="宋体" w:hAnsi="宋体" w:cs="宋体" w:eastAsia="宋体" w:hint="default"/>
          <w:spacing w:val="-3"/>
          <w:sz w:val="18"/>
          <w:szCs w:val="18"/>
        </w:rPr>
        <w:t>公司是否存在公开发行并在证券交易所上市，且在年度报告批准报出日未到期或到期未能全额兑付的公司债券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否</w:t>
      </w:r>
    </w:p>
    <w:p>
      <w:pPr>
        <w:spacing w:after="0" w:line="357"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974"/>
        <w:jc w:val="center"/>
        <w:rPr>
          <w:b w:val="0"/>
          <w:bCs w:val="0"/>
        </w:rPr>
      </w:pPr>
      <w:bookmarkStart w:name="第十二节财务报告" w:id="157"/>
      <w:bookmarkEnd w:id="157"/>
      <w:r>
        <w:rPr>
          <w:b w:val="0"/>
          <w:bCs w:val="0"/>
        </w:rPr>
      </w:r>
      <w:bookmarkStart w:name="_bookmark10" w:id="158"/>
      <w:bookmarkEnd w:id="158"/>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9"/>
      <w:bookmarkEnd w:id="159"/>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天健会计师事务所（特殊普通合伙）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Times New Roman" w:hAnsi="Times New Roman" w:cs="Times New Roman" w:eastAsia="Times New Roman" w:hint="default"/>
                <w:sz w:val="18"/>
                <w:szCs w:val="18"/>
              </w:rPr>
              <w:t>3878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潘晶晶、罗衡</w:t>
            </w:r>
          </w:p>
        </w:tc>
      </w:tr>
    </w:tbl>
    <w:p>
      <w:pPr>
        <w:spacing w:before="53"/>
        <w:ind w:left="0" w:right="973"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tabs>
          <w:tab w:pos="671" w:val="left" w:leader="none"/>
          <w:tab w:pos="1339" w:val="left" w:leader="none"/>
          <w:tab w:pos="2006" w:val="left" w:leader="none"/>
        </w:tabs>
        <w:spacing w:before="121"/>
        <w:ind w:left="0" w:right="978" w:firstLine="0"/>
        <w:jc w:val="center"/>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spacing w:before="147"/>
        <w:ind w:left="0" w:right="973" w:firstLine="0"/>
        <w:jc w:val="center"/>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Times New Roman" w:hAnsi="Times New Roman" w:cs="Times New Roman" w:eastAsia="Times New Roman" w:hint="default"/>
          <w:sz w:val="18"/>
          <w:szCs w:val="18"/>
        </w:rPr>
        <w:t>3878</w:t>
      </w:r>
      <w:r>
        <w:rPr>
          <w:rFonts w:ascii="宋体" w:hAnsi="宋体" w:cs="宋体" w:eastAsia="宋体" w:hint="default"/>
          <w:sz w:val="18"/>
          <w:szCs w:val="18"/>
        </w:rPr>
        <w:t>号</w:t>
      </w:r>
    </w:p>
    <w:p>
      <w:pPr>
        <w:spacing w:line="620" w:lineRule="atLeast" w:before="18"/>
        <w:ind w:left="633" w:right="6191" w:hanging="480"/>
        <w:jc w:val="left"/>
        <w:rPr>
          <w:rFonts w:ascii="宋体" w:hAnsi="宋体" w:cs="宋体" w:eastAsia="宋体" w:hint="default"/>
          <w:sz w:val="24"/>
          <w:szCs w:val="24"/>
        </w:rPr>
      </w:pPr>
      <w:r>
        <w:rPr>
          <w:rFonts w:ascii="宋体" w:hAnsi="宋体" w:cs="宋体" w:eastAsia="宋体" w:hint="default"/>
          <w:sz w:val="24"/>
          <w:szCs w:val="24"/>
        </w:rPr>
        <w:t>浙江正元智慧科技股份有限公司全体股东： </w:t>
      </w:r>
      <w:r>
        <w:rPr>
          <w:rFonts w:ascii="宋体" w:hAnsi="宋体" w:cs="宋体" w:eastAsia="宋体" w:hint="default"/>
          <w:b/>
          <w:bCs/>
          <w:sz w:val="24"/>
          <w:szCs w:val="24"/>
        </w:rPr>
        <w:t>一、审计意见</w:t>
      </w:r>
      <w:r>
        <w:rPr>
          <w:rFonts w:ascii="宋体" w:hAnsi="宋体" w:cs="宋体" w:eastAsia="宋体" w:hint="default"/>
          <w:sz w:val="24"/>
          <w:szCs w:val="24"/>
        </w:rPr>
      </w:r>
    </w:p>
    <w:p>
      <w:pPr>
        <w:pStyle w:val="BodyText"/>
        <w:spacing w:line="312" w:lineRule="exact" w:before="28"/>
        <w:ind w:right="1133" w:firstLine="480"/>
        <w:jc w:val="both"/>
      </w:pPr>
      <w:r>
        <w:rPr/>
        <w:t>我们审计了浙江正元智慧科技股份有限公司（以下简称正元智慧公司）财务报表，包括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2019</w:t>
      </w:r>
      <w:r>
        <w:rPr/>
        <w:t>年度的合并及母公司利润表、合并及母公</w:t>
      </w:r>
      <w:r>
        <w:rPr>
          <w:spacing w:val="-91"/>
        </w:rPr>
        <w:t> </w:t>
      </w:r>
      <w:r>
        <w:rPr>
          <w:spacing w:val="-91"/>
        </w:rPr>
      </w:r>
      <w:r>
        <w:rPr/>
        <w:t>司现金流量表、合并及母公司所有者权益变动表，以及相关财务报表附注。</w:t>
      </w:r>
    </w:p>
    <w:p>
      <w:pPr>
        <w:pStyle w:val="BodyText"/>
        <w:spacing w:line="283" w:lineRule="exact"/>
        <w:ind w:right="0" w:firstLine="480"/>
        <w:jc w:val="left"/>
      </w:pPr>
      <w:r>
        <w:rPr/>
        <w:t>我们认为，后附的财务报表在所有重大方面按照企业会计准则的规定编制，公允反映了</w:t>
      </w:r>
    </w:p>
    <w:p>
      <w:pPr>
        <w:pStyle w:val="BodyText"/>
        <w:spacing w:line="312" w:lineRule="exact" w:before="30"/>
        <w:ind w:right="1133"/>
        <w:jc w:val="both"/>
      </w:pPr>
      <w:r>
        <w:rPr/>
        <w:t>正元智慧公司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w:t>
      </w:r>
      <w:r>
        <w:rPr>
          <w:spacing w:val="-91"/>
        </w:rPr>
        <w:t> </w:t>
      </w:r>
      <w:r>
        <w:rPr>
          <w:spacing w:val="-91"/>
        </w:rPr>
      </w:r>
      <w:r>
        <w:rPr/>
        <w:t>成果和现金流量。</w:t>
      </w:r>
    </w:p>
    <w:p>
      <w:pPr>
        <w:spacing w:line="240" w:lineRule="auto" w:before="11"/>
        <w:rPr>
          <w:rFonts w:ascii="宋体" w:hAnsi="宋体" w:cs="宋体" w:eastAsia="宋体" w:hint="default"/>
          <w:sz w:val="23"/>
          <w:szCs w:val="23"/>
        </w:rPr>
      </w:pPr>
    </w:p>
    <w:p>
      <w:pPr>
        <w:spacing w:line="312" w:lineRule="exact" w:before="0"/>
        <w:ind w:left="633" w:right="1122" w:firstLine="0"/>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2"/>
          <w:sz w:val="24"/>
          <w:szCs w:val="24"/>
        </w:rPr>
        <w:t>我们按照中国注册会计师审计准则的规定执行了审计工作。审计报告的</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注册会计师对财</w:t>
      </w:r>
    </w:p>
    <w:p>
      <w:pPr>
        <w:pStyle w:val="BodyText"/>
        <w:spacing w:line="312" w:lineRule="exact"/>
        <w:ind w:right="1129"/>
        <w:jc w:val="both"/>
      </w:pPr>
      <w:r>
        <w:rPr>
          <w:spacing w:val="-2"/>
        </w:rPr>
        <w:t>务报表审计的责任</w:t>
      </w:r>
      <w:r>
        <w:rPr>
          <w:rFonts w:ascii="Times New Roman" w:hAnsi="Times New Roman" w:cs="Times New Roman" w:eastAsia="Times New Roman" w:hint="default"/>
          <w:spacing w:val="-2"/>
        </w:rPr>
        <w:t>”</w:t>
      </w:r>
      <w:r>
        <w:rPr>
          <w:spacing w:val="-2"/>
        </w:rPr>
        <w:t>部分进一步阐述了我们在这些准则下的责任。按照中国注册会计师职业道</w:t>
      </w:r>
      <w:r>
        <w:rPr>
          <w:spacing w:val="-107"/>
        </w:rPr>
        <w:t> </w:t>
      </w:r>
      <w:r>
        <w:rPr>
          <w:spacing w:val="-107"/>
        </w:rPr>
      </w:r>
      <w:r>
        <w:rPr/>
        <w:t>德守则，我们独立于正元智慧公司，并履行了职业道德方面的其他责任。我们相信，我们获</w:t>
      </w:r>
      <w:r>
        <w:rPr>
          <w:spacing w:val="-91"/>
        </w:rPr>
        <w:t> </w:t>
      </w:r>
      <w:r>
        <w:rPr>
          <w:spacing w:val="-91"/>
        </w:rPr>
      </w:r>
      <w:r>
        <w:rPr/>
        <w:t>取的审计证据是充分、适当的，为发表审计意见提供了基础。</w:t>
      </w:r>
    </w:p>
    <w:p>
      <w:pPr>
        <w:spacing w:line="240" w:lineRule="auto" w:before="6"/>
        <w:rPr>
          <w:rFonts w:ascii="宋体" w:hAnsi="宋体" w:cs="宋体" w:eastAsia="宋体" w:hint="default"/>
          <w:sz w:val="21"/>
          <w:szCs w:val="21"/>
        </w:rPr>
      </w:pPr>
    </w:p>
    <w:p>
      <w:pPr>
        <w:pStyle w:val="BodyText"/>
        <w:spacing w:line="240" w:lineRule="auto"/>
        <w:ind w:left="633" w:right="0"/>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BodyText"/>
        <w:spacing w:line="312" w:lineRule="exact" w:before="28"/>
        <w:ind w:right="1136"/>
        <w:jc w:val="both"/>
      </w:pPr>
      <w:r>
        <w:rPr/>
        <w:t>项的应对以对财务报表整体进行审计并形成审计意见为背景，我们不对这些事项单独发表意</w:t>
      </w:r>
      <w:r>
        <w:rPr>
          <w:spacing w:val="-93"/>
        </w:rPr>
        <w:t> </w:t>
      </w:r>
      <w:r>
        <w:rPr>
          <w:spacing w:val="-93"/>
        </w:rPr>
      </w:r>
      <w:r>
        <w:rPr/>
        <w:t>见。</w:t>
      </w:r>
    </w:p>
    <w:p>
      <w:pPr>
        <w:pStyle w:val="BodyText"/>
        <w:spacing w:line="291" w:lineRule="exact"/>
        <w:ind w:left="63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收入确认</w:t>
      </w:r>
    </w:p>
    <w:p>
      <w:pPr>
        <w:pStyle w:val="BodyText"/>
        <w:spacing w:line="312" w:lineRule="exact" w:before="20"/>
        <w:ind w:left="633" w:right="311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事项描述 相关信息披露详见财务报表附注三（二十二）、五</w:t>
      </w:r>
      <w:r>
        <w:rPr>
          <w:rFonts w:ascii="Times New Roman" w:hAnsi="Times New Roman" w:cs="Times New Roman" w:eastAsia="Times New Roman" w:hint="default"/>
        </w:rPr>
        <w:t>(</w:t>
      </w:r>
      <w:r>
        <w:rPr/>
        <w:t>二</w:t>
      </w:r>
      <w:r>
        <w:rPr>
          <w:rFonts w:ascii="Times New Roman" w:hAnsi="Times New Roman" w:cs="Times New Roman" w:eastAsia="Times New Roman" w:hint="default"/>
        </w:rPr>
        <w:t>)1</w:t>
      </w:r>
      <w:r>
        <w:rPr/>
        <w:t>及十四</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w:t>
      </w:r>
    </w:p>
    <w:p>
      <w:pPr>
        <w:pStyle w:val="BodyText"/>
        <w:spacing w:line="283" w:lineRule="exact"/>
        <w:ind w:left="633" w:right="0"/>
        <w:jc w:val="left"/>
      </w:pPr>
      <w:r>
        <w:rPr/>
        <w:t>正元智慧公司的营业收入主要来自于一卡通系统建设收入和后续的运营与维护收入等。</w:t>
      </w:r>
    </w:p>
    <w:p>
      <w:pPr>
        <w:pStyle w:val="BodyText"/>
        <w:spacing w:line="312" w:lineRule="exact" w:before="29"/>
        <w:ind w:left="633" w:right="0" w:hanging="480"/>
        <w:jc w:val="left"/>
      </w:pPr>
      <w:r>
        <w:rPr>
          <w:rFonts w:ascii="Times New Roman" w:hAnsi="Times New Roman" w:cs="Times New Roman" w:eastAsia="Times New Roman" w:hint="default"/>
        </w:rPr>
        <w:t>2019</w:t>
      </w:r>
      <w:r>
        <w:rPr/>
        <w:t>年度，正元智慧公司营业收入金额为人民币</w:t>
      </w:r>
      <w:r>
        <w:rPr>
          <w:rFonts w:ascii="Times New Roman" w:hAnsi="Times New Roman" w:cs="Times New Roman" w:eastAsia="Times New Roman" w:hint="default"/>
        </w:rPr>
        <w:t>75,105.45</w:t>
      </w:r>
      <w:r>
        <w:rPr/>
        <w:t>万元。</w:t>
      </w:r>
      <w:r>
        <w:rPr>
          <w:spacing w:val="-115"/>
        </w:rPr>
        <w:t> </w:t>
      </w:r>
      <w:r>
        <w:rPr/>
        <w:t>由于营业收入是正元智慧公司关键业绩指标之一，可能存在正元智慧公司管理层（以下</w:t>
      </w:r>
    </w:p>
    <w:p>
      <w:pPr>
        <w:spacing w:after="0" w:line="312" w:lineRule="exact"/>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36"/>
        <w:jc w:val="both"/>
      </w:pPr>
      <w:r>
        <w:rPr/>
        <w:t>简称管理层）通过不恰当的收入确认以达到特定目标或预期的固有风险。因此，我们将收入</w:t>
      </w:r>
      <w:r>
        <w:rPr>
          <w:spacing w:val="-93"/>
        </w:rPr>
        <w:t> </w:t>
      </w:r>
      <w:r>
        <w:rPr>
          <w:spacing w:val="-93"/>
        </w:rPr>
      </w:r>
      <w:r>
        <w:rPr/>
        <w:t>确认确定为关键审计事项。</w:t>
      </w:r>
    </w:p>
    <w:p>
      <w:pPr>
        <w:pStyle w:val="BodyText"/>
        <w:spacing w:line="225" w:lineRule="auto"/>
        <w:ind w:left="633" w:right="523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审计应对 针对收入确认，我们实施的审计程序主要包括：</w:t>
      </w:r>
    </w:p>
    <w:p>
      <w:pPr>
        <w:pStyle w:val="BodyText"/>
        <w:spacing w:line="312" w:lineRule="exact" w:before="30"/>
        <w:ind w:right="1115" w:firstLine="4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spacing w:val="-3"/>
        </w:rPr>
        <w:t>了解与收入确认相关的关键内部控制，评价其设计和确定其是否得到执行，并测试相</w:t>
      </w:r>
      <w:r>
        <w:rPr>
          <w:w w:val="99"/>
        </w:rPr>
        <w:t> </w:t>
      </w:r>
      <w:r>
        <w:rPr/>
        <w:t>关内部控制的运行有效性；</w:t>
      </w:r>
    </w:p>
    <w:p>
      <w:pPr>
        <w:pStyle w:val="BodyText"/>
        <w:spacing w:line="291" w:lineRule="exact"/>
        <w:ind w:left="63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检查销售合同，了解主要合同条款或条件，评价收入确认方法是否适当；</w:t>
      </w:r>
    </w:p>
    <w:p>
      <w:pPr>
        <w:pStyle w:val="BodyText"/>
        <w:spacing w:line="312" w:lineRule="exact" w:before="20"/>
        <w:ind w:right="1120" w:firstLine="48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2"/>
        </w:rPr>
        <w:t> </w:t>
      </w:r>
      <w:r>
        <w:rPr>
          <w:spacing w:val="-3"/>
        </w:rPr>
        <w:t>对营业收入及毛利率按类别、项目实施分析程序，识别是否存在重大或异常波动，并</w:t>
      </w:r>
      <w:r>
        <w:rPr>
          <w:w w:val="99"/>
        </w:rPr>
        <w:t> </w:t>
      </w:r>
      <w:r>
        <w:rPr/>
        <w:t>查明波动原因；</w:t>
      </w:r>
    </w:p>
    <w:p>
      <w:pPr>
        <w:pStyle w:val="BodyText"/>
        <w:spacing w:line="292" w:lineRule="exact"/>
        <w:ind w:left="63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3"/>
        </w:rPr>
        <w:t> </w:t>
      </w:r>
      <w:r>
        <w:rPr/>
        <w:t>结合应收账款函证，以抽样方式向主要客户函证本期销售额；</w:t>
      </w:r>
    </w:p>
    <w:p>
      <w:pPr>
        <w:pStyle w:val="BodyText"/>
        <w:spacing w:line="312" w:lineRule="exact" w:before="20"/>
        <w:ind w:right="1002" w:firstLine="48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9"/>
        </w:rPr>
        <w:t> </w:t>
      </w:r>
      <w:r>
        <w:rPr/>
        <w:t>以抽样方式检查与收入确认相关的支持性文件，包括销售合同、销售发票、签收单、</w:t>
      </w:r>
      <w:r>
        <w:rPr>
          <w:w w:val="99"/>
        </w:rPr>
        <w:t> </w:t>
      </w:r>
      <w:r>
        <w:rPr/>
        <w:t>验收报告等；</w:t>
      </w:r>
    </w:p>
    <w:p>
      <w:pPr>
        <w:pStyle w:val="BodyText"/>
        <w:spacing w:line="312" w:lineRule="exact"/>
        <w:ind w:right="1115" w:firstLine="48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7"/>
        </w:rPr>
        <w:t> </w:t>
      </w:r>
      <w:r>
        <w:rPr>
          <w:spacing w:val="-3"/>
        </w:rPr>
        <w:t>对资产负债表日前后确认的营业收入实施截止测试，评价营业收入是否在恰当期间确</w:t>
      </w:r>
      <w:r>
        <w:rPr>
          <w:w w:val="99"/>
        </w:rPr>
        <w:t> </w:t>
      </w:r>
      <w:r>
        <w:rPr/>
        <w:t>认；</w:t>
      </w:r>
    </w:p>
    <w:p>
      <w:pPr>
        <w:pStyle w:val="BodyText"/>
        <w:spacing w:line="292" w:lineRule="exact"/>
        <w:ind w:left="633" w:right="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33"/>
        </w:rPr>
        <w:t> </w:t>
      </w:r>
      <w:r>
        <w:rPr/>
        <w:t>检查与营业收入相关的信息是否已在财务报表中作出恰当列报。</w:t>
      </w:r>
    </w:p>
    <w:p>
      <w:pPr>
        <w:pStyle w:val="BodyText"/>
        <w:spacing w:line="312" w:lineRule="exact"/>
        <w:ind w:left="63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应收账款的减值</w:t>
      </w:r>
    </w:p>
    <w:p>
      <w:pPr>
        <w:pStyle w:val="BodyText"/>
        <w:spacing w:line="312" w:lineRule="exact" w:before="20"/>
        <w:ind w:left="633" w:right="439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事项描述 相关信息披露详见财务报表附注三（十）和五（一）</w:t>
      </w:r>
      <w:r>
        <w:rPr>
          <w:rFonts w:ascii="Times New Roman" w:hAnsi="Times New Roman" w:cs="Times New Roman" w:eastAsia="Times New Roman" w:hint="default"/>
        </w:rPr>
        <w:t>4</w:t>
      </w:r>
      <w:r>
        <w:rPr/>
        <w:t>。</w:t>
      </w:r>
    </w:p>
    <w:p>
      <w:pPr>
        <w:pStyle w:val="BodyText"/>
        <w:spacing w:line="225" w:lineRule="auto"/>
        <w:ind w:right="0" w:firstLine="48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日，正元智慧公司应收账款项目账面余额为人民币</w:t>
      </w:r>
      <w:r>
        <w:rPr>
          <w:rFonts w:ascii="Times New Roman" w:hAnsi="Times New Roman" w:cs="Times New Roman" w:eastAsia="Times New Roman" w:hint="default"/>
        </w:rPr>
        <w:t>49,426.89</w:t>
      </w:r>
      <w:r>
        <w:rPr/>
        <w:t>万元，坏 账准备为人民币</w:t>
      </w:r>
      <w:r>
        <w:rPr>
          <w:rFonts w:ascii="Times New Roman" w:hAnsi="Times New Roman" w:cs="Times New Roman" w:eastAsia="Times New Roman" w:hint="default"/>
        </w:rPr>
        <w:t>6,839.37</w:t>
      </w:r>
      <w:r>
        <w:rPr/>
        <w:t>万元，账面价值为人民币</w:t>
      </w:r>
      <w:r>
        <w:rPr>
          <w:rFonts w:ascii="Times New Roman" w:hAnsi="Times New Roman" w:cs="Times New Roman" w:eastAsia="Times New Roman" w:hint="default"/>
        </w:rPr>
        <w:t>42,587.52</w:t>
      </w:r>
      <w:r>
        <w:rPr/>
        <w:t>万元，占期末资产总额的</w:t>
      </w:r>
      <w:r>
        <w:rPr>
          <w:rFonts w:ascii="Times New Roman" w:hAnsi="Times New Roman" w:cs="Times New Roman" w:eastAsia="Times New Roman" w:hint="default"/>
        </w:rPr>
        <w:t>33.29%</w:t>
      </w:r>
      <w:r>
        <w:rPr/>
        <w:t>。</w:t>
      </w:r>
    </w:p>
    <w:p>
      <w:pPr>
        <w:pStyle w:val="BodyText"/>
        <w:spacing w:line="312" w:lineRule="exact" w:before="13"/>
        <w:ind w:right="1136"/>
        <w:jc w:val="both"/>
      </w:pPr>
      <w:r>
        <w:rPr/>
        <w:t>对于单独进行减值测试的应收账款，当存在客观证据表明其发生减值时，管理层综合考虑债</w:t>
      </w:r>
      <w:r>
        <w:rPr>
          <w:spacing w:val="-93"/>
        </w:rPr>
        <w:t> </w:t>
      </w:r>
      <w:r>
        <w:rPr>
          <w:spacing w:val="-93"/>
        </w:rPr>
      </w:r>
      <w:r>
        <w:rPr/>
        <w:t>务人的行业状况、经营情况、财务状况、涉诉情况、还款记录等因素，估计未来现金流量现</w:t>
      </w:r>
      <w:r>
        <w:rPr>
          <w:spacing w:val="-93"/>
        </w:rPr>
        <w:t> </w:t>
      </w:r>
      <w:r>
        <w:rPr>
          <w:spacing w:val="-93"/>
        </w:rPr>
      </w:r>
      <w:r>
        <w:rPr/>
        <w:t>值，并确定应计提的坏账准备；对于采用组合方式进行减值测试的应收账款，管理层根据账</w:t>
      </w:r>
      <w:r>
        <w:rPr>
          <w:spacing w:val="-93"/>
        </w:rPr>
        <w:t> </w:t>
      </w:r>
      <w:r>
        <w:rPr>
          <w:spacing w:val="-93"/>
        </w:rPr>
      </w:r>
      <w:r>
        <w:rPr/>
        <w:t>龄依据划分组合，以与该组合具有类似信用风险特征组合的历史损失率为基础，结合现实情</w:t>
      </w:r>
      <w:r>
        <w:rPr>
          <w:spacing w:val="-93"/>
        </w:rPr>
        <w:t> </w:t>
      </w:r>
      <w:r>
        <w:rPr>
          <w:spacing w:val="-93"/>
        </w:rPr>
      </w:r>
      <w:r>
        <w:rPr/>
        <w:t>况进行调整，估计未来现金流量现值，并确定应计提的坏账准备。</w:t>
      </w:r>
    </w:p>
    <w:p>
      <w:pPr>
        <w:pStyle w:val="BodyText"/>
        <w:spacing w:line="312" w:lineRule="exact"/>
        <w:ind w:right="0" w:firstLine="480"/>
        <w:jc w:val="left"/>
      </w:pPr>
      <w:r>
        <w:rPr/>
        <w:t>由于应收账款金额重大，且应收账款减值测试涉及重大管理层判断，我们将应收账款减 值确定为关键审计事项。</w:t>
      </w:r>
    </w:p>
    <w:p>
      <w:pPr>
        <w:pStyle w:val="BodyText"/>
        <w:spacing w:line="312" w:lineRule="exact"/>
        <w:ind w:left="633" w:right="475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审计应对 针对应收账款减值，我们实施的审计程序主要包括：</w:t>
      </w:r>
    </w:p>
    <w:p>
      <w:pPr>
        <w:pStyle w:val="BodyText"/>
        <w:spacing w:line="225" w:lineRule="auto"/>
        <w:ind w:right="1115" w:firstLine="4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spacing w:val="-3"/>
        </w:rPr>
        <w:t>了解与应收账款减值相关的关键内部控制，评价其设计和确定其是否得到执行，并测</w:t>
      </w:r>
      <w:r>
        <w:rPr>
          <w:w w:val="99"/>
        </w:rPr>
        <w:t> </w:t>
      </w:r>
      <w:r>
        <w:rPr/>
        <w:t>试相关内部控制的运行有效性；</w:t>
      </w:r>
    </w:p>
    <w:p>
      <w:pPr>
        <w:pStyle w:val="BodyText"/>
        <w:spacing w:line="312" w:lineRule="exact" w:before="30"/>
        <w:ind w:right="1115" w:firstLine="48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spacing w:val="-3"/>
        </w:rPr>
        <w:t>复核以前年度已计提坏账准备的应收账款的后续实际核销或转回情况，评价管理层过</w:t>
      </w:r>
      <w:r>
        <w:rPr>
          <w:w w:val="99"/>
        </w:rPr>
        <w:t> </w:t>
      </w:r>
      <w:r>
        <w:rPr/>
        <w:t>往预测的准确性；</w:t>
      </w:r>
    </w:p>
    <w:p>
      <w:pPr>
        <w:pStyle w:val="BodyText"/>
        <w:spacing w:line="312" w:lineRule="exact"/>
        <w:ind w:right="1115" w:firstLine="48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spacing w:val="-3"/>
        </w:rPr>
        <w:t>复核管理层对应收账款进行减值测试的相关考虑和客观证据，评价管理层是否充分识</w:t>
      </w:r>
      <w:r>
        <w:rPr>
          <w:w w:val="99"/>
        </w:rPr>
        <w:t> </w:t>
      </w:r>
      <w:r>
        <w:rPr/>
        <w:t>别已发生减值的应收账款；</w:t>
      </w:r>
    </w:p>
    <w:p>
      <w:pPr>
        <w:pStyle w:val="BodyText"/>
        <w:spacing w:line="225" w:lineRule="auto"/>
        <w:ind w:right="1115" w:firstLine="48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7"/>
        </w:rPr>
        <w:t> </w:t>
      </w:r>
      <w:r>
        <w:rPr>
          <w:spacing w:val="-3"/>
        </w:rPr>
        <w:t>对于采用组合方式进行减值测试的应收账款，评价管理层按信用风险特征划分组合的</w:t>
      </w:r>
      <w:r>
        <w:rPr>
          <w:w w:val="99"/>
        </w:rPr>
        <w:t> </w:t>
      </w:r>
      <w:r>
        <w:rPr/>
        <w:t>合理性；评价管理层减值测试方法（包括根据历史损失率及反映当前情况的相关可观察数据</w:t>
      </w:r>
    </w:p>
    <w:p>
      <w:pPr>
        <w:pStyle w:val="BodyText"/>
        <w:spacing w:line="312" w:lineRule="exact" w:before="30"/>
        <w:ind w:right="1136"/>
        <w:jc w:val="both"/>
      </w:pPr>
      <w:r>
        <w:rPr/>
        <w:t>等确定的各项组合坏账准备计提比例）的合理性；测试管理层使用数据（包括应收账款账龄</w:t>
      </w:r>
      <w:r>
        <w:rPr>
          <w:spacing w:val="-93"/>
        </w:rPr>
        <w:t> </w:t>
      </w:r>
      <w:r>
        <w:rPr>
          <w:spacing w:val="-93"/>
        </w:rPr>
      </w:r>
      <w:r>
        <w:rPr/>
        <w:t>等）的准确性和完整性以及对坏账准备的计算是否准确；</w:t>
      </w:r>
    </w:p>
    <w:p>
      <w:pPr>
        <w:pStyle w:val="BodyText"/>
        <w:spacing w:line="291" w:lineRule="exact"/>
        <w:ind w:left="63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3"/>
        </w:rPr>
        <w:t> </w:t>
      </w:r>
      <w:r>
        <w:rPr/>
        <w:t>检查应收账款的期后回款情况，评价管理层计提应收账款坏账准备的合理性；</w:t>
      </w:r>
    </w:p>
    <w:p>
      <w:pPr>
        <w:pStyle w:val="BodyText"/>
        <w:spacing w:line="322" w:lineRule="exact"/>
        <w:ind w:left="633"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3"/>
        </w:rPr>
        <w:t> </w:t>
      </w:r>
      <w:r>
        <w:rPr/>
        <w:t>检查与应收账款减值相关的信息是否已在财务报表中作出恰当列报。</w:t>
      </w:r>
    </w:p>
    <w:p>
      <w:pPr>
        <w:spacing w:line="240" w:lineRule="auto" w:before="9"/>
        <w:rPr>
          <w:rFonts w:ascii="宋体" w:hAnsi="宋体" w:cs="宋体" w:eastAsia="宋体" w:hint="default"/>
          <w:sz w:val="24"/>
          <w:szCs w:val="24"/>
        </w:rPr>
      </w:pPr>
    </w:p>
    <w:p>
      <w:pPr>
        <w:pStyle w:val="BodyText"/>
        <w:spacing w:line="312" w:lineRule="exact"/>
        <w:ind w:left="633" w:right="0"/>
        <w:jc w:val="left"/>
      </w:pPr>
      <w:r>
        <w:rPr>
          <w:rFonts w:ascii="宋体" w:hAnsi="宋体" w:cs="宋体" w:eastAsia="宋体" w:hint="default"/>
          <w:b/>
          <w:bCs/>
        </w:rPr>
        <w:t>四、其他信息</w:t>
      </w:r>
      <w:r>
        <w:rPr>
          <w:rFonts w:ascii="宋体" w:hAnsi="宋体" w:cs="宋体" w:eastAsia="宋体" w:hint="default"/>
          <w:b/>
          <w:bCs/>
          <w:w w:val="99"/>
        </w:rPr>
        <w:t> </w:t>
      </w:r>
      <w:r>
        <w:rPr/>
        <w:t>管理层对其他信息负责。其他信息包括年度报告中涵盖的信息，但不包括财务报表和我</w:t>
      </w:r>
    </w:p>
    <w:p>
      <w:pPr>
        <w:spacing w:after="0" w:line="312" w:lineRule="exact"/>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left="633" w:right="0" w:hanging="480"/>
        <w:jc w:val="left"/>
      </w:pPr>
      <w:r>
        <w:rPr/>
        <w:t>们的审计报告。 我们对财务报表发表的审计意见不涵盖其他信息，我们也不对其他信息发表任何形式的</w:t>
      </w:r>
    </w:p>
    <w:p>
      <w:pPr>
        <w:pStyle w:val="BodyText"/>
        <w:spacing w:line="283" w:lineRule="exact"/>
        <w:ind w:right="0"/>
        <w:jc w:val="left"/>
      </w:pPr>
      <w:r>
        <w:rPr/>
        <w:t>鉴证结论。</w:t>
      </w:r>
    </w:p>
    <w:p>
      <w:pPr>
        <w:pStyle w:val="BodyText"/>
        <w:spacing w:line="312" w:lineRule="exact" w:before="30"/>
        <w:ind w:right="1141" w:firstLine="48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pStyle w:val="BodyText"/>
        <w:spacing w:line="283" w:lineRule="exact"/>
        <w:ind w:right="0"/>
        <w:jc w:val="left"/>
      </w:pPr>
      <w:r>
        <w:rPr/>
        <w:t>在这方面，我们无任何事项需要报告。</w:t>
      </w:r>
    </w:p>
    <w:p>
      <w:pPr>
        <w:spacing w:line="240" w:lineRule="auto" w:before="9"/>
        <w:rPr>
          <w:rFonts w:ascii="宋体" w:hAnsi="宋体" w:cs="宋体" w:eastAsia="宋体" w:hint="default"/>
          <w:sz w:val="23"/>
          <w:szCs w:val="23"/>
        </w:rPr>
      </w:pPr>
    </w:p>
    <w:p>
      <w:pPr>
        <w:spacing w:before="0"/>
        <w:ind w:left="633" w:right="0" w:firstLine="0"/>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管理层负责按照企业会计准则的规定编制财务报表，使其实现公允反映，并设计、执行</w:t>
      </w:r>
    </w:p>
    <w:p>
      <w:pPr>
        <w:pStyle w:val="BodyText"/>
        <w:spacing w:line="312" w:lineRule="exact" w:before="28"/>
        <w:ind w:left="633" w:right="0" w:hanging="480"/>
        <w:jc w:val="left"/>
      </w:pPr>
      <w:r>
        <w:rPr/>
        <w:t>和维护必要的内部控制，以使财务报表不存在由于舞弊或错误导致的重大错报。 在编制财务报表时，管理层负责评估正元智慧公司的持续经营能力，披露与持续经营相</w:t>
      </w:r>
    </w:p>
    <w:p>
      <w:pPr>
        <w:pStyle w:val="BodyText"/>
        <w:spacing w:line="312" w:lineRule="exact"/>
        <w:ind w:right="1124"/>
        <w:jc w:val="left"/>
      </w:pPr>
      <w:r>
        <w:rPr/>
        <w:t>关的事项（如适用），并运用持续经营假设，除非计划进行清算、终止运营或别无其他现实</w:t>
      </w:r>
      <w:r>
        <w:rPr>
          <w:spacing w:val="-93"/>
        </w:rPr>
        <w:t> </w:t>
      </w:r>
      <w:r>
        <w:rPr>
          <w:spacing w:val="-93"/>
        </w:rPr>
      </w:r>
      <w:r>
        <w:rPr/>
        <w:t>的选择。</w:t>
      </w:r>
    </w:p>
    <w:p>
      <w:pPr>
        <w:pStyle w:val="BodyText"/>
        <w:spacing w:line="284" w:lineRule="exact"/>
        <w:ind w:left="633" w:right="0"/>
        <w:jc w:val="left"/>
      </w:pPr>
      <w:r>
        <w:rPr/>
        <w:t>正元智慧公司治理层（以下简称治理层）负责监督正元智慧公司的财务报告过程。</w:t>
      </w:r>
    </w:p>
    <w:p>
      <w:pPr>
        <w:spacing w:line="240" w:lineRule="auto" w:before="0"/>
        <w:rPr>
          <w:rFonts w:ascii="宋体" w:hAnsi="宋体" w:cs="宋体" w:eastAsia="宋体" w:hint="default"/>
          <w:sz w:val="26"/>
          <w:szCs w:val="26"/>
        </w:rPr>
      </w:pPr>
    </w:p>
    <w:p>
      <w:pPr>
        <w:spacing w:line="312" w:lineRule="exact" w:before="0"/>
        <w:ind w:left="633" w:right="0" w:firstLine="0"/>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z w:val="24"/>
          <w:szCs w:val="24"/>
        </w:rPr>
        <w:t>我们的目标是对财务报表整体是否不存在由于舞弊或错误导致的重大错报获取合理保证，</w:t>
      </w:r>
    </w:p>
    <w:p>
      <w:pPr>
        <w:pStyle w:val="BodyText"/>
        <w:spacing w:line="283" w:lineRule="exact"/>
        <w:ind w:right="0"/>
        <w:jc w:val="left"/>
      </w:pPr>
      <w:r>
        <w:rPr/>
        <w:t>并出具包含审计意见的审计报告。合理保证是高水平的保证，但并不能保证按照审计准则执</w:t>
      </w:r>
    </w:p>
    <w:p>
      <w:pPr>
        <w:pStyle w:val="BodyText"/>
        <w:spacing w:line="312" w:lineRule="exact" w:before="30"/>
        <w:ind w:right="1136"/>
        <w:jc w:val="both"/>
      </w:pPr>
      <w:r>
        <w:rPr/>
        <w:t>行的审计在某一重大错报存在时总能发现。错报可能由于舞弊或错误导致，如果合理预期错</w:t>
      </w:r>
      <w:r>
        <w:rPr>
          <w:spacing w:val="-93"/>
        </w:rPr>
        <w:t> </w:t>
      </w:r>
      <w:r>
        <w:rPr>
          <w:spacing w:val="-93"/>
        </w:rPr>
      </w:r>
      <w:r>
        <w:rPr/>
        <w:t>报单独或汇总起来可能影响财务报表使用者依据财务报表作出的经济决策，则通常认为错报</w:t>
      </w:r>
      <w:r>
        <w:rPr>
          <w:spacing w:val="-93"/>
        </w:rPr>
        <w:t> </w:t>
      </w:r>
      <w:r>
        <w:rPr>
          <w:spacing w:val="-93"/>
        </w:rPr>
      </w:r>
      <w:r>
        <w:rPr/>
        <w:t>是重大的。</w:t>
      </w:r>
    </w:p>
    <w:p>
      <w:pPr>
        <w:pStyle w:val="BodyText"/>
        <w:spacing w:line="312" w:lineRule="exact"/>
        <w:ind w:right="0" w:firstLine="480"/>
        <w:jc w:val="left"/>
      </w:pPr>
      <w:r>
        <w:rPr/>
        <w:t>在按照审计准则执行审计工作的过程中，我们运用职业判断，并保持职业怀疑。同时， 我们也执行以下工作：</w:t>
      </w:r>
    </w:p>
    <w:p>
      <w:pPr>
        <w:pStyle w:val="BodyText"/>
        <w:spacing w:line="225" w:lineRule="auto"/>
        <w:ind w:right="1122" w:firstLine="48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识别和评估由于舞弊或错误导致的财务报表重大错报风险，设计和实施审计程序以</w:t>
      </w:r>
      <w:r>
        <w:rPr>
          <w:w w:val="99"/>
        </w:rPr>
        <w:t> </w:t>
      </w:r>
      <w:r>
        <w:rPr/>
        <w:t>应对这些风险，并获取充分、适当的审计证据，作为发表审计意见的基础。由于舞弊可能涉</w:t>
      </w:r>
    </w:p>
    <w:p>
      <w:pPr>
        <w:pStyle w:val="BodyText"/>
        <w:spacing w:line="312" w:lineRule="exact" w:before="30"/>
        <w:ind w:right="0"/>
        <w:jc w:val="left"/>
      </w:pPr>
      <w:r>
        <w:rPr/>
        <w:t>及串通、伪造、故意遗漏、虚假陈述或凌驾于内部控制之上，未能发现由于舞弊导致的重大</w:t>
      </w:r>
      <w:r>
        <w:rPr>
          <w:spacing w:val="-93"/>
        </w:rPr>
        <w:t> </w:t>
      </w:r>
      <w:r>
        <w:rPr>
          <w:spacing w:val="-93"/>
        </w:rPr>
      </w:r>
      <w:r>
        <w:rPr/>
        <w:t>错报的风险高于未能发现由于错误导致的重大错报的风险。</w:t>
      </w:r>
    </w:p>
    <w:p>
      <w:pPr>
        <w:pStyle w:val="BodyText"/>
        <w:spacing w:line="291" w:lineRule="exact"/>
        <w:ind w:left="63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了解与审计相关的内部控制，以设计恰当的审计程序。</w:t>
      </w:r>
    </w:p>
    <w:p>
      <w:pPr>
        <w:pStyle w:val="BodyText"/>
        <w:spacing w:line="312" w:lineRule="exact"/>
        <w:ind w:left="633"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评价管理层选用会计政策的恰当性和作出会计估计及相关披露的合理性。</w:t>
      </w:r>
    </w:p>
    <w:p>
      <w:pPr>
        <w:pStyle w:val="BodyText"/>
        <w:spacing w:line="312" w:lineRule="exact" w:before="21"/>
        <w:ind w:right="1135" w:firstLine="48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对管理层使用持续经营假设的恰当性得出结论。同时，根据获取的审计证据，就可</w:t>
      </w:r>
      <w:r>
        <w:rPr>
          <w:w w:val="99"/>
        </w:rPr>
        <w:t> </w:t>
      </w:r>
      <w:r>
        <w:rPr/>
        <w:t>能导致对正元智慧公司持续经营能力产生重大疑虑的事项或情况是否存在重大不确定性得出</w:t>
      </w:r>
      <w:r>
        <w:rPr>
          <w:spacing w:val="-93"/>
        </w:rPr>
        <w:t> </w:t>
      </w:r>
      <w:r>
        <w:rPr>
          <w:spacing w:val="-93"/>
        </w:rPr>
      </w:r>
      <w:r>
        <w:rPr/>
        <w:t>结论。如果我们得出结论认为存在重大不确定性，审计准则要求我们在审计报告中提请报表</w:t>
      </w:r>
      <w:r>
        <w:rPr>
          <w:spacing w:val="-93"/>
        </w:rPr>
        <w:t> </w:t>
      </w:r>
      <w:r>
        <w:rPr>
          <w:spacing w:val="-93"/>
        </w:rPr>
      </w:r>
      <w:r>
        <w:rPr/>
        <w:t>使用者注意财务报表中的相关披露；如果披露不充分，我们应当发表非无保留意见。我们的</w:t>
      </w:r>
      <w:r>
        <w:rPr>
          <w:spacing w:val="-93"/>
        </w:rPr>
        <w:t> </w:t>
      </w:r>
      <w:r>
        <w:rPr>
          <w:spacing w:val="-93"/>
        </w:rPr>
      </w:r>
      <w:r>
        <w:rPr/>
        <w:t>结论基于截至审计报告日可获得的信息。然而，未来的事项或情况可能导致正元智慧公司不</w:t>
      </w:r>
      <w:r>
        <w:rPr>
          <w:spacing w:val="-93"/>
        </w:rPr>
        <w:t> </w:t>
      </w:r>
      <w:r>
        <w:rPr>
          <w:spacing w:val="-93"/>
        </w:rPr>
      </w:r>
      <w:r>
        <w:rPr/>
        <w:t>能持续经营。</w:t>
      </w:r>
    </w:p>
    <w:p>
      <w:pPr>
        <w:pStyle w:val="BodyText"/>
        <w:spacing w:line="312" w:lineRule="exact"/>
        <w:ind w:right="1122" w:firstLine="48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评价财务报表的总体列报、结构和内容，并评价财务报表是否公允反映相关交易和</w:t>
      </w:r>
      <w:r>
        <w:rPr>
          <w:w w:val="99"/>
        </w:rPr>
        <w:t> </w:t>
      </w:r>
      <w:r>
        <w:rPr/>
        <w:t>事项。</w:t>
      </w:r>
    </w:p>
    <w:p>
      <w:pPr>
        <w:pStyle w:val="BodyText"/>
        <w:spacing w:line="312" w:lineRule="exact"/>
        <w:ind w:right="1135" w:firstLine="480"/>
        <w:jc w:val="righ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就正元智慧公司中实体或业务活动的财务信息获取充分、适当的审计证据，以对财</w:t>
      </w:r>
      <w:r>
        <w:rPr>
          <w:w w:val="99"/>
        </w:rPr>
        <w:t> </w:t>
      </w:r>
      <w:r>
        <w:rPr>
          <w:w w:val="95"/>
        </w:rPr>
        <w:t>务报表发表审计意见。我们负责指导、监督和执行集团审计，并对审计意见承担全部责任。</w:t>
      </w:r>
      <w:r>
        <w:rPr>
          <w:spacing w:val="95"/>
          <w:w w:val="95"/>
        </w:rPr>
        <w:t> </w:t>
      </w:r>
      <w:r>
        <w:rPr/>
        <w:t>我们与治理层就计划的审计范围、时间安排和重大审计发现等事项进行沟通，包括沟通</w:t>
      </w:r>
    </w:p>
    <w:p>
      <w:pPr>
        <w:pStyle w:val="BodyText"/>
        <w:spacing w:line="312" w:lineRule="exact"/>
        <w:ind w:left="633" w:right="0" w:hanging="480"/>
        <w:jc w:val="left"/>
      </w:pPr>
      <w:r>
        <w:rPr/>
        <w:t>我们在审计中识别出的值得关注的内部控制缺陷。 我们还就已遵守与独立性相关的职业道德要求向治理层提供声明，并与治理层沟通可能</w:t>
      </w:r>
    </w:p>
    <w:p>
      <w:pPr>
        <w:pStyle w:val="BodyText"/>
        <w:spacing w:line="283" w:lineRule="exact"/>
        <w:ind w:right="0"/>
        <w:jc w:val="left"/>
      </w:pPr>
      <w:r>
        <w:rPr/>
        <w:t>被合理认为影响我们独立性的所有关系和其他事项，以及相关的防范措施（如适用）。</w:t>
      </w:r>
    </w:p>
    <w:p>
      <w:pPr>
        <w:spacing w:after="0" w:line="283" w:lineRule="exact"/>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37" w:lineRule="auto" w:before="28"/>
        <w:ind w:right="1136" w:firstLine="480"/>
        <w:jc w:val="both"/>
      </w:pPr>
      <w:r>
        <w:rPr/>
        <w:t>从与治理层沟通过的事项中，我们确定哪些事项对本期财务报表审计最为重要，因而构 成关键审计事项。我们在审计报告中描述这些事项，除非法律法规禁止公开披露这些事项，</w:t>
      </w:r>
      <w:r>
        <w:rPr>
          <w:spacing w:val="-93"/>
        </w:rPr>
        <w:t> </w:t>
      </w:r>
      <w:r>
        <w:rPr>
          <w:spacing w:val="-93"/>
        </w:rPr>
      </w:r>
      <w:r>
        <w:rPr/>
        <w:t>或在极少数情形下，如果合理预期在审计报告中沟通某事项造成的负面后果超过在公众利益</w:t>
      </w:r>
      <w:r>
        <w:rPr>
          <w:spacing w:val="-93"/>
        </w:rPr>
        <w:t> </w:t>
      </w:r>
      <w:r>
        <w:rPr>
          <w:spacing w:val="-93"/>
        </w:rPr>
      </w:r>
      <w:r>
        <w:rPr/>
        <w:t>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BodyText"/>
        <w:tabs>
          <w:tab w:pos="5607" w:val="left" w:leader="none"/>
        </w:tabs>
        <w:spacing w:line="313" w:lineRule="exact"/>
        <w:ind w:right="0"/>
        <w:jc w:val="left"/>
      </w:pPr>
      <w:r>
        <w:rPr/>
        <w:t>天健会计师事务所（特殊普通合伙）</w:t>
        <w:tab/>
        <w:t>中国注册会计师：</w:t>
      </w:r>
    </w:p>
    <w:p>
      <w:pPr>
        <w:pStyle w:val="BodyText"/>
        <w:spacing w:line="313" w:lineRule="exact"/>
        <w:ind w:left="1056" w:right="0"/>
        <w:jc w:val="left"/>
      </w:pPr>
      <w:r>
        <w:rPr/>
        <w:t>（项目合伙人）</w:t>
      </w:r>
    </w:p>
    <w:p>
      <w:pPr>
        <w:spacing w:line="240" w:lineRule="auto" w:before="9"/>
        <w:rPr>
          <w:rFonts w:ascii="宋体" w:hAnsi="宋体" w:cs="宋体" w:eastAsia="宋体" w:hint="default"/>
          <w:sz w:val="23"/>
          <w:szCs w:val="23"/>
        </w:rPr>
      </w:pPr>
    </w:p>
    <w:p>
      <w:pPr>
        <w:pStyle w:val="BodyText"/>
        <w:tabs>
          <w:tab w:pos="5612" w:val="left" w:leader="none"/>
        </w:tabs>
        <w:spacing w:line="240" w:lineRule="auto"/>
        <w:ind w:left="1353" w:right="0"/>
        <w:jc w:val="left"/>
      </w:pPr>
      <w:r>
        <w:rPr/>
        <w:t>中国</w:t>
      </w:r>
      <w:r>
        <w:rPr>
          <w:rFonts w:ascii="Times New Roman" w:hAnsi="Times New Roman" w:cs="Times New Roman" w:eastAsia="Times New Roman" w:hint="default"/>
        </w:rPr>
        <w:t>·</w:t>
      </w:r>
      <w:r>
        <w:rPr/>
        <w:t>杭州</w:t>
        <w:tab/>
        <w:t>中国注册会计师：</w:t>
      </w:r>
    </w:p>
    <w:p>
      <w:pPr>
        <w:spacing w:line="240" w:lineRule="auto" w:before="4"/>
        <w:rPr>
          <w:rFonts w:ascii="宋体" w:hAnsi="宋体" w:cs="宋体" w:eastAsia="宋体" w:hint="default"/>
          <w:sz w:val="22"/>
          <w:szCs w:val="22"/>
        </w:rPr>
      </w:pPr>
    </w:p>
    <w:p>
      <w:pPr>
        <w:pStyle w:val="BodyText"/>
        <w:spacing w:line="240" w:lineRule="auto"/>
        <w:ind w:left="5248" w:right="0"/>
        <w:jc w:val="left"/>
      </w:pPr>
      <w:r>
        <w:rPr/>
        <w:t>二〇二〇年四月二十七日</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2"/>
          <w:szCs w:val="22"/>
        </w:rPr>
      </w:pPr>
    </w:p>
    <w:p>
      <w:pPr>
        <w:pStyle w:val="Heading2"/>
        <w:spacing w:line="240" w:lineRule="auto"/>
        <w:ind w:right="0"/>
        <w:jc w:val="left"/>
        <w:rPr>
          <w:b w:val="0"/>
          <w:bCs w:val="0"/>
        </w:rPr>
      </w:pPr>
      <w:bookmarkStart w:name="二、财务报表" w:id="160"/>
      <w:bookmarkEnd w:id="160"/>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财务附注中报表的单位为：元</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合并资产负债表" w:id="161"/>
      <w:bookmarkEnd w:id="16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编制单位：浙江正元智慧科技股份有限公司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3"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7" w:space="500"/>
            <w:col w:w="1642" w:space="3203"/>
            <w:col w:w="2008"/>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84"/>
              <w:jc w:val="right"/>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241,748,570.94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224,257,088.55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99"/>
              <w:jc w:val="righ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249,484.07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1,942,145.00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425,875,216.61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314,762,606.52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2,120,913.49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15,959,431.63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18,143,758.57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39,912,442.69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32,418,763.19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213,483,773.70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168,680,057.50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15,268,384.81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60,359,767.11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965,618,217.94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820,564,186.44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216,000.00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129,514,870.28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79,078,151.51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53,420,013.35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29,965,366.76</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17,298,317.52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7,833,188.58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59,199,849.54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51,064,626.84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2,610,372.23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2,610,372.23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22,693,695.16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5,066,260.82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17,666,345.41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11,864,816.31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11,226,208.96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5,082,007.12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313,845,672.45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192,780,790.17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1,279,463,890.39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1,013,344,976.61</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325,978,790.62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167,177,351.38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19,831,533.52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13,306,710.05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136,404,321.96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108,548,058.49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59,547,186.50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58,710,105.65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29,353,292.30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22,245,614.02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9,797,702.37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6,591,983.45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14,318,520.05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4,346,822.36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240,797.26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3,333,332.00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598,564,679.32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380,926,645.40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5,000,002.00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5,000,002.00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603,564,681.32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380,926,645.40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126,666,667.00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66,666,667.00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223,381,958.27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281,383,613.25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30,136,902.53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25,502,239.13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241,573,781.32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211,138,977.02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621,759,309.12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584,691,496.40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54,139,899.95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47,726,834.81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675,899,209.07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632,418,331.21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1,279,463,890.39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1,013,344,976.61</w:t>
            </w:r>
          </w:p>
        </w:tc>
      </w:tr>
    </w:tbl>
    <w:p>
      <w:pPr>
        <w:spacing w:line="240" w:lineRule="auto" w:before="2"/>
        <w:rPr>
          <w:rFonts w:ascii="Times New Roman" w:hAnsi="Times New Roman" w:cs="Times New Roman" w:eastAsia="Times New Roman" w:hint="default"/>
          <w:sz w:val="23"/>
          <w:szCs w:val="23"/>
        </w:rPr>
      </w:pPr>
    </w:p>
    <w:p>
      <w:pPr>
        <w:tabs>
          <w:tab w:pos="3332" w:val="left" w:leader="none"/>
          <w:tab w:pos="7567" w:val="left" w:leader="none"/>
        </w:tabs>
        <w:spacing w:before="46"/>
        <w:ind w:left="0" w:right="1218" w:firstLine="0"/>
        <w:jc w:val="right"/>
        <w:rPr>
          <w:rFonts w:ascii="宋体" w:hAnsi="宋体" w:cs="宋体" w:eastAsia="宋体" w:hint="default"/>
          <w:sz w:val="18"/>
          <w:szCs w:val="18"/>
        </w:rPr>
      </w:pPr>
      <w:r>
        <w:rPr>
          <w:rFonts w:ascii="宋体" w:hAnsi="宋体" w:cs="宋体" w:eastAsia="宋体" w:hint="default"/>
          <w:spacing w:val="-2"/>
          <w:sz w:val="18"/>
          <w:szCs w:val="18"/>
        </w:rPr>
        <w:t>法定代表人：陈坚</w:t>
        <w:tab/>
      </w:r>
      <w:r>
        <w:rPr>
          <w:rFonts w:ascii="宋体" w:hAnsi="宋体" w:cs="宋体" w:eastAsia="宋体" w:hint="default"/>
          <w:spacing w:val="-3"/>
          <w:sz w:val="18"/>
          <w:szCs w:val="18"/>
        </w:rPr>
        <w:t>主管会计工作负责人：陈根清</w:t>
        <w:tab/>
        <w:t>会计机构负责人：包建军</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母公司资产负债表" w:id="162"/>
      <w:bookmarkEnd w:id="16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left="2151" w:right="0"/>
              <w:jc w:val="left"/>
              <w:rPr>
                <w:rFonts w:ascii="Times New Roman" w:hAnsi="Times New Roman" w:cs="Times New Roman" w:eastAsia="Times New Roman" w:hint="default"/>
                <w:sz w:val="18"/>
                <w:szCs w:val="18"/>
              </w:rPr>
            </w:pPr>
            <w:r>
              <w:rPr>
                <w:rFonts w:ascii="Times New Roman"/>
                <w:sz w:val="18"/>
              </w:rPr>
              <w:t>177,272,807.32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46" w:right="0"/>
              <w:jc w:val="left"/>
              <w:rPr>
                <w:rFonts w:ascii="Times New Roman" w:hAnsi="Times New Roman" w:cs="Times New Roman" w:eastAsia="Times New Roman" w:hint="default"/>
                <w:sz w:val="18"/>
                <w:szCs w:val="18"/>
              </w:rPr>
            </w:pPr>
            <w:r>
              <w:rPr>
                <w:rFonts w:ascii="Times New Roman"/>
                <w:sz w:val="18"/>
              </w:rPr>
              <w:t>152,909,828.90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36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249,484.07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1,942,145.00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396,056,983.06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297,442,449.74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2,120,913.49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9,851,465.45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13,049,467.15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113,627,646.37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67,519,391.57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172,181,270.64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132,214,382.51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5,854,630.33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56,017,506.13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877,215,200.73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721,095,171.00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207,158,017.73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142,324,970.72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6,815,848.79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5,967,399.65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17,298,317.52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6,741,649.69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25,019,651.15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18,157,631.82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443,495.37</w:t>
            </w: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8,924,871.04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6,435,491.47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265,660,201.60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179,627,143.35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1,142,875,402.33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900,722,314.35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305,449,457.29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139,177,351.38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19,831,533.52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13,306,710.05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106,642,485.30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85,597,894.14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50,203,583.32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49,980,838.13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18,006,659.01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15,882,234.90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2,102,531.70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1,903,931.88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8,651,639.10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3,513,288.83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212,563.93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510,887,889.24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309,362,249.31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510,887,889.24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309,362,249.31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126,666,667.00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66,666,667.00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227,285,154.29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283,004,340.21</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30,136,902.53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25,502,239.13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247,898,789.27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216,186,818.70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631,987,513.09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591,360,065.04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1,142,875,402.33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900,722,314.35</w:t>
            </w:r>
          </w:p>
        </w:tc>
      </w:tr>
    </w:tbl>
    <w:p>
      <w:pPr>
        <w:spacing w:line="240" w:lineRule="auto" w:before="10"/>
        <w:rPr>
          <w:rFonts w:ascii="Times New Roman" w:hAnsi="Times New Roman" w:cs="Times New Roman" w:eastAsia="Times New Roman" w:hint="default"/>
          <w:sz w:val="21"/>
          <w:szCs w:val="21"/>
        </w:rPr>
      </w:pPr>
    </w:p>
    <w:p>
      <w:pPr>
        <w:spacing w:before="36"/>
        <w:ind w:left="153" w:right="0" w:firstLine="0"/>
        <w:jc w:val="left"/>
        <w:rPr>
          <w:rFonts w:ascii="宋体" w:hAnsi="宋体" w:cs="宋体" w:eastAsia="宋体" w:hint="default"/>
          <w:sz w:val="21"/>
          <w:szCs w:val="21"/>
        </w:rPr>
      </w:pPr>
      <w:bookmarkStart w:name="3、合并利润表" w:id="163"/>
      <w:bookmarkEnd w:id="16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751,054,482.81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566,836,544.20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751,054,482.81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566,836,544.20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715,619,701.33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525,372,819.86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466,768,040.42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341,344,452.66</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359.975983pt;width:158.950pt;height:20.95pt;mso-position-horizontal-relative:page;mso-position-vertical-relative:page;z-index:-1182712" coordorigin="4221,7200" coordsize="3179,419">
            <v:group style="position:absolute;left:4233;top:7212;width:2;height:395" coordorigin="4233,7212" coordsize="2,395">
              <v:shape style="position:absolute;left:4233;top:7212;width:2;height:395" coordorigin="4233,7212" coordsize="0,395" path="m4233,7212l4233,7606e" filled="false" stroked="true" strokeweight="1.2pt" strokecolor="#ffffff">
                <v:path arrowok="t"/>
              </v:shape>
            </v:group>
            <v:group style="position:absolute;left:4245;top:7212;width:3155;height:395" coordorigin="4245,7212" coordsize="3155,395">
              <v:shape style="position:absolute;left:4245;top:7212;width:3155;height:395" coordorigin="4245,7212" coordsize="3155,395" path="m4245,7606l7400,7606,7400,7212,4245,7212,4245,7606xe" filled="true" fillcolor="#ffffff" stroked="false">
                <v:path arrowok="t"/>
                <v:fill type="solid"/>
              </v:shape>
            </v:group>
            <w10:wrap type="none"/>
          </v:group>
        </w:pict>
      </w:r>
      <w:r>
        <w:rPr/>
        <w:pict>
          <v:group style="position:absolute;margin-left:211.029999pt;margin-top:619.005981pt;width:158.950pt;height:20.7pt;mso-position-horizontal-relative:page;mso-position-vertical-relative:page;z-index:-1182688" coordorigin="4221,12380" coordsize="3179,414">
            <v:group style="position:absolute;left:4233;top:12392;width:2;height:390" coordorigin="4233,12392" coordsize="2,390">
              <v:shape style="position:absolute;left:4233;top:12392;width:2;height:390" coordorigin="4233,12392" coordsize="0,390" path="m4233,12392l4233,12781e" filled="false" stroked="true" strokeweight="1.2pt" strokecolor="#ffffff">
                <v:path arrowok="t"/>
              </v:shape>
            </v:group>
            <v:group style="position:absolute;left:4245;top:12392;width:3155;height:390" coordorigin="4245,12392" coordsize="3155,390">
              <v:shape style="position:absolute;left:4245;top:12392;width:3155;height:390" coordorigin="4245,12392" coordsize="3155,390" path="m4245,12781l7400,12781,7400,12392,4245,12392,4245,12781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1119"/>
        <w:gridCol w:w="2101"/>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4,135,404.52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3,748,873.62</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78,851,385.01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52,459,315.55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60,537,527.36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51,104,839.47</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89,692,806.47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70,388,151.77</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15,634,537.55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6,327,186.79</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15,819,328.50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6,733,528.25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710,950.54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612,772.87</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31,918,905.61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21,832,874.34</w:t>
            </w: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2,201,320.52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3,198,020.76</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5"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887,634.98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779,385.69</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9"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0"/>
              <w:jc w:val="righ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 w:firstLine="720"/>
              <w:jc w:val="left"/>
              <w:rPr>
                <w:rFonts w:ascii="宋体" w:hAnsi="宋体" w:cs="宋体" w:eastAsia="宋体" w:hint="default"/>
                <w:sz w:val="18"/>
                <w:szCs w:val="18"/>
              </w:rPr>
            </w:pP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用</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084" w:right="0"/>
              <w:jc w:val="left"/>
              <w:rPr>
                <w:rFonts w:ascii="Times New Roman" w:hAnsi="Times New Roman" w:cs="Times New Roman" w:eastAsia="Times New Roman" w:hint="default"/>
                <w:sz w:val="18"/>
                <w:szCs w:val="18"/>
              </w:rPr>
            </w:pPr>
            <w:r>
              <w:rPr>
                <w:rFonts w:ascii="Times New Roman"/>
                <w:sz w:val="18"/>
              </w:rPr>
              <w:t>-20,703,473.56</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-207,705.73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-13,993,033.40</w:t>
            </w: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处</w:t>
            </w:r>
            <w:r>
              <w:rPr>
                <w:rFonts w:ascii="宋体" w:hAnsi="宋体" w:cs="宋体" w:eastAsia="宋体" w:hint="default"/>
                <w:spacing w:val="-5"/>
                <w:w w:val="101"/>
                <w:sz w:val="18"/>
                <w:szCs w:val="18"/>
              </w:rPr>
              <w:t>置</w:t>
            </w:r>
            <w:r>
              <w:rPr>
                <w:rFonts w:ascii="宋体" w:hAnsi="宋体" w:cs="宋体" w:eastAsia="宋体" w:hint="default"/>
                <w:w w:val="101"/>
                <w:sz w:val="18"/>
                <w:szCs w:val="18"/>
              </w:rPr>
              <w:t>收</w:t>
            </w:r>
            <w:r>
              <w:rPr>
                <w:rFonts w:ascii="宋体" w:hAnsi="宋体" w:cs="宋体" w:eastAsia="宋体" w:hint="default"/>
                <w:spacing w:val="-77"/>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-144,918.80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226,119.71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48,498,909.52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52,727,705.75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43,396.60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178,136.33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3,794,468.77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3,401,667.98</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11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4"/>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039" w:right="0"/>
              <w:jc w:val="left"/>
              <w:rPr>
                <w:rFonts w:ascii="Times New Roman" w:hAnsi="Times New Roman" w:cs="Times New Roman" w:eastAsia="Times New Roman" w:hint="default"/>
                <w:sz w:val="18"/>
                <w:szCs w:val="18"/>
              </w:rPr>
            </w:pPr>
            <w:r>
              <w:rPr>
                <w:rFonts w:ascii="Times New Roman"/>
                <w:sz w:val="18"/>
              </w:rPr>
              <w:t>44,747,837.35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49,504,174.10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917,747.43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-628,907.94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43,830,089.92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50,133,082.04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43,830,089.92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50,133,082.04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3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36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45,069,467.75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50,353,782.16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-1,239,377.83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-220,700.12</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外币财务报表折算差额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43,830,089.92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50,133,082.04</w:t>
            </w: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45,069,467.75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50,353,782.16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-1,239,377.83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-220,700.12</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0.36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0.36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0.40</w:t>
            </w:r>
          </w:p>
        </w:tc>
      </w:tr>
    </w:tbl>
    <w:p>
      <w:pPr>
        <w:tabs>
          <w:tab w:pos="3485" w:val="left" w:leader="none"/>
          <w:tab w:pos="7720" w:val="left" w:leader="none"/>
        </w:tabs>
        <w:spacing w:line="590" w:lineRule="auto" w:before="54"/>
        <w:ind w:left="153" w:right="1218" w:firstLine="0"/>
        <w:jc w:val="both"/>
        <w:rPr>
          <w:rFonts w:ascii="宋体" w:hAnsi="宋体" w:cs="宋体" w:eastAsia="宋体" w:hint="default"/>
          <w:sz w:val="21"/>
          <w:szCs w:val="21"/>
        </w:rPr>
      </w:pPr>
      <w:r>
        <w:rPr>
          <w:rFonts w:ascii="宋体" w:hAnsi="宋体" w:cs="宋体" w:eastAsia="宋体" w:hint="default"/>
          <w:spacing w:val="-3"/>
          <w:sz w:val="18"/>
          <w:szCs w:val="18"/>
        </w:rPr>
        <w:t>本期发生同一控制下企业合并的，被合并方在合并前实现的净利润为：</w:t>
      </w:r>
      <w:r>
        <w:rPr>
          <w:rFonts w:ascii="Times New Roman" w:hAnsi="Times New Roman" w:cs="Times New Roman" w:eastAsia="Times New Roman" w:hint="default"/>
          <w:spacing w:val="-3"/>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r>
        <w:rPr>
          <w:rFonts w:ascii="宋体" w:hAnsi="宋体" w:cs="宋体" w:eastAsia="宋体" w:hint="default"/>
          <w:spacing w:val="-73"/>
          <w:sz w:val="18"/>
          <w:szCs w:val="18"/>
        </w:rPr>
        <w:t> </w:t>
      </w:r>
      <w:r>
        <w:rPr>
          <w:rFonts w:ascii="宋体" w:hAnsi="宋体" w:cs="宋体" w:eastAsia="宋体" w:hint="default"/>
          <w:spacing w:val="-2"/>
          <w:sz w:val="18"/>
          <w:szCs w:val="18"/>
        </w:rPr>
        <w:t>法定代表人：陈坚</w:t>
        <w:tab/>
      </w:r>
      <w:r>
        <w:rPr>
          <w:rFonts w:ascii="宋体" w:hAnsi="宋体" w:cs="宋体" w:eastAsia="宋体" w:hint="default"/>
          <w:spacing w:val="-3"/>
          <w:sz w:val="18"/>
          <w:szCs w:val="18"/>
        </w:rPr>
        <w:t>主管会计工作负责人：陈根清</w:t>
        <w:tab/>
        <w:t>会计机构负责人：包建军</w:t>
      </w:r>
      <w:r>
        <w:rPr>
          <w:rFonts w:ascii="宋体" w:hAnsi="宋体" w:cs="宋体" w:eastAsia="宋体" w:hint="default"/>
          <w:spacing w:val="-56"/>
          <w:sz w:val="18"/>
          <w:szCs w:val="18"/>
        </w:rPr>
        <w:t> </w:t>
      </w:r>
      <w:r>
        <w:rPr>
          <w:rFonts w:ascii="宋体" w:hAnsi="宋体" w:cs="宋体" w:eastAsia="宋体" w:hint="default"/>
          <w:spacing w:val="-56"/>
          <w:sz w:val="18"/>
          <w:szCs w:val="18"/>
        </w:rPr>
      </w:r>
      <w:bookmarkStart w:name="4、母公司利润表" w:id="164"/>
      <w:bookmarkEnd w:id="164"/>
      <w:r>
        <w:rPr>
          <w:rFonts w:ascii="宋体" w:hAnsi="宋体" w:cs="宋体" w:eastAsia="宋体" w:hint="default"/>
          <w:spacing w:val="-56"/>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574,657,883.43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443,349,748.18</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380,054,933.44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276,242,453.45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2,625,203.53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2,653,047.24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48,978,930.44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35,295,001.81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29,895,660.12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27,233,242.06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57,777,719.99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51,177,933.59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10,214,125.09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5,102,214.35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13,589,268.44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5,472,183.43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3,503,796.00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491,891.02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23,172,834.32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16,663,762.08</w:t>
            </w: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3,785,812.46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5,272,524.41</w:t>
            </w: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-136,252.99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803,344.90</w:t>
            </w:r>
          </w:p>
        </w:tc>
      </w:tr>
      <w:tr>
        <w:trPr>
          <w:trHeight w:val="102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36"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8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31"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-18,976,901.33</w:t>
            </w: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36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-169,138.93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-12,414,372.25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35,825.18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-489.03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52,959,742.52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55,167,280.89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10,323.01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12,148.50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3,764,820.99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354,919.90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49,205,244.54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54,824,509.49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2,858,610.52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535,988.33</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46,346,634.02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54,288,521.16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46,346,634.02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54,288,521.16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46,346,634.02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54,288,521.16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6"/>
        <w:ind w:left="153" w:right="0" w:firstLine="0"/>
        <w:jc w:val="left"/>
        <w:rPr>
          <w:rFonts w:ascii="宋体" w:hAnsi="宋体" w:cs="宋体" w:eastAsia="宋体" w:hint="default"/>
          <w:sz w:val="21"/>
          <w:szCs w:val="21"/>
        </w:rPr>
      </w:pPr>
      <w:bookmarkStart w:name="5、合并现金流量表" w:id="165"/>
      <w:bookmarkEnd w:id="16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706,512,165.56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600,925,555.68</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28,373,271.20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16,221,131.09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37,349,367.69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62,090,437.14</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772,234,804.45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679,237,123.91</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522,415,117.10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429,420,091.91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34"/>
              <w:jc w:val="righ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36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152,033,772.92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104,781,429.18</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41,781,314.14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39,587,224.90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107,524,930.62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98,909,717.51</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823,755,134.78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672,698,463.50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-51,520,330.33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6,538,660.41</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1,460,385.54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2,418,635.07</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925,725.00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496,858.24</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299,000,000.00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230,386,110.54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301,915,493.31</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76,196,337.57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80,917,333.57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50,996,000.00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299,000,000.00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316,192,337.57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381,167,333.57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-85,806,227.03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-79,251,840.26</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37,413,100.00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37,413,100.00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521,157,066.52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231,177,351.38</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12,100,000.00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545,507,066.52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283,590,451.38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354,501,083.90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143,000,000.00</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28,531,477.71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22,321,284.72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2,960,026.09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2,053,800.00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11,693,932.42</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394,726,494.03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165,321,284.72</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150,780,572.49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118,269,166.66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13,454,015.13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45,555,986.81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221,142,853.68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175,586,866.87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234,596,868.81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221,142,853.68</w:t>
            </w:r>
          </w:p>
        </w:tc>
      </w:tr>
    </w:tbl>
    <w:p>
      <w:pPr>
        <w:spacing w:line="240" w:lineRule="auto" w:before="10"/>
        <w:rPr>
          <w:rFonts w:ascii="Times New Roman" w:hAnsi="Times New Roman" w:cs="Times New Roman" w:eastAsia="Times New Roman" w:hint="default"/>
          <w:sz w:val="21"/>
          <w:szCs w:val="21"/>
        </w:rPr>
      </w:pPr>
    </w:p>
    <w:p>
      <w:pPr>
        <w:spacing w:before="36"/>
        <w:ind w:left="153" w:right="0" w:firstLine="0"/>
        <w:jc w:val="left"/>
        <w:rPr>
          <w:rFonts w:ascii="宋体" w:hAnsi="宋体" w:cs="宋体" w:eastAsia="宋体" w:hint="default"/>
          <w:sz w:val="21"/>
          <w:szCs w:val="21"/>
        </w:rPr>
      </w:pPr>
      <w:bookmarkStart w:name="6、母公司现金流量表" w:id="166"/>
      <w:bookmarkEnd w:id="16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509,559,823.37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471,051,443.59</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21,246,532.95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11,619,926.35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32,940,811.29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67,609,890.32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563,747,167.61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550,281,260.26</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413,370,436.49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361,873,264.49</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94,450,531.47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66,446,693.87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29,783,350.45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29,610,525.69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71,085,464.22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91,037,558.49</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608,689,782.63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548,968,042.54</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-44,942,615.02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1,313,217.72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4,301,253.43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4,469,179.51</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67,725.00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3,150.00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34"/>
              <w:jc w:val="righ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36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200,640,000.00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307,341,000.00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205,008,978.43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311,813,329.51</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21,004,198.80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13,295,728.71</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65,116,000.00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41,122,860.00</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195,240,000.00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316,953,750.00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281,360,198.80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371,372,338.71</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-76,351,220.37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-59,559,009.20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480,157,066.52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201,177,351.38</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351,800,000.00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831,957,066.52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216,177,351.38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314,334,417.90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117,000,000.00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23,352,375.13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18,668,923.23</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352,474,528.30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690,161,321.33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135,668,923.23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141,795,745.19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80,508,428.15</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20,501,909.80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22,262,636.67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149,795,594.03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127,532,957.36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170,297,503.83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149,795,594.03</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7、合并所有者权益变动表" w:id="167"/>
      <w:bookmarkEnd w:id="16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403"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2" w:type="dxa"/>
            <w:gridSpan w:val="15"/>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9" w:hRule="exact"/>
        </w:trPr>
        <w:tc>
          <w:tcPr>
            <w:tcW w:w="1253" w:type="dxa"/>
            <w:vMerge/>
            <w:tcBorders>
              <w:left w:val="single" w:sz="4" w:space="0" w:color="000000"/>
              <w:right w:val="single" w:sz="4" w:space="0" w:color="000000"/>
            </w:tcBorders>
            <w:shd w:val="clear" w:color="auto" w:fill="D2D2D2"/>
          </w:tcPr>
          <w:p>
            <w:pPr/>
          </w:p>
        </w:tc>
        <w:tc>
          <w:tcPr>
            <w:tcW w:w="7150" w:type="dxa"/>
            <w:gridSpan w:val="1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5" w:right="103"/>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7"/>
              <w:ind w:left="105" w:right="95"/>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403"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7" w:hanging="82"/>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存股</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105"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03"/>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105"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624"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29"/>
        <w:gridCol w:w="506"/>
        <w:gridCol w:w="466"/>
        <w:gridCol w:w="466"/>
        <w:gridCol w:w="470"/>
        <w:gridCol w:w="581"/>
        <w:gridCol w:w="586"/>
        <w:gridCol w:w="581"/>
        <w:gridCol w:w="586"/>
        <w:gridCol w:w="586"/>
        <w:gridCol w:w="581"/>
        <w:gridCol w:w="586"/>
        <w:gridCol w:w="586"/>
        <w:gridCol w:w="581"/>
        <w:gridCol w:w="586"/>
        <w:gridCol w:w="576"/>
      </w:tblGrid>
      <w:tr>
        <w:trPr>
          <w:trHeight w:val="36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39"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39" w:right="0"/>
              <w:jc w:val="left"/>
              <w:rPr>
                <w:rFonts w:ascii="宋体" w:hAnsi="宋体" w:cs="宋体" w:eastAsia="宋体" w:hint="default"/>
                <w:sz w:val="18"/>
                <w:szCs w:val="18"/>
              </w:rPr>
            </w:pPr>
            <w:r>
              <w:rPr>
                <w:rFonts w:ascii="宋体" w:hAnsi="宋体" w:cs="宋体" w:eastAsia="宋体" w:hint="default"/>
                <w:w w:val="101"/>
                <w:sz w:val="18"/>
                <w:szCs w:val="18"/>
              </w:rPr>
              <w:t>债</w:t>
            </w:r>
            <w:r>
              <w:rPr>
                <w:rFonts w:ascii="宋体" w:hAnsi="宋体" w:cs="宋体" w:eastAsia="宋体" w:hint="default"/>
                <w:sz w:val="18"/>
                <w:szCs w:val="18"/>
              </w:rPr>
            </w:r>
          </w:p>
        </w:tc>
        <w:tc>
          <w:tcPr>
            <w:tcW w:w="4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43" w:right="0"/>
              <w:jc w:val="center"/>
              <w:rPr>
                <w:rFonts w:ascii="Times New Roman" w:hAnsi="Times New Roman" w:cs="Times New Roman" w:eastAsia="Times New Roman" w:hint="default"/>
                <w:sz w:val="18"/>
                <w:szCs w:val="18"/>
              </w:rPr>
            </w:pPr>
            <w:r>
              <w:rPr>
                <w:rFonts w:ascii="Times New Roman"/>
                <w:sz w:val="18"/>
              </w:rPr>
              <w:t>66,66</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6,667</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281,38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3,613.</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25</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,239.1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211,13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8,977.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02</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584,69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1,496.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,834.8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632,41</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8,331.</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21</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8"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firstLine="360"/>
              <w:jc w:val="left"/>
              <w:rPr>
                <w:rFonts w:ascii="宋体" w:hAnsi="宋体" w:cs="宋体" w:eastAsia="宋体" w:hint="default"/>
                <w:sz w:val="18"/>
                <w:szCs w:val="18"/>
              </w:rPr>
            </w:pPr>
            <w:r>
              <w:rPr>
                <w:rFonts w:ascii="宋体" w:hAnsi="宋体" w:cs="宋体" w:eastAsia="宋体" w:hint="default"/>
                <w:spacing w:val="-15"/>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20"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20"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43" w:right="0"/>
              <w:jc w:val="center"/>
              <w:rPr>
                <w:rFonts w:ascii="Times New Roman" w:hAnsi="Times New Roman" w:cs="Times New Roman" w:eastAsia="Times New Roman" w:hint="default"/>
                <w:sz w:val="18"/>
                <w:szCs w:val="18"/>
              </w:rPr>
            </w:pPr>
            <w:r>
              <w:rPr>
                <w:rFonts w:ascii="Times New Roman"/>
                <w:sz w:val="18"/>
              </w:rPr>
              <w:t>66,66</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6,667</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281,38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3,613.</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25</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,239.1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211,13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8,977.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02</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584,69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1,496.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,834.8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632,41</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8,331.</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21</w:t>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动金额（减少以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-58,00</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1,654.</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98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4,634,</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663.40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30,434</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,804.3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37,067</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,812.7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6,413,</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065.14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43,480</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,877.8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158"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3"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45,069</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,467.7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45,069</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,467.7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-1,239,</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377.83</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43,830</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,089.9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506" w:type="dxa"/>
            <w:vMerge/>
            <w:tcBorders>
              <w:left w:val="single" w:sz="13"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8"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3"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4,280,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814.08</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4,280,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814.08</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16,530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,814.0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4"/>
              <w:ind w:left="11" w:right="5"/>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8"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12,250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3"/>
              <w:ind w:left="11"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11"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4,280,</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814.08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4,280,</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814.08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4,280,</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814.08</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4,634,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663.40</w:t>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-14,63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4,663.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45</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05</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-2,960,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026.09</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-12,96</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0,026.</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14</w:t>
            </w:r>
          </w:p>
        </w:tc>
      </w:tr>
      <w:tr>
        <w:trPr>
          <w:trHeight w:val="394"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317"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4,634,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663.40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-4,634,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663.40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4"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21"/>
                <w:w w:val="101"/>
                <w:sz w:val="18"/>
                <w:szCs w:val="18"/>
              </w:rPr>
              <w:t>3</w:t>
            </w:r>
            <w:r>
              <w:rPr>
                <w:rFonts w:ascii="宋体" w:hAnsi="宋体" w:cs="宋体" w:eastAsia="宋体" w:hint="default"/>
                <w:spacing w:val="-21"/>
                <w:w w:val="101"/>
                <w:sz w:val="18"/>
                <w:szCs w:val="18"/>
              </w:rPr>
              <w:t>．对所有者（或</w:t>
            </w:r>
            <w:r>
              <w:rPr>
                <w:rFonts w:ascii="宋体" w:hAnsi="宋体" w:cs="宋体" w:eastAsia="宋体" w:hint="default"/>
                <w:w w:val="101"/>
                <w:sz w:val="18"/>
                <w:szCs w:val="18"/>
              </w:rPr>
              <w:t> </w:t>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-2,960,</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026.09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-12,96</w:t>
            </w:r>
          </w:p>
          <w:p>
            <w:pPr>
              <w:pStyle w:val="TableParagraph"/>
              <w:spacing w:line="240" w:lineRule="auto" w:before="101"/>
              <w:ind w:left="96" w:right="0"/>
              <w:jc w:val="left"/>
              <w:rPr>
                <w:rFonts w:ascii="Times New Roman" w:hAnsi="Times New Roman" w:cs="Times New Roman" w:eastAsia="Times New Roman" w:hint="default"/>
                <w:sz w:val="18"/>
                <w:szCs w:val="18"/>
              </w:rPr>
            </w:pPr>
            <w:r>
              <w:rPr>
                <w:rFonts w:ascii="Times New Roman"/>
                <w:sz w:val="18"/>
              </w:rPr>
              <w:t>0,026.</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14</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-3,920,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-3,920,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000.00</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-3,920,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-3,920,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．本期提取</w:t>
            </w:r>
            <w:r>
              <w:rPr>
                <w:rFonts w:ascii="宋体" w:hAnsi="宋体" w:cs="宋体" w:eastAsia="宋体" w:hint="default"/>
                <w:sz w:val="18"/>
                <w:szCs w:val="18"/>
              </w:rPr>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．本期使用</w:t>
            </w:r>
            <w:r>
              <w:rPr>
                <w:rFonts w:ascii="宋体" w:hAnsi="宋体" w:cs="宋体" w:eastAsia="宋体" w:hint="default"/>
                <w:sz w:val="18"/>
                <w:szCs w:val="18"/>
              </w:rPr>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-2,282,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469.06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-2,282,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469.06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2,282,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469.06</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126,6</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66,66</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7.00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223,38</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1,958.</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27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30,136</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,902.5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241,57</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3,781.</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32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621,75</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9,309.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12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54,139</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,899.9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675,89</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9,209.</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07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1388"/>
        <w:gridCol w:w="577"/>
        <w:gridCol w:w="576"/>
        <w:gridCol w:w="576"/>
        <w:gridCol w:w="581"/>
        <w:gridCol w:w="576"/>
        <w:gridCol w:w="576"/>
        <w:gridCol w:w="591"/>
        <w:gridCol w:w="566"/>
        <w:gridCol w:w="566"/>
        <w:gridCol w:w="644"/>
        <w:gridCol w:w="648"/>
      </w:tblGrid>
      <w:tr>
        <w:trPr>
          <w:trHeight w:val="403" w:hRule="exact"/>
        </w:trPr>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5"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04" w:hRule="exact"/>
        </w:trPr>
        <w:tc>
          <w:tcPr>
            <w:tcW w:w="1215" w:type="dxa"/>
            <w:vMerge/>
            <w:tcBorders>
              <w:left w:val="single" w:sz="4" w:space="0" w:color="000000"/>
              <w:right w:val="single" w:sz="4" w:space="0" w:color="000000"/>
            </w:tcBorders>
            <w:shd w:val="clear" w:color="auto" w:fill="D2D2D2"/>
          </w:tcPr>
          <w:p>
            <w:pPr/>
          </w:p>
        </w:tc>
        <w:tc>
          <w:tcPr>
            <w:tcW w:w="7063" w:type="dxa"/>
            <w:gridSpan w:val="11"/>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02"/>
              <w:ind w:left="48" w:right="4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48" w:type="dxa"/>
            <w:vMerge w:val="restart"/>
            <w:tcBorders>
              <w:top w:val="single" w:sz="4" w:space="0" w:color="FFFFFF"/>
              <w:left w:val="single" w:sz="4" w:space="0" w:color="000000"/>
              <w:right w:val="single" w:sz="4" w:space="0" w:color="000000"/>
            </w:tcBorders>
            <w:shd w:val="clear" w:color="auto" w:fill="D2D2D2"/>
          </w:tcPr>
          <w:p>
            <w:pPr>
              <w:pStyle w:val="TableParagraph"/>
              <w:spacing w:line="312" w:lineRule="auto" w:before="121"/>
              <w:ind w:left="52" w:right="41"/>
              <w:jc w:val="left"/>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权益合</w:t>
            </w:r>
          </w:p>
        </w:tc>
      </w:tr>
      <w:tr>
        <w:trPr>
          <w:trHeight w:val="403" w:hRule="exact"/>
        </w:trPr>
        <w:tc>
          <w:tcPr>
            <w:tcW w:w="1215" w:type="dxa"/>
            <w:vMerge/>
            <w:tcBorders>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7"/>
                <w:sz w:val="18"/>
                <w:szCs w:val="18"/>
              </w:rPr>
              <w:t>减：库</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0" w:right="0"/>
              <w:jc w:val="left"/>
              <w:rPr>
                <w:rFonts w:ascii="宋体" w:hAnsi="宋体" w:cs="宋体" w:eastAsia="宋体" w:hint="default"/>
                <w:sz w:val="18"/>
                <w:szCs w:val="18"/>
              </w:rPr>
            </w:pPr>
            <w:r>
              <w:rPr>
                <w:rFonts w:ascii="宋体" w:hAnsi="宋体" w:cs="宋体" w:eastAsia="宋体" w:hint="default"/>
                <w:sz w:val="18"/>
                <w:szCs w:val="18"/>
              </w:rPr>
              <w:t>盈余</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一般</w:t>
            </w:r>
          </w:p>
        </w:tc>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0" w:right="0"/>
              <w:jc w:val="left"/>
              <w:rPr>
                <w:rFonts w:ascii="宋体" w:hAnsi="宋体" w:cs="宋体" w:eastAsia="宋体" w:hint="default"/>
                <w:sz w:val="18"/>
                <w:szCs w:val="18"/>
              </w:rPr>
            </w:pPr>
            <w:r>
              <w:rPr>
                <w:rFonts w:ascii="宋体" w:hAnsi="宋体" w:cs="宋体" w:eastAsia="宋体" w:hint="default"/>
                <w:sz w:val="18"/>
                <w:szCs w:val="18"/>
              </w:rPr>
              <w:t>未分</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191"/>
        <w:gridCol w:w="502"/>
        <w:gridCol w:w="447"/>
        <w:gridCol w:w="451"/>
        <w:gridCol w:w="490"/>
        <w:gridCol w:w="577"/>
        <w:gridCol w:w="576"/>
        <w:gridCol w:w="576"/>
        <w:gridCol w:w="581"/>
        <w:gridCol w:w="576"/>
        <w:gridCol w:w="576"/>
        <w:gridCol w:w="591"/>
        <w:gridCol w:w="566"/>
        <w:gridCol w:w="566"/>
        <w:gridCol w:w="644"/>
        <w:gridCol w:w="648"/>
      </w:tblGrid>
      <w:tr>
        <w:trPr>
          <w:trHeight w:val="163" w:hRule="exact"/>
        </w:trPr>
        <w:tc>
          <w:tcPr>
            <w:tcW w:w="1191" w:type="dxa"/>
            <w:vMerge w:val="restart"/>
            <w:tcBorders>
              <w:top w:val="single" w:sz="4" w:space="0" w:color="000000"/>
              <w:left w:val="single" w:sz="4" w:space="0" w:color="000000"/>
              <w:right w:val="single" w:sz="4" w:space="0" w:color="000000"/>
            </w:tcBorders>
            <w:shd w:val="clear" w:color="auto" w:fill="D2D2D2"/>
          </w:tcPr>
          <w:p>
            <w:pPr/>
          </w:p>
        </w:tc>
        <w:tc>
          <w:tcPr>
            <w:tcW w:w="502" w:type="dxa"/>
            <w:vMerge w:val="restart"/>
            <w:tcBorders>
              <w:top w:val="single" w:sz="4" w:space="0" w:color="000000"/>
              <w:left w:val="single" w:sz="4" w:space="0" w:color="000000"/>
              <w:right w:val="single" w:sz="4" w:space="0" w:color="000000"/>
            </w:tcBorders>
            <w:shd w:val="clear" w:color="auto" w:fill="D2D2D2"/>
          </w:tcPr>
          <w:p>
            <w:pPr/>
          </w:p>
        </w:tc>
        <w:tc>
          <w:tcPr>
            <w:tcW w:w="4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29" w:right="33"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29" w:right="36"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
              <w:ind w:left="105" w:right="94"/>
              <w:jc w:val="left"/>
              <w:rPr>
                <w:rFonts w:ascii="宋体" w:hAnsi="宋体" w:cs="宋体" w:eastAsia="宋体" w:hint="default"/>
                <w:sz w:val="18"/>
                <w:szCs w:val="18"/>
              </w:rPr>
            </w:pP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
              <w:ind w:left="105" w:right="95"/>
              <w:jc w:val="left"/>
              <w:rPr>
                <w:rFonts w:ascii="宋体" w:hAnsi="宋体" w:cs="宋体" w:eastAsia="宋体" w:hint="default"/>
                <w:sz w:val="18"/>
                <w:szCs w:val="18"/>
              </w:rPr>
            </w:pP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
              <w:ind w:left="201" w:right="104" w:hanging="92"/>
              <w:jc w:val="left"/>
              <w:rPr>
                <w:rFonts w:ascii="宋体" w:hAnsi="宋体" w:cs="宋体" w:eastAsia="宋体" w:hint="default"/>
                <w:sz w:val="18"/>
                <w:szCs w:val="18"/>
              </w:rPr>
            </w:pP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644" w:type="dxa"/>
            <w:vMerge w:val="restart"/>
            <w:tcBorders>
              <w:top w:val="single" w:sz="4" w:space="0" w:color="000000"/>
              <w:left w:val="single" w:sz="4" w:space="0" w:color="000000"/>
              <w:right w:val="single" w:sz="4" w:space="0" w:color="000000"/>
            </w:tcBorders>
            <w:shd w:val="clear" w:color="auto" w:fill="D2D2D2"/>
          </w:tcPr>
          <w:p>
            <w:pP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计</w:t>
            </w:r>
            <w:r>
              <w:rPr>
                <w:rFonts w:ascii="宋体" w:hAnsi="宋体" w:cs="宋体" w:eastAsia="宋体" w:hint="default"/>
                <w:sz w:val="18"/>
                <w:szCs w:val="18"/>
              </w:rPr>
            </w:r>
          </w:p>
        </w:tc>
      </w:tr>
      <w:tr>
        <w:trPr>
          <w:trHeight w:val="192" w:hRule="exact"/>
        </w:trPr>
        <w:tc>
          <w:tcPr>
            <w:tcW w:w="1191"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7"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tcPr>
          <w:p>
            <w:pPr/>
          </w:p>
        </w:tc>
      </w:tr>
      <w:tr>
        <w:trPr>
          <w:trHeight w:val="197" w:hRule="exact"/>
        </w:trPr>
        <w:tc>
          <w:tcPr>
            <w:tcW w:w="1191"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577" w:type="dxa"/>
            <w:vMerge w:val="restart"/>
            <w:tcBorders>
              <w:top w:val="nil" w:sz="6" w:space="0" w:color="auto"/>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tcPr>
          <w:p>
            <w:pPr/>
          </w:p>
        </w:tc>
      </w:tr>
      <w:tr>
        <w:trPr>
          <w:trHeight w:val="163" w:hRule="exact"/>
        </w:trPr>
        <w:tc>
          <w:tcPr>
            <w:tcW w:w="1191" w:type="dxa"/>
            <w:vMerge/>
            <w:tcBorders>
              <w:left w:val="single" w:sz="4" w:space="0" w:color="000000"/>
              <w:bottom w:val="single" w:sz="4" w:space="0" w:color="000000"/>
              <w:right w:val="single" w:sz="4" w:space="0" w:color="000000"/>
            </w:tcBorders>
            <w:shd w:val="clear" w:color="auto" w:fill="D2D2D2"/>
          </w:tcPr>
          <w:p>
            <w:pPr/>
          </w:p>
        </w:tc>
        <w:tc>
          <w:tcPr>
            <w:tcW w:w="502" w:type="dxa"/>
            <w:vMerge/>
            <w:tcBorders>
              <w:left w:val="single" w:sz="4" w:space="0" w:color="000000"/>
              <w:bottom w:val="single" w:sz="4" w:space="0" w:color="000000"/>
              <w:right w:val="single" w:sz="4" w:space="0" w:color="000000"/>
            </w:tcBorders>
            <w:shd w:val="clear" w:color="auto" w:fill="D2D2D2"/>
          </w:tcPr>
          <w:p>
            <w:pPr/>
          </w:p>
        </w:tc>
        <w:tc>
          <w:tcPr>
            <w:tcW w:w="447"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tcPr>
          <w:p>
            <w:pPr/>
          </w:p>
        </w:tc>
      </w:tr>
      <w:tr>
        <w:trPr>
          <w:trHeight w:val="158"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3" w:space="0" w:color="D2D2D2"/>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66,66</w:t>
            </w:r>
          </w:p>
          <w:p>
            <w:pPr>
              <w:pStyle w:val="TableParagraph"/>
              <w:spacing w:line="240" w:lineRule="auto" w:before="101"/>
              <w:ind w:left="33" w:right="0"/>
              <w:jc w:val="center"/>
              <w:rPr>
                <w:rFonts w:ascii="Times New Roman" w:hAnsi="Times New Roman" w:cs="Times New Roman" w:eastAsia="Times New Roman" w:hint="default"/>
                <w:sz w:val="18"/>
                <w:szCs w:val="18"/>
              </w:rPr>
            </w:pPr>
            <w:r>
              <w:rPr>
                <w:rFonts w:ascii="Times New Roman"/>
                <w:sz w:val="18"/>
              </w:rPr>
              <w:t>6,667</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278,11</w:t>
            </w:r>
          </w:p>
          <w:p>
            <w:pPr>
              <w:pStyle w:val="TableParagraph"/>
              <w:spacing w:line="240" w:lineRule="auto" w:before="101"/>
              <w:ind w:left="91" w:right="0"/>
              <w:jc w:val="left"/>
              <w:rPr>
                <w:rFonts w:ascii="Times New Roman" w:hAnsi="Times New Roman" w:cs="Times New Roman" w:eastAsia="Times New Roman" w:hint="default"/>
                <w:sz w:val="18"/>
                <w:szCs w:val="18"/>
              </w:rPr>
            </w:pPr>
            <w:r>
              <w:rPr>
                <w:rFonts w:ascii="Times New Roman"/>
                <w:sz w:val="18"/>
              </w:rPr>
              <w:t>8,619.</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65</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21" w:space="0" w:color="D2D2D2"/>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20,073</w:t>
            </w:r>
          </w:p>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,387.0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76" w:type="dxa"/>
            <w:vMerge w:val="restart"/>
            <w:tcBorders>
              <w:top w:val="single" w:sz="21" w:space="0" w:color="D2D2D2"/>
              <w:left w:val="single" w:sz="4" w:space="0" w:color="000000"/>
              <w:right w:val="single" w:sz="4" w:space="0" w:color="000000"/>
            </w:tcBorders>
          </w:tcPr>
          <w:p>
            <w:pPr/>
          </w:p>
        </w:tc>
        <w:tc>
          <w:tcPr>
            <w:tcW w:w="591" w:type="dxa"/>
            <w:vMerge w:val="restart"/>
            <w:tcBorders>
              <w:top w:val="single" w:sz="21" w:space="0" w:color="D2D2D2"/>
              <w:left w:val="single" w:sz="4" w:space="0" w:color="000000"/>
              <w:right w:val="single" w:sz="4" w:space="0" w:color="000000"/>
            </w:tcBorders>
          </w:tcPr>
          <w:p>
            <w:pPr>
              <w:pStyle w:val="TableParagraph"/>
              <w:spacing w:line="240" w:lineRule="auto" w:before="74"/>
              <w:ind w:left="62" w:right="0"/>
              <w:jc w:val="left"/>
              <w:rPr>
                <w:rFonts w:ascii="Times New Roman" w:hAnsi="Times New Roman" w:cs="Times New Roman" w:eastAsia="Times New Roman" w:hint="default"/>
                <w:sz w:val="18"/>
                <w:szCs w:val="18"/>
              </w:rPr>
            </w:pPr>
            <w:r>
              <w:rPr>
                <w:rFonts w:ascii="Times New Roman"/>
                <w:sz w:val="18"/>
              </w:rPr>
              <w:t>179,54</w:t>
            </w:r>
          </w:p>
          <w:p>
            <w:pPr>
              <w:pStyle w:val="TableParagraph"/>
              <w:spacing w:line="240" w:lineRule="auto" w:before="101"/>
              <w:ind w:left="105" w:right="0"/>
              <w:jc w:val="left"/>
              <w:rPr>
                <w:rFonts w:ascii="Times New Roman" w:hAnsi="Times New Roman" w:cs="Times New Roman" w:eastAsia="Times New Roman" w:hint="default"/>
                <w:sz w:val="18"/>
                <w:szCs w:val="18"/>
              </w:rPr>
            </w:pPr>
            <w:r>
              <w:rPr>
                <w:rFonts w:ascii="Times New Roman"/>
                <w:sz w:val="18"/>
              </w:rPr>
              <w:t>7,380.</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38</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544,40</w:t>
            </w:r>
          </w:p>
          <w:p>
            <w:pPr>
              <w:pStyle w:val="TableParagraph"/>
              <w:spacing w:line="240" w:lineRule="auto" w:before="101"/>
              <w:ind w:left="81" w:right="0"/>
              <w:jc w:val="left"/>
              <w:rPr>
                <w:rFonts w:ascii="Times New Roman" w:hAnsi="Times New Roman" w:cs="Times New Roman" w:eastAsia="Times New Roman" w:hint="default"/>
                <w:sz w:val="18"/>
                <w:szCs w:val="18"/>
              </w:rPr>
            </w:pPr>
            <w:r>
              <w:rPr>
                <w:rFonts w:ascii="Times New Roman"/>
                <w:sz w:val="18"/>
              </w:rPr>
              <w:t>6,054.</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04</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13,757,</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189.55</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558,163</w:t>
            </w:r>
          </w:p>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,243.59</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4"/>
              <w:ind w:left="11" w:right="82"/>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3"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3"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5"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82"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82"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66,66</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6,667</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278,11</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8,619.</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65</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20,073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,387.0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179,54</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7,380.</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38</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544,40</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6,054.</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04</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13,757,</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189.55</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558,163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,243.59</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340"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1" w:right="82"/>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3,264,</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993.60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5,428,</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852.12</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31,591</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,596.6</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40,285</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,442.3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33,969,</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645.26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74,255,</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087.62</w:t>
            </w:r>
          </w:p>
        </w:tc>
      </w:tr>
      <w:tr>
        <w:trPr>
          <w:trHeight w:val="163"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50,353</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,782.1</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50,353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,782.1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-220,70</w:t>
            </w:r>
          </w:p>
          <w:p>
            <w:pPr>
              <w:pStyle w:val="TableParagraph"/>
              <w:spacing w:line="240" w:lineRule="auto" w:before="105"/>
              <w:ind w:left="293" w:right="0"/>
              <w:jc w:val="left"/>
              <w:rPr>
                <w:rFonts w:ascii="Times New Roman" w:hAnsi="Times New Roman" w:cs="Times New Roman" w:eastAsia="Times New Roman" w:hint="default"/>
                <w:sz w:val="18"/>
                <w:szCs w:val="18"/>
              </w:rPr>
            </w:pPr>
            <w:r>
              <w:rPr>
                <w:rFonts w:ascii="Times New Roman"/>
                <w:sz w:val="18"/>
              </w:rPr>
              <w:t>0.12</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50,133,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082.04</w:t>
            </w:r>
          </w:p>
        </w:tc>
      </w:tr>
      <w:tr>
        <w:trPr>
          <w:trHeight w:val="70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022"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2"/>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2,096,</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038.98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2,096,</w:t>
            </w:r>
          </w:p>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038.98</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37,413,</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100.00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39,509,</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138.98</w:t>
            </w:r>
          </w:p>
        </w:tc>
      </w:tr>
      <w:tr>
        <w:trPr>
          <w:trHeight w:val="71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sz w:val="18"/>
              </w:rPr>
              <w:t>37,413,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100.00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37,413,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100.00</w:t>
            </w:r>
          </w:p>
        </w:tc>
      </w:tr>
      <w:tr>
        <w:trPr>
          <w:trHeight w:val="1027"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2,096,</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038.98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2,096,</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038.98</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2,096,0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38.98</w:t>
            </w:r>
          </w:p>
        </w:tc>
      </w:tr>
      <w:tr>
        <w:trPr>
          <w:trHeight w:val="398"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5,428,</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852.12</w:t>
            </w: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-18,76</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2,185.</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52</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-13,33</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3,333.</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40</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-2,053,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800.00</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-15,387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,133.40</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5"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5,428,</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852.12</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-5,428,</w:t>
            </w:r>
          </w:p>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852.12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8"/>
              <w:ind w:left="24" w:right="9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-13,33</w:t>
            </w:r>
          </w:p>
          <w:p>
            <w:pPr>
              <w:pStyle w:val="TableParagraph"/>
              <w:spacing w:line="240" w:lineRule="auto" w:before="101"/>
              <w:ind w:left="105" w:right="0"/>
              <w:jc w:val="left"/>
              <w:rPr>
                <w:rFonts w:ascii="Times New Roman" w:hAnsi="Times New Roman" w:cs="Times New Roman" w:eastAsia="Times New Roman" w:hint="default"/>
                <w:sz w:val="18"/>
                <w:szCs w:val="18"/>
              </w:rPr>
            </w:pPr>
            <w:r>
              <w:rPr>
                <w:rFonts w:ascii="Times New Roman"/>
                <w:sz w:val="18"/>
              </w:rPr>
              <w:t>3,333.</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40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-13,33</w:t>
            </w:r>
          </w:p>
          <w:p>
            <w:pPr>
              <w:pStyle w:val="TableParagraph"/>
              <w:spacing w:line="240" w:lineRule="auto" w:before="101"/>
              <w:ind w:left="81" w:right="0"/>
              <w:jc w:val="left"/>
              <w:rPr>
                <w:rFonts w:ascii="Times New Roman" w:hAnsi="Times New Roman" w:cs="Times New Roman" w:eastAsia="Times New Roman" w:hint="default"/>
                <w:sz w:val="18"/>
                <w:szCs w:val="18"/>
              </w:rPr>
            </w:pPr>
            <w:r>
              <w:rPr>
                <w:rFonts w:ascii="Times New Roman"/>
                <w:sz w:val="18"/>
              </w:rPr>
              <w:t>3,333.</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40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-2,053,</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800.00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-15,387</w:t>
            </w:r>
          </w:p>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,133.40</w:t>
            </w: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94"/>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1,168,</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954.62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1,168,</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954.62</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-1,168,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954.62</w:t>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center"/>
              <w:rPr>
                <w:rFonts w:ascii="Times New Roman" w:hAnsi="Times New Roman" w:cs="Times New Roman" w:eastAsia="Times New Roman" w:hint="default"/>
                <w:sz w:val="18"/>
                <w:szCs w:val="18"/>
              </w:rPr>
            </w:pPr>
            <w:r>
              <w:rPr>
                <w:rFonts w:ascii="Times New Roman"/>
                <w:sz w:val="18"/>
              </w:rPr>
              <w:t>66,66</w:t>
            </w:r>
          </w:p>
          <w:p>
            <w:pPr>
              <w:pStyle w:val="TableParagraph"/>
              <w:spacing w:line="240" w:lineRule="auto" w:before="100"/>
              <w:ind w:left="33" w:right="0"/>
              <w:jc w:val="center"/>
              <w:rPr>
                <w:rFonts w:ascii="Times New Roman" w:hAnsi="Times New Roman" w:cs="Times New Roman" w:eastAsia="Times New Roman" w:hint="default"/>
                <w:sz w:val="18"/>
                <w:szCs w:val="18"/>
              </w:rPr>
            </w:pPr>
            <w:r>
              <w:rPr>
                <w:rFonts w:ascii="Times New Roman"/>
                <w:sz w:val="18"/>
              </w:rPr>
              <w:t>6,667</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281,38</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3,613.</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25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25,502</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,239.1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211,13</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8,977.</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02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584,69</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1,496.</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40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47,726,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834.81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632,418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,331.21</w:t>
            </w:r>
          </w:p>
        </w:tc>
      </w:tr>
    </w:tbl>
    <w:p>
      <w:pPr>
        <w:spacing w:line="240" w:lineRule="auto" w:before="10"/>
        <w:rPr>
          <w:rFonts w:ascii="Times New Roman" w:hAnsi="Times New Roman" w:cs="Times New Roman" w:eastAsia="Times New Roman" w:hint="default"/>
          <w:sz w:val="21"/>
          <w:szCs w:val="21"/>
        </w:rPr>
      </w:pPr>
    </w:p>
    <w:p>
      <w:pPr>
        <w:spacing w:before="36"/>
        <w:ind w:left="153" w:right="0" w:firstLine="0"/>
        <w:jc w:val="left"/>
        <w:rPr>
          <w:rFonts w:ascii="宋体" w:hAnsi="宋体" w:cs="宋体" w:eastAsia="宋体" w:hint="default"/>
          <w:sz w:val="21"/>
          <w:szCs w:val="21"/>
        </w:rPr>
      </w:pPr>
      <w:bookmarkStart w:name="8、母公司所有者权益变动表" w:id="168"/>
      <w:bookmarkEnd w:id="16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1815"/>
        <w:gridCol w:w="725"/>
        <w:gridCol w:w="725"/>
        <w:gridCol w:w="730"/>
        <w:gridCol w:w="725"/>
        <w:gridCol w:w="725"/>
        <w:gridCol w:w="614"/>
        <w:gridCol w:w="711"/>
        <w:gridCol w:w="864"/>
      </w:tblGrid>
      <w:tr>
        <w:trPr>
          <w:trHeight w:val="403"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4"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1"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14"/>
                <w:sz w:val="18"/>
                <w:szCs w:val="18"/>
              </w:rPr>
              <w:t>减：库存</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1"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1"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1"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67"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82"/>
        <w:gridCol w:w="641"/>
        <w:gridCol w:w="605"/>
        <w:gridCol w:w="605"/>
        <w:gridCol w:w="605"/>
        <w:gridCol w:w="725"/>
        <w:gridCol w:w="725"/>
        <w:gridCol w:w="730"/>
        <w:gridCol w:w="725"/>
        <w:gridCol w:w="725"/>
        <w:gridCol w:w="614"/>
        <w:gridCol w:w="711"/>
        <w:gridCol w:w="864"/>
      </w:tblGrid>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积</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 w:right="0"/>
              <w:jc w:val="center"/>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91"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积</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9"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58"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58"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3"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66,666,</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667.00</w:t>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283,004,</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340.21</w:t>
            </w:r>
          </w:p>
        </w:tc>
        <w:tc>
          <w:tcPr>
            <w:tcW w:w="725" w:type="dxa"/>
            <w:vMerge w:val="restart"/>
            <w:tcBorders>
              <w:top w:val="single" w:sz="4" w:space="0" w:color="000000"/>
              <w:left w:val="single" w:sz="4" w:space="0" w:color="000000"/>
              <w:right w:val="single" w:sz="4" w:space="0" w:color="000000"/>
            </w:tcBorders>
          </w:tcPr>
          <w:p>
            <w:pPr/>
          </w:p>
        </w:tc>
        <w:tc>
          <w:tcPr>
            <w:tcW w:w="73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25,502,2</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39.13</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216,18</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6,818.7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591,360,0</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65.04</w:t>
            </w:r>
          </w:p>
        </w:tc>
      </w:tr>
      <w:tr>
        <w:trPr>
          <w:trHeight w:val="706"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4"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41" w:type="dxa"/>
            <w:vMerge/>
            <w:tcBorders>
              <w:left w:val="single" w:sz="13"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58"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3"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5" w:firstLine="360"/>
              <w:jc w:val="left"/>
              <w:rPr>
                <w:rFonts w:ascii="宋体" w:hAnsi="宋体" w:cs="宋体" w:eastAsia="宋体" w:hint="default"/>
                <w:sz w:val="18"/>
                <w:szCs w:val="18"/>
              </w:rPr>
            </w:pPr>
            <w:r>
              <w:rPr>
                <w:rFonts w:ascii="宋体" w:hAnsi="宋体" w:cs="宋体" w:eastAsia="宋体" w:hint="default"/>
                <w:spacing w:val="-4"/>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3"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3"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66,666,</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667.00</w:t>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283,004,</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340.21</w:t>
            </w:r>
          </w:p>
        </w:tc>
        <w:tc>
          <w:tcPr>
            <w:tcW w:w="725" w:type="dxa"/>
            <w:vMerge w:val="restart"/>
            <w:tcBorders>
              <w:top w:val="single" w:sz="4" w:space="0" w:color="000000"/>
              <w:left w:val="single" w:sz="4" w:space="0" w:color="000000"/>
              <w:right w:val="single" w:sz="4" w:space="0" w:color="000000"/>
            </w:tcBorders>
          </w:tcPr>
          <w:p>
            <w:pPr/>
          </w:p>
        </w:tc>
        <w:tc>
          <w:tcPr>
            <w:tcW w:w="73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25,502,2</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39.13</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216,18</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6,818.7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591,360,0</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65.04</w:t>
            </w:r>
          </w:p>
        </w:tc>
      </w:tr>
      <w:tr>
        <w:trPr>
          <w:trHeight w:val="706"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41" w:type="dxa"/>
            <w:vMerge/>
            <w:tcBorders>
              <w:left w:val="single" w:sz="13"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58"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3"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1028"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5"/>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动金额（减少以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-55,719,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185.92</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4,634,66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3.40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31,711,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970.57</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40,627,44</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8.05</w:t>
            </w: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总额</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46,346,</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634.02</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46,346,63</w:t>
            </w:r>
          </w:p>
          <w:p>
            <w:pPr>
              <w:pStyle w:val="TableParagraph"/>
              <w:spacing w:line="240" w:lineRule="auto" w:before="110"/>
              <w:ind w:left="513" w:right="0"/>
              <w:jc w:val="left"/>
              <w:rPr>
                <w:rFonts w:ascii="Times New Roman" w:hAnsi="Times New Roman" w:cs="Times New Roman" w:eastAsia="Times New Roman" w:hint="default"/>
                <w:sz w:val="18"/>
                <w:szCs w:val="18"/>
              </w:rPr>
            </w:pPr>
            <w:r>
              <w:rPr>
                <w:rFonts w:ascii="Times New Roman"/>
                <w:sz w:val="18"/>
              </w:rPr>
              <w:t>4.02</w:t>
            </w:r>
          </w:p>
        </w:tc>
      </w:tr>
      <w:tr>
        <w:trPr>
          <w:trHeight w:val="716"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4"/>
                <w:sz w:val="18"/>
                <w:szCs w:val="18"/>
              </w:rPr>
              <w:t>（二）所有者投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入和减少资本</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4,280,81</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4.08</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4,280,814.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r>
      <w:tr>
        <w:trPr>
          <w:trHeight w:val="710"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1" w:right="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4,280,81</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4.08</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4,280,814.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3"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3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4,634,66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3.40</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-14,634</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,663.45</w:t>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0.05</w:t>
            </w:r>
          </w:p>
        </w:tc>
      </w:tr>
      <w:tr>
        <w:trPr>
          <w:trHeight w:val="394"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641" w:type="dxa"/>
            <w:vMerge/>
            <w:tcBorders>
              <w:left w:val="single" w:sz="13"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58"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3"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6"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4,634,66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3.40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sz w:val="18"/>
              </w:rPr>
              <w:t>-4,634,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663.40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5"/>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股东）的分配</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,000.05</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10"/>
              <w:ind w:left="513" w:right="0"/>
              <w:jc w:val="left"/>
              <w:rPr>
                <w:rFonts w:ascii="Times New Roman" w:hAnsi="Times New Roman" w:cs="Times New Roman" w:eastAsia="Times New Roman" w:hint="default"/>
                <w:sz w:val="18"/>
                <w:szCs w:val="18"/>
              </w:rPr>
            </w:pPr>
            <w:r>
              <w:rPr>
                <w:rFonts w:ascii="Times New Roman"/>
                <w:sz w:val="18"/>
              </w:rPr>
              <w:t>0.05</w:t>
            </w: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（四）所有者权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益内部结转</w:t>
            </w:r>
          </w:p>
        </w:tc>
        <w:tc>
          <w:tcPr>
            <w:tcW w:w="6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77"/>
              <w:ind w:left="11" w:right="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p>
        </w:tc>
        <w:tc>
          <w:tcPr>
            <w:tcW w:w="6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9"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36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四、本期期末余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6,667.0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227,285,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154.29</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30,136,9</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02.53</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247,89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8,789.2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631,987,5</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13.09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17"/>
        <w:gridCol w:w="595"/>
        <w:gridCol w:w="572"/>
        <w:gridCol w:w="576"/>
        <w:gridCol w:w="572"/>
        <w:gridCol w:w="682"/>
        <w:gridCol w:w="687"/>
        <w:gridCol w:w="686"/>
        <w:gridCol w:w="783"/>
        <w:gridCol w:w="662"/>
        <w:gridCol w:w="802"/>
        <w:gridCol w:w="797"/>
        <w:gridCol w:w="926"/>
      </w:tblGrid>
      <w:tr>
        <w:trPr>
          <w:trHeight w:val="398" w:hRule="exact"/>
        </w:trPr>
        <w:tc>
          <w:tcPr>
            <w:tcW w:w="1217" w:type="dxa"/>
            <w:vMerge w:val="restart"/>
            <w:tcBorders>
              <w:top w:val="single" w:sz="4" w:space="0" w:color="000000"/>
              <w:left w:val="single" w:sz="4" w:space="0" w:color="000000"/>
              <w:right w:val="single" w:sz="4" w:space="0" w:color="000000"/>
            </w:tcBorders>
            <w:shd w:val="clear" w:color="auto" w:fill="D2D2D2"/>
          </w:tcPr>
          <w:p>
            <w:pPr/>
          </w:p>
        </w:tc>
        <w:tc>
          <w:tcPr>
            <w:tcW w:w="83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187" w:hRule="exact"/>
        </w:trPr>
        <w:tc>
          <w:tcPr>
            <w:tcW w:w="1217" w:type="dxa"/>
            <w:vMerge/>
            <w:tcBorders>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4" w:space="0" w:color="000000"/>
              <w:right w:val="single" w:sz="4" w:space="0" w:color="000000"/>
            </w:tcBorders>
            <w:shd w:val="clear" w:color="auto" w:fill="D2D2D2"/>
          </w:tcPr>
          <w:p>
            <w:pPr/>
          </w:p>
        </w:tc>
        <w:tc>
          <w:tcPr>
            <w:tcW w:w="1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4" w:space="0" w:color="000000"/>
              <w:right w:val="single" w:sz="4" w:space="0" w:color="FFFFFF"/>
            </w:tcBorders>
            <w:shd w:val="clear" w:color="auto" w:fill="D2D2D2"/>
          </w:tcPr>
          <w:p>
            <w:pPr/>
          </w:p>
        </w:tc>
        <w:tc>
          <w:tcPr>
            <w:tcW w:w="662" w:type="dxa"/>
            <w:tcBorders>
              <w:top w:val="single" w:sz="4" w:space="0" w:color="000000"/>
              <w:left w:val="single" w:sz="4" w:space="0" w:color="FFFFFF"/>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FFFFFF"/>
            </w:tcBorders>
            <w:shd w:val="clear" w:color="auto" w:fill="D2D2D2"/>
          </w:tcPr>
          <w:p>
            <w:pPr/>
          </w:p>
        </w:tc>
        <w:tc>
          <w:tcPr>
            <w:tcW w:w="926" w:type="dxa"/>
            <w:tcBorders>
              <w:top w:val="single" w:sz="4" w:space="0" w:color="000000"/>
              <w:left w:val="single" w:sz="4" w:space="0" w:color="FFFFFF"/>
              <w:bottom w:val="nil" w:sz="6" w:space="0" w:color="auto"/>
              <w:right w:val="single" w:sz="4" w:space="0" w:color="000000"/>
            </w:tcBorders>
            <w:shd w:val="clear" w:color="auto" w:fill="D2D2D2"/>
          </w:tcPr>
          <w:p>
            <w:pPr/>
          </w:p>
        </w:tc>
      </w:tr>
      <w:tr>
        <w:trPr>
          <w:trHeight w:val="180" w:hRule="exact"/>
        </w:trPr>
        <w:tc>
          <w:tcPr>
            <w:tcW w:w="12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95" w:type="dxa"/>
            <w:vMerge/>
            <w:tcBorders>
              <w:left w:val="single" w:sz="4" w:space="0" w:color="000000"/>
              <w:bottom w:val="nil" w:sz="6" w:space="0" w:color="auto"/>
              <w:right w:val="single" w:sz="4" w:space="0" w:color="000000"/>
            </w:tcBorders>
            <w:shd w:val="clear" w:color="auto" w:fill="D2D2D2"/>
          </w:tcPr>
          <w:p>
            <w:pPr/>
          </w:p>
        </w:tc>
        <w:tc>
          <w:tcPr>
            <w:tcW w:w="1719" w:type="dxa"/>
            <w:gridSpan w:val="3"/>
            <w:vMerge/>
            <w:tcBorders>
              <w:left w:val="single" w:sz="4" w:space="0" w:color="000000"/>
              <w:bottom w:val="single" w:sz="4" w:space="0" w:color="000000"/>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249" w:right="6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249" w:right="17"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67" w:right="6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tcBorders>
              <w:left w:val="single" w:sz="4" w:space="0" w:color="000000"/>
              <w:bottom w:val="nil" w:sz="6" w:space="0" w:color="auto"/>
              <w:right w:val="single" w:sz="4" w:space="0" w:color="FFFFFF"/>
            </w:tcBorders>
            <w:shd w:val="clear" w:color="auto" w:fill="D2D2D2"/>
          </w:tcPr>
          <w:p>
            <w:pPr/>
          </w:p>
        </w:tc>
        <w:tc>
          <w:tcPr>
            <w:tcW w:w="662"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9"/>
              <w:ind w:left="239"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307" w:right="3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tcBorders>
              <w:left w:val="single" w:sz="4" w:space="0" w:color="000000"/>
              <w:bottom w:val="nil" w:sz="6" w:space="0" w:color="auto"/>
              <w:right w:val="single" w:sz="4" w:space="0" w:color="FFFFFF"/>
            </w:tcBorders>
            <w:shd w:val="clear" w:color="auto" w:fill="D2D2D2"/>
          </w:tcPr>
          <w:p>
            <w:pPr/>
          </w:p>
        </w:tc>
        <w:tc>
          <w:tcPr>
            <w:tcW w:w="926"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9"/>
              <w:ind w:left="192"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87" w:hRule="exact"/>
        </w:trPr>
        <w:tc>
          <w:tcPr>
            <w:tcW w:w="1217" w:type="dxa"/>
            <w:vMerge/>
            <w:tcBorders>
              <w:left w:val="single" w:sz="4" w:space="0" w:color="000000"/>
              <w:bottom w:val="nil" w:sz="6" w:space="0" w:color="auto"/>
              <w:right w:val="single" w:sz="4" w:space="0" w:color="000000"/>
            </w:tcBorders>
            <w:shd w:val="clear" w:color="auto" w:fill="D2D2D2"/>
          </w:tcPr>
          <w:p>
            <w:pPr/>
          </w:p>
        </w:tc>
        <w:tc>
          <w:tcPr>
            <w:tcW w:w="5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1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192" w:right="94"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191" w:right="98"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tcBorders>
              <w:left w:val="single" w:sz="4" w:space="0" w:color="FFFFFF"/>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3"/>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tcBorders>
              <w:left w:val="single" w:sz="4" w:space="0" w:color="FFFFFF"/>
              <w:right w:val="single" w:sz="4" w:space="0" w:color="000000"/>
            </w:tcBorders>
            <w:shd w:val="clear" w:color="auto" w:fill="D2D2D2"/>
          </w:tcPr>
          <w:p>
            <w:pPr/>
          </w:p>
        </w:tc>
      </w:tr>
      <w:tr>
        <w:trPr>
          <w:trHeight w:val="197" w:hRule="exact"/>
        </w:trPr>
        <w:tc>
          <w:tcPr>
            <w:tcW w:w="1217" w:type="dxa"/>
            <w:vMerge w:val="restart"/>
            <w:tcBorders>
              <w:top w:val="nil" w:sz="6" w:space="0" w:color="auto"/>
              <w:left w:val="single" w:sz="4" w:space="0" w:color="000000"/>
              <w:right w:val="single" w:sz="4" w:space="0" w:color="000000"/>
            </w:tcBorders>
            <w:shd w:val="clear" w:color="auto" w:fill="D2D2D2"/>
          </w:tcPr>
          <w:p>
            <w:pPr/>
          </w:p>
        </w:tc>
        <w:tc>
          <w:tcPr>
            <w:tcW w:w="59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FFFFFF"/>
            </w:tcBorders>
            <w:shd w:val="clear" w:color="auto" w:fill="D2D2D2"/>
          </w:tcPr>
          <w:p>
            <w:pPr/>
          </w:p>
        </w:tc>
        <w:tc>
          <w:tcPr>
            <w:tcW w:w="662" w:type="dxa"/>
            <w:vMerge/>
            <w:tcBorders>
              <w:left w:val="single" w:sz="4" w:space="0" w:color="FFFFFF"/>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FFFFFF"/>
            </w:tcBorders>
            <w:shd w:val="clear" w:color="auto" w:fill="D2D2D2"/>
          </w:tcPr>
          <w:p>
            <w:pPr/>
          </w:p>
        </w:tc>
        <w:tc>
          <w:tcPr>
            <w:tcW w:w="926" w:type="dxa"/>
            <w:vMerge/>
            <w:tcBorders>
              <w:left w:val="single" w:sz="4" w:space="0" w:color="FFFFFF"/>
              <w:right w:val="single" w:sz="4" w:space="0" w:color="000000"/>
            </w:tcBorders>
            <w:shd w:val="clear" w:color="auto" w:fill="D2D2D2"/>
          </w:tcPr>
          <w:p>
            <w:pPr/>
          </w:p>
        </w:tc>
      </w:tr>
      <w:tr>
        <w:trPr>
          <w:trHeight w:val="154" w:hRule="exact"/>
        </w:trPr>
        <w:tc>
          <w:tcPr>
            <w:tcW w:w="1217" w:type="dxa"/>
            <w:vMerge/>
            <w:tcBorders>
              <w:left w:val="single" w:sz="4" w:space="0" w:color="000000"/>
              <w:right w:val="single" w:sz="4" w:space="0" w:color="000000"/>
            </w:tcBorders>
            <w:shd w:val="clear" w:color="auto" w:fill="D2D2D2"/>
          </w:tcPr>
          <w:p>
            <w:pPr/>
          </w:p>
        </w:tc>
        <w:tc>
          <w:tcPr>
            <w:tcW w:w="595" w:type="dxa"/>
            <w:vMerge w:val="restart"/>
            <w:tcBorders>
              <w:top w:val="nil" w:sz="6" w:space="0" w:color="auto"/>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FFFFFF"/>
            </w:tcBorders>
            <w:shd w:val="clear" w:color="auto" w:fill="D2D2D2"/>
          </w:tcPr>
          <w:p>
            <w:pPr/>
          </w:p>
        </w:tc>
        <w:tc>
          <w:tcPr>
            <w:tcW w:w="662" w:type="dxa"/>
            <w:vMerge/>
            <w:tcBorders>
              <w:left w:val="single" w:sz="4" w:space="0" w:color="FFFFFF"/>
              <w:bottom w:val="nil" w:sz="6" w:space="0" w:color="auto"/>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FFFFFF"/>
            </w:tcBorders>
            <w:shd w:val="clear" w:color="auto" w:fill="D2D2D2"/>
          </w:tcPr>
          <w:p>
            <w:pPr/>
          </w:p>
        </w:tc>
        <w:tc>
          <w:tcPr>
            <w:tcW w:w="926" w:type="dxa"/>
            <w:vMerge/>
            <w:tcBorders>
              <w:left w:val="single" w:sz="4" w:space="0" w:color="FFFFFF"/>
              <w:bottom w:val="nil" w:sz="6" w:space="0" w:color="auto"/>
              <w:right w:val="single" w:sz="4" w:space="0" w:color="000000"/>
            </w:tcBorders>
            <w:shd w:val="clear" w:color="auto" w:fill="D2D2D2"/>
          </w:tcPr>
          <w:p>
            <w:pPr/>
          </w:p>
        </w:tc>
      </w:tr>
      <w:tr>
        <w:trPr>
          <w:trHeight w:val="206" w:hRule="exact"/>
        </w:trPr>
        <w:tc>
          <w:tcPr>
            <w:tcW w:w="1217" w:type="dxa"/>
            <w:vMerge/>
            <w:tcBorders>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FFFFFF"/>
            </w:tcBorders>
            <w:shd w:val="clear" w:color="auto" w:fill="D2D2D2"/>
          </w:tcPr>
          <w:p>
            <w:pPr/>
          </w:p>
        </w:tc>
        <w:tc>
          <w:tcPr>
            <w:tcW w:w="662" w:type="dxa"/>
            <w:tcBorders>
              <w:top w:val="nil" w:sz="6" w:space="0" w:color="auto"/>
              <w:left w:val="single" w:sz="4" w:space="0" w:color="FFFFFF"/>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FFFFFF"/>
            </w:tcBorders>
            <w:shd w:val="clear" w:color="auto" w:fill="D2D2D2"/>
          </w:tcPr>
          <w:p>
            <w:pPr/>
          </w:p>
        </w:tc>
        <w:tc>
          <w:tcPr>
            <w:tcW w:w="926" w:type="dxa"/>
            <w:tcBorders>
              <w:top w:val="nil" w:sz="6" w:space="0" w:color="auto"/>
              <w:left w:val="single" w:sz="4" w:space="0" w:color="FFFFFF"/>
              <w:bottom w:val="single" w:sz="4" w:space="0" w:color="000000"/>
              <w:right w:val="single" w:sz="4" w:space="0" w:color="000000"/>
            </w:tcBorders>
            <w:shd w:val="clear" w:color="auto" w:fill="D2D2D2"/>
          </w:tcPr>
          <w:p>
            <w:pPr/>
          </w:p>
        </w:tc>
      </w:tr>
      <w:tr>
        <w:trPr>
          <w:trHeight w:val="164" w:hRule="exact"/>
        </w:trPr>
        <w:tc>
          <w:tcPr>
            <w:tcW w:w="1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66,666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,667.0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280,908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,301.23</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FFFFFF"/>
            </w:tcBorders>
          </w:tcPr>
          <w:p>
            <w:pPr/>
          </w:p>
        </w:tc>
        <w:tc>
          <w:tcPr>
            <w:tcW w:w="662" w:type="dxa"/>
            <w:vMerge w:val="restart"/>
            <w:tcBorders>
              <w:top w:val="single" w:sz="4" w:space="0" w:color="000000"/>
              <w:left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20,073,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387.01</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180,660,4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83.06</w:t>
            </w:r>
          </w:p>
        </w:tc>
        <w:tc>
          <w:tcPr>
            <w:tcW w:w="797" w:type="dxa"/>
            <w:vMerge w:val="restart"/>
            <w:tcBorders>
              <w:top w:val="single" w:sz="4" w:space="0" w:color="000000"/>
              <w:left w:val="single" w:sz="4" w:space="0" w:color="000000"/>
              <w:right w:val="single" w:sz="4" w:space="0" w:color="FFFFFF"/>
            </w:tcBorders>
          </w:tcPr>
          <w:p>
            <w:pPr/>
          </w:p>
        </w:tc>
        <w:tc>
          <w:tcPr>
            <w:tcW w:w="926" w:type="dxa"/>
            <w:vMerge w:val="restart"/>
            <w:tcBorders>
              <w:top w:val="single" w:sz="4" w:space="0" w:color="000000"/>
              <w:left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548,308,83</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8.30</w:t>
            </w:r>
          </w:p>
        </w:tc>
      </w:tr>
      <w:tr>
        <w:trPr>
          <w:trHeight w:val="701" w:hRule="exact"/>
        </w:trPr>
        <w:tc>
          <w:tcPr>
            <w:tcW w:w="12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12"/>
              <w:jc w:val="left"/>
              <w:rPr>
                <w:rFonts w:ascii="宋体" w:hAnsi="宋体" w:cs="宋体" w:eastAsia="宋体" w:hint="default"/>
                <w:sz w:val="18"/>
                <w:szCs w:val="18"/>
              </w:rPr>
            </w:pPr>
            <w:r>
              <w:rPr>
                <w:rFonts w:ascii="宋体" w:hAnsi="宋体" w:cs="宋体" w:eastAsia="宋体" w:hint="default"/>
                <w:spacing w:val="-14"/>
                <w:w w:val="101"/>
                <w:sz w:val="18"/>
                <w:szCs w:val="18"/>
              </w:rPr>
              <w:t>一、上年期末余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FFFFFF"/>
            </w:tcBorders>
          </w:tcPr>
          <w:p>
            <w:pPr/>
          </w:p>
        </w:tc>
        <w:tc>
          <w:tcPr>
            <w:tcW w:w="662" w:type="dxa"/>
            <w:vMerge/>
            <w:tcBorders>
              <w:left w:val="single" w:sz="4" w:space="0" w:color="FFFFFF"/>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FFFFFF"/>
            </w:tcBorders>
          </w:tcPr>
          <w:p>
            <w:pPr/>
          </w:p>
        </w:tc>
        <w:tc>
          <w:tcPr>
            <w:tcW w:w="926" w:type="dxa"/>
            <w:vMerge/>
            <w:tcBorders>
              <w:left w:val="single" w:sz="4" w:space="0" w:color="FFFFFF"/>
              <w:right w:val="single" w:sz="4" w:space="0" w:color="000000"/>
            </w:tcBorders>
          </w:tcPr>
          <w:p>
            <w:pPr/>
          </w:p>
        </w:tc>
      </w:tr>
      <w:tr>
        <w:trPr>
          <w:trHeight w:val="163" w:hRule="exact"/>
        </w:trPr>
        <w:tc>
          <w:tcPr>
            <w:tcW w:w="1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595"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FFFFFF"/>
            </w:tcBorders>
          </w:tcPr>
          <w:p>
            <w:pPr/>
          </w:p>
        </w:tc>
        <w:tc>
          <w:tcPr>
            <w:tcW w:w="662" w:type="dxa"/>
            <w:vMerge/>
            <w:tcBorders>
              <w:left w:val="single" w:sz="4" w:space="0" w:color="FFFFFF"/>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FFFFFF"/>
            </w:tcBorders>
          </w:tcPr>
          <w:p>
            <w:pPr/>
          </w:p>
        </w:tc>
        <w:tc>
          <w:tcPr>
            <w:tcW w:w="926" w:type="dxa"/>
            <w:vMerge/>
            <w:tcBorders>
              <w:left w:val="single" w:sz="4" w:space="0" w:color="FFFFFF"/>
              <w:bottom w:val="single" w:sz="4" w:space="0" w:color="000000"/>
              <w:right w:val="single" w:sz="4" w:space="0" w:color="000000"/>
            </w:tcBorders>
          </w:tcPr>
          <w:p>
            <w:pPr/>
          </w:p>
        </w:tc>
      </w:tr>
      <w:tr>
        <w:trPr>
          <w:trHeight w:val="71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2" w:firstLine="360"/>
              <w:jc w:val="left"/>
              <w:rPr>
                <w:rFonts w:ascii="宋体" w:hAnsi="宋体" w:cs="宋体" w:eastAsia="宋体" w:hint="default"/>
                <w:sz w:val="18"/>
                <w:szCs w:val="18"/>
              </w:rPr>
            </w:pPr>
            <w:r>
              <w:rPr>
                <w:rFonts w:ascii="宋体" w:hAnsi="宋体" w:cs="宋体" w:eastAsia="宋体" w:hint="default"/>
                <w:spacing w:val="-19"/>
                <w:w w:val="101"/>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FFFFFF"/>
            </w:tcBorders>
          </w:tcPr>
          <w:p>
            <w:pPr/>
          </w:p>
        </w:tc>
        <w:tc>
          <w:tcPr>
            <w:tcW w:w="662" w:type="dxa"/>
            <w:tcBorders>
              <w:top w:val="single" w:sz="4" w:space="0" w:color="000000"/>
              <w:left w:val="single" w:sz="4" w:space="0" w:color="FFFFFF"/>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926" w:type="dxa"/>
            <w:tcBorders>
              <w:top w:val="single" w:sz="4" w:space="0" w:color="000000"/>
              <w:left w:val="single" w:sz="4" w:space="0" w:color="FFFFFF"/>
              <w:bottom w:val="single" w:sz="4" w:space="0" w:color="000000"/>
              <w:right w:val="single" w:sz="4" w:space="0" w:color="000000"/>
            </w:tcBorders>
          </w:tcPr>
          <w:p>
            <w:pPr/>
          </w:p>
        </w:tc>
      </w:tr>
      <w:tr>
        <w:trPr>
          <w:trHeight w:val="710"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8"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FFFFFF"/>
            </w:tcBorders>
          </w:tcPr>
          <w:p>
            <w:pPr/>
          </w:p>
        </w:tc>
        <w:tc>
          <w:tcPr>
            <w:tcW w:w="662" w:type="dxa"/>
            <w:tcBorders>
              <w:top w:val="single" w:sz="4" w:space="0" w:color="000000"/>
              <w:left w:val="single" w:sz="4" w:space="0" w:color="FFFFFF"/>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926" w:type="dxa"/>
            <w:tcBorders>
              <w:top w:val="single" w:sz="4" w:space="0" w:color="000000"/>
              <w:left w:val="single" w:sz="4" w:space="0" w:color="FFFFFF"/>
              <w:bottom w:val="single" w:sz="4" w:space="0" w:color="000000"/>
              <w:right w:val="single" w:sz="4" w:space="0" w:color="000000"/>
            </w:tcBorders>
          </w:tcPr>
          <w:p>
            <w:pP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08"/>
              <w:jc w:val="right"/>
              <w:rPr>
                <w:rFonts w:ascii="宋体" w:hAnsi="宋体" w:cs="宋体" w:eastAsia="宋体" w:hint="default"/>
                <w:sz w:val="18"/>
                <w:szCs w:val="18"/>
              </w:rPr>
            </w:pPr>
            <w:r>
              <w:rPr>
                <w:rFonts w:ascii="宋体" w:hAnsi="宋体" w:cs="宋体" w:eastAsia="宋体" w:hint="default"/>
                <w:sz w:val="18"/>
                <w:szCs w:val="18"/>
              </w:rPr>
              <w:t>其他</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FFFFFF"/>
            </w:tcBorders>
          </w:tcPr>
          <w:p>
            <w:pPr/>
          </w:p>
        </w:tc>
        <w:tc>
          <w:tcPr>
            <w:tcW w:w="662" w:type="dxa"/>
            <w:tcBorders>
              <w:top w:val="single" w:sz="4" w:space="0" w:color="000000"/>
              <w:left w:val="single" w:sz="4" w:space="0" w:color="FFFFFF"/>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926" w:type="dxa"/>
            <w:tcBorders>
              <w:top w:val="single" w:sz="4" w:space="0" w:color="000000"/>
              <w:left w:val="single" w:sz="4" w:space="0" w:color="FFFFFF"/>
              <w:bottom w:val="single" w:sz="4" w:space="0" w:color="000000"/>
              <w:right w:val="single" w:sz="4" w:space="0" w:color="000000"/>
            </w:tcBorders>
          </w:tcPr>
          <w:p>
            <w:pPr/>
          </w:p>
        </w:tc>
      </w:tr>
      <w:tr>
        <w:trPr>
          <w:trHeight w:val="163" w:hRule="exact"/>
        </w:trPr>
        <w:tc>
          <w:tcPr>
            <w:tcW w:w="1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66,666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,667.0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280,908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,301.23</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FFFFFF"/>
            </w:tcBorders>
          </w:tcPr>
          <w:p>
            <w:pPr/>
          </w:p>
        </w:tc>
        <w:tc>
          <w:tcPr>
            <w:tcW w:w="662" w:type="dxa"/>
            <w:vMerge w:val="restart"/>
            <w:tcBorders>
              <w:top w:val="single" w:sz="4" w:space="0" w:color="000000"/>
              <w:left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20,073,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387.01</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180,660,4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83.06</w:t>
            </w:r>
          </w:p>
        </w:tc>
        <w:tc>
          <w:tcPr>
            <w:tcW w:w="797" w:type="dxa"/>
            <w:vMerge w:val="restart"/>
            <w:tcBorders>
              <w:top w:val="single" w:sz="4" w:space="0" w:color="000000"/>
              <w:left w:val="single" w:sz="4" w:space="0" w:color="000000"/>
              <w:right w:val="single" w:sz="4" w:space="0" w:color="FFFFFF"/>
            </w:tcBorders>
          </w:tcPr>
          <w:p>
            <w:pPr/>
          </w:p>
        </w:tc>
        <w:tc>
          <w:tcPr>
            <w:tcW w:w="926" w:type="dxa"/>
            <w:vMerge w:val="restart"/>
            <w:tcBorders>
              <w:top w:val="single" w:sz="4" w:space="0" w:color="000000"/>
              <w:left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548,308,83</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8.30</w:t>
            </w:r>
          </w:p>
        </w:tc>
      </w:tr>
      <w:tr>
        <w:trPr>
          <w:trHeight w:val="701" w:hRule="exact"/>
        </w:trPr>
        <w:tc>
          <w:tcPr>
            <w:tcW w:w="12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1" w:right="12"/>
              <w:jc w:val="left"/>
              <w:rPr>
                <w:rFonts w:ascii="宋体" w:hAnsi="宋体" w:cs="宋体" w:eastAsia="宋体" w:hint="default"/>
                <w:sz w:val="18"/>
                <w:szCs w:val="18"/>
              </w:rPr>
            </w:pPr>
            <w:r>
              <w:rPr>
                <w:rFonts w:ascii="宋体" w:hAnsi="宋体" w:cs="宋体" w:eastAsia="宋体" w:hint="default"/>
                <w:spacing w:val="-14"/>
                <w:w w:val="101"/>
                <w:sz w:val="18"/>
                <w:szCs w:val="18"/>
              </w:rPr>
              <w:t>二、本年期初余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FFFFFF"/>
            </w:tcBorders>
          </w:tcPr>
          <w:p>
            <w:pPr/>
          </w:p>
        </w:tc>
        <w:tc>
          <w:tcPr>
            <w:tcW w:w="662" w:type="dxa"/>
            <w:vMerge/>
            <w:tcBorders>
              <w:left w:val="single" w:sz="4" w:space="0" w:color="FFFFFF"/>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FFFFFF"/>
            </w:tcBorders>
          </w:tcPr>
          <w:p>
            <w:pPr/>
          </w:p>
        </w:tc>
        <w:tc>
          <w:tcPr>
            <w:tcW w:w="926" w:type="dxa"/>
            <w:vMerge/>
            <w:tcBorders>
              <w:left w:val="single" w:sz="4" w:space="0" w:color="FFFFFF"/>
              <w:right w:val="single" w:sz="4" w:space="0" w:color="000000"/>
            </w:tcBorders>
          </w:tcPr>
          <w:p>
            <w:pPr/>
          </w:p>
        </w:tc>
      </w:tr>
      <w:tr>
        <w:trPr>
          <w:trHeight w:val="163" w:hRule="exact"/>
        </w:trPr>
        <w:tc>
          <w:tcPr>
            <w:tcW w:w="1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595"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FFFFFF"/>
            </w:tcBorders>
          </w:tcPr>
          <w:p>
            <w:pPr/>
          </w:p>
        </w:tc>
        <w:tc>
          <w:tcPr>
            <w:tcW w:w="662" w:type="dxa"/>
            <w:vMerge/>
            <w:tcBorders>
              <w:left w:val="single" w:sz="4" w:space="0" w:color="FFFFFF"/>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FFFFFF"/>
            </w:tcBorders>
          </w:tcPr>
          <w:p>
            <w:pPr/>
          </w:p>
        </w:tc>
        <w:tc>
          <w:tcPr>
            <w:tcW w:w="926" w:type="dxa"/>
            <w:vMerge/>
            <w:tcBorders>
              <w:left w:val="single" w:sz="4" w:space="0" w:color="FFFFFF"/>
              <w:bottom w:val="single" w:sz="4" w:space="0" w:color="000000"/>
              <w:right w:val="single" w:sz="4" w:space="0" w:color="000000"/>
            </w:tcBorders>
          </w:tcPr>
          <w:p>
            <w:pP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2"/>
              <w:jc w:val="righ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期</w:t>
            </w:r>
            <w:r>
              <w:rPr>
                <w:rFonts w:ascii="宋体" w:hAnsi="宋体" w:cs="宋体" w:eastAsia="宋体" w:hint="default"/>
                <w:spacing w:val="-5"/>
                <w:w w:val="101"/>
                <w:sz w:val="18"/>
                <w:szCs w:val="18"/>
              </w:rPr>
              <w:t>增</w:t>
            </w:r>
            <w:r>
              <w:rPr>
                <w:rFonts w:ascii="宋体" w:hAnsi="宋体" w:cs="宋体" w:eastAsia="宋体" w:hint="default"/>
                <w:w w:val="101"/>
                <w:sz w:val="18"/>
                <w:szCs w:val="18"/>
              </w:rPr>
              <w:t>减变</w:t>
            </w:r>
            <w:r>
              <w:rPr>
                <w:rFonts w:ascii="宋体" w:hAnsi="宋体" w:cs="宋体" w:eastAsia="宋体" w:hint="default"/>
                <w:sz w:val="18"/>
                <w:szCs w:val="18"/>
              </w:rPr>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5" w:right="0"/>
              <w:jc w:val="left"/>
              <w:rPr>
                <w:rFonts w:ascii="Times New Roman" w:hAnsi="Times New Roman" w:cs="Times New Roman" w:eastAsia="Times New Roman" w:hint="default"/>
                <w:sz w:val="18"/>
                <w:szCs w:val="18"/>
              </w:rPr>
            </w:pPr>
            <w:r>
              <w:rPr>
                <w:rFonts w:ascii="Times New Roman"/>
                <w:sz w:val="18"/>
              </w:rPr>
              <w:t>2,096,0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FFFFFF"/>
            </w:tcBorders>
          </w:tcPr>
          <w:p>
            <w:pPr/>
          </w:p>
        </w:tc>
        <w:tc>
          <w:tcPr>
            <w:tcW w:w="66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5"/>
              <w:ind w:left="95" w:right="0"/>
              <w:jc w:val="left"/>
              <w:rPr>
                <w:rFonts w:ascii="Times New Roman" w:hAnsi="Times New Roman" w:cs="Times New Roman" w:eastAsia="Times New Roman" w:hint="default"/>
                <w:sz w:val="18"/>
                <w:szCs w:val="18"/>
              </w:rPr>
            </w:pPr>
            <w:r>
              <w:rPr>
                <w:rFonts w:ascii="Times New Roman"/>
                <w:sz w:val="18"/>
              </w:rPr>
              <w:t>5,428,8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8" w:right="0"/>
              <w:jc w:val="left"/>
              <w:rPr>
                <w:rFonts w:ascii="Times New Roman" w:hAnsi="Times New Roman" w:cs="Times New Roman" w:eastAsia="Times New Roman" w:hint="default"/>
                <w:sz w:val="18"/>
                <w:szCs w:val="18"/>
              </w:rPr>
            </w:pPr>
            <w:r>
              <w:rPr>
                <w:rFonts w:ascii="Times New Roman"/>
                <w:sz w:val="18"/>
              </w:rPr>
              <w:t>35,526,33</w:t>
            </w:r>
          </w:p>
        </w:tc>
        <w:tc>
          <w:tcPr>
            <w:tcW w:w="797" w:type="dxa"/>
            <w:tcBorders>
              <w:top w:val="single" w:sz="4" w:space="0" w:color="000000"/>
              <w:left w:val="single" w:sz="4" w:space="0" w:color="000000"/>
              <w:bottom w:val="single" w:sz="4" w:space="0" w:color="000000"/>
              <w:right w:val="single" w:sz="4" w:space="0" w:color="FFFFFF"/>
            </w:tcBorders>
          </w:tcPr>
          <w:p>
            <w:pPr/>
          </w:p>
        </w:tc>
        <w:tc>
          <w:tcPr>
            <w:tcW w:w="92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43,051,226.</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67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pacing w:val="-5"/>
                <w:w w:val="101"/>
                <w:sz w:val="18"/>
                <w:szCs w:val="18"/>
              </w:rPr>
              <w:t>金</w:t>
            </w:r>
            <w:r>
              <w:rPr>
                <w:rFonts w:ascii="宋体" w:hAnsi="宋体" w:cs="宋体" w:eastAsia="宋体" w:hint="default"/>
                <w:spacing w:val="-87"/>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减</w:t>
            </w:r>
            <w:r>
              <w:rPr>
                <w:rFonts w:ascii="宋体" w:hAnsi="宋体" w:cs="宋体" w:eastAsia="宋体" w:hint="default"/>
                <w:w w:val="101"/>
                <w:sz w:val="18"/>
                <w:szCs w:val="18"/>
              </w:rPr>
              <w:t>少以</w:t>
            </w:r>
            <w:r>
              <w:rPr>
                <w:rFonts w:ascii="宋体" w:hAnsi="宋体" w:cs="宋体" w:eastAsia="宋体" w:hint="default"/>
                <w:sz w:val="18"/>
                <w:szCs w:val="18"/>
              </w:rPr>
            </w:r>
          </w:p>
          <w:p>
            <w:pPr>
              <w:pStyle w:val="TableParagraph"/>
              <w:spacing w:line="240" w:lineRule="auto" w:before="8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9" w:right="0"/>
              <w:jc w:val="left"/>
              <w:rPr>
                <w:rFonts w:ascii="Times New Roman" w:hAnsi="Times New Roman" w:cs="Times New Roman" w:eastAsia="Times New Roman" w:hint="default"/>
                <w:sz w:val="18"/>
                <w:szCs w:val="18"/>
              </w:rPr>
            </w:pPr>
            <w:r>
              <w:rPr>
                <w:rFonts w:ascii="Times New Roman"/>
                <w:sz w:val="18"/>
              </w:rPr>
              <w:t>38.98</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0" w:right="0"/>
              <w:jc w:val="left"/>
              <w:rPr>
                <w:rFonts w:ascii="Times New Roman" w:hAnsi="Times New Roman" w:cs="Times New Roman" w:eastAsia="Times New Roman" w:hint="default"/>
                <w:sz w:val="18"/>
                <w:szCs w:val="18"/>
              </w:rPr>
            </w:pPr>
            <w:r>
              <w:rPr>
                <w:rFonts w:ascii="Times New Roman"/>
                <w:sz w:val="18"/>
              </w:rPr>
              <w:t>52.12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1" w:right="0"/>
              <w:jc w:val="left"/>
              <w:rPr>
                <w:rFonts w:ascii="Times New Roman" w:hAnsi="Times New Roman" w:cs="Times New Roman" w:eastAsia="Times New Roman" w:hint="default"/>
                <w:sz w:val="18"/>
                <w:szCs w:val="18"/>
              </w:rPr>
            </w:pPr>
            <w:r>
              <w:rPr>
                <w:rFonts w:ascii="Times New Roman"/>
                <w:sz w:val="18"/>
              </w:rPr>
              <w:t>5.64</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74</w:t>
            </w: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（一）综合收益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54,288,52</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1.16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54,288,521.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16</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（二）所有者投</w:t>
            </w:r>
            <w:r>
              <w:rPr>
                <w:rFonts w:ascii="宋体" w:hAnsi="宋体" w:cs="宋体" w:eastAsia="宋体" w:hint="default"/>
                <w:w w:val="101"/>
                <w:sz w:val="18"/>
                <w:szCs w:val="18"/>
              </w:rPr>
              <w:t> </w:t>
            </w:r>
            <w:r>
              <w:rPr>
                <w:rFonts w:ascii="宋体" w:hAnsi="宋体" w:cs="宋体" w:eastAsia="宋体" w:hint="default"/>
                <w:sz w:val="18"/>
                <w:szCs w:val="18"/>
              </w:rPr>
              <w:t>入和减少资本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2,096,0</w:t>
            </w:r>
          </w:p>
          <w:p>
            <w:pPr>
              <w:pStyle w:val="TableParagraph"/>
              <w:spacing w:line="240" w:lineRule="auto" w:before="110"/>
              <w:ind w:left="235" w:right="0"/>
              <w:jc w:val="center"/>
              <w:rPr>
                <w:rFonts w:ascii="Times New Roman" w:hAnsi="Times New Roman" w:cs="Times New Roman" w:eastAsia="Times New Roman" w:hint="default"/>
                <w:sz w:val="18"/>
                <w:szCs w:val="18"/>
              </w:rPr>
            </w:pPr>
            <w:r>
              <w:rPr>
                <w:rFonts w:ascii="Times New Roman"/>
                <w:sz w:val="18"/>
              </w:rPr>
              <w:t>38.98</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2,096,038.9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2,096,0</w:t>
            </w:r>
          </w:p>
          <w:p>
            <w:pPr>
              <w:pStyle w:val="TableParagraph"/>
              <w:spacing w:line="240" w:lineRule="auto" w:before="105"/>
              <w:ind w:left="235" w:right="0"/>
              <w:jc w:val="center"/>
              <w:rPr>
                <w:rFonts w:ascii="Times New Roman" w:hAnsi="Times New Roman" w:cs="Times New Roman" w:eastAsia="Times New Roman" w:hint="default"/>
                <w:sz w:val="18"/>
                <w:szCs w:val="18"/>
              </w:rPr>
            </w:pPr>
            <w:r>
              <w:rPr>
                <w:rFonts w:ascii="Times New Roman"/>
                <w:sz w:val="18"/>
              </w:rPr>
              <w:t>38.98</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2,096,038.9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5,428,8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52.12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-18,762,1</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85.52</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-13,333,333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.40</w:t>
            </w: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5,428,8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52.12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-5,428,85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2.12</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24"/>
                <w:w w:val="101"/>
                <w:sz w:val="18"/>
                <w:szCs w:val="18"/>
              </w:rPr>
              <w:t>2</w:t>
            </w:r>
            <w:r>
              <w:rPr>
                <w:rFonts w:ascii="宋体" w:hAnsi="宋体" w:cs="宋体" w:eastAsia="宋体" w:hint="default"/>
                <w:spacing w:val="-24"/>
                <w:w w:val="101"/>
                <w:sz w:val="18"/>
                <w:szCs w:val="18"/>
              </w:rPr>
              <w:t>．对所有者（或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股东）的分配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-13,333,3</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33.40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-13,333,333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（四）所有者权</w:t>
            </w:r>
            <w:r>
              <w:rPr>
                <w:rFonts w:ascii="宋体" w:hAnsi="宋体" w:cs="宋体" w:eastAsia="宋体" w:hint="default"/>
                <w:w w:val="101"/>
                <w:sz w:val="18"/>
                <w:szCs w:val="18"/>
              </w:rPr>
              <w:t> </w:t>
            </w:r>
            <w:r>
              <w:rPr>
                <w:rFonts w:ascii="宋体" w:hAnsi="宋体" w:cs="宋体" w:eastAsia="宋体" w:hint="default"/>
                <w:sz w:val="18"/>
                <w:szCs w:val="18"/>
              </w:rPr>
              <w:t>益内部结转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2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储备</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四、本期期末余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66,666</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,667.0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283,004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,340.21</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25,502,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239.13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216,186,8</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18.70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591,360,06</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5.04</w:t>
            </w:r>
          </w:p>
        </w:tc>
      </w:tr>
    </w:tbl>
    <w:p>
      <w:pPr>
        <w:spacing w:line="240" w:lineRule="auto" w:before="2"/>
        <w:rPr>
          <w:rFonts w:ascii="Times New Roman" w:hAnsi="Times New Roman" w:cs="Times New Roman" w:eastAsia="Times New Roman" w:hint="default"/>
          <w:sz w:val="20"/>
          <w:szCs w:val="20"/>
        </w:rPr>
      </w:pPr>
    </w:p>
    <w:p>
      <w:pPr>
        <w:pStyle w:val="Heading2"/>
        <w:spacing w:line="240" w:lineRule="auto" w:before="26"/>
        <w:ind w:left="253" w:right="0"/>
        <w:jc w:val="left"/>
        <w:rPr>
          <w:b w:val="0"/>
          <w:bCs w:val="0"/>
        </w:rPr>
      </w:pPr>
      <w:bookmarkStart w:name="三、公司基本情况" w:id="169"/>
      <w:bookmarkEnd w:id="169"/>
      <w:r>
        <w:rPr>
          <w:b w:val="0"/>
          <w:bCs w:val="0"/>
        </w:rPr>
      </w:r>
      <w:r>
        <w:rPr/>
        <w:t>三、公司基本情况</w:t>
      </w:r>
      <w:r>
        <w:rPr>
          <w:b w:val="0"/>
          <w:bCs w:val="0"/>
        </w:rPr>
      </w:r>
    </w:p>
    <w:p>
      <w:pPr>
        <w:spacing w:line="240" w:lineRule="auto" w:before="12"/>
        <w:rPr>
          <w:rFonts w:ascii="宋体" w:hAnsi="宋体" w:cs="宋体" w:eastAsia="宋体" w:hint="default"/>
          <w:b/>
          <w:bCs/>
          <w:sz w:val="24"/>
          <w:szCs w:val="24"/>
        </w:rPr>
      </w:pPr>
    </w:p>
    <w:p>
      <w:pPr>
        <w:spacing w:line="261" w:lineRule="auto" w:before="0"/>
        <w:ind w:left="253" w:right="1120" w:firstLine="422"/>
        <w:jc w:val="both"/>
        <w:rPr>
          <w:rFonts w:ascii="宋体" w:hAnsi="宋体" w:cs="宋体" w:eastAsia="宋体" w:hint="default"/>
          <w:sz w:val="21"/>
          <w:szCs w:val="21"/>
        </w:rPr>
      </w:pPr>
      <w:r>
        <w:rPr>
          <w:rFonts w:ascii="宋体" w:hAnsi="宋体" w:cs="宋体" w:eastAsia="宋体" w:hint="default"/>
          <w:spacing w:val="-2"/>
          <w:sz w:val="21"/>
          <w:szCs w:val="21"/>
        </w:rPr>
        <w:t>浙江正元智慧科技股份有限公司（以下简称公司或本公司）前身为浙江正元智慧科技有限公司（以下</w:t>
      </w:r>
      <w:r>
        <w:rPr>
          <w:rFonts w:ascii="宋体" w:hAnsi="宋体" w:cs="宋体" w:eastAsia="宋体" w:hint="default"/>
          <w:w w:val="100"/>
          <w:sz w:val="21"/>
          <w:szCs w:val="21"/>
        </w:rPr>
        <w:t> </w:t>
      </w:r>
      <w:r>
        <w:rPr>
          <w:rFonts w:ascii="宋体" w:hAnsi="宋体" w:cs="宋体" w:eastAsia="宋体" w:hint="default"/>
          <w:sz w:val="21"/>
          <w:szCs w:val="21"/>
        </w:rPr>
        <w:t>简称正元智慧有限公司）。正元智慧有限公司以</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日为基准日，整体变更为股份有限公司，于</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日在浙江省工商行政管理局登记注册，总部位于浙江省杭州市。公司现持有统一社会信用代</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7"/>
          <w:w w:val="100"/>
          <w:sz w:val="21"/>
          <w:szCs w:val="21"/>
        </w:rPr>
        <w:t>码为</w:t>
      </w:r>
      <w:r>
        <w:rPr>
          <w:rFonts w:ascii="Times New Roman" w:hAnsi="Times New Roman" w:cs="Times New Roman" w:eastAsia="Times New Roman" w:hint="default"/>
          <w:spacing w:val="-7"/>
          <w:w w:val="100"/>
          <w:sz w:val="21"/>
          <w:szCs w:val="21"/>
        </w:rPr>
        <w:t>913300007200827022</w:t>
      </w:r>
      <w:r>
        <w:rPr>
          <w:rFonts w:ascii="宋体" w:hAnsi="宋体" w:cs="宋体" w:eastAsia="宋体" w:hint="default"/>
          <w:spacing w:val="-7"/>
          <w:w w:val="100"/>
          <w:sz w:val="21"/>
          <w:szCs w:val="21"/>
        </w:rPr>
        <w:t>的营业执照，注册资本</w:t>
      </w:r>
      <w:r>
        <w:rPr>
          <w:rFonts w:ascii="Times New Roman" w:hAnsi="Times New Roman" w:cs="Times New Roman" w:eastAsia="Times New Roman" w:hint="default"/>
          <w:spacing w:val="-7"/>
          <w:w w:val="100"/>
          <w:sz w:val="21"/>
          <w:szCs w:val="21"/>
        </w:rPr>
        <w:t>126,666,667.00</w:t>
      </w:r>
      <w:r>
        <w:rPr>
          <w:rFonts w:ascii="宋体" w:hAnsi="宋体" w:cs="宋体" w:eastAsia="宋体" w:hint="default"/>
          <w:spacing w:val="-7"/>
          <w:w w:val="100"/>
          <w:sz w:val="21"/>
          <w:szCs w:val="21"/>
        </w:rPr>
        <w:t>元，股份总数</w:t>
      </w:r>
      <w:r>
        <w:rPr>
          <w:rFonts w:ascii="Times New Roman" w:hAnsi="Times New Roman" w:cs="Times New Roman" w:eastAsia="Times New Roman" w:hint="default"/>
          <w:spacing w:val="-7"/>
          <w:w w:val="100"/>
          <w:sz w:val="21"/>
          <w:szCs w:val="21"/>
        </w:rPr>
        <w:t>126,666,667</w:t>
      </w:r>
      <w:r>
        <w:rPr>
          <w:rFonts w:ascii="宋体" w:hAnsi="宋体" w:cs="宋体" w:eastAsia="宋体" w:hint="default"/>
          <w:spacing w:val="-7"/>
          <w:w w:val="100"/>
          <w:sz w:val="21"/>
          <w:szCs w:val="21"/>
        </w:rPr>
        <w:t>股（每股面值</w:t>
      </w:r>
      <w:r>
        <w:rPr>
          <w:rFonts w:ascii="Times New Roman" w:hAnsi="Times New Roman" w:cs="Times New Roman" w:eastAsia="Times New Roman" w:hint="default"/>
          <w:spacing w:val="-7"/>
          <w:w w:val="100"/>
          <w:sz w:val="21"/>
          <w:szCs w:val="21"/>
        </w:rPr>
        <w:t>1</w:t>
      </w:r>
      <w:r>
        <w:rPr>
          <w:rFonts w:ascii="宋体" w:hAnsi="宋体" w:cs="宋体" w:eastAsia="宋体" w:hint="default"/>
          <w:spacing w:val="-7"/>
          <w:w w:val="100"/>
          <w:sz w:val="21"/>
          <w:szCs w:val="21"/>
        </w:rPr>
        <w:t>元）。</w:t>
      </w:r>
      <w:r>
        <w:rPr>
          <w:rFonts w:ascii="宋体" w:hAnsi="宋体" w:cs="宋体" w:eastAsia="宋体" w:hint="default"/>
          <w:spacing w:val="-55"/>
          <w:w w:val="100"/>
          <w:sz w:val="21"/>
          <w:szCs w:val="21"/>
        </w:rPr>
        <w:t> </w:t>
      </w:r>
      <w:r>
        <w:rPr>
          <w:rFonts w:ascii="宋体" w:hAnsi="宋体" w:cs="宋体" w:eastAsia="宋体" w:hint="default"/>
          <w:spacing w:val="-55"/>
          <w:w w:val="100"/>
          <w:sz w:val="21"/>
          <w:szCs w:val="21"/>
        </w:rPr>
      </w:r>
      <w:r>
        <w:rPr>
          <w:rFonts w:ascii="宋体" w:hAnsi="宋体" w:cs="宋体" w:eastAsia="宋体" w:hint="default"/>
          <w:spacing w:val="-1"/>
          <w:sz w:val="21"/>
          <w:szCs w:val="21"/>
        </w:rPr>
        <w:t>其中，有限售条件的流通股份：</w:t>
      </w: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股</w:t>
      </w:r>
      <w:r>
        <w:rPr>
          <w:rFonts w:ascii="Times New Roman" w:hAnsi="Times New Roman" w:cs="Times New Roman" w:eastAsia="Times New Roman" w:hint="default"/>
          <w:spacing w:val="-1"/>
          <w:sz w:val="21"/>
          <w:szCs w:val="21"/>
        </w:rPr>
        <w:t>40,370,379</w:t>
      </w:r>
      <w:r>
        <w:rPr>
          <w:rFonts w:ascii="宋体" w:hAnsi="宋体" w:cs="宋体" w:eastAsia="宋体" w:hint="default"/>
          <w:spacing w:val="-1"/>
          <w:sz w:val="21"/>
          <w:szCs w:val="21"/>
        </w:rPr>
        <w:t>股；无限售条件的流通股份</w:t>
      </w: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股</w:t>
      </w:r>
      <w:r>
        <w:rPr>
          <w:rFonts w:ascii="Times New Roman" w:hAnsi="Times New Roman" w:cs="Times New Roman" w:eastAsia="Times New Roman" w:hint="default"/>
          <w:spacing w:val="-1"/>
          <w:sz w:val="21"/>
          <w:szCs w:val="21"/>
        </w:rPr>
        <w:t>86,296,288</w:t>
      </w:r>
      <w:r>
        <w:rPr>
          <w:rFonts w:ascii="宋体" w:hAnsi="宋体" w:cs="宋体" w:eastAsia="宋体" w:hint="default"/>
          <w:spacing w:val="-1"/>
          <w:sz w:val="21"/>
          <w:szCs w:val="21"/>
        </w:rPr>
        <w:t>股。公司股票已</w:t>
      </w:r>
      <w:r>
        <w:rPr>
          <w:rFonts w:ascii="宋体" w:hAnsi="宋体" w:cs="宋体" w:eastAsia="宋体" w:hint="default"/>
          <w:spacing w:val="-8"/>
          <w:sz w:val="21"/>
          <w:szCs w:val="21"/>
        </w:rPr>
        <w:t> </w:t>
      </w:r>
      <w:r>
        <w:rPr>
          <w:rFonts w:ascii="宋体" w:hAnsi="宋体" w:cs="宋体" w:eastAsia="宋体" w:hint="default"/>
          <w:sz w:val="21"/>
          <w:szCs w:val="21"/>
        </w:rPr>
        <w:t>于</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日在深圳证券交易所挂牌交易。</w:t>
      </w:r>
    </w:p>
    <w:p>
      <w:pPr>
        <w:spacing w:line="273" w:lineRule="auto" w:before="0"/>
        <w:ind w:left="253" w:right="1125" w:firstLine="422"/>
        <w:jc w:val="both"/>
        <w:rPr>
          <w:rFonts w:ascii="宋体" w:hAnsi="宋体" w:cs="宋体" w:eastAsia="宋体" w:hint="default"/>
          <w:sz w:val="21"/>
          <w:szCs w:val="21"/>
        </w:rPr>
      </w:pPr>
      <w:r>
        <w:rPr>
          <w:rFonts w:ascii="宋体" w:hAnsi="宋体" w:cs="宋体" w:eastAsia="宋体" w:hint="default"/>
          <w:spacing w:val="-2"/>
          <w:sz w:val="21"/>
          <w:szCs w:val="21"/>
        </w:rPr>
        <w:t>本公司属软件和信息技术服务行业。主要经营活动：第二类增值电信业务中的信息服务业务；计算机</w:t>
      </w:r>
      <w:r>
        <w:rPr>
          <w:rFonts w:ascii="宋体" w:hAnsi="宋体" w:cs="宋体" w:eastAsia="宋体" w:hint="default"/>
          <w:w w:val="100"/>
          <w:sz w:val="21"/>
          <w:szCs w:val="21"/>
        </w:rPr>
        <w:t> </w:t>
      </w:r>
      <w:r>
        <w:rPr>
          <w:rFonts w:ascii="宋体" w:hAnsi="宋体" w:cs="宋体" w:eastAsia="宋体" w:hint="default"/>
          <w:spacing w:val="-7"/>
          <w:sz w:val="21"/>
          <w:szCs w:val="21"/>
        </w:rPr>
        <w:t>软件产品开发、技术服务与咨询及成果转让服务，电子产品、计算机软硬件销售，建筑智能化工程施工等。</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2"/>
          <w:sz w:val="21"/>
          <w:szCs w:val="21"/>
        </w:rPr>
        <w:t>产品或提供的劳务主要有：一卡通系统平台、软硬件产品销售及项目实施，以及一卡通用户的综合服务和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增值运营服务。</w:t>
      </w:r>
    </w:p>
    <w:p>
      <w:pPr>
        <w:spacing w:line="256" w:lineRule="auto" w:before="7"/>
        <w:ind w:left="675"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本财务报表业经公司</w:t>
      </w: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27</w:t>
      </w:r>
      <w:r>
        <w:rPr>
          <w:rFonts w:ascii="宋体" w:hAnsi="宋体" w:cs="宋体" w:eastAsia="宋体" w:hint="default"/>
          <w:spacing w:val="-2"/>
          <w:sz w:val="21"/>
          <w:szCs w:val="21"/>
        </w:rPr>
        <w:t>日第三届第十五次董事会批准对外报出。</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本期公司将以下</w:t>
      </w:r>
      <w:r>
        <w:rPr>
          <w:rFonts w:ascii="Times New Roman" w:hAnsi="Times New Roman" w:cs="Times New Roman" w:eastAsia="Times New Roman" w:hint="default"/>
          <w:sz w:val="21"/>
          <w:szCs w:val="21"/>
        </w:rPr>
        <w:t>13</w:t>
      </w:r>
      <w:r>
        <w:rPr>
          <w:rFonts w:ascii="宋体" w:hAnsi="宋体" w:cs="宋体" w:eastAsia="宋体" w:hint="default"/>
          <w:sz w:val="21"/>
          <w:szCs w:val="21"/>
        </w:rPr>
        <w:t>家子公司纳入合并范围</w:t>
      </w:r>
      <w:r>
        <w:rPr>
          <w:rFonts w:ascii="Times New Roman" w:hAnsi="Times New Roman" w:cs="Times New Roman" w:eastAsia="Times New Roman" w:hint="default"/>
          <w:sz w:val="21"/>
          <w:szCs w:val="21"/>
        </w:rPr>
        <w:t>:</w:t>
      </w:r>
    </w:p>
    <w:tbl>
      <w:tblPr>
        <w:tblW w:w="0" w:type="auto"/>
        <w:jc w:val="left"/>
        <w:tblInd w:w="104" w:type="dxa"/>
        <w:tblLayout w:type="fixed"/>
        <w:tblCellMar>
          <w:top w:w="0" w:type="dxa"/>
          <w:left w:w="0" w:type="dxa"/>
          <w:bottom w:w="0" w:type="dxa"/>
          <w:right w:w="0" w:type="dxa"/>
        </w:tblCellMar>
        <w:tblLook w:val="01E0"/>
      </w:tblPr>
      <w:tblGrid>
        <w:gridCol w:w="1148"/>
        <w:gridCol w:w="4389"/>
        <w:gridCol w:w="4394"/>
      </w:tblGrid>
      <w:tr>
        <w:trPr>
          <w:trHeight w:val="34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简称</w:t>
            </w:r>
          </w:p>
        </w:tc>
      </w:tr>
      <w:tr>
        <w:trPr>
          <w:trHeight w:val="346"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21"/>
                <w:szCs w:val="21"/>
              </w:rPr>
            </w:pPr>
            <w:r>
              <w:rPr>
                <w:rFonts w:ascii="Times New Roman"/>
                <w:w w:val="100"/>
                <w:sz w:val="21"/>
              </w:rPr>
              <w:t>1</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青岛天高智慧科技有限公司</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青岛天高公司</w:t>
            </w:r>
          </w:p>
        </w:tc>
      </w:tr>
      <w:tr>
        <w:trPr>
          <w:trHeight w:val="34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2</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广西筑波智慧科技有限公司</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广西筑波公司</w:t>
            </w:r>
          </w:p>
        </w:tc>
      </w:tr>
      <w:tr>
        <w:trPr>
          <w:trHeight w:val="34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3</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南昌正元智慧科技有限公司</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南昌正元公司</w:t>
            </w:r>
          </w:p>
        </w:tc>
      </w:tr>
      <w:tr>
        <w:trPr>
          <w:trHeight w:val="34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4</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浙江正元数据系统工程有限公司</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正元数据公司</w:t>
            </w:r>
          </w:p>
        </w:tc>
      </w:tr>
      <w:tr>
        <w:trPr>
          <w:trHeight w:val="346"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w w:val="100"/>
                <w:sz w:val="21"/>
              </w:rPr>
              <w:t>5</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浙江云马智慧科技有限公司</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云马智慧公司</w:t>
            </w:r>
          </w:p>
        </w:tc>
      </w:tr>
      <w:tr>
        <w:trPr>
          <w:trHeight w:val="34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6</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杭州容博教育科技有限公司</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杭州容博公司</w:t>
            </w:r>
          </w:p>
        </w:tc>
      </w:tr>
      <w:tr>
        <w:trPr>
          <w:trHeight w:val="34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7</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福建正元智慧信息科技有限公司</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福建正元公司</w:t>
            </w:r>
          </w:p>
        </w:tc>
      </w:tr>
      <w:tr>
        <w:trPr>
          <w:trHeight w:val="34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8</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四川正元智慧科技有限公司</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四川正元公司</w:t>
            </w:r>
          </w:p>
        </w:tc>
      </w:tr>
      <w:tr>
        <w:trPr>
          <w:trHeight w:val="346"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w w:val="100"/>
                <w:sz w:val="21"/>
              </w:rPr>
              <w:t>9</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浙江正元曦客科技有限公司</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正元曦客公司</w:t>
            </w:r>
          </w:p>
        </w:tc>
      </w:tr>
      <w:tr>
        <w:trPr>
          <w:trHeight w:val="34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10</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浙江校云智慧科技有限公司</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校云智慧公司</w:t>
            </w:r>
          </w:p>
        </w:tc>
      </w:tr>
      <w:tr>
        <w:trPr>
          <w:trHeight w:val="34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11</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浙江小兰智慧科技有限公司</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小兰智慧公司</w:t>
            </w:r>
          </w:p>
        </w:tc>
      </w:tr>
      <w:tr>
        <w:trPr>
          <w:trHeight w:val="34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12</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浙江坚果智慧科技有限公司</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坚果智慧公司</w:t>
            </w:r>
          </w:p>
        </w:tc>
      </w:tr>
      <w:tr>
        <w:trPr>
          <w:trHeight w:val="346"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13</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浙江双旗智慧科技有限公司</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双旗智慧公司</w:t>
            </w:r>
          </w:p>
        </w:tc>
      </w:tr>
    </w:tbl>
    <w:p>
      <w:pPr>
        <w:spacing w:line="240" w:lineRule="auto" w:before="1"/>
        <w:rPr>
          <w:rFonts w:ascii="Times New Roman" w:hAnsi="Times New Roman" w:cs="Times New Roman" w:eastAsia="Times New Roman" w:hint="default"/>
          <w:sz w:val="23"/>
          <w:szCs w:val="23"/>
        </w:rPr>
      </w:pPr>
    </w:p>
    <w:p>
      <w:pPr>
        <w:pStyle w:val="BodyText"/>
        <w:spacing w:line="312" w:lineRule="exact" w:before="56"/>
        <w:ind w:left="253" w:right="0" w:firstLine="480"/>
        <w:jc w:val="left"/>
      </w:pPr>
      <w:r>
        <w:rPr/>
        <w:t>本期的合并财务报表范围及其变化情况详见本附注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本附注九、 在其他主体中的权益</w:t>
      </w:r>
      <w:r>
        <w:rPr>
          <w:rFonts w:ascii="Times New Roman" w:hAnsi="Times New Roman" w:cs="Times New Roman" w:eastAsia="Times New Roman" w:hint="default"/>
        </w:rPr>
        <w:t>”</w:t>
      </w:r>
      <w:r>
        <w:rPr/>
        <w:t>。</w:t>
      </w:r>
    </w:p>
    <w:p>
      <w:pPr>
        <w:spacing w:after="0" w:line="312" w:lineRule="exact"/>
        <w:jc w:val="left"/>
        <w:sectPr>
          <w:pgSz w:w="11910" w:h="16840"/>
          <w:pgMar w:header="741" w:footer="979" w:top="1060" w:bottom="1160" w:left="8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both"/>
        <w:rPr>
          <w:b w:val="0"/>
          <w:bCs w:val="0"/>
        </w:rPr>
      </w:pPr>
      <w:bookmarkStart w:name="四、财务报表的编制基础" w:id="170"/>
      <w:bookmarkEnd w:id="170"/>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编制基础" w:id="171"/>
      <w:bookmarkEnd w:id="17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本公司财务报表以持续经营为编制基础。</w:t>
      </w:r>
    </w:p>
    <w:p>
      <w:pPr>
        <w:spacing w:line="240" w:lineRule="auto" w:before="12"/>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bookmarkStart w:name="2、持续经营" w:id="172"/>
      <w:bookmarkEnd w:id="17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本公司不存在导致对报告期末起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个月内的持续经营能力产生重大疑虑的事项或情况。</w:t>
      </w:r>
    </w:p>
    <w:p>
      <w:pPr>
        <w:spacing w:line="240" w:lineRule="auto" w:before="6"/>
        <w:rPr>
          <w:rFonts w:ascii="宋体" w:hAnsi="宋体" w:cs="宋体" w:eastAsia="宋体" w:hint="default"/>
          <w:sz w:val="22"/>
          <w:szCs w:val="22"/>
        </w:rPr>
      </w:pPr>
    </w:p>
    <w:p>
      <w:pPr>
        <w:pStyle w:val="Heading2"/>
        <w:spacing w:line="240" w:lineRule="auto"/>
        <w:ind w:right="0"/>
        <w:jc w:val="both"/>
        <w:rPr>
          <w:b w:val="0"/>
          <w:bCs w:val="0"/>
        </w:rPr>
      </w:pPr>
      <w:bookmarkStart w:name="五、重要会计政策及会计估计" w:id="173"/>
      <w:bookmarkEnd w:id="173"/>
      <w:r>
        <w:rPr>
          <w:b w:val="0"/>
          <w:bCs w:val="0"/>
        </w:rPr>
      </w:r>
      <w:r>
        <w:rPr/>
        <w:t>五、重要会计政策及会计估计</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具体会计政策和会计估计提示：</w:t>
      </w:r>
    </w:p>
    <w:p>
      <w:pPr>
        <w:spacing w:line="273" w:lineRule="auto" w:before="84"/>
        <w:ind w:left="153" w:right="0" w:firstLine="422"/>
        <w:jc w:val="left"/>
        <w:rPr>
          <w:rFonts w:ascii="宋体" w:hAnsi="宋体" w:cs="宋体" w:eastAsia="宋体" w:hint="default"/>
          <w:sz w:val="21"/>
          <w:szCs w:val="21"/>
        </w:rPr>
      </w:pPr>
      <w:r>
        <w:rPr>
          <w:rFonts w:ascii="宋体" w:hAnsi="宋体" w:cs="宋体" w:eastAsia="宋体" w:hint="default"/>
          <w:spacing w:val="-2"/>
          <w:sz w:val="21"/>
          <w:szCs w:val="21"/>
        </w:rPr>
        <w:t>本公司根据实际生产经营特点针对金融工具减值、固定资产折旧、无形资产摊销和收入确认等交易或</w:t>
      </w:r>
      <w:r>
        <w:rPr>
          <w:rFonts w:ascii="宋体" w:hAnsi="宋体" w:cs="宋体" w:eastAsia="宋体" w:hint="default"/>
          <w:w w:val="100"/>
          <w:sz w:val="21"/>
          <w:szCs w:val="21"/>
        </w:rPr>
        <w:t> </w:t>
      </w:r>
      <w:r>
        <w:rPr>
          <w:rFonts w:ascii="宋体" w:hAnsi="宋体" w:cs="宋体" w:eastAsia="宋体" w:hint="default"/>
          <w:sz w:val="21"/>
          <w:szCs w:val="21"/>
        </w:rPr>
        <w:t>事项制定了具体会计政策和会计估计。</w:t>
      </w:r>
    </w:p>
    <w:p>
      <w:pPr>
        <w:spacing w:line="600" w:lineRule="atLeast" w:before="1"/>
        <w:ind w:left="575" w:right="0" w:hanging="423"/>
        <w:jc w:val="left"/>
        <w:rPr>
          <w:rFonts w:ascii="宋体" w:hAnsi="宋体" w:cs="宋体" w:eastAsia="宋体" w:hint="default"/>
          <w:sz w:val="21"/>
          <w:szCs w:val="21"/>
        </w:rPr>
      </w:pPr>
      <w:bookmarkStart w:name="1、遵循企业会计准则的声明" w:id="174"/>
      <w:bookmarkEnd w:id="17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spacing w:val="-101"/>
          <w:sz w:val="21"/>
          <w:szCs w:val="21"/>
        </w:rPr>
        <w:t> </w:t>
      </w:r>
      <w:r>
        <w:rPr>
          <w:rFonts w:ascii="宋体" w:hAnsi="宋体" w:cs="宋体" w:eastAsia="宋体" w:hint="default"/>
          <w:spacing w:val="-2"/>
          <w:sz w:val="21"/>
          <w:szCs w:val="21"/>
        </w:rPr>
        <w:t>本公司所编制的财务报表符合企业会计准则的要求，真实、完整地反映了公司的财务状况、经营成果</w:t>
      </w:r>
    </w:p>
    <w:p>
      <w:pPr>
        <w:spacing w:before="37"/>
        <w:ind w:left="153" w:right="0" w:firstLine="0"/>
        <w:jc w:val="both"/>
        <w:rPr>
          <w:rFonts w:ascii="宋体" w:hAnsi="宋体" w:cs="宋体" w:eastAsia="宋体" w:hint="default"/>
          <w:sz w:val="21"/>
          <w:szCs w:val="21"/>
        </w:rPr>
      </w:pPr>
      <w:r>
        <w:rPr>
          <w:rFonts w:ascii="宋体" w:hAnsi="宋体" w:cs="宋体" w:eastAsia="宋体" w:hint="default"/>
          <w:sz w:val="21"/>
          <w:szCs w:val="21"/>
        </w:rPr>
        <w:t>和现金流量等有关信息。</w:t>
      </w:r>
    </w:p>
    <w:p>
      <w:pPr>
        <w:spacing w:line="240" w:lineRule="auto" w:before="13"/>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bookmarkStart w:name="2、会计期间" w:id="175"/>
      <w:bookmarkEnd w:id="17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会计年度自公历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w:t>
      </w:r>
    </w:p>
    <w:p>
      <w:pPr>
        <w:spacing w:line="240" w:lineRule="auto" w:before="10"/>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3、营业周期" w:id="176"/>
      <w:bookmarkEnd w:id="17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公司经营业务的营业周期较短，以</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个月作为资产和负债的流动性划分标准。</w:t>
      </w:r>
    </w:p>
    <w:p>
      <w:pPr>
        <w:spacing w:line="240" w:lineRule="auto" w:before="10"/>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4、记账本位币" w:id="177"/>
      <w:bookmarkEnd w:id="17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w:t>
      </w:r>
    </w:p>
    <w:p>
      <w:pPr>
        <w:spacing w:line="240" w:lineRule="auto" w:before="12"/>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bookmarkStart w:name="5、同一控制下和非同一控制下企业合并的会计处理方法" w:id="178"/>
      <w:bookmarkEnd w:id="17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56" w:lineRule="auto"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同一控制下企业合并的会计处理方法</w:t>
      </w:r>
      <w:r>
        <w:rPr>
          <w:rFonts w:ascii="宋体" w:hAnsi="宋体" w:cs="宋体" w:eastAsia="宋体" w:hint="default"/>
          <w:w w:val="100"/>
          <w:sz w:val="21"/>
          <w:szCs w:val="21"/>
        </w:rPr>
        <w:t> </w:t>
      </w:r>
      <w:r>
        <w:rPr>
          <w:rFonts w:ascii="宋体" w:hAnsi="宋体" w:cs="宋体" w:eastAsia="宋体" w:hint="default"/>
          <w:spacing w:val="-2"/>
          <w:sz w:val="21"/>
          <w:szCs w:val="21"/>
        </w:rPr>
        <w:t>公司在企业合并中取得的资产和负债，按照合并日被合并方在最终控制方合并财务报表中的账面价值</w:t>
      </w:r>
    </w:p>
    <w:p>
      <w:pPr>
        <w:spacing w:line="273" w:lineRule="auto" w:before="22"/>
        <w:ind w:left="153" w:right="0" w:firstLine="0"/>
        <w:jc w:val="left"/>
        <w:rPr>
          <w:rFonts w:ascii="宋体" w:hAnsi="宋体" w:cs="宋体" w:eastAsia="宋体" w:hint="default"/>
          <w:sz w:val="21"/>
          <w:szCs w:val="21"/>
        </w:rPr>
      </w:pPr>
      <w:r>
        <w:rPr>
          <w:rFonts w:ascii="宋体" w:hAnsi="宋体" w:cs="宋体" w:eastAsia="宋体" w:hint="default"/>
          <w:spacing w:val="-2"/>
          <w:sz w:val="21"/>
          <w:szCs w:val="21"/>
        </w:rPr>
        <w:t>计量。公司按照被合并方所有者权益在最终控制方合并财务报表中的账面价值份额与支付的合并对价账面</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价值或发行股份面值总额的差额，调整资本公积；资本公积不足冲减的，调整留存收益。</w:t>
      </w:r>
    </w:p>
    <w:p>
      <w:pPr>
        <w:spacing w:line="256" w:lineRule="auto" w:before="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非同一控制下企业合并的会计处理方法</w:t>
      </w:r>
      <w:r>
        <w:rPr>
          <w:rFonts w:ascii="宋体" w:hAnsi="宋体" w:cs="宋体" w:eastAsia="宋体" w:hint="default"/>
          <w:w w:val="100"/>
          <w:sz w:val="21"/>
          <w:szCs w:val="21"/>
        </w:rPr>
        <w:t> </w:t>
      </w:r>
      <w:r>
        <w:rPr>
          <w:rFonts w:ascii="宋体" w:hAnsi="宋体" w:cs="宋体" w:eastAsia="宋体" w:hint="default"/>
          <w:spacing w:val="-2"/>
          <w:sz w:val="21"/>
          <w:szCs w:val="21"/>
        </w:rPr>
        <w:t>公司在购买日对合并成本大于合并中取得的被购买方可辨认净资产公允价值份额的差额，确认为商誉；</w:t>
      </w:r>
    </w:p>
    <w:p>
      <w:pPr>
        <w:spacing w:line="273" w:lineRule="auto" w:before="23"/>
        <w:ind w:left="153" w:right="1122" w:firstLine="0"/>
        <w:jc w:val="both"/>
        <w:rPr>
          <w:rFonts w:ascii="宋体" w:hAnsi="宋体" w:cs="宋体" w:eastAsia="宋体" w:hint="default"/>
          <w:sz w:val="21"/>
          <w:szCs w:val="21"/>
        </w:rPr>
      </w:pPr>
      <w:r>
        <w:rPr>
          <w:rFonts w:ascii="宋体" w:hAnsi="宋体" w:cs="宋体" w:eastAsia="宋体" w:hint="default"/>
          <w:spacing w:val="-2"/>
          <w:sz w:val="21"/>
          <w:szCs w:val="21"/>
        </w:rPr>
        <w:t>如果合并成本小于合并中取得的被购买方可辨认净资产公允价值份额，首先对取得的被购买方各项可辨认</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资产、负债及或有负债的公允价值以及合并成本的计量进行复核，经复核后合并成本仍小于合并中取得的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被购买方可辨认净资产公允价值份额的，其差额计入当期损益。</w:t>
      </w:r>
    </w:p>
    <w:p>
      <w:pPr>
        <w:spacing w:after="0" w:line="273"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both"/>
        <w:rPr>
          <w:rFonts w:ascii="宋体" w:hAnsi="宋体" w:cs="宋体" w:eastAsia="宋体" w:hint="default"/>
          <w:sz w:val="21"/>
          <w:szCs w:val="21"/>
        </w:rPr>
      </w:pPr>
      <w:bookmarkStart w:name="6、合并财务报表的编制方法" w:id="179"/>
      <w:bookmarkEnd w:id="17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273" w:lineRule="auto" w:before="0"/>
        <w:ind w:left="153" w:right="0" w:firstLine="422"/>
        <w:jc w:val="left"/>
        <w:rPr>
          <w:rFonts w:ascii="宋体" w:hAnsi="宋体" w:cs="宋体" w:eastAsia="宋体" w:hint="default"/>
          <w:sz w:val="21"/>
          <w:szCs w:val="21"/>
        </w:rPr>
      </w:pPr>
      <w:r>
        <w:rPr>
          <w:rFonts w:ascii="宋体" w:hAnsi="宋体" w:cs="宋体" w:eastAsia="宋体" w:hint="default"/>
          <w:spacing w:val="-2"/>
          <w:sz w:val="21"/>
          <w:szCs w:val="21"/>
        </w:rPr>
        <w:t>母公司将其控制的所有子公司纳入合并财务报表的合并范围。合并财务报表以母公司及其子公司的财</w:t>
      </w:r>
      <w:r>
        <w:rPr>
          <w:rFonts w:ascii="宋体" w:hAnsi="宋体" w:cs="宋体" w:eastAsia="宋体" w:hint="default"/>
          <w:w w:val="100"/>
          <w:sz w:val="21"/>
          <w:szCs w:val="21"/>
        </w:rPr>
        <w:t> </w:t>
      </w:r>
      <w:r>
        <w:rPr>
          <w:rFonts w:ascii="宋体" w:hAnsi="宋体" w:cs="宋体" w:eastAsia="宋体" w:hint="default"/>
          <w:sz w:val="21"/>
          <w:szCs w:val="21"/>
        </w:rPr>
        <w:t>务报表为基础，根据其他有关资料，由母公司按照《企业会计准则第</w:t>
      </w:r>
      <w:r>
        <w:rPr>
          <w:rFonts w:ascii="Times New Roman" w:hAnsi="Times New Roman" w:cs="Times New Roman" w:eastAsia="Times New Roman" w:hint="default"/>
          <w:sz w:val="21"/>
          <w:szCs w:val="21"/>
        </w:rPr>
        <w:t>33</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合并财务报表》编制。</w:t>
      </w:r>
    </w:p>
    <w:p>
      <w:pPr>
        <w:spacing w:line="240" w:lineRule="auto" w:before="3"/>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7、合营安排分类及共同经营会计处理方法" w:id="180"/>
      <w:bookmarkEnd w:id="18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合营安排分为共同经营和合营企业。</w:t>
      </w:r>
    </w:p>
    <w:p>
      <w:pPr>
        <w:spacing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当公司为共同经营的合营方时，确认与共同经营中利益份额相关的下列项目：</w:t>
      </w:r>
    </w:p>
    <w:p>
      <w:pPr>
        <w:spacing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确认单独所持有的资产，以及按持有份额确认共同持有的资产；</w:t>
      </w:r>
    </w:p>
    <w:p>
      <w:pPr>
        <w:spacing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确认单独所承担的负债，以及按持有份额确认共同承担的负债；</w:t>
      </w:r>
    </w:p>
    <w:p>
      <w:pPr>
        <w:spacing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确认出售公司享有的共同经营产出份额所产生的收入；</w:t>
      </w:r>
    </w:p>
    <w:p>
      <w:pPr>
        <w:spacing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按公司持有份额确认共同经营因出售资产所产生的收入；</w:t>
      </w:r>
    </w:p>
    <w:p>
      <w:pPr>
        <w:spacing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确认单独所发生的费用，以及按公司持有份额确认共同经营发生的费用。</w:t>
      </w:r>
    </w:p>
    <w:p>
      <w:pPr>
        <w:spacing w:line="240" w:lineRule="auto" w:before="10"/>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8、现金及现金等价物的确定标准" w:id="181"/>
      <w:bookmarkEnd w:id="18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273" w:lineRule="auto" w:before="0"/>
        <w:ind w:left="153" w:right="1126" w:firstLine="0"/>
        <w:jc w:val="both"/>
        <w:rPr>
          <w:rFonts w:ascii="宋体" w:hAnsi="宋体" w:cs="宋体" w:eastAsia="宋体" w:hint="default"/>
          <w:sz w:val="21"/>
          <w:szCs w:val="21"/>
        </w:rPr>
      </w:pPr>
      <w:r>
        <w:rPr>
          <w:rFonts w:ascii="宋体" w:hAnsi="宋体" w:cs="宋体" w:eastAsia="宋体" w:hint="default"/>
          <w:spacing w:val="-2"/>
          <w:sz w:val="21"/>
          <w:szCs w:val="21"/>
        </w:rPr>
        <w:t>列示于现金流量表中的现金是指库存现金以及可以随时用于支付的存款。现金等价物是指企业持有的期限</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短、流动性强、易于转换为已知金额现金、价值变动风险很小的投资。</w:t>
      </w:r>
    </w:p>
    <w:p>
      <w:pPr>
        <w:spacing w:line="600" w:lineRule="atLeast" w:before="1"/>
        <w:ind w:left="575" w:right="0" w:hanging="423"/>
        <w:jc w:val="left"/>
        <w:rPr>
          <w:rFonts w:ascii="宋体" w:hAnsi="宋体" w:cs="宋体" w:eastAsia="宋体" w:hint="default"/>
          <w:sz w:val="21"/>
          <w:szCs w:val="21"/>
        </w:rPr>
      </w:pPr>
      <w:bookmarkStart w:name="9、外币业务和外币报表折算" w:id="182"/>
      <w:bookmarkEnd w:id="18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b/>
          <w:bCs/>
          <w:spacing w:val="-101"/>
          <w:sz w:val="21"/>
          <w:szCs w:val="21"/>
        </w:rPr>
        <w:t> </w:t>
      </w:r>
      <w:r>
        <w:rPr>
          <w:rFonts w:ascii="宋体" w:hAnsi="宋体" w:cs="宋体" w:eastAsia="宋体" w:hint="default"/>
          <w:spacing w:val="-2"/>
          <w:sz w:val="21"/>
          <w:szCs w:val="21"/>
        </w:rPr>
        <w:t>外币交易在初始确认时，采用交易发生日的近似汇率折算为人民币金额。资产负债表日，外币货币性</w:t>
      </w:r>
    </w:p>
    <w:p>
      <w:pPr>
        <w:spacing w:line="273" w:lineRule="auto" w:before="37"/>
        <w:ind w:left="153" w:right="1123" w:firstLine="0"/>
        <w:jc w:val="both"/>
        <w:rPr>
          <w:rFonts w:ascii="宋体" w:hAnsi="宋体" w:cs="宋体" w:eastAsia="宋体" w:hint="default"/>
          <w:sz w:val="21"/>
          <w:szCs w:val="21"/>
        </w:rPr>
      </w:pPr>
      <w:r>
        <w:rPr>
          <w:rFonts w:ascii="宋体" w:hAnsi="宋体" w:cs="宋体" w:eastAsia="宋体" w:hint="default"/>
          <w:spacing w:val="-2"/>
          <w:sz w:val="21"/>
          <w:szCs w:val="21"/>
        </w:rPr>
        <w:t>项目采用资产负债表日即期汇率折算，因汇率不同而产生的汇兑差额，除与购建符合资本化条件资产有关</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的外币专门借款本金及利息的汇兑差额外，计入当期损益；以历史成本计量的外币非货币性项目仍采用交</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易发生日的近期汇率折算，不改变其人民币金额；以公允价值计量的外币非货币性项目，采用公允价值确</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定日的即期汇率折算，差额计入当期损益或其他综合收益。</w:t>
      </w:r>
    </w:p>
    <w:p>
      <w:pPr>
        <w:spacing w:line="240" w:lineRule="auto" w:before="9"/>
        <w:rPr>
          <w:rFonts w:ascii="宋体" w:hAnsi="宋体" w:cs="宋体" w:eastAsia="宋体" w:hint="default"/>
          <w:sz w:val="23"/>
          <w:szCs w:val="23"/>
        </w:rPr>
      </w:pPr>
    </w:p>
    <w:p>
      <w:pPr>
        <w:spacing w:before="0"/>
        <w:ind w:left="153" w:right="0" w:firstLine="0"/>
        <w:jc w:val="both"/>
        <w:rPr>
          <w:rFonts w:ascii="宋体" w:hAnsi="宋体" w:cs="宋体" w:eastAsia="宋体" w:hint="default"/>
          <w:sz w:val="21"/>
          <w:szCs w:val="21"/>
        </w:rPr>
      </w:pPr>
      <w:bookmarkStart w:name="10、金融工具" w:id="183"/>
      <w:bookmarkEnd w:id="183"/>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金融资产和金融负债的分类</w:t>
      </w:r>
    </w:p>
    <w:p>
      <w:pPr>
        <w:spacing w:line="256" w:lineRule="auto" w:before="22"/>
        <w:ind w:left="153" w:right="0" w:firstLine="422"/>
        <w:jc w:val="left"/>
        <w:rPr>
          <w:rFonts w:ascii="宋体" w:hAnsi="宋体" w:cs="宋体" w:eastAsia="宋体" w:hint="default"/>
          <w:sz w:val="21"/>
          <w:szCs w:val="21"/>
        </w:rPr>
      </w:pPr>
      <w:r>
        <w:rPr>
          <w:rFonts w:ascii="宋体" w:hAnsi="宋体" w:cs="宋体" w:eastAsia="宋体" w:hint="default"/>
          <w:spacing w:val="-3"/>
          <w:sz w:val="21"/>
          <w:szCs w:val="21"/>
        </w:rPr>
        <w:t>金融资产在初始确认时划分为以下三类：</w:t>
      </w:r>
      <w:r>
        <w:rPr>
          <w:rFonts w:ascii="Times New Roman" w:hAnsi="Times New Roman" w:cs="Times New Roman" w:eastAsia="Times New Roman" w:hint="default"/>
          <w:spacing w:val="-3"/>
          <w:sz w:val="21"/>
          <w:szCs w:val="21"/>
        </w:rPr>
        <w:t>(1) </w:t>
      </w:r>
      <w:r>
        <w:rPr>
          <w:rFonts w:ascii="宋体" w:hAnsi="宋体" w:cs="宋体" w:eastAsia="宋体" w:hint="default"/>
          <w:spacing w:val="-3"/>
          <w:sz w:val="21"/>
          <w:szCs w:val="21"/>
        </w:rPr>
        <w:t>以摊余成本计量的金融资产；</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以公允价值计量且其变</w:t>
      </w:r>
      <w:r>
        <w:rPr>
          <w:rFonts w:ascii="宋体" w:hAnsi="宋体" w:cs="宋体" w:eastAsia="宋体" w:hint="default"/>
          <w:w w:val="100"/>
          <w:sz w:val="21"/>
          <w:szCs w:val="21"/>
        </w:rPr>
        <w:t> </w:t>
      </w:r>
      <w:r>
        <w:rPr>
          <w:rFonts w:ascii="宋体" w:hAnsi="宋体" w:cs="宋体" w:eastAsia="宋体" w:hint="default"/>
          <w:sz w:val="21"/>
          <w:szCs w:val="21"/>
        </w:rPr>
        <w:t>动计入其他综合收益的金融资产；</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以公允价值计量且其变动计入当期损益的金融资产。</w:t>
      </w:r>
    </w:p>
    <w:p>
      <w:pPr>
        <w:spacing w:line="256" w:lineRule="auto" w:before="5"/>
        <w:ind w:left="153" w:right="1123" w:firstLine="422"/>
        <w:jc w:val="both"/>
        <w:rPr>
          <w:rFonts w:ascii="宋体" w:hAnsi="宋体" w:cs="宋体" w:eastAsia="宋体" w:hint="default"/>
          <w:sz w:val="21"/>
          <w:szCs w:val="21"/>
        </w:rPr>
      </w:pPr>
      <w:r>
        <w:rPr>
          <w:rFonts w:ascii="宋体" w:hAnsi="宋体" w:cs="宋体" w:eastAsia="宋体" w:hint="default"/>
          <w:sz w:val="21"/>
          <w:szCs w:val="21"/>
        </w:rPr>
        <w:t>金融负债在初始确认时划分为以下四类：</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以公允价值计量且其变动计入当期损益的金融负债；</w:t>
      </w:r>
      <w:r>
        <w:rPr>
          <w:rFonts w:ascii="Times New Roman" w:hAnsi="Times New Roman" w:cs="Times New Roman" w:eastAsia="Times New Roman" w:hint="default"/>
          <w:sz w:val="21"/>
          <w:szCs w:val="21"/>
        </w:rPr>
        <w:t>(2)</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金融资产转移不符合终止确认条件或继续涉入被转移金融资产所形成的金融负债；</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不属于上述</w:t>
      </w:r>
      <w:r>
        <w:rPr>
          <w:rFonts w:ascii="Times New Roman" w:hAnsi="Times New Roman" w:cs="Times New Roman" w:eastAsia="Times New Roman" w:hint="default"/>
          <w:sz w:val="21"/>
          <w:szCs w:val="21"/>
        </w:rPr>
        <w:t>(1)</w:t>
      </w:r>
      <w:r>
        <w:rPr>
          <w:rFonts w:ascii="宋体" w:hAnsi="宋体" w:cs="宋体" w:eastAsia="宋体" w:hint="default"/>
          <w:sz w:val="21"/>
          <w:szCs w:val="21"/>
        </w:rPr>
        <w:t>或</w:t>
      </w:r>
      <w:r>
        <w:rPr>
          <w:rFonts w:ascii="Times New Roman" w:hAnsi="Times New Roman" w:cs="Times New Roman" w:eastAsia="Times New Roman" w:hint="default"/>
          <w:sz w:val="21"/>
          <w:szCs w:val="21"/>
        </w:rPr>
        <w:t>(2)</w:t>
      </w:r>
      <w:r>
        <w:rPr>
          <w:rFonts w:ascii="Times New Roman" w:hAnsi="Times New Roman" w:cs="Times New Roman" w:eastAsia="Times New Roman" w:hint="default"/>
          <w:w w:val="100"/>
          <w:sz w:val="21"/>
          <w:szCs w:val="21"/>
        </w:rPr>
        <w:t> </w:t>
      </w:r>
      <w:r>
        <w:rPr>
          <w:rFonts w:ascii="宋体" w:hAnsi="宋体" w:cs="宋体" w:eastAsia="宋体" w:hint="default"/>
          <w:spacing w:val="-6"/>
          <w:w w:val="100"/>
          <w:sz w:val="21"/>
          <w:szCs w:val="21"/>
        </w:rPr>
        <w:t>的财务担保合同，以及不属于上述</w:t>
      </w:r>
      <w:r>
        <w:rPr>
          <w:rFonts w:ascii="Times New Roman" w:hAnsi="Times New Roman" w:cs="Times New Roman" w:eastAsia="Times New Roman" w:hint="default"/>
          <w:spacing w:val="-6"/>
          <w:w w:val="100"/>
          <w:sz w:val="21"/>
          <w:szCs w:val="21"/>
        </w:rPr>
        <w:t>(1)</w:t>
      </w:r>
      <w:r>
        <w:rPr>
          <w:rFonts w:ascii="宋体" w:hAnsi="宋体" w:cs="宋体" w:eastAsia="宋体" w:hint="default"/>
          <w:spacing w:val="-6"/>
          <w:w w:val="100"/>
          <w:sz w:val="21"/>
          <w:szCs w:val="21"/>
        </w:rPr>
        <w:t>并以低于市场利率贷款的贷款承诺；</w:t>
      </w:r>
      <w:r>
        <w:rPr>
          <w:rFonts w:ascii="Times New Roman" w:hAnsi="Times New Roman" w:cs="Times New Roman" w:eastAsia="Times New Roman" w:hint="default"/>
          <w:spacing w:val="-6"/>
          <w:w w:val="100"/>
          <w:sz w:val="21"/>
          <w:szCs w:val="21"/>
        </w:rPr>
        <w:t>(4)</w:t>
      </w:r>
      <w:r>
        <w:rPr>
          <w:rFonts w:ascii="Times New Roman" w:hAnsi="Times New Roman" w:cs="Times New Roman" w:eastAsia="Times New Roman" w:hint="default"/>
          <w:spacing w:val="50"/>
          <w:w w:val="100"/>
          <w:sz w:val="21"/>
          <w:szCs w:val="21"/>
        </w:rPr>
        <w:t> </w:t>
      </w:r>
      <w:r>
        <w:rPr>
          <w:rFonts w:ascii="宋体" w:hAnsi="宋体" w:cs="宋体" w:eastAsia="宋体" w:hint="default"/>
          <w:spacing w:val="-2"/>
          <w:w w:val="100"/>
          <w:sz w:val="21"/>
          <w:szCs w:val="21"/>
        </w:rPr>
        <w:t>以摊余成本计量的金融负债。</w:t>
      </w:r>
    </w:p>
    <w:p>
      <w:pPr>
        <w:spacing w:before="5"/>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金融资产和金融负债的确认依据、计量方法和终止确认条件</w:t>
      </w:r>
    </w:p>
    <w:p>
      <w:pPr>
        <w:spacing w:line="256" w:lineRule="auto"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金融资产和金融负债的确认依据和初始计量方法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公司成为金融工具合同的一方时，确认一项金融资产或金融负债。初始确认金融资产或金融负债时，</w:t>
      </w:r>
    </w:p>
    <w:p>
      <w:pPr>
        <w:spacing w:line="273" w:lineRule="auto" w:before="22"/>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按照公允价值计量；对于以公允价值计量且其变动计入当期损益的金融资产和金融负债，相关交易费用直</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接计入当期损益；对于其他类别的金融资产或金融负债，相关交易费用计入初始确认金额。但是，公司初</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始确认的应收账款未包含重大融资成分或公司不考虑未超过一年的合同中的融资成分的，按照交易价格进</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行初始计量。</w:t>
      </w:r>
    </w:p>
    <w:p>
      <w:pPr>
        <w:spacing w:before="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金融资产的后续计量方法</w:t>
      </w:r>
    </w:p>
    <w:p>
      <w:pPr>
        <w:spacing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以摊余成本计量的金融资产</w:t>
      </w:r>
    </w:p>
    <w:p>
      <w:pPr>
        <w:spacing w:after="0"/>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273" w:lineRule="auto" w:before="36"/>
        <w:ind w:left="153" w:right="0" w:firstLine="422"/>
        <w:jc w:val="left"/>
        <w:rPr>
          <w:rFonts w:ascii="宋体" w:hAnsi="宋体" w:cs="宋体" w:eastAsia="宋体" w:hint="default"/>
          <w:sz w:val="21"/>
          <w:szCs w:val="21"/>
        </w:rPr>
      </w:pPr>
      <w:r>
        <w:rPr>
          <w:rFonts w:ascii="宋体" w:hAnsi="宋体" w:cs="宋体" w:eastAsia="宋体" w:hint="default"/>
          <w:sz w:val="21"/>
          <w:szCs w:val="21"/>
        </w:rPr>
        <w:t>采用实际利率法，按照摊余成本进行后续计量。以摊余成本计量且不属于任何套期关系的一部分的金</w:t>
      </w:r>
      <w:r>
        <w:rPr>
          <w:rFonts w:ascii="宋体" w:hAnsi="宋体" w:cs="宋体" w:eastAsia="宋体" w:hint="default"/>
          <w:w w:val="100"/>
          <w:sz w:val="21"/>
          <w:szCs w:val="21"/>
        </w:rPr>
        <w:t> </w:t>
      </w:r>
      <w:r>
        <w:rPr>
          <w:rFonts w:ascii="宋体" w:hAnsi="宋体" w:cs="宋体" w:eastAsia="宋体" w:hint="default"/>
          <w:sz w:val="21"/>
          <w:szCs w:val="21"/>
        </w:rPr>
        <w:t>融资产所产生的利得或损失，在终止确认、重分类、按照实际利率法摊销或确认减值时，计入当期损益。</w:t>
      </w:r>
    </w:p>
    <w:p>
      <w:pPr>
        <w:spacing w:line="259" w:lineRule="auto" w:before="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以公允价值计量且其变动计入其他综合收益的债务工具投资</w:t>
      </w:r>
      <w:r>
        <w:rPr>
          <w:rFonts w:ascii="宋体" w:hAnsi="宋体" w:cs="宋体" w:eastAsia="宋体" w:hint="default"/>
          <w:w w:val="100"/>
          <w:sz w:val="21"/>
          <w:szCs w:val="21"/>
        </w:rPr>
        <w:t> </w:t>
      </w:r>
      <w:r>
        <w:rPr>
          <w:rFonts w:ascii="宋体" w:hAnsi="宋体" w:cs="宋体" w:eastAsia="宋体" w:hint="default"/>
          <w:spacing w:val="-5"/>
          <w:sz w:val="21"/>
          <w:szCs w:val="21"/>
        </w:rPr>
        <w:t>采用公允价值进行后续计量。采用实际利率法计算的利息、减值损失或利得及汇兑损益计入当期损益，</w:t>
      </w:r>
    </w:p>
    <w:p>
      <w:pPr>
        <w:spacing w:line="273" w:lineRule="auto" w:before="20"/>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其他利得或损失计入其他综合收益。终止确认时，将之前计入其他综合收益的累计利得或损失从其他综合</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收益中转出，计入当期损益。</w:t>
      </w:r>
    </w:p>
    <w:p>
      <w:pPr>
        <w:spacing w:line="256" w:lineRule="auto" w:before="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以公允价值计量且其变动计入其他综合收益的权益工具投资</w:t>
      </w:r>
      <w:r>
        <w:rPr>
          <w:rFonts w:ascii="宋体" w:hAnsi="宋体" w:cs="宋体" w:eastAsia="宋体" w:hint="default"/>
          <w:w w:val="100"/>
          <w:sz w:val="21"/>
          <w:szCs w:val="21"/>
        </w:rPr>
        <w:t> </w:t>
      </w:r>
      <w:r>
        <w:rPr>
          <w:rFonts w:ascii="宋体" w:hAnsi="宋体" w:cs="宋体" w:eastAsia="宋体" w:hint="default"/>
          <w:spacing w:val="-2"/>
          <w:sz w:val="21"/>
          <w:szCs w:val="21"/>
        </w:rPr>
        <w:t>采用公允价值进行后续计量。获得的股利（属于投资成本收回部分的除外）计入当期损益，其他利得</w:t>
      </w:r>
    </w:p>
    <w:p>
      <w:pPr>
        <w:spacing w:line="273" w:lineRule="auto" w:before="22"/>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或损失计入其他综合收益。终止确认时，将之前计入其他综合收益的累计利得或损失从其他综合收益中转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出，计入留存收益。</w:t>
      </w:r>
    </w:p>
    <w:p>
      <w:pPr>
        <w:spacing w:line="256" w:lineRule="auto" w:before="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以公允价值计量且其变动计入当期损益的金融资产</w:t>
      </w:r>
      <w:r>
        <w:rPr>
          <w:rFonts w:ascii="宋体" w:hAnsi="宋体" w:cs="宋体" w:eastAsia="宋体" w:hint="default"/>
          <w:w w:val="100"/>
          <w:sz w:val="21"/>
          <w:szCs w:val="21"/>
        </w:rPr>
        <w:t> </w:t>
      </w:r>
      <w:r>
        <w:rPr>
          <w:rFonts w:ascii="宋体" w:hAnsi="宋体" w:cs="宋体" w:eastAsia="宋体" w:hint="default"/>
          <w:spacing w:val="-4"/>
          <w:sz w:val="21"/>
          <w:szCs w:val="21"/>
        </w:rPr>
        <w:t>采用公允价值进行后续计量，产生的利得或损失（包括利息和股利收入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计入当期损益，除非该金融资</w:t>
      </w:r>
    </w:p>
    <w:p>
      <w:pPr>
        <w:spacing w:before="5"/>
        <w:ind w:left="153" w:right="0" w:firstLine="0"/>
        <w:jc w:val="both"/>
        <w:rPr>
          <w:rFonts w:ascii="宋体" w:hAnsi="宋体" w:cs="宋体" w:eastAsia="宋体" w:hint="default"/>
          <w:sz w:val="21"/>
          <w:szCs w:val="21"/>
        </w:rPr>
      </w:pPr>
      <w:r>
        <w:rPr>
          <w:rFonts w:ascii="宋体" w:hAnsi="宋体" w:cs="宋体" w:eastAsia="宋体" w:hint="default"/>
          <w:sz w:val="21"/>
          <w:szCs w:val="21"/>
        </w:rPr>
        <w:t>产属于套期关系的一部分。</w:t>
      </w:r>
    </w:p>
    <w:p>
      <w:pPr>
        <w:spacing w:before="3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金融负债的后续计量方法</w:t>
      </w:r>
    </w:p>
    <w:p>
      <w:pPr>
        <w:spacing w:line="256" w:lineRule="auto" w:before="22"/>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以公允价值计量且其变动计入当期损益的金融负债</w:t>
      </w:r>
      <w:r>
        <w:rPr>
          <w:rFonts w:ascii="宋体" w:hAnsi="宋体" w:cs="宋体" w:eastAsia="宋体" w:hint="default"/>
          <w:w w:val="100"/>
          <w:sz w:val="21"/>
          <w:szCs w:val="21"/>
        </w:rPr>
        <w:t> </w:t>
      </w:r>
      <w:r>
        <w:rPr>
          <w:rFonts w:ascii="宋体" w:hAnsi="宋体" w:cs="宋体" w:eastAsia="宋体" w:hint="default"/>
          <w:spacing w:val="-2"/>
          <w:sz w:val="21"/>
          <w:szCs w:val="21"/>
        </w:rPr>
        <w:t>此类金融负债包括交易性金融负债（含属于金融负债的衍生工具）和指定为以公允价值计量且其变动</w:t>
      </w:r>
    </w:p>
    <w:p>
      <w:pPr>
        <w:spacing w:line="273" w:lineRule="auto" w:before="22"/>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计入当期损益的金融负债。对于此类金融负债以公允价值进行后续计量。因公司自身信用风险变动引起的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指定为以公允价值计量且其变动计入当期损益的金融负债的公允价值变动金额计入其他综合收益，除非该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处理会造成或扩大损益中的会计错配。此类金融负债产生的其他利得或损失（包括利息费用、除因公司自</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身信用风险变动引起的公允价值变动）计入当期损益，除非该金融负债属于套期关系的一部分。终止确认</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时，将之前计入其他综合收益的累计利得或损失从其他综合收益中转出，计入留存收益。</w:t>
      </w:r>
    </w:p>
    <w:p>
      <w:pPr>
        <w:spacing w:line="256" w:lineRule="auto" w:before="7"/>
        <w:ind w:left="575" w:right="27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金融资产转移不符合终止确认条件或继续涉入被转移金融资产所形成的金融负债</w:t>
      </w:r>
      <w:r>
        <w:rPr>
          <w:rFonts w:ascii="宋体" w:hAnsi="宋体" w:cs="宋体" w:eastAsia="宋体" w:hint="default"/>
          <w:w w:val="100"/>
          <w:sz w:val="21"/>
          <w:szCs w:val="21"/>
        </w:rPr>
        <w:t> </w:t>
      </w:r>
      <w:r>
        <w:rPr>
          <w:rFonts w:ascii="宋体" w:hAnsi="宋体" w:cs="宋体" w:eastAsia="宋体" w:hint="default"/>
          <w:sz w:val="21"/>
          <w:szCs w:val="21"/>
        </w:rPr>
        <w:t>按照《企业会计准则第</w:t>
      </w:r>
      <w:r>
        <w:rPr>
          <w:rFonts w:ascii="Times New Roman" w:hAnsi="Times New Roman" w:cs="Times New Roman" w:eastAsia="Times New Roman" w:hint="default"/>
          <w:sz w:val="21"/>
          <w:szCs w:val="21"/>
        </w:rPr>
        <w:t>23</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金融资产转移》相关规定进行计量。</w:t>
      </w:r>
    </w:p>
    <w:p>
      <w:pPr>
        <w:spacing w:line="256" w:lineRule="auto" w:before="5"/>
        <w:ind w:left="575" w:right="11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不属于上述</w:t>
      </w:r>
      <w:r>
        <w:rPr>
          <w:rFonts w:ascii="Times New Roman" w:hAnsi="Times New Roman" w:cs="Times New Roman" w:eastAsia="Times New Roman" w:hint="default"/>
          <w:sz w:val="21"/>
          <w:szCs w:val="21"/>
        </w:rPr>
        <w:t>1)</w:t>
      </w:r>
      <w:r>
        <w:rPr>
          <w:rFonts w:ascii="宋体" w:hAnsi="宋体" w:cs="宋体" w:eastAsia="宋体" w:hint="default"/>
          <w:sz w:val="21"/>
          <w:szCs w:val="21"/>
        </w:rPr>
        <w:t>或</w:t>
      </w:r>
      <w:r>
        <w:rPr>
          <w:rFonts w:ascii="Times New Roman" w:hAnsi="Times New Roman" w:cs="Times New Roman" w:eastAsia="Times New Roman" w:hint="default"/>
          <w:sz w:val="21"/>
          <w:szCs w:val="21"/>
        </w:rPr>
        <w:t>2)</w:t>
      </w:r>
      <w:r>
        <w:rPr>
          <w:rFonts w:ascii="宋体" w:hAnsi="宋体" w:cs="宋体" w:eastAsia="宋体" w:hint="default"/>
          <w:sz w:val="21"/>
          <w:szCs w:val="21"/>
        </w:rPr>
        <w:t>的财务担保合同，以及不属于上述</w:t>
      </w:r>
      <w:r>
        <w:rPr>
          <w:rFonts w:ascii="Times New Roman" w:hAnsi="Times New Roman" w:cs="Times New Roman" w:eastAsia="Times New Roman" w:hint="default"/>
          <w:sz w:val="21"/>
          <w:szCs w:val="21"/>
        </w:rPr>
        <w:t>1)</w:t>
      </w:r>
      <w:r>
        <w:rPr>
          <w:rFonts w:ascii="宋体" w:hAnsi="宋体" w:cs="宋体" w:eastAsia="宋体" w:hint="default"/>
          <w:sz w:val="21"/>
          <w:szCs w:val="21"/>
        </w:rPr>
        <w:t>并以低于市场利率贷款的贷款承诺</w:t>
      </w:r>
      <w:r>
        <w:rPr>
          <w:rFonts w:ascii="宋体" w:hAnsi="宋体" w:cs="宋体" w:eastAsia="宋体" w:hint="default"/>
          <w:w w:val="100"/>
          <w:sz w:val="21"/>
          <w:szCs w:val="21"/>
        </w:rPr>
        <w:t> </w:t>
      </w:r>
      <w:r>
        <w:rPr>
          <w:rFonts w:ascii="宋体" w:hAnsi="宋体" w:cs="宋体" w:eastAsia="宋体" w:hint="default"/>
          <w:sz w:val="21"/>
          <w:szCs w:val="21"/>
        </w:rPr>
        <w:t>在初始确认后按照下列两项金额之中的较高者进行后续计量：①</w:t>
      </w:r>
      <w:r>
        <w:rPr>
          <w:rFonts w:ascii="宋体" w:hAnsi="宋体" w:cs="宋体" w:eastAsia="宋体" w:hint="default"/>
          <w:spacing w:val="80"/>
          <w:sz w:val="21"/>
          <w:szCs w:val="21"/>
        </w:rPr>
        <w:t> </w:t>
      </w:r>
      <w:r>
        <w:rPr>
          <w:rFonts w:ascii="宋体" w:hAnsi="宋体" w:cs="宋体" w:eastAsia="宋体" w:hint="default"/>
          <w:sz w:val="21"/>
          <w:szCs w:val="21"/>
        </w:rPr>
        <w:t>按照金融工具的减值规定确定的损</w:t>
      </w:r>
    </w:p>
    <w:p>
      <w:pPr>
        <w:spacing w:before="23"/>
        <w:ind w:left="153" w:right="0" w:firstLine="0"/>
        <w:jc w:val="both"/>
        <w:rPr>
          <w:rFonts w:ascii="宋体" w:hAnsi="宋体" w:cs="宋体" w:eastAsia="宋体" w:hint="default"/>
          <w:sz w:val="21"/>
          <w:szCs w:val="21"/>
        </w:rPr>
      </w:pPr>
      <w:r>
        <w:rPr>
          <w:rFonts w:ascii="宋体" w:hAnsi="宋体" w:cs="宋体" w:eastAsia="宋体" w:hint="default"/>
          <w:sz w:val="21"/>
          <w:szCs w:val="21"/>
        </w:rPr>
        <w:t>失准备金额；②</w:t>
      </w:r>
      <w:r>
        <w:rPr>
          <w:rFonts w:ascii="宋体" w:hAnsi="宋体" w:cs="宋体" w:eastAsia="宋体" w:hint="default"/>
          <w:spacing w:val="-17"/>
          <w:sz w:val="21"/>
          <w:szCs w:val="21"/>
        </w:rPr>
        <w:t> </w:t>
      </w:r>
      <w:r>
        <w:rPr>
          <w:rFonts w:ascii="宋体" w:hAnsi="宋体" w:cs="宋体" w:eastAsia="宋体" w:hint="default"/>
          <w:sz w:val="21"/>
          <w:szCs w:val="21"/>
        </w:rPr>
        <w:t>初始确认金额扣除按照相关规定所确定的累计摊销额后的余额。</w:t>
      </w:r>
    </w:p>
    <w:p>
      <w:pPr>
        <w:spacing w:line="256" w:lineRule="auto" w:before="3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以摊余成本计量的金融负债</w:t>
      </w:r>
      <w:r>
        <w:rPr>
          <w:rFonts w:ascii="宋体" w:hAnsi="宋体" w:cs="宋体" w:eastAsia="宋体" w:hint="default"/>
          <w:w w:val="100"/>
          <w:sz w:val="21"/>
          <w:szCs w:val="21"/>
        </w:rPr>
        <w:t> </w:t>
      </w:r>
      <w:r>
        <w:rPr>
          <w:rFonts w:ascii="宋体" w:hAnsi="宋体" w:cs="宋体" w:eastAsia="宋体" w:hint="default"/>
          <w:spacing w:val="-2"/>
          <w:sz w:val="21"/>
          <w:szCs w:val="21"/>
        </w:rPr>
        <w:t>采用实际利率法以摊余成本计量。以摊余成本计量且不属于任何套期关系的一部分的金融负债所产生</w:t>
      </w:r>
    </w:p>
    <w:p>
      <w:pPr>
        <w:spacing w:before="22"/>
        <w:ind w:left="153" w:right="0" w:firstLine="0"/>
        <w:jc w:val="both"/>
        <w:rPr>
          <w:rFonts w:ascii="宋体" w:hAnsi="宋体" w:cs="宋体" w:eastAsia="宋体" w:hint="default"/>
          <w:sz w:val="21"/>
          <w:szCs w:val="21"/>
        </w:rPr>
      </w:pPr>
      <w:r>
        <w:rPr>
          <w:rFonts w:ascii="宋体" w:hAnsi="宋体" w:cs="宋体" w:eastAsia="宋体" w:hint="default"/>
          <w:sz w:val="21"/>
          <w:szCs w:val="21"/>
        </w:rPr>
        <w:t>的利得或损失，在终止确认、按照实际利率法摊销时计入当期损益。</w:t>
      </w:r>
    </w:p>
    <w:p>
      <w:pPr>
        <w:spacing w:before="3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金融资产和金融负债的终止确认</w:t>
      </w:r>
    </w:p>
    <w:p>
      <w:pPr>
        <w:spacing w:before="22"/>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当满足下列条件之一时，终止确认金融资产：</w:t>
      </w:r>
    </w:p>
    <w:p>
      <w:pPr>
        <w:spacing w:before="21"/>
        <w:ind w:left="575" w:right="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20"/>
          <w:sz w:val="21"/>
          <w:szCs w:val="21"/>
        </w:rPr>
        <w:t> </w:t>
      </w:r>
      <w:r>
        <w:rPr>
          <w:rFonts w:ascii="宋体" w:hAnsi="宋体" w:cs="宋体" w:eastAsia="宋体" w:hint="default"/>
          <w:sz w:val="21"/>
          <w:szCs w:val="21"/>
        </w:rPr>
        <w:t>收取金融资产现金流量的合同权利已终止；</w:t>
      </w:r>
    </w:p>
    <w:p>
      <w:pPr>
        <w:spacing w:line="256" w:lineRule="auto" w:before="37"/>
        <w:ind w:left="153" w:right="1011" w:firstLine="422"/>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65"/>
          <w:sz w:val="21"/>
          <w:szCs w:val="21"/>
        </w:rPr>
        <w:t> </w:t>
      </w:r>
      <w:r>
        <w:rPr>
          <w:rFonts w:ascii="宋体" w:hAnsi="宋体" w:cs="宋体" w:eastAsia="宋体" w:hint="default"/>
          <w:sz w:val="21"/>
          <w:szCs w:val="21"/>
        </w:rPr>
        <w:t>金融资产已转移，且该转移满足《企业会计准则第</w:t>
      </w:r>
      <w:r>
        <w:rPr>
          <w:rFonts w:ascii="Times New Roman" w:hAnsi="Times New Roman" w:cs="Times New Roman" w:eastAsia="Times New Roman" w:hint="default"/>
          <w:sz w:val="21"/>
          <w:szCs w:val="21"/>
        </w:rPr>
        <w:t>23</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金融资产转移》关于金融资产终止确</w:t>
      </w:r>
      <w:r>
        <w:rPr>
          <w:rFonts w:ascii="宋体" w:hAnsi="宋体" w:cs="宋体" w:eastAsia="宋体" w:hint="default"/>
          <w:w w:val="100"/>
          <w:sz w:val="21"/>
          <w:szCs w:val="21"/>
        </w:rPr>
        <w:t> </w:t>
      </w:r>
      <w:r>
        <w:rPr>
          <w:rFonts w:ascii="宋体" w:hAnsi="宋体" w:cs="宋体" w:eastAsia="宋体" w:hint="default"/>
          <w:sz w:val="21"/>
          <w:szCs w:val="21"/>
        </w:rPr>
        <w:t>认的规定。</w:t>
      </w:r>
    </w:p>
    <w:p>
      <w:pPr>
        <w:spacing w:before="22"/>
        <w:ind w:left="575"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7"/>
          <w:sz w:val="21"/>
          <w:szCs w:val="21"/>
        </w:rPr>
        <w:t> </w:t>
      </w:r>
      <w:r>
        <w:rPr>
          <w:rFonts w:ascii="宋体" w:hAnsi="宋体" w:cs="宋体" w:eastAsia="宋体" w:hint="default"/>
          <w:spacing w:val="-5"/>
          <w:w w:val="100"/>
          <w:sz w:val="21"/>
          <w:szCs w:val="21"/>
        </w:rPr>
        <w:t>当</w:t>
      </w:r>
      <w:r>
        <w:rPr>
          <w:rFonts w:ascii="宋体" w:hAnsi="宋体" w:cs="宋体" w:eastAsia="宋体" w:hint="default"/>
          <w:w w:val="100"/>
          <w:sz w:val="21"/>
          <w:szCs w:val="21"/>
        </w:rPr>
        <w:t>金融负</w:t>
      </w:r>
      <w:r>
        <w:rPr>
          <w:rFonts w:ascii="宋体" w:hAnsi="宋体" w:cs="宋体" w:eastAsia="宋体" w:hint="default"/>
          <w:spacing w:val="-101"/>
          <w:w w:val="100"/>
          <w:sz w:val="21"/>
          <w:szCs w:val="21"/>
        </w:rPr>
        <w:t>债</w:t>
      </w:r>
      <w:r>
        <w:rPr>
          <w:rFonts w:ascii="宋体" w:hAnsi="宋体" w:cs="宋体" w:eastAsia="宋体" w:hint="default"/>
          <w:w w:val="100"/>
          <w:sz w:val="21"/>
          <w:szCs w:val="21"/>
        </w:rPr>
        <w:t>（</w:t>
      </w:r>
      <w:r>
        <w:rPr>
          <w:rFonts w:ascii="宋体" w:hAnsi="宋体" w:cs="宋体" w:eastAsia="宋体" w:hint="default"/>
          <w:spacing w:val="-5"/>
          <w:w w:val="100"/>
          <w:sz w:val="21"/>
          <w:szCs w:val="21"/>
        </w:rPr>
        <w:t>或</w:t>
      </w:r>
      <w:r>
        <w:rPr>
          <w:rFonts w:ascii="宋体" w:hAnsi="宋体" w:cs="宋体" w:eastAsia="宋体" w:hint="default"/>
          <w:w w:val="100"/>
          <w:sz w:val="21"/>
          <w:szCs w:val="21"/>
        </w:rPr>
        <w:t>其一部</w:t>
      </w:r>
      <w:r>
        <w:rPr>
          <w:rFonts w:ascii="宋体" w:hAnsi="宋体" w:cs="宋体" w:eastAsia="宋体" w:hint="default"/>
          <w:spacing w:val="-5"/>
          <w:w w:val="100"/>
          <w:sz w:val="21"/>
          <w:szCs w:val="21"/>
        </w:rPr>
        <w:t>分</w:t>
      </w:r>
      <w:r>
        <w:rPr>
          <w:rFonts w:ascii="宋体" w:hAnsi="宋体" w:cs="宋体" w:eastAsia="宋体" w:hint="default"/>
          <w:spacing w:val="-97"/>
          <w:w w:val="100"/>
          <w:sz w:val="21"/>
          <w:szCs w:val="21"/>
        </w:rPr>
        <w:t>）</w:t>
      </w:r>
      <w:r>
        <w:rPr>
          <w:rFonts w:ascii="宋体" w:hAnsi="宋体" w:cs="宋体" w:eastAsia="宋体" w:hint="default"/>
          <w:spacing w:val="-5"/>
          <w:w w:val="100"/>
          <w:sz w:val="21"/>
          <w:szCs w:val="21"/>
        </w:rPr>
        <w:t>的</w:t>
      </w:r>
      <w:r>
        <w:rPr>
          <w:rFonts w:ascii="宋体" w:hAnsi="宋体" w:cs="宋体" w:eastAsia="宋体" w:hint="default"/>
          <w:w w:val="100"/>
          <w:sz w:val="21"/>
          <w:szCs w:val="21"/>
        </w:rPr>
        <w:t>现时义</w:t>
      </w:r>
      <w:r>
        <w:rPr>
          <w:rFonts w:ascii="宋体" w:hAnsi="宋体" w:cs="宋体" w:eastAsia="宋体" w:hint="default"/>
          <w:spacing w:val="-5"/>
          <w:w w:val="100"/>
          <w:sz w:val="21"/>
          <w:szCs w:val="21"/>
        </w:rPr>
        <w:t>务</w:t>
      </w:r>
      <w:r>
        <w:rPr>
          <w:rFonts w:ascii="宋体" w:hAnsi="宋体" w:cs="宋体" w:eastAsia="宋体" w:hint="default"/>
          <w:w w:val="100"/>
          <w:sz w:val="21"/>
          <w:szCs w:val="21"/>
        </w:rPr>
        <w:t>已经解</w:t>
      </w:r>
      <w:r>
        <w:rPr>
          <w:rFonts w:ascii="宋体" w:hAnsi="宋体" w:cs="宋体" w:eastAsia="宋体" w:hint="default"/>
          <w:spacing w:val="-5"/>
          <w:w w:val="100"/>
          <w:sz w:val="21"/>
          <w:szCs w:val="21"/>
        </w:rPr>
        <w:t>除</w:t>
      </w:r>
      <w:r>
        <w:rPr>
          <w:rFonts w:ascii="宋体" w:hAnsi="宋体" w:cs="宋体" w:eastAsia="宋体" w:hint="default"/>
          <w:w w:val="100"/>
          <w:sz w:val="21"/>
          <w:szCs w:val="21"/>
        </w:rPr>
        <w:t>时</w:t>
      </w:r>
      <w:r>
        <w:rPr>
          <w:rFonts w:ascii="宋体" w:hAnsi="宋体" w:cs="宋体" w:eastAsia="宋体" w:hint="default"/>
          <w:spacing w:val="-101"/>
          <w:w w:val="100"/>
          <w:sz w:val="21"/>
          <w:szCs w:val="21"/>
        </w:rPr>
        <w:t>，</w:t>
      </w:r>
      <w:r>
        <w:rPr>
          <w:rFonts w:ascii="宋体" w:hAnsi="宋体" w:cs="宋体" w:eastAsia="宋体" w:hint="default"/>
          <w:w w:val="100"/>
          <w:sz w:val="21"/>
          <w:szCs w:val="21"/>
        </w:rPr>
        <w:t>相应终止</w:t>
      </w:r>
      <w:r>
        <w:rPr>
          <w:rFonts w:ascii="宋体" w:hAnsi="宋体" w:cs="宋体" w:eastAsia="宋体" w:hint="default"/>
          <w:spacing w:val="-5"/>
          <w:w w:val="100"/>
          <w:sz w:val="21"/>
          <w:szCs w:val="21"/>
        </w:rPr>
        <w:t>确</w:t>
      </w:r>
      <w:r>
        <w:rPr>
          <w:rFonts w:ascii="宋体" w:hAnsi="宋体" w:cs="宋体" w:eastAsia="宋体" w:hint="default"/>
          <w:w w:val="100"/>
          <w:sz w:val="21"/>
          <w:szCs w:val="21"/>
        </w:rPr>
        <w:t>认该金</w:t>
      </w:r>
      <w:r>
        <w:rPr>
          <w:rFonts w:ascii="宋体" w:hAnsi="宋体" w:cs="宋体" w:eastAsia="宋体" w:hint="default"/>
          <w:spacing w:val="-5"/>
          <w:w w:val="100"/>
          <w:sz w:val="21"/>
          <w:szCs w:val="21"/>
        </w:rPr>
        <w:t>融</w:t>
      </w:r>
      <w:r>
        <w:rPr>
          <w:rFonts w:ascii="宋体" w:hAnsi="宋体" w:cs="宋体" w:eastAsia="宋体" w:hint="default"/>
          <w:w w:val="100"/>
          <w:sz w:val="21"/>
          <w:szCs w:val="21"/>
        </w:rPr>
        <w:t>负</w:t>
      </w:r>
      <w:r>
        <w:rPr>
          <w:rFonts w:ascii="宋体" w:hAnsi="宋体" w:cs="宋体" w:eastAsia="宋体" w:hint="default"/>
          <w:spacing w:val="-101"/>
          <w:w w:val="100"/>
          <w:sz w:val="21"/>
          <w:szCs w:val="21"/>
        </w:rPr>
        <w:t>债</w:t>
      </w:r>
      <w:r>
        <w:rPr>
          <w:rFonts w:ascii="宋体" w:hAnsi="宋体" w:cs="宋体" w:eastAsia="宋体" w:hint="default"/>
          <w:w w:val="100"/>
          <w:sz w:val="21"/>
          <w:szCs w:val="21"/>
        </w:rPr>
        <w:t>（或该</w:t>
      </w:r>
      <w:r>
        <w:rPr>
          <w:rFonts w:ascii="宋体" w:hAnsi="宋体" w:cs="宋体" w:eastAsia="宋体" w:hint="default"/>
          <w:spacing w:val="-5"/>
          <w:w w:val="100"/>
          <w:sz w:val="21"/>
          <w:szCs w:val="21"/>
        </w:rPr>
        <w:t>部</w:t>
      </w:r>
      <w:r>
        <w:rPr>
          <w:rFonts w:ascii="宋体" w:hAnsi="宋体" w:cs="宋体" w:eastAsia="宋体" w:hint="default"/>
          <w:w w:val="100"/>
          <w:sz w:val="21"/>
          <w:szCs w:val="21"/>
        </w:rPr>
        <w:t>分金融</w:t>
      </w:r>
      <w:r>
        <w:rPr>
          <w:rFonts w:ascii="宋体" w:hAnsi="宋体" w:cs="宋体" w:eastAsia="宋体" w:hint="default"/>
          <w:spacing w:val="-5"/>
          <w:w w:val="100"/>
          <w:sz w:val="21"/>
          <w:szCs w:val="21"/>
        </w:rPr>
        <w:t>负</w:t>
      </w:r>
      <w:r>
        <w:rPr>
          <w:rFonts w:ascii="宋体" w:hAnsi="宋体" w:cs="宋体" w:eastAsia="宋体" w:hint="default"/>
          <w:w w:val="100"/>
          <w:sz w:val="21"/>
          <w:szCs w:val="21"/>
        </w:rPr>
        <w:t>债</w:t>
      </w:r>
      <w:r>
        <w:rPr>
          <w:rFonts w:ascii="宋体" w:hAnsi="宋体" w:cs="宋体" w:eastAsia="宋体" w:hint="default"/>
          <w:spacing w:val="-101"/>
          <w:w w:val="100"/>
          <w:sz w:val="21"/>
          <w:szCs w:val="21"/>
        </w:rPr>
        <w:t>）</w:t>
      </w:r>
      <w:r>
        <w:rPr>
          <w:rFonts w:ascii="宋体" w:hAnsi="宋体" w:cs="宋体" w:eastAsia="宋体" w:hint="default"/>
          <w:w w:val="100"/>
          <w:sz w:val="21"/>
          <w:szCs w:val="21"/>
        </w:rPr>
        <w:t>。</w:t>
      </w:r>
    </w:p>
    <w:p>
      <w:pPr>
        <w:spacing w:line="256" w:lineRule="auto"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金融资产转移的确认依据和计量方法</w:t>
      </w:r>
      <w:r>
        <w:rPr>
          <w:rFonts w:ascii="宋体" w:hAnsi="宋体" w:cs="宋体" w:eastAsia="宋体" w:hint="default"/>
          <w:w w:val="100"/>
          <w:sz w:val="21"/>
          <w:szCs w:val="21"/>
        </w:rPr>
        <w:t> </w:t>
      </w:r>
      <w:r>
        <w:rPr>
          <w:rFonts w:ascii="宋体" w:hAnsi="宋体" w:cs="宋体" w:eastAsia="宋体" w:hint="default"/>
          <w:spacing w:val="-2"/>
          <w:sz w:val="21"/>
          <w:szCs w:val="21"/>
        </w:rPr>
        <w:t>公司转移了金融资产所有权上几乎所有的风险和报酬的，终止确认该金融资产，并将转移中产生或保</w:t>
      </w:r>
    </w:p>
    <w:p>
      <w:pPr>
        <w:spacing w:line="264" w:lineRule="auto" w:before="22"/>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留的权利和义务单独确认为资产或负债；保留了金融资产所有权上几乎所有的风险和报酬的，继续确认所</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转移的金融资产。公司既没有转移也没有保留金融资产所有权上几乎所有的风险和报酬的，分别下列情况</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处理：</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未保留对该金融资产控制的，终止确认该金融资产，并将转移中产生或保留的权利和义务单独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确认为资产或负债；</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保留了对该金融资产控制的，按照继续涉入所转移金融资产的程度确认有关金融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资产，并相应确认有关负债。</w:t>
      </w:r>
    </w:p>
    <w:p>
      <w:pPr>
        <w:spacing w:line="256" w:lineRule="auto" w:before="16"/>
        <w:ind w:left="153" w:right="1119" w:firstLine="422"/>
        <w:jc w:val="left"/>
        <w:rPr>
          <w:rFonts w:ascii="宋体" w:hAnsi="宋体" w:cs="宋体" w:eastAsia="宋体" w:hint="default"/>
          <w:sz w:val="21"/>
          <w:szCs w:val="21"/>
        </w:rPr>
      </w:pPr>
      <w:r>
        <w:rPr>
          <w:rFonts w:ascii="宋体" w:hAnsi="宋体" w:cs="宋体" w:eastAsia="宋体" w:hint="default"/>
          <w:sz w:val="21"/>
          <w:szCs w:val="21"/>
        </w:rPr>
        <w:t>金融资产整体转移满足终止确认条件的，将下列两项金额的差额计入当期损益：</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所转移金融资产</w:t>
      </w:r>
      <w:r>
        <w:rPr>
          <w:rFonts w:ascii="宋体" w:hAnsi="宋体" w:cs="宋体" w:eastAsia="宋体" w:hint="default"/>
          <w:w w:val="100"/>
          <w:sz w:val="21"/>
          <w:szCs w:val="21"/>
        </w:rPr>
        <w:t> </w:t>
      </w:r>
      <w:r>
        <w:rPr>
          <w:rFonts w:ascii="宋体" w:hAnsi="宋体" w:cs="宋体" w:eastAsia="宋体" w:hint="default"/>
          <w:sz w:val="21"/>
          <w:szCs w:val="21"/>
        </w:rPr>
        <w:t>在终止确认日的账面价值；</w:t>
      </w: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因转移金融资产而收到的对价，与原直接计入其他综合收益的公允价值变</w:t>
      </w:r>
    </w:p>
    <w:p>
      <w:pPr>
        <w:spacing w:after="0" w:line="256"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268" w:lineRule="auto" w:before="36"/>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动累计额中对应终止确认部分的金额（涉及转移的金融资产为以公允价值计量且其变动计入其他综合收益</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的债务工具投资）之和。转移了金融资产的一部分，且该被转移部分整体满足终止确认条件的，将转移前</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金融资产整体的账面价值，在终止确认部分和继续确认部分之间，按照转移日各自的相对公允价值进行分</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摊，并将下列两项金额的差额计入当期损益：</w:t>
      </w:r>
      <w:r>
        <w:rPr>
          <w:rFonts w:ascii="Times New Roman" w:hAnsi="Times New Roman" w:cs="Times New Roman" w:eastAsia="Times New Roman" w:hint="default"/>
          <w:spacing w:val="-3"/>
          <w:sz w:val="21"/>
          <w:szCs w:val="21"/>
        </w:rPr>
        <w:t>(1) </w:t>
      </w:r>
      <w:r>
        <w:rPr>
          <w:rFonts w:ascii="宋体" w:hAnsi="宋体" w:cs="宋体" w:eastAsia="宋体" w:hint="default"/>
          <w:sz w:val="21"/>
          <w:szCs w:val="21"/>
        </w:rPr>
        <w:t>终止确认部分的账面价值；</w:t>
      </w:r>
      <w:r>
        <w:rPr>
          <w:rFonts w:ascii="Times New Roman" w:hAnsi="Times New Roman" w:cs="Times New Roman" w:eastAsia="Times New Roman" w:hint="default"/>
          <w:sz w:val="21"/>
          <w:szCs w:val="21"/>
        </w:rPr>
        <w:t>(2) </w:t>
      </w:r>
      <w:r>
        <w:rPr>
          <w:rFonts w:ascii="宋体" w:hAnsi="宋体" w:cs="宋体" w:eastAsia="宋体" w:hint="default"/>
          <w:spacing w:val="-3"/>
          <w:sz w:val="21"/>
          <w:szCs w:val="21"/>
        </w:rPr>
        <w:t>终止确认部分的对价，与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原直接计入其他综合收益的公允价值变动累计额中对应终止确认部分的金额（涉及转移的金融资产为以公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允价值计量且其变动计入其他综合收益的债务工具投资）之和。</w:t>
      </w:r>
    </w:p>
    <w:p>
      <w:pPr>
        <w:spacing w:line="256" w:lineRule="auto" w:before="12"/>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金融资产和金融负债的公允价值确定方法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公司采用在当前情况下适用并且有足够可利用数据和其他信息支持的估值技术确定相关金融资产和</w:t>
      </w:r>
    </w:p>
    <w:p>
      <w:pPr>
        <w:spacing w:before="22"/>
        <w:ind w:left="153" w:right="0" w:firstLine="0"/>
        <w:jc w:val="both"/>
        <w:rPr>
          <w:rFonts w:ascii="宋体" w:hAnsi="宋体" w:cs="宋体" w:eastAsia="宋体" w:hint="default"/>
          <w:sz w:val="21"/>
          <w:szCs w:val="21"/>
        </w:rPr>
      </w:pPr>
      <w:r>
        <w:rPr>
          <w:rFonts w:ascii="宋体" w:hAnsi="宋体" w:cs="宋体" w:eastAsia="宋体" w:hint="default"/>
          <w:sz w:val="21"/>
          <w:szCs w:val="21"/>
        </w:rPr>
        <w:t>金融负债的公允价值。公司将估值技术使用的输入值分以下层级，并依次使用：</w:t>
      </w:r>
    </w:p>
    <w:p>
      <w:pPr>
        <w:spacing w:before="3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第一层次输入值是在计量日能够取得的相同资产或负债在活跃市场上未经调整的报价；</w:t>
      </w:r>
    </w:p>
    <w:p>
      <w:pPr>
        <w:spacing w:line="264" w:lineRule="auto" w:before="21"/>
        <w:ind w:left="153" w:right="1125"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第二层次输入值是除第一层次输入值外相关资产或负债直接或间接可观察的输入值，包括：活跃</w:t>
      </w:r>
      <w:r>
        <w:rPr>
          <w:rFonts w:ascii="宋体" w:hAnsi="宋体" w:cs="宋体" w:eastAsia="宋体" w:hint="default"/>
          <w:w w:val="100"/>
          <w:sz w:val="21"/>
          <w:szCs w:val="21"/>
        </w:rPr>
        <w:t> </w:t>
      </w:r>
      <w:r>
        <w:rPr>
          <w:rFonts w:ascii="宋体" w:hAnsi="宋体" w:cs="宋体" w:eastAsia="宋体" w:hint="default"/>
          <w:spacing w:val="-2"/>
          <w:sz w:val="21"/>
          <w:szCs w:val="21"/>
        </w:rPr>
        <w:t>市场中类似资产或负债的报价；非活跃市场中相同或类似资产或负债的报价；除报价以外的其他可观察输</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入值，如在正常报价间隔期间可观察的利率和收益率曲线等；市场验证的输入值等；</w:t>
      </w:r>
    </w:p>
    <w:p>
      <w:pPr>
        <w:spacing w:line="266" w:lineRule="auto" w:before="16"/>
        <w:ind w:left="153" w:right="1125"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第三层次输入值是相关资产或负债的不可观察输入值，包括不能直接观察或无法由可观察市场数</w:t>
      </w:r>
      <w:r>
        <w:rPr>
          <w:rFonts w:ascii="宋体" w:hAnsi="宋体" w:cs="宋体" w:eastAsia="宋体" w:hint="default"/>
          <w:w w:val="100"/>
          <w:sz w:val="21"/>
          <w:szCs w:val="21"/>
        </w:rPr>
        <w:t> </w:t>
      </w:r>
      <w:r>
        <w:rPr>
          <w:rFonts w:ascii="宋体" w:hAnsi="宋体" w:cs="宋体" w:eastAsia="宋体" w:hint="default"/>
          <w:spacing w:val="-2"/>
          <w:sz w:val="21"/>
          <w:szCs w:val="21"/>
        </w:rPr>
        <w:t>据验证的利率、股票波动率、企业合并中承担的弃置义务的未来现金流量、使用自身数据作出的财务预测</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等。</w:t>
      </w:r>
    </w:p>
    <w:p>
      <w:pPr>
        <w:spacing w:before="14"/>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金融工具减值</w:t>
      </w:r>
    </w:p>
    <w:p>
      <w:pPr>
        <w:spacing w:line="256" w:lineRule="auto"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金融工具减值计量和会计处理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公司以预期信用损失为基础，对以摊余成本计量的金融资产、以公允价值计量且其变动计入其他综合</w:t>
      </w:r>
    </w:p>
    <w:p>
      <w:pPr>
        <w:spacing w:line="273" w:lineRule="auto" w:before="23"/>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收益的债务工具投资、租赁应收款、分类为以公允价值计量且其变动计入当期损益的金融负债以外的贷款</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承诺、不属于以公允价值计量且其变动计入当期损益的金融负债或不属于金融资产转移不符合终止确认条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件或继续涉入被转移金融资产所形成的金融负债的财务担保合同进行减值处理并确认损失准备。</w:t>
      </w:r>
    </w:p>
    <w:p>
      <w:pPr>
        <w:spacing w:line="273" w:lineRule="auto" w:before="7"/>
        <w:ind w:left="153" w:right="1120" w:firstLine="422"/>
        <w:jc w:val="both"/>
        <w:rPr>
          <w:rFonts w:ascii="宋体" w:hAnsi="宋体" w:cs="宋体" w:eastAsia="宋体" w:hint="default"/>
          <w:sz w:val="21"/>
          <w:szCs w:val="21"/>
        </w:rPr>
      </w:pPr>
      <w:r>
        <w:rPr>
          <w:rFonts w:ascii="宋体" w:hAnsi="宋体" w:cs="宋体" w:eastAsia="宋体" w:hint="default"/>
          <w:spacing w:val="-2"/>
          <w:sz w:val="21"/>
          <w:szCs w:val="21"/>
        </w:rPr>
        <w:t>预期信用损失，是指以发生违约的风险为权重的金融工具信用损失的加权平均值。信用损失，是指公</w:t>
      </w:r>
      <w:r>
        <w:rPr>
          <w:rFonts w:ascii="宋体" w:hAnsi="宋体" w:cs="宋体" w:eastAsia="宋体" w:hint="default"/>
          <w:w w:val="100"/>
          <w:sz w:val="21"/>
          <w:szCs w:val="21"/>
        </w:rPr>
        <w:t> </w:t>
      </w:r>
      <w:r>
        <w:rPr>
          <w:rFonts w:ascii="宋体" w:hAnsi="宋体" w:cs="宋体" w:eastAsia="宋体" w:hint="default"/>
          <w:spacing w:val="-2"/>
          <w:sz w:val="21"/>
          <w:szCs w:val="21"/>
        </w:rPr>
        <w:t>司按照原实际利率折现的、根据合同应收的所有合同现金流量与预期收取的所有现金流量之间的差额，即</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全部现金短缺的现值。其中，对于公司购买或源生的已发生信用减值的金融资产，按照该金融资产经信用</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调整的实际利率折现。</w:t>
      </w:r>
    </w:p>
    <w:p>
      <w:pPr>
        <w:spacing w:line="273" w:lineRule="auto" w:before="7"/>
        <w:ind w:left="153" w:right="1121" w:firstLine="422"/>
        <w:jc w:val="both"/>
        <w:rPr>
          <w:rFonts w:ascii="宋体" w:hAnsi="宋体" w:cs="宋体" w:eastAsia="宋体" w:hint="default"/>
          <w:sz w:val="21"/>
          <w:szCs w:val="21"/>
        </w:rPr>
      </w:pPr>
      <w:r>
        <w:rPr>
          <w:rFonts w:ascii="宋体" w:hAnsi="宋体" w:cs="宋体" w:eastAsia="宋体" w:hint="default"/>
          <w:spacing w:val="-2"/>
          <w:sz w:val="21"/>
          <w:szCs w:val="21"/>
        </w:rPr>
        <w:t>对于购买或源生的已发生信用减值的金融资产，公司在资产负债表日仅将自初始确认后整个存续期内</w:t>
      </w:r>
      <w:r>
        <w:rPr>
          <w:rFonts w:ascii="宋体" w:hAnsi="宋体" w:cs="宋体" w:eastAsia="宋体" w:hint="default"/>
          <w:w w:val="100"/>
          <w:sz w:val="21"/>
          <w:szCs w:val="21"/>
        </w:rPr>
        <w:t> </w:t>
      </w:r>
      <w:r>
        <w:rPr>
          <w:rFonts w:ascii="宋体" w:hAnsi="宋体" w:cs="宋体" w:eastAsia="宋体" w:hint="default"/>
          <w:sz w:val="21"/>
          <w:szCs w:val="21"/>
        </w:rPr>
        <w:t>预期信用损失的累计变动确认为损失准备。</w:t>
      </w:r>
    </w:p>
    <w:p>
      <w:pPr>
        <w:spacing w:line="273" w:lineRule="auto" w:before="7"/>
        <w:ind w:left="153" w:right="1126" w:firstLine="422"/>
        <w:jc w:val="both"/>
        <w:rPr>
          <w:rFonts w:ascii="宋体" w:hAnsi="宋体" w:cs="宋体" w:eastAsia="宋体" w:hint="default"/>
          <w:sz w:val="21"/>
          <w:szCs w:val="21"/>
        </w:rPr>
      </w:pPr>
      <w:r>
        <w:rPr>
          <w:rFonts w:ascii="宋体" w:hAnsi="宋体" w:cs="宋体" w:eastAsia="宋体" w:hint="default"/>
          <w:spacing w:val="-2"/>
          <w:sz w:val="21"/>
          <w:szCs w:val="21"/>
        </w:rPr>
        <w:t>对于不含重大融资成分或者公司不考虑不超过一年的合同中的融资成分的应收账款，公司运用简化计</w:t>
      </w:r>
      <w:r>
        <w:rPr>
          <w:rFonts w:ascii="宋体" w:hAnsi="宋体" w:cs="宋体" w:eastAsia="宋体" w:hint="default"/>
          <w:w w:val="100"/>
          <w:sz w:val="21"/>
          <w:szCs w:val="21"/>
        </w:rPr>
        <w:t> </w:t>
      </w:r>
      <w:r>
        <w:rPr>
          <w:rFonts w:ascii="宋体" w:hAnsi="宋体" w:cs="宋体" w:eastAsia="宋体" w:hint="default"/>
          <w:sz w:val="21"/>
          <w:szCs w:val="21"/>
        </w:rPr>
        <w:t>量方法，按照相当于整个存续期内的预期信用损失金额计量损失准备。</w:t>
      </w:r>
    </w:p>
    <w:p>
      <w:pPr>
        <w:spacing w:line="266" w:lineRule="auto" w:before="8"/>
        <w:ind w:left="153" w:right="1121" w:firstLine="422"/>
        <w:jc w:val="both"/>
        <w:rPr>
          <w:rFonts w:ascii="宋体" w:hAnsi="宋体" w:cs="宋体" w:eastAsia="宋体" w:hint="default"/>
          <w:sz w:val="21"/>
          <w:szCs w:val="21"/>
        </w:rPr>
      </w:pPr>
      <w:r>
        <w:rPr>
          <w:rFonts w:ascii="宋体" w:hAnsi="宋体" w:cs="宋体" w:eastAsia="宋体" w:hint="default"/>
          <w:spacing w:val="-2"/>
          <w:sz w:val="21"/>
          <w:szCs w:val="21"/>
        </w:rPr>
        <w:t>除上述计量方法以外的金融资产，公司在每个资产负债表日评估其信用风险自初始确认后是否已经显</w:t>
      </w:r>
      <w:r>
        <w:rPr>
          <w:rFonts w:ascii="宋体" w:hAnsi="宋体" w:cs="宋体" w:eastAsia="宋体" w:hint="default"/>
          <w:w w:val="100"/>
          <w:sz w:val="21"/>
          <w:szCs w:val="21"/>
        </w:rPr>
        <w:t> </w:t>
      </w:r>
      <w:r>
        <w:rPr>
          <w:rFonts w:ascii="宋体" w:hAnsi="宋体" w:cs="宋体" w:eastAsia="宋体" w:hint="default"/>
          <w:spacing w:val="-2"/>
          <w:sz w:val="21"/>
          <w:szCs w:val="21"/>
        </w:rPr>
        <w:t>著增加。如果信用风险自初始确认后已显著增加，公司按照整个存续期内预期信用损失的金额计量损失准</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备；如果信用风险自初始确认后未显著增加，公司按照该金融工具未来</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个月内预期信用损失的金额计量</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损失准备。</w:t>
      </w:r>
    </w:p>
    <w:p>
      <w:pPr>
        <w:spacing w:line="273" w:lineRule="auto" w:before="14"/>
        <w:ind w:left="153" w:right="1125" w:firstLine="422"/>
        <w:jc w:val="both"/>
        <w:rPr>
          <w:rFonts w:ascii="宋体" w:hAnsi="宋体" w:cs="宋体" w:eastAsia="宋体" w:hint="default"/>
          <w:sz w:val="21"/>
          <w:szCs w:val="21"/>
        </w:rPr>
      </w:pPr>
      <w:r>
        <w:rPr>
          <w:rFonts w:ascii="宋体" w:hAnsi="宋体" w:cs="宋体" w:eastAsia="宋体" w:hint="default"/>
          <w:spacing w:val="-2"/>
          <w:sz w:val="21"/>
          <w:szCs w:val="21"/>
        </w:rPr>
        <w:t>公司利用可获得的合理且有依据的信息，包括前瞻性信息，通过比较金融工具在资产负债表日发生违</w:t>
      </w:r>
      <w:r>
        <w:rPr>
          <w:rFonts w:ascii="宋体" w:hAnsi="宋体" w:cs="宋体" w:eastAsia="宋体" w:hint="default"/>
          <w:w w:val="100"/>
          <w:sz w:val="21"/>
          <w:szCs w:val="21"/>
        </w:rPr>
        <w:t> </w:t>
      </w:r>
      <w:r>
        <w:rPr>
          <w:rFonts w:ascii="宋体" w:hAnsi="宋体" w:cs="宋体" w:eastAsia="宋体" w:hint="default"/>
          <w:sz w:val="21"/>
          <w:szCs w:val="21"/>
        </w:rPr>
        <w:t>约的风险与在初始确认日发生违约的风险，以确定金融工具的信用风险自初始确认后是否已显著增加。</w:t>
      </w:r>
    </w:p>
    <w:p>
      <w:pPr>
        <w:spacing w:line="273" w:lineRule="auto" w:before="8"/>
        <w:ind w:left="153" w:right="1125" w:firstLine="422"/>
        <w:jc w:val="both"/>
        <w:rPr>
          <w:rFonts w:ascii="宋体" w:hAnsi="宋体" w:cs="宋体" w:eastAsia="宋体" w:hint="default"/>
          <w:sz w:val="21"/>
          <w:szCs w:val="21"/>
        </w:rPr>
      </w:pPr>
      <w:r>
        <w:rPr>
          <w:rFonts w:ascii="宋体" w:hAnsi="宋体" w:cs="宋体" w:eastAsia="宋体" w:hint="default"/>
          <w:spacing w:val="-2"/>
          <w:sz w:val="21"/>
          <w:szCs w:val="21"/>
        </w:rPr>
        <w:t>于资产负债表日，若公司判断金融工具只具有较低的信用风险，则假定该金融工具的信用风险自初始</w:t>
      </w:r>
      <w:r>
        <w:rPr>
          <w:rFonts w:ascii="宋体" w:hAnsi="宋体" w:cs="宋体" w:eastAsia="宋体" w:hint="default"/>
          <w:w w:val="100"/>
          <w:sz w:val="21"/>
          <w:szCs w:val="21"/>
        </w:rPr>
        <w:t> </w:t>
      </w:r>
      <w:r>
        <w:rPr>
          <w:rFonts w:ascii="宋体" w:hAnsi="宋体" w:cs="宋体" w:eastAsia="宋体" w:hint="default"/>
          <w:sz w:val="21"/>
          <w:szCs w:val="21"/>
        </w:rPr>
        <w:t>确认后并未显著增加。</w:t>
      </w:r>
    </w:p>
    <w:p>
      <w:pPr>
        <w:spacing w:line="273" w:lineRule="auto" w:before="7"/>
        <w:ind w:left="153" w:right="1126" w:firstLine="422"/>
        <w:jc w:val="both"/>
        <w:rPr>
          <w:rFonts w:ascii="宋体" w:hAnsi="宋体" w:cs="宋体" w:eastAsia="宋体" w:hint="default"/>
          <w:sz w:val="21"/>
          <w:szCs w:val="21"/>
        </w:rPr>
      </w:pPr>
      <w:r>
        <w:rPr>
          <w:rFonts w:ascii="宋体" w:hAnsi="宋体" w:cs="宋体" w:eastAsia="宋体" w:hint="default"/>
          <w:spacing w:val="-2"/>
          <w:sz w:val="21"/>
          <w:szCs w:val="21"/>
        </w:rPr>
        <w:t>公司以单项金融工具或金融工具组合为基础评估预期信用风险和计量预期信用损失。当以金融工具组</w:t>
      </w:r>
      <w:r>
        <w:rPr>
          <w:rFonts w:ascii="宋体" w:hAnsi="宋体" w:cs="宋体" w:eastAsia="宋体" w:hint="default"/>
          <w:w w:val="100"/>
          <w:sz w:val="21"/>
          <w:szCs w:val="21"/>
        </w:rPr>
        <w:t> </w:t>
      </w:r>
      <w:r>
        <w:rPr>
          <w:rFonts w:ascii="宋体" w:hAnsi="宋体" w:cs="宋体" w:eastAsia="宋体" w:hint="default"/>
          <w:sz w:val="21"/>
          <w:szCs w:val="21"/>
        </w:rPr>
        <w:t>合为基础时，公司以共同风险特征为依据，将金融工具划分为不同组合。</w:t>
      </w:r>
    </w:p>
    <w:p>
      <w:pPr>
        <w:spacing w:line="273" w:lineRule="auto" w:before="7"/>
        <w:ind w:left="153" w:right="1122" w:firstLine="422"/>
        <w:jc w:val="both"/>
        <w:rPr>
          <w:rFonts w:ascii="宋体" w:hAnsi="宋体" w:cs="宋体" w:eastAsia="宋体" w:hint="default"/>
          <w:sz w:val="21"/>
          <w:szCs w:val="21"/>
        </w:rPr>
      </w:pPr>
      <w:r>
        <w:rPr>
          <w:rFonts w:ascii="宋体" w:hAnsi="宋体" w:cs="宋体" w:eastAsia="宋体" w:hint="default"/>
          <w:spacing w:val="-2"/>
          <w:sz w:val="21"/>
          <w:szCs w:val="21"/>
        </w:rPr>
        <w:t>公司在每个资产负债表日重新计量预期信用损失，由此形成的损失准备的增加或转回金额，作为减值</w:t>
      </w:r>
      <w:r>
        <w:rPr>
          <w:rFonts w:ascii="宋体" w:hAnsi="宋体" w:cs="宋体" w:eastAsia="宋体" w:hint="default"/>
          <w:w w:val="100"/>
          <w:sz w:val="21"/>
          <w:szCs w:val="21"/>
        </w:rPr>
        <w:t> </w:t>
      </w:r>
      <w:r>
        <w:rPr>
          <w:rFonts w:ascii="宋体" w:hAnsi="宋体" w:cs="宋体" w:eastAsia="宋体" w:hint="default"/>
          <w:spacing w:val="-2"/>
          <w:sz w:val="21"/>
          <w:szCs w:val="21"/>
        </w:rPr>
        <w:t>损失或利得计入当期损益。对于以摊余成本计量的金融资产，损失准备抵减该金融资产在资产负债表中列</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示的账面价值；对于以公允价值计量且其变动计入其他综合收益的债权投资，公司在其他综合收益中确认</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其损失准备，不抵减该金融资产的账面价值。</w:t>
      </w:r>
    </w:p>
    <w:p>
      <w:pPr>
        <w:spacing w:after="0" w:line="273"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按组合评估预期信用风险和计量预期信用损失的金融工具</w:t>
      </w:r>
    </w:p>
    <w:p>
      <w:pPr>
        <w:spacing w:line="240" w:lineRule="auto" w:before="9"/>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2867"/>
        <w:gridCol w:w="2795"/>
        <w:gridCol w:w="3981"/>
      </w:tblGrid>
      <w:tr>
        <w:trPr>
          <w:trHeight w:val="334" w:hRule="exact"/>
        </w:trPr>
        <w:tc>
          <w:tcPr>
            <w:tcW w:w="28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left="9"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9"/>
                <w:sz w:val="21"/>
                <w:szCs w:val="21"/>
              </w:rPr>
              <w:t> </w:t>
            </w:r>
            <w:r>
              <w:rPr>
                <w:rFonts w:ascii="宋体" w:hAnsi="宋体" w:cs="宋体" w:eastAsia="宋体" w:hint="default"/>
                <w:sz w:val="21"/>
                <w:szCs w:val="21"/>
              </w:rPr>
              <w:t>目</w:t>
            </w:r>
          </w:p>
        </w:tc>
        <w:tc>
          <w:tcPr>
            <w:tcW w:w="27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left="653"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39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left="830"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663" w:hRule="exact"/>
        </w:trPr>
        <w:tc>
          <w:tcPr>
            <w:tcW w:w="2867"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4" w:right="-15"/>
              <w:jc w:val="left"/>
              <w:rPr>
                <w:rFonts w:ascii="宋体" w:hAnsi="宋体" w:cs="宋体" w:eastAsia="宋体" w:hint="default"/>
                <w:sz w:val="21"/>
                <w:szCs w:val="21"/>
              </w:rPr>
            </w:pPr>
            <w:r>
              <w:rPr>
                <w:rFonts w:ascii="宋体" w:hAnsi="宋体" w:cs="宋体" w:eastAsia="宋体" w:hint="default"/>
                <w:spacing w:val="7"/>
                <w:sz w:val="21"/>
                <w:szCs w:val="21"/>
              </w:rPr>
              <w:t>其他应收款</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合并范围内关</w:t>
            </w:r>
            <w:r>
              <w:rPr>
                <w:rFonts w:ascii="宋体" w:hAnsi="宋体" w:cs="宋体" w:eastAsia="宋体" w:hint="default"/>
                <w:spacing w:val="-72"/>
                <w:sz w:val="21"/>
                <w:szCs w:val="21"/>
              </w:rPr>
              <w:t> </w:t>
            </w:r>
            <w:r>
              <w:rPr>
                <w:rFonts w:ascii="宋体" w:hAnsi="宋体" w:cs="宋体" w:eastAsia="宋体" w:hint="default"/>
                <w:sz w:val="21"/>
                <w:szCs w:val="21"/>
              </w:rPr>
              <w:t>联方组合组合</w:t>
            </w:r>
          </w:p>
        </w:tc>
        <w:tc>
          <w:tcPr>
            <w:tcW w:w="279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本公司合并范围内的关联款项</w:t>
            </w:r>
          </w:p>
        </w:tc>
        <w:tc>
          <w:tcPr>
            <w:tcW w:w="3981" w:type="dxa"/>
            <w:vMerge w:val="restart"/>
            <w:tcBorders>
              <w:top w:val="single" w:sz="6" w:space="0" w:color="000000"/>
              <w:left w:val="single" w:sz="6" w:space="0" w:color="000000"/>
              <w:right w:val="single" w:sz="6" w:space="0" w:color="000000"/>
            </w:tcBorders>
          </w:tcPr>
          <w:p>
            <w:pPr>
              <w:pStyle w:val="TableParagraph"/>
              <w:spacing w:line="268" w:lineRule="auto"/>
              <w:ind w:left="4" w:right="-13"/>
              <w:jc w:val="both"/>
              <w:rPr>
                <w:rFonts w:ascii="宋体" w:hAnsi="宋体" w:cs="宋体" w:eastAsia="宋体" w:hint="default"/>
                <w:sz w:val="21"/>
                <w:szCs w:val="21"/>
              </w:rPr>
            </w:pPr>
            <w:r>
              <w:rPr>
                <w:rFonts w:ascii="宋体" w:hAnsi="宋体" w:cs="宋体" w:eastAsia="宋体" w:hint="default"/>
                <w:spacing w:val="-3"/>
                <w:sz w:val="21"/>
                <w:szCs w:val="21"/>
              </w:rPr>
              <w:t>参考历史信用损失经验，结合当前状况以及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对未来经济状况的预测，通过违约风险敞口</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7"/>
                <w:sz w:val="21"/>
                <w:szCs w:val="21"/>
              </w:rPr>
              <w:t>和未来</w:t>
            </w:r>
            <w:r>
              <w:rPr>
                <w:rFonts w:ascii="Times New Roman" w:hAnsi="Times New Roman" w:cs="Times New Roman" w:eastAsia="Times New Roman" w:hint="default"/>
                <w:spacing w:val="7"/>
                <w:sz w:val="21"/>
                <w:szCs w:val="21"/>
              </w:rPr>
              <w:t>12</w:t>
            </w:r>
            <w:r>
              <w:rPr>
                <w:rFonts w:ascii="宋体" w:hAnsi="宋体" w:cs="宋体" w:eastAsia="宋体" w:hint="default"/>
                <w:spacing w:val="7"/>
                <w:sz w:val="21"/>
                <w:szCs w:val="21"/>
              </w:rPr>
              <w:t>个月内或整个存续期预期信用损</w:t>
            </w:r>
            <w:r>
              <w:rPr>
                <w:rFonts w:ascii="宋体" w:hAnsi="宋体" w:cs="宋体" w:eastAsia="宋体" w:hint="default"/>
                <w:spacing w:val="-54"/>
                <w:sz w:val="21"/>
                <w:szCs w:val="21"/>
              </w:rPr>
              <w:t> </w:t>
            </w:r>
            <w:r>
              <w:rPr>
                <w:rFonts w:ascii="宋体" w:hAnsi="宋体" w:cs="宋体" w:eastAsia="宋体" w:hint="default"/>
                <w:sz w:val="21"/>
                <w:szCs w:val="21"/>
              </w:rPr>
              <w:t>失率，计算预期信用损失</w:t>
            </w:r>
          </w:p>
        </w:tc>
      </w:tr>
      <w:tr>
        <w:trPr>
          <w:trHeight w:val="624" w:hRule="exact"/>
        </w:trPr>
        <w:tc>
          <w:tcPr>
            <w:tcW w:w="28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279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981" w:type="dxa"/>
            <w:vMerge/>
            <w:tcBorders>
              <w:left w:val="single" w:sz="6" w:space="0" w:color="000000"/>
              <w:bottom w:val="single" w:sz="6" w:space="0" w:color="000000"/>
              <w:right w:val="single" w:sz="6" w:space="0" w:color="000000"/>
            </w:tcBorders>
          </w:tcPr>
          <w:p>
            <w:pPr/>
          </w:p>
        </w:tc>
      </w:tr>
    </w:tbl>
    <w:p>
      <w:pPr>
        <w:spacing w:line="276" w:lineRule="exact" w:before="0"/>
        <w:ind w:left="575" w:right="0" w:firstLine="0"/>
        <w:jc w:val="left"/>
        <w:rPr>
          <w:rFonts w:ascii="宋体" w:hAnsi="宋体" w:cs="宋体" w:eastAsia="宋体" w:hint="default"/>
          <w:sz w:val="22"/>
          <w:szCs w:val="22"/>
        </w:rPr>
      </w:pPr>
      <w:r>
        <w:rPr>
          <w:rFonts w:ascii="Times New Roman" w:hAnsi="Times New Roman" w:cs="Times New Roman" w:eastAsia="Times New Roman" w:hint="default"/>
          <w:i/>
          <w:w w:val="95"/>
          <w:sz w:val="21"/>
          <w:szCs w:val="21"/>
        </w:rPr>
        <w:t>(3) </w:t>
      </w:r>
      <w:r>
        <w:rPr>
          <w:rFonts w:ascii="Times New Roman" w:hAnsi="Times New Roman" w:cs="Times New Roman" w:eastAsia="Times New Roman" w:hint="default"/>
          <w:i/>
          <w:spacing w:val="13"/>
          <w:w w:val="95"/>
          <w:sz w:val="21"/>
          <w:szCs w:val="21"/>
        </w:rPr>
        <w:t> </w:t>
      </w:r>
      <w:r>
        <w:rPr>
          <w:rFonts w:ascii="宋体" w:hAnsi="宋体" w:cs="宋体" w:eastAsia="宋体" w:hint="default"/>
          <w:i/>
          <w:w w:val="95"/>
          <w:sz w:val="22"/>
          <w:szCs w:val="22"/>
        </w:rPr>
        <w:t>按组合计量预期信用损失的应收款项</w:t>
      </w:r>
      <w:r>
        <w:rPr>
          <w:rFonts w:ascii="宋体" w:hAnsi="宋体" w:cs="宋体" w:eastAsia="宋体" w:hint="default"/>
          <w:sz w:val="22"/>
          <w:szCs w:val="22"/>
        </w:rPr>
      </w:r>
    </w:p>
    <w:p>
      <w:pPr>
        <w:spacing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具体组合及计量预期信用损失的方法</w:t>
      </w:r>
    </w:p>
    <w:p>
      <w:pPr>
        <w:spacing w:line="240" w:lineRule="auto" w:before="1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867"/>
        <w:gridCol w:w="2795"/>
        <w:gridCol w:w="3981"/>
      </w:tblGrid>
      <w:tr>
        <w:trPr>
          <w:trHeight w:val="341" w:hRule="exact"/>
        </w:trPr>
        <w:tc>
          <w:tcPr>
            <w:tcW w:w="28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9"/>
                <w:sz w:val="21"/>
                <w:szCs w:val="21"/>
              </w:rPr>
              <w:t> </w:t>
            </w:r>
            <w:r>
              <w:rPr>
                <w:rFonts w:ascii="宋体" w:hAnsi="宋体" w:cs="宋体" w:eastAsia="宋体" w:hint="default"/>
                <w:sz w:val="21"/>
                <w:szCs w:val="21"/>
              </w:rPr>
              <w:t>目</w:t>
            </w:r>
          </w:p>
        </w:tc>
        <w:tc>
          <w:tcPr>
            <w:tcW w:w="2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653"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39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830"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34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应收银行承兑汇票</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票据类型</w:t>
            </w:r>
          </w:p>
        </w:tc>
        <w:tc>
          <w:tcPr>
            <w:tcW w:w="3981" w:type="dxa"/>
            <w:vMerge w:val="restart"/>
            <w:tcBorders>
              <w:top w:val="single" w:sz="4" w:space="0" w:color="000000"/>
              <w:left w:val="single" w:sz="4" w:space="0" w:color="000000"/>
              <w:right w:val="single" w:sz="4" w:space="0" w:color="000000"/>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3"/>
                <w:sz w:val="21"/>
                <w:szCs w:val="21"/>
              </w:rPr>
              <w:t>参考历史信用损失经验，结合当前状况以及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对未来经济状况的预测，通过违约风险敞口</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和整个存续期预期信用损失率，计算预期信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用损失</w:t>
            </w:r>
          </w:p>
        </w:tc>
      </w:tr>
      <w:tr>
        <w:trPr>
          <w:trHeight w:val="936"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10"/>
              <w:jc w:val="left"/>
              <w:rPr>
                <w:rFonts w:ascii="宋体" w:hAnsi="宋体" w:cs="宋体" w:eastAsia="宋体" w:hint="default"/>
                <w:sz w:val="21"/>
                <w:szCs w:val="21"/>
              </w:rPr>
            </w:pPr>
            <w:r>
              <w:rPr>
                <w:rFonts w:ascii="宋体" w:hAnsi="宋体" w:cs="宋体" w:eastAsia="宋体" w:hint="default"/>
                <w:spacing w:val="7"/>
                <w:sz w:val="21"/>
                <w:szCs w:val="21"/>
              </w:rPr>
              <w:t>应收账款</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合并范围内关联</w:t>
            </w:r>
            <w:r>
              <w:rPr>
                <w:rFonts w:ascii="宋体" w:hAnsi="宋体" w:cs="宋体" w:eastAsia="宋体" w:hint="default"/>
                <w:spacing w:val="-72"/>
                <w:sz w:val="21"/>
                <w:szCs w:val="21"/>
              </w:rPr>
              <w:t> </w:t>
            </w:r>
            <w:r>
              <w:rPr>
                <w:rFonts w:ascii="宋体" w:hAnsi="宋体" w:cs="宋体" w:eastAsia="宋体" w:hint="default"/>
                <w:sz w:val="21"/>
                <w:szCs w:val="21"/>
              </w:rPr>
              <w:t>方往来组合</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本公司合并范围内的关联款项</w:t>
            </w:r>
          </w:p>
        </w:tc>
        <w:tc>
          <w:tcPr>
            <w:tcW w:w="3981" w:type="dxa"/>
            <w:vMerge/>
            <w:tcBorders>
              <w:left w:val="single" w:sz="4" w:space="0" w:color="000000"/>
              <w:bottom w:val="single" w:sz="4" w:space="0" w:color="000000"/>
              <w:right w:val="single" w:sz="4" w:space="0" w:color="000000"/>
            </w:tcBorders>
          </w:tcPr>
          <w:p>
            <w:pPr/>
          </w:p>
        </w:tc>
      </w:tr>
      <w:tr>
        <w:trPr>
          <w:trHeight w:val="34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应收商业承兑汇票</w:t>
            </w:r>
          </w:p>
        </w:tc>
        <w:tc>
          <w:tcPr>
            <w:tcW w:w="2795" w:type="dxa"/>
            <w:vMerge w:val="restart"/>
            <w:tcBorders>
              <w:top w:val="single" w:sz="4" w:space="0" w:color="000000"/>
              <w:left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981" w:type="dxa"/>
            <w:vMerge w:val="restart"/>
            <w:tcBorders>
              <w:top w:val="single" w:sz="4" w:space="0" w:color="000000"/>
              <w:left w:val="single" w:sz="4" w:space="0" w:color="000000"/>
              <w:right w:val="single" w:sz="4" w:space="0" w:color="000000"/>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3"/>
                <w:sz w:val="21"/>
                <w:szCs w:val="21"/>
              </w:rPr>
              <w:t>参考历史信用损失经验，结合当前状况以及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对未来经济状况的预测，编制应收款项账龄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与整个存续期预期信用损失率对照表，计算</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预期信用损失</w:t>
            </w:r>
          </w:p>
        </w:tc>
      </w:tr>
      <w:tr>
        <w:trPr>
          <w:trHeight w:val="94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2795" w:type="dxa"/>
            <w:vMerge/>
            <w:tcBorders>
              <w:left w:val="single" w:sz="4" w:space="0" w:color="000000"/>
              <w:bottom w:val="single" w:sz="4" w:space="0" w:color="000000"/>
              <w:right w:val="single" w:sz="4" w:space="0" w:color="000000"/>
            </w:tcBorders>
          </w:tcPr>
          <w:p>
            <w:pPr/>
          </w:p>
        </w:tc>
        <w:tc>
          <w:tcPr>
            <w:tcW w:w="3981" w:type="dxa"/>
            <w:vMerge/>
            <w:tcBorders>
              <w:left w:val="single" w:sz="4" w:space="0" w:color="000000"/>
              <w:bottom w:val="single" w:sz="4" w:space="0" w:color="000000"/>
              <w:right w:val="single" w:sz="4" w:space="0" w:color="000000"/>
            </w:tcBorders>
          </w:tcPr>
          <w:p>
            <w:pPr/>
          </w:p>
        </w:tc>
      </w:tr>
    </w:tbl>
    <w:p>
      <w:pPr>
        <w:spacing w:line="276" w:lineRule="exact"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账龄组合的账龄与整个存续期预期信用损失率对照表</w:t>
      </w:r>
    </w:p>
    <w:p>
      <w:pPr>
        <w:spacing w:line="240" w:lineRule="auto" w:before="1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212"/>
        <w:gridCol w:w="3217"/>
        <w:gridCol w:w="3213"/>
      </w:tblGrid>
      <w:tr>
        <w:trPr>
          <w:trHeight w:val="653"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8"/>
              <w:ind w:left="4"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9"/>
                <w:sz w:val="21"/>
                <w:szCs w:val="21"/>
              </w:rPr>
              <w:t> </w:t>
            </w:r>
            <w:r>
              <w:rPr>
                <w:rFonts w:ascii="宋体" w:hAnsi="宋体" w:cs="宋体" w:eastAsia="宋体" w:hint="default"/>
                <w:sz w:val="21"/>
                <w:szCs w:val="21"/>
              </w:rPr>
              <w:t>龄</w:t>
            </w:r>
          </w:p>
        </w:tc>
        <w:tc>
          <w:tcPr>
            <w:tcW w:w="3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710" w:right="705" w:firstLine="475"/>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w:t>
            </w:r>
            <w:r>
              <w:rPr>
                <w:rFonts w:ascii="宋体" w:hAnsi="宋体" w:cs="宋体" w:eastAsia="宋体" w:hint="default"/>
                <w:w w:val="100"/>
                <w:sz w:val="21"/>
                <w:szCs w:val="21"/>
              </w:rPr>
              <w:t> </w:t>
            </w:r>
            <w:r>
              <w:rPr>
                <w:rFonts w:ascii="宋体" w:hAnsi="宋体" w:cs="宋体" w:eastAsia="宋体" w:hint="default"/>
                <w:sz w:val="21"/>
                <w:szCs w:val="21"/>
              </w:rPr>
              <w:t>预期信用损失率</w:t>
            </w:r>
            <w:r>
              <w:rPr>
                <w:rFonts w:ascii="Times New Roman" w:hAnsi="Times New Roman" w:cs="Times New Roman" w:eastAsia="Times New Roman" w:hint="default"/>
                <w:sz w:val="21"/>
                <w:szCs w:val="21"/>
              </w:rPr>
              <w:t>(%)</w:t>
            </w:r>
          </w:p>
        </w:tc>
        <w:tc>
          <w:tcPr>
            <w:tcW w:w="32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706" w:right="706"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应收商业承兑汇票</w:t>
            </w:r>
            <w:r>
              <w:rPr>
                <w:rFonts w:ascii="宋体" w:hAnsi="宋体" w:cs="宋体" w:eastAsia="宋体" w:hint="default"/>
                <w:w w:val="100"/>
                <w:sz w:val="21"/>
                <w:szCs w:val="21"/>
              </w:rPr>
              <w:t> </w:t>
            </w:r>
            <w:r>
              <w:rPr>
                <w:rFonts w:ascii="宋体" w:hAnsi="宋体" w:cs="宋体" w:eastAsia="宋体" w:hint="default"/>
                <w:sz w:val="21"/>
                <w:szCs w:val="21"/>
              </w:rPr>
              <w:t>预期信用损失率</w:t>
            </w:r>
            <w:r>
              <w:rPr>
                <w:rFonts w:ascii="Times New Roman" w:hAnsi="Times New Roman" w:cs="Times New Roman" w:eastAsia="Times New Roman" w:hint="default"/>
                <w:sz w:val="21"/>
                <w:szCs w:val="21"/>
              </w:rPr>
              <w:t>(%)</w:t>
            </w:r>
          </w:p>
        </w:tc>
      </w:tr>
      <w:tr>
        <w:trPr>
          <w:trHeight w:val="341"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年以内（含，下同）</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5.00</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5.00</w:t>
            </w:r>
          </w:p>
        </w:tc>
      </w:tr>
      <w:tr>
        <w:trPr>
          <w:trHeight w:val="341"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10.00</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62"/>
              <w:jc w:val="right"/>
              <w:rPr>
                <w:rFonts w:ascii="Times New Roman" w:hAnsi="Times New Roman" w:cs="Times New Roman" w:eastAsia="Times New Roman" w:hint="default"/>
                <w:sz w:val="21"/>
                <w:szCs w:val="21"/>
              </w:rPr>
            </w:pPr>
            <w:r>
              <w:rPr>
                <w:rFonts w:ascii="Times New Roman"/>
                <w:sz w:val="21"/>
              </w:rPr>
              <w:t>10.00</w:t>
            </w:r>
          </w:p>
        </w:tc>
      </w:tr>
      <w:tr>
        <w:trPr>
          <w:trHeight w:val="346"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30.00</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62"/>
              <w:jc w:val="right"/>
              <w:rPr>
                <w:rFonts w:ascii="Times New Roman" w:hAnsi="Times New Roman" w:cs="Times New Roman" w:eastAsia="Times New Roman" w:hint="default"/>
                <w:sz w:val="21"/>
                <w:szCs w:val="21"/>
              </w:rPr>
            </w:pPr>
            <w:r>
              <w:rPr>
                <w:rFonts w:ascii="Times New Roman"/>
                <w:sz w:val="21"/>
              </w:rPr>
              <w:t>30.00</w:t>
            </w:r>
          </w:p>
        </w:tc>
      </w:tr>
      <w:tr>
        <w:trPr>
          <w:trHeight w:val="341"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50.00</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62"/>
              <w:jc w:val="right"/>
              <w:rPr>
                <w:rFonts w:ascii="Times New Roman" w:hAnsi="Times New Roman" w:cs="Times New Roman" w:eastAsia="Times New Roman" w:hint="default"/>
                <w:sz w:val="21"/>
                <w:szCs w:val="21"/>
              </w:rPr>
            </w:pPr>
            <w:r>
              <w:rPr>
                <w:rFonts w:ascii="Times New Roman"/>
                <w:sz w:val="21"/>
              </w:rPr>
              <w:t>50.00</w:t>
            </w:r>
          </w:p>
        </w:tc>
      </w:tr>
      <w:tr>
        <w:trPr>
          <w:trHeight w:val="341"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80.00</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62"/>
              <w:jc w:val="right"/>
              <w:rPr>
                <w:rFonts w:ascii="Times New Roman" w:hAnsi="Times New Roman" w:cs="Times New Roman" w:eastAsia="Times New Roman" w:hint="default"/>
                <w:sz w:val="21"/>
                <w:szCs w:val="21"/>
              </w:rPr>
            </w:pPr>
            <w:r>
              <w:rPr>
                <w:rFonts w:ascii="Times New Roman"/>
                <w:sz w:val="21"/>
              </w:rPr>
              <w:t>80.00</w:t>
            </w:r>
          </w:p>
        </w:tc>
      </w:tr>
      <w:tr>
        <w:trPr>
          <w:trHeight w:val="341"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100.00</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09"/>
              <w:jc w:val="right"/>
              <w:rPr>
                <w:rFonts w:ascii="Times New Roman" w:hAnsi="Times New Roman" w:cs="Times New Roman" w:eastAsia="Times New Roman" w:hint="default"/>
                <w:sz w:val="21"/>
                <w:szCs w:val="21"/>
              </w:rPr>
            </w:pPr>
            <w:r>
              <w:rPr>
                <w:rFonts w:ascii="Times New Roman"/>
                <w:sz w:val="21"/>
              </w:rPr>
              <w:t>100.00</w:t>
            </w:r>
          </w:p>
        </w:tc>
      </w:tr>
    </w:tbl>
    <w:p>
      <w:pPr>
        <w:spacing w:line="276" w:lineRule="exact"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金融资产和金融负债的抵销</w:t>
      </w:r>
    </w:p>
    <w:p>
      <w:pPr>
        <w:spacing w:line="266" w:lineRule="auto" w:before="21"/>
        <w:ind w:left="153" w:right="1120" w:firstLine="422"/>
        <w:jc w:val="both"/>
        <w:rPr>
          <w:rFonts w:ascii="宋体" w:hAnsi="宋体" w:cs="宋体" w:eastAsia="宋体" w:hint="default"/>
          <w:sz w:val="21"/>
          <w:szCs w:val="21"/>
        </w:rPr>
      </w:pPr>
      <w:r>
        <w:rPr>
          <w:rFonts w:ascii="宋体" w:hAnsi="宋体" w:cs="宋体" w:eastAsia="宋体" w:hint="default"/>
          <w:spacing w:val="-2"/>
          <w:sz w:val="21"/>
          <w:szCs w:val="21"/>
        </w:rPr>
        <w:t>金融资产和金融负债在资产负债表内分别列示，不相互抵销。但同时满足下列条件的，公司以相互抵</w:t>
      </w:r>
      <w:r>
        <w:rPr>
          <w:rFonts w:ascii="宋体" w:hAnsi="宋体" w:cs="宋体" w:eastAsia="宋体" w:hint="default"/>
          <w:w w:val="100"/>
          <w:sz w:val="21"/>
          <w:szCs w:val="21"/>
        </w:rPr>
        <w:t> </w:t>
      </w:r>
      <w:r>
        <w:rPr>
          <w:rFonts w:ascii="宋体" w:hAnsi="宋体" w:cs="宋体" w:eastAsia="宋体" w:hint="default"/>
          <w:sz w:val="21"/>
          <w:szCs w:val="21"/>
        </w:rPr>
        <w:t>销后的净额在资产负债表内列示：</w:t>
      </w:r>
      <w:r>
        <w:rPr>
          <w:rFonts w:ascii="Times New Roman" w:hAnsi="Times New Roman" w:cs="Times New Roman" w:eastAsia="Times New Roman" w:hint="default"/>
          <w:sz w:val="21"/>
          <w:szCs w:val="21"/>
        </w:rPr>
        <w:t>(1) </w:t>
      </w:r>
      <w:r>
        <w:rPr>
          <w:rFonts w:ascii="宋体" w:hAnsi="宋体" w:cs="宋体" w:eastAsia="宋体" w:hint="default"/>
          <w:sz w:val="21"/>
          <w:szCs w:val="21"/>
        </w:rPr>
        <w:t>公司具有抵销已确认金额的法定权利，且该种法定权利是当前可执</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行的；</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公司计划以净额结算，或同时变现该金融资产和清偿该金融负债。</w:t>
      </w:r>
    </w:p>
    <w:p>
      <w:pPr>
        <w:spacing w:line="271" w:lineRule="exact"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不满足终止确认条件的金融资产转移，公司不对已转移的金融资产和相关负债进行抵销。</w:t>
      </w:r>
    </w:p>
    <w:p>
      <w:pPr>
        <w:spacing w:line="240" w:lineRule="auto" w:before="12"/>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1、存货" w:id="184"/>
      <w:bookmarkEnd w:id="184"/>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56" w:lineRule="auto"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2"/>
          <w:sz w:val="21"/>
          <w:szCs w:val="21"/>
        </w:rPr>
        <w:t>存货包括在日常活动中持有以备出售的产成品或商品、处在生产过程中的在产品、在生产过程或提供</w:t>
      </w:r>
    </w:p>
    <w:p>
      <w:pPr>
        <w:spacing w:before="22"/>
        <w:ind w:left="153" w:right="0" w:firstLine="0"/>
        <w:jc w:val="left"/>
        <w:rPr>
          <w:rFonts w:ascii="宋体" w:hAnsi="宋体" w:cs="宋体" w:eastAsia="宋体" w:hint="default"/>
          <w:sz w:val="21"/>
          <w:szCs w:val="21"/>
        </w:rPr>
      </w:pPr>
      <w:r>
        <w:rPr>
          <w:rFonts w:ascii="宋体" w:hAnsi="宋体" w:cs="宋体" w:eastAsia="宋体" w:hint="default"/>
          <w:sz w:val="21"/>
          <w:szCs w:val="21"/>
        </w:rPr>
        <w:t>劳务过程中耗用的材料和物料等。</w:t>
      </w:r>
    </w:p>
    <w:p>
      <w:pPr>
        <w:spacing w:line="264" w:lineRule="auto" w:before="37"/>
        <w:ind w:left="575" w:right="565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发出存货的计价方法</w:t>
      </w:r>
      <w:r>
        <w:rPr>
          <w:rFonts w:ascii="宋体" w:hAnsi="宋体" w:cs="宋体" w:eastAsia="宋体" w:hint="default"/>
          <w:w w:val="100"/>
          <w:sz w:val="21"/>
          <w:szCs w:val="21"/>
        </w:rPr>
        <w:t> </w:t>
      </w:r>
      <w:r>
        <w:rPr>
          <w:rFonts w:ascii="宋体" w:hAnsi="宋体" w:cs="宋体" w:eastAsia="宋体" w:hint="default"/>
          <w:spacing w:val="-2"/>
          <w:sz w:val="21"/>
          <w:szCs w:val="21"/>
        </w:rPr>
        <w:t>发出存货采用月末一次加权平均法与个别计价法。</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存货可变现净值的确定依据</w:t>
      </w:r>
    </w:p>
    <w:p>
      <w:pPr>
        <w:spacing w:line="273" w:lineRule="auto" w:before="0"/>
        <w:ind w:left="153" w:right="1125" w:firstLine="422"/>
        <w:jc w:val="both"/>
        <w:rPr>
          <w:rFonts w:ascii="宋体" w:hAnsi="宋体" w:cs="宋体" w:eastAsia="宋体" w:hint="default"/>
          <w:sz w:val="21"/>
          <w:szCs w:val="21"/>
        </w:rPr>
      </w:pPr>
      <w:r>
        <w:rPr>
          <w:rFonts w:ascii="宋体" w:hAnsi="宋体" w:cs="宋体" w:eastAsia="宋体" w:hint="default"/>
          <w:spacing w:val="-2"/>
          <w:sz w:val="21"/>
          <w:szCs w:val="21"/>
        </w:rPr>
        <w:t>资产负债表日，存货采用成本与可变现净值孰低计量，按照单个存货成本高于可变现净值的差额计提</w:t>
      </w:r>
      <w:r>
        <w:rPr>
          <w:rFonts w:ascii="宋体" w:hAnsi="宋体" w:cs="宋体" w:eastAsia="宋体" w:hint="default"/>
          <w:w w:val="100"/>
          <w:sz w:val="21"/>
          <w:szCs w:val="21"/>
        </w:rPr>
        <w:t> </w:t>
      </w:r>
      <w:r>
        <w:rPr>
          <w:rFonts w:ascii="宋体" w:hAnsi="宋体" w:cs="宋体" w:eastAsia="宋体" w:hint="default"/>
          <w:spacing w:val="-2"/>
          <w:sz w:val="21"/>
          <w:szCs w:val="21"/>
        </w:rPr>
        <w:t>存货跌价准备。直接用于出售的存货，在正常生产经营过程中以该存货的估计售价减去估计的销售费用和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相关税费后的金额确定其可变现净值；需要经过加工的存货，在正常生产经营过程中以所生产的产成品的</w:t>
      </w:r>
    </w:p>
    <w:p>
      <w:pPr>
        <w:spacing w:after="0" w:line="273"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273" w:lineRule="auto" w:before="36"/>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估计售价减去至完工时估计将要发生的成本、估计的销售费用和相关税费后的金额确定其可变现净值；资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7"/>
          <w:sz w:val="21"/>
          <w:szCs w:val="21"/>
        </w:rPr>
        <w:t>产负债表日，同一项存货中一部分有合同价格约定、其他部分不存在合同价格的，分别确定其可变现净值，</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并与其对应的成本进行比较，分别确定存货跌价准备的计提或转回的金额。</w:t>
      </w:r>
    </w:p>
    <w:p>
      <w:pPr>
        <w:spacing w:line="256" w:lineRule="auto" w:before="8"/>
        <w:ind w:left="575" w:right="62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存货的盘存制度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存货的盘存制度为永续盘存制。</w:t>
      </w:r>
    </w:p>
    <w:p>
      <w:pPr>
        <w:spacing w:line="256" w:lineRule="auto" w:before="22"/>
        <w:ind w:left="575" w:right="714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低值易耗品和包装物的摊销方法</w:t>
      </w:r>
      <w:r>
        <w:rPr>
          <w:rFonts w:ascii="宋体" w:hAnsi="宋体" w:cs="宋体" w:eastAsia="宋体" w:hint="default"/>
          <w:w w:val="100"/>
          <w:sz w:val="21"/>
          <w:szCs w:val="21"/>
        </w:rPr>
        <w:t> </w:t>
      </w:r>
      <w:r>
        <w:rPr>
          <w:rFonts w:ascii="宋体" w:hAnsi="宋体" w:cs="宋体" w:eastAsia="宋体" w:hint="default"/>
          <w:sz w:val="21"/>
          <w:szCs w:val="21"/>
        </w:rPr>
        <w:t>按照一次转销法进行摊销。</w:t>
      </w:r>
    </w:p>
    <w:p>
      <w:pPr>
        <w:spacing w:line="240" w:lineRule="auto" w:before="11"/>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12、长期股权投资" w:id="185"/>
      <w:bookmarkEnd w:id="185"/>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256" w:lineRule="auto"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共同控制、重要影响的判断</w:t>
      </w:r>
      <w:r>
        <w:rPr>
          <w:rFonts w:ascii="宋体" w:hAnsi="宋体" w:cs="宋体" w:eastAsia="宋体" w:hint="default"/>
          <w:w w:val="100"/>
          <w:sz w:val="21"/>
          <w:szCs w:val="21"/>
        </w:rPr>
        <w:t> </w:t>
      </w:r>
      <w:r>
        <w:rPr>
          <w:rFonts w:ascii="宋体" w:hAnsi="宋体" w:cs="宋体" w:eastAsia="宋体" w:hint="default"/>
          <w:spacing w:val="-2"/>
          <w:sz w:val="21"/>
          <w:szCs w:val="21"/>
        </w:rPr>
        <w:t>按照相关约定对某项安排存在共有的控制，并且该安排的相关活动必须经过分享控制权的参与方一致</w:t>
      </w:r>
    </w:p>
    <w:p>
      <w:pPr>
        <w:spacing w:line="273" w:lineRule="auto" w:before="22"/>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同意后才能决策，认定为共同控制。对被投资单位的财务和经营政策有参与决策的权力，但并不能够控制</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或者与其他方一起共同控制这些政策的制定，认定为重大影响。</w:t>
      </w:r>
    </w:p>
    <w:p>
      <w:pPr>
        <w:spacing w:before="8"/>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投资成本的确定</w:t>
      </w:r>
    </w:p>
    <w:p>
      <w:pPr>
        <w:spacing w:line="266" w:lineRule="auto" w:before="21"/>
        <w:ind w:left="153" w:right="1126"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同一控制下的企业合并形成的，合并方以支付现金、转让非现金资产、承担债务或发行权益性证</w:t>
      </w:r>
      <w:r>
        <w:rPr>
          <w:rFonts w:ascii="宋体" w:hAnsi="宋体" w:cs="宋体" w:eastAsia="宋体" w:hint="default"/>
          <w:w w:val="100"/>
          <w:sz w:val="21"/>
          <w:szCs w:val="21"/>
        </w:rPr>
        <w:t> </w:t>
      </w:r>
      <w:r>
        <w:rPr>
          <w:rFonts w:ascii="宋体" w:hAnsi="宋体" w:cs="宋体" w:eastAsia="宋体" w:hint="default"/>
          <w:spacing w:val="-2"/>
          <w:sz w:val="21"/>
          <w:szCs w:val="21"/>
        </w:rPr>
        <w:t>券作为合并对价的，在合并日按照取得被合并方所有者权益在最终控制方合并财务报表中的账面价值的份</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额作为其初始投资成本。长期股权投资初始投资成本与支付的合并对价的账面价值或发行股份的面值总额</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之间的差额调整资本公积；资本公积不足冲减的，调整留存收益。</w:t>
      </w:r>
    </w:p>
    <w:p>
      <w:pPr>
        <w:spacing w:line="264" w:lineRule="auto" w:before="14"/>
        <w:ind w:left="153" w:right="1122" w:firstLine="422"/>
        <w:jc w:val="both"/>
        <w:rPr>
          <w:rFonts w:ascii="宋体" w:hAnsi="宋体" w:cs="宋体" w:eastAsia="宋体" w:hint="default"/>
          <w:sz w:val="21"/>
          <w:szCs w:val="21"/>
        </w:rPr>
      </w:pPr>
      <w:r>
        <w:rPr>
          <w:rFonts w:ascii="宋体" w:hAnsi="宋体" w:cs="宋体" w:eastAsia="宋体" w:hint="default"/>
          <w:spacing w:val="-2"/>
          <w:sz w:val="21"/>
          <w:szCs w:val="21"/>
        </w:rPr>
        <w:t>公司通过多次交易分步实现同一控制下企业合并形成的长期股权投资，判断是否属于</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一揽子交易</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w w:val="100"/>
          <w:sz w:val="21"/>
          <w:szCs w:val="21"/>
        </w:rPr>
        <w:t> </w:t>
      </w:r>
      <w:r>
        <w:rPr>
          <w:rFonts w:ascii="宋体" w:hAnsi="宋体" w:cs="宋体" w:eastAsia="宋体" w:hint="default"/>
          <w:spacing w:val="-1"/>
          <w:sz w:val="21"/>
          <w:szCs w:val="21"/>
        </w:rPr>
        <w:t>属于</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一揽子交易</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的，把各项交易作为一项取得控制权的交易进行会计处理。不属于</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一揽子交易</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的，在</w:t>
      </w:r>
      <w:r>
        <w:rPr>
          <w:rFonts w:ascii="宋体" w:hAnsi="宋体" w:cs="宋体" w:eastAsia="宋体" w:hint="default"/>
          <w:spacing w:val="-27"/>
          <w:sz w:val="21"/>
          <w:szCs w:val="21"/>
        </w:rPr>
        <w:t> </w:t>
      </w:r>
      <w:r>
        <w:rPr>
          <w:rFonts w:ascii="宋体" w:hAnsi="宋体" w:cs="宋体" w:eastAsia="宋体" w:hint="default"/>
          <w:spacing w:val="-2"/>
          <w:sz w:val="21"/>
          <w:szCs w:val="21"/>
        </w:rPr>
        <w:t>合并日，根据合并后应享有被合并方净资产在最终控制方合并财务报表中的账面价值的份额确定初始投资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成本。合并日长期股权投资的初始投资成本，与达到合并前的长期股权投资账面价值加上合并日进一步取</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得股份新支付对价的账面价值之和的差额，调整资本公积；资本公积不足冲减的，调整留存收益。</w:t>
      </w:r>
    </w:p>
    <w:p>
      <w:pPr>
        <w:spacing w:line="256" w:lineRule="auto" w:before="16"/>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3"/>
          <w:sz w:val="21"/>
          <w:szCs w:val="21"/>
        </w:rPr>
        <w:t>非同一控制下的企业合并形成的，在购买日按照支付的合并对价的公允价值作为其初始投资成本。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公司通过多次交易分步实现非同一控制下企业合并形成的长期股权投资，区分个别财务报表和合并财</w:t>
      </w:r>
    </w:p>
    <w:p>
      <w:pPr>
        <w:spacing w:before="22"/>
        <w:ind w:left="153" w:right="0" w:firstLine="0"/>
        <w:jc w:val="both"/>
        <w:rPr>
          <w:rFonts w:ascii="宋体" w:hAnsi="宋体" w:cs="宋体" w:eastAsia="宋体" w:hint="default"/>
          <w:sz w:val="21"/>
          <w:szCs w:val="21"/>
        </w:rPr>
      </w:pPr>
      <w:r>
        <w:rPr>
          <w:rFonts w:ascii="宋体" w:hAnsi="宋体" w:cs="宋体" w:eastAsia="宋体" w:hint="default"/>
          <w:sz w:val="21"/>
          <w:szCs w:val="21"/>
        </w:rPr>
        <w:t>务报表进行相关会计处理：</w:t>
      </w:r>
    </w:p>
    <w:p>
      <w:pPr>
        <w:spacing w:line="256" w:lineRule="auto" w:before="37"/>
        <w:ind w:left="153" w:right="1126"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pacing w:val="-3"/>
          <w:sz w:val="21"/>
          <w:szCs w:val="21"/>
        </w:rPr>
        <w:t>在个别财务报表中，按照原持有的股权投资的账面价值加上新增投资成本之和，作为改按成本法核</w:t>
      </w:r>
      <w:r>
        <w:rPr>
          <w:rFonts w:ascii="宋体" w:hAnsi="宋体" w:cs="宋体" w:eastAsia="宋体" w:hint="default"/>
          <w:w w:val="100"/>
          <w:sz w:val="21"/>
          <w:szCs w:val="21"/>
        </w:rPr>
        <w:t> </w:t>
      </w:r>
      <w:r>
        <w:rPr>
          <w:rFonts w:ascii="宋体" w:hAnsi="宋体" w:cs="宋体" w:eastAsia="宋体" w:hint="default"/>
          <w:sz w:val="21"/>
          <w:szCs w:val="21"/>
        </w:rPr>
        <w:t>算的初始投资成本。</w:t>
      </w:r>
    </w:p>
    <w:p>
      <w:pPr>
        <w:spacing w:line="264" w:lineRule="auto" w:before="22"/>
        <w:ind w:left="153" w:right="1123"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5"/>
          <w:sz w:val="21"/>
          <w:szCs w:val="21"/>
        </w:rPr>
        <w:t> </w:t>
      </w:r>
      <w:r>
        <w:rPr>
          <w:rFonts w:ascii="宋体" w:hAnsi="宋体" w:cs="宋体" w:eastAsia="宋体" w:hint="default"/>
          <w:spacing w:val="-2"/>
          <w:sz w:val="21"/>
          <w:szCs w:val="21"/>
        </w:rPr>
        <w:t>在合并财务报表中，判断是否属于</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一揽子交易</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。属于</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一揽子交易</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的，把各项交易作为一项取得</w:t>
      </w:r>
      <w:r>
        <w:rPr>
          <w:rFonts w:ascii="宋体" w:hAnsi="宋体" w:cs="宋体" w:eastAsia="宋体" w:hint="default"/>
          <w:w w:val="100"/>
          <w:sz w:val="21"/>
          <w:szCs w:val="21"/>
        </w:rPr>
        <w:t> </w:t>
      </w:r>
      <w:r>
        <w:rPr>
          <w:rFonts w:ascii="宋体" w:hAnsi="宋体" w:cs="宋体" w:eastAsia="宋体" w:hint="default"/>
          <w:spacing w:val="-2"/>
          <w:sz w:val="21"/>
          <w:szCs w:val="21"/>
        </w:rPr>
        <w:t>控制权的交易进行会计处理。不属于</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一揽子交易</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的，对于购买日之前持有的被购买方的股权，按照该股</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2"/>
          <w:sz w:val="21"/>
          <w:szCs w:val="21"/>
        </w:rPr>
        <w:t>权在购买日的公允价值进行重新计量，公允价值与其账面价值的差额计入当期投资收益；购买日之前持有</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的被购买方的股权涉及权益法核算下的其他综合收益等的，与其相关的其他综合收益等转为购买日所属当</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期收益。但由于被投资方重新计量设定受益计划净负债或净资产变动而产生的其他综合收益除外。</w:t>
      </w:r>
    </w:p>
    <w:p>
      <w:pPr>
        <w:spacing w:line="261" w:lineRule="auto" w:before="16"/>
        <w:ind w:left="153" w:right="0"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除企业合并形成以外的：以支付现金取得的，按照实际支付的购买价款作为其初始投资成本；以</w:t>
      </w:r>
      <w:r>
        <w:rPr>
          <w:rFonts w:ascii="宋体" w:hAnsi="宋体" w:cs="宋体" w:eastAsia="宋体" w:hint="default"/>
          <w:w w:val="100"/>
          <w:sz w:val="21"/>
          <w:szCs w:val="21"/>
        </w:rPr>
        <w:t> </w:t>
      </w:r>
      <w:r>
        <w:rPr>
          <w:rFonts w:ascii="宋体" w:hAnsi="宋体" w:cs="宋体" w:eastAsia="宋体" w:hint="default"/>
          <w:sz w:val="21"/>
          <w:szCs w:val="21"/>
        </w:rPr>
        <w:t>发行权益性证券取得的，按照发行权益性证券的公允价值作为其初始投资成本；以债务重组方式取得的，</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按《企业会计准则第</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债务重组》确定其初始投资成本；以非货币性资产交换取得的，按《企业会</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计准则第</w:t>
      </w:r>
      <w:r>
        <w:rPr>
          <w:rFonts w:ascii="Times New Roman" w:hAnsi="Times New Roman" w:cs="Times New Roman" w:eastAsia="Times New Roman" w:hint="default"/>
          <w:sz w:val="21"/>
          <w:szCs w:val="21"/>
        </w:rPr>
        <w:t>7</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非货币性资产交换》确定其初始投资成本。</w:t>
      </w:r>
    </w:p>
    <w:p>
      <w:pPr>
        <w:spacing w:line="256" w:lineRule="auto"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后续计量及损益确认方法</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对被投资单位实施控制的长期股权投资采用成本法核算；对联营企业和合营企业的长期股权投资，采</w:t>
      </w:r>
    </w:p>
    <w:p>
      <w:pPr>
        <w:spacing w:before="22"/>
        <w:ind w:left="153" w:right="0" w:firstLine="0"/>
        <w:jc w:val="both"/>
        <w:rPr>
          <w:rFonts w:ascii="宋体" w:hAnsi="宋体" w:cs="宋体" w:eastAsia="宋体" w:hint="default"/>
          <w:sz w:val="21"/>
          <w:szCs w:val="21"/>
        </w:rPr>
      </w:pPr>
      <w:r>
        <w:rPr>
          <w:rFonts w:ascii="宋体" w:hAnsi="宋体" w:cs="宋体" w:eastAsia="宋体" w:hint="default"/>
          <w:sz w:val="21"/>
          <w:szCs w:val="21"/>
        </w:rPr>
        <w:t>用权益法核算。</w:t>
      </w:r>
    </w:p>
    <w:p>
      <w:pPr>
        <w:spacing w:before="3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通过多次交易分步处置对子公司投资至丧失控制权的处理方法</w:t>
      </w:r>
    </w:p>
    <w:p>
      <w:pPr>
        <w:spacing w:line="256" w:lineRule="auto"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个别财务报表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对处置的股权，其账面价值与实际取得价款之间的差额，计入当期损益。对于剩余股权，对被投资单</w:t>
      </w:r>
    </w:p>
    <w:p>
      <w:pPr>
        <w:spacing w:after="0" w:line="256"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273" w:lineRule="auto" w:before="36"/>
        <w:ind w:left="153" w:right="1030" w:firstLine="0"/>
        <w:jc w:val="both"/>
        <w:rPr>
          <w:rFonts w:ascii="宋体" w:hAnsi="宋体" w:cs="宋体" w:eastAsia="宋体" w:hint="default"/>
          <w:sz w:val="21"/>
          <w:szCs w:val="21"/>
        </w:rPr>
      </w:pPr>
      <w:r>
        <w:rPr>
          <w:rFonts w:ascii="宋体" w:hAnsi="宋体" w:cs="宋体" w:eastAsia="宋体" w:hint="default"/>
          <w:sz w:val="21"/>
          <w:szCs w:val="21"/>
        </w:rPr>
        <w:t>位仍具有重大影响或者与其他方一起实施共同控制的，转为权益法核算；不能再对被投资单位实施控制、</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共同控制或重大影响的，按照《企业会计准则第</w:t>
      </w:r>
      <w:r>
        <w:rPr>
          <w:rFonts w:ascii="Times New Roman" w:hAnsi="Times New Roman" w:cs="Times New Roman" w:eastAsia="Times New Roman" w:hint="default"/>
          <w:sz w:val="21"/>
          <w:szCs w:val="21"/>
        </w:rPr>
        <w:t>22</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金融工具确认和计量》的相关规定进行核算。</w:t>
      </w:r>
    </w:p>
    <w:p>
      <w:pPr>
        <w:spacing w:line="279" w:lineRule="exact"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合并财务报表</w:t>
      </w:r>
    </w:p>
    <w:p>
      <w:pPr>
        <w:spacing w:line="256" w:lineRule="auto" w:before="22"/>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通过多次交易分步处置对子公司投资至丧失控制权，且不属于</w:t>
      </w:r>
      <w:r>
        <w:rPr>
          <w:rFonts w:ascii="Times New Roman" w:hAnsi="Times New Roman" w:cs="Times New Roman" w:eastAsia="Times New Roman" w:hint="default"/>
          <w:sz w:val="21"/>
          <w:szCs w:val="21"/>
        </w:rPr>
        <w:t>“</w:t>
      </w:r>
      <w:r>
        <w:rPr>
          <w:rFonts w:ascii="宋体" w:hAnsi="宋体" w:cs="宋体" w:eastAsia="宋体" w:hint="default"/>
          <w:sz w:val="21"/>
          <w:szCs w:val="21"/>
        </w:rPr>
        <w:t>一揽子交易</w:t>
      </w:r>
      <w:r>
        <w:rPr>
          <w:rFonts w:ascii="Times New Roman" w:hAnsi="Times New Roman" w:cs="Times New Roman" w:eastAsia="Times New Roman" w:hint="default"/>
          <w:sz w:val="21"/>
          <w:szCs w:val="21"/>
        </w:rPr>
        <w:t>”</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pacing w:val="-2"/>
          <w:sz w:val="21"/>
          <w:szCs w:val="21"/>
        </w:rPr>
        <w:t>在丧失控制权之前，处置价款与处置长期股权投资相对应享有子公司自购买日或合并日开始持续计算</w:t>
      </w:r>
    </w:p>
    <w:p>
      <w:pPr>
        <w:spacing w:line="273" w:lineRule="auto" w:before="22"/>
        <w:ind w:left="575" w:right="0" w:hanging="423"/>
        <w:jc w:val="left"/>
        <w:rPr>
          <w:rFonts w:ascii="宋体" w:hAnsi="宋体" w:cs="宋体" w:eastAsia="宋体" w:hint="default"/>
          <w:sz w:val="21"/>
          <w:szCs w:val="21"/>
        </w:rPr>
      </w:pPr>
      <w:r>
        <w:rPr>
          <w:rFonts w:ascii="宋体" w:hAnsi="宋体" w:cs="宋体" w:eastAsia="宋体" w:hint="default"/>
          <w:sz w:val="21"/>
          <w:szCs w:val="21"/>
        </w:rPr>
        <w:t>的净资产份额之间的差额，调整资本公积（资本溢价），资本溢价不足冲减的，冲减留存收益。</w:t>
      </w:r>
      <w:r>
        <w:rPr>
          <w:rFonts w:ascii="宋体" w:hAnsi="宋体" w:cs="宋体" w:eastAsia="宋体" w:hint="default"/>
          <w:w w:val="100"/>
          <w:sz w:val="21"/>
          <w:szCs w:val="21"/>
        </w:rPr>
        <w:t> </w:t>
      </w:r>
      <w:r>
        <w:rPr>
          <w:rFonts w:ascii="宋体" w:hAnsi="宋体" w:cs="宋体" w:eastAsia="宋体" w:hint="default"/>
          <w:spacing w:val="-2"/>
          <w:sz w:val="21"/>
          <w:szCs w:val="21"/>
        </w:rPr>
        <w:t>丧失对原子公司控制权时，对于剩余股权，按照其在丧失控制权日的公允价值进行重新计量。处置股</w:t>
      </w:r>
    </w:p>
    <w:p>
      <w:pPr>
        <w:spacing w:line="273" w:lineRule="auto" w:before="7"/>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权取得的对价与剩余股权公允价值之和，减去按原持股比例计算应享有原有子公司自购买日或合并日开始</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持续计算的净资产的份额之间的差额，计入丧失控制权当期的投资收益，同时冲减商誉。与原有子公司股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权投资相关的其他综合收益等，应当在丧失控制权时转为当期投资收益。</w:t>
      </w:r>
    </w:p>
    <w:p>
      <w:pPr>
        <w:spacing w:line="256" w:lineRule="auto" w:before="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通过多次交易分步处置对子公司投资至丧失控制权，且属于</w:t>
      </w:r>
      <w:r>
        <w:rPr>
          <w:rFonts w:ascii="Times New Roman" w:hAnsi="Times New Roman" w:cs="Times New Roman" w:eastAsia="Times New Roman" w:hint="default"/>
          <w:sz w:val="21"/>
          <w:szCs w:val="21"/>
        </w:rPr>
        <w:t>“</w:t>
      </w:r>
      <w:r>
        <w:rPr>
          <w:rFonts w:ascii="宋体" w:hAnsi="宋体" w:cs="宋体" w:eastAsia="宋体" w:hint="default"/>
          <w:sz w:val="21"/>
          <w:szCs w:val="21"/>
        </w:rPr>
        <w:t>一揽子交易</w:t>
      </w:r>
      <w:r>
        <w:rPr>
          <w:rFonts w:ascii="Times New Roman" w:hAnsi="Times New Roman" w:cs="Times New Roman" w:eastAsia="Times New Roman" w:hint="default"/>
          <w:sz w:val="21"/>
          <w:szCs w:val="21"/>
        </w:rPr>
        <w:t>”</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pacing w:val="-2"/>
          <w:sz w:val="21"/>
          <w:szCs w:val="21"/>
        </w:rPr>
        <w:t>将各项交易作为一项处置子公司并丧失控制权的交易进行会计处理。但是，在丧失控制权之前每一次</w:t>
      </w:r>
    </w:p>
    <w:p>
      <w:pPr>
        <w:spacing w:line="273" w:lineRule="auto" w:before="22"/>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处置价款与处置投资对应的享有该子公司净资产份额的差额，在合并财务报表中确认为其他综合收益，在</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丧失控制权时一并转入丧失控制权当期的损益。</w:t>
      </w:r>
    </w:p>
    <w:p>
      <w:pPr>
        <w:spacing w:line="240" w:lineRule="auto" w:before="10"/>
        <w:rPr>
          <w:rFonts w:ascii="宋体" w:hAnsi="宋体" w:cs="宋体" w:eastAsia="宋体" w:hint="default"/>
          <w:sz w:val="23"/>
          <w:szCs w:val="23"/>
        </w:rPr>
      </w:pPr>
    </w:p>
    <w:p>
      <w:pPr>
        <w:spacing w:before="0"/>
        <w:ind w:left="153" w:right="0" w:firstLine="0"/>
        <w:jc w:val="both"/>
        <w:rPr>
          <w:rFonts w:ascii="宋体" w:hAnsi="宋体" w:cs="宋体" w:eastAsia="宋体" w:hint="default"/>
          <w:sz w:val="21"/>
          <w:szCs w:val="21"/>
        </w:rPr>
      </w:pPr>
      <w:bookmarkStart w:name="13、固定资产" w:id="186"/>
      <w:bookmarkEnd w:id="186"/>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确认条件" w:id="187"/>
      <w:bookmarkEnd w:id="1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24" w:lineRule="auto" w:before="0"/>
        <w:ind w:left="153" w:right="1124" w:firstLine="0"/>
        <w:jc w:val="both"/>
        <w:rPr>
          <w:rFonts w:ascii="宋体" w:hAnsi="宋体" w:cs="宋体" w:eastAsia="宋体" w:hint="default"/>
          <w:sz w:val="18"/>
          <w:szCs w:val="18"/>
        </w:rPr>
      </w:pPr>
      <w:r>
        <w:rPr>
          <w:rFonts w:ascii="宋体" w:hAnsi="宋体" w:cs="宋体" w:eastAsia="宋体" w:hint="default"/>
          <w:spacing w:val="-4"/>
          <w:sz w:val="18"/>
          <w:szCs w:val="18"/>
        </w:rPr>
        <w:t>固定资产是指为生产商品、提供劳务、出租或经营管理而持有的，使用年限超过一个会计年度的有形资产。固定资产在同时</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满足经济利益很可能流入、成本能够可靠计量时予以确认。</w:t>
      </w:r>
    </w:p>
    <w:p>
      <w:pPr>
        <w:spacing w:line="240" w:lineRule="auto" w:before="6"/>
        <w:rPr>
          <w:rFonts w:ascii="宋体" w:hAnsi="宋体" w:cs="宋体" w:eastAsia="宋体" w:hint="default"/>
          <w:sz w:val="21"/>
          <w:szCs w:val="21"/>
        </w:rPr>
      </w:pPr>
    </w:p>
    <w:p>
      <w:pPr>
        <w:spacing w:before="0"/>
        <w:ind w:left="153" w:right="0" w:firstLine="0"/>
        <w:jc w:val="both"/>
        <w:rPr>
          <w:rFonts w:ascii="宋体" w:hAnsi="宋体" w:cs="宋体" w:eastAsia="宋体" w:hint="default"/>
          <w:sz w:val="21"/>
          <w:szCs w:val="21"/>
        </w:rPr>
      </w:pPr>
      <w:bookmarkStart w:name="（2）折旧方法" w:id="188"/>
      <w:bookmarkEnd w:id="1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19.00-31.67%</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19.00-31.67%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19.00%</w:t>
            </w:r>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bookmarkStart w:name="14、在建工程" w:id="189"/>
      <w:bookmarkEnd w:id="189"/>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256" w:lineRule="auto" w:before="0"/>
        <w:ind w:left="153" w:right="1125"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5"/>
          <w:sz w:val="21"/>
          <w:szCs w:val="21"/>
        </w:rPr>
        <w:t> </w:t>
      </w:r>
      <w:r>
        <w:rPr>
          <w:rFonts w:ascii="宋体" w:hAnsi="宋体" w:cs="宋体" w:eastAsia="宋体" w:hint="default"/>
          <w:spacing w:val="-3"/>
          <w:sz w:val="21"/>
          <w:szCs w:val="21"/>
        </w:rPr>
        <w:t>在建工程同时满足经济利益很可能流入、成本能够可靠计量则予以确认。在建工程按建造该项资产</w:t>
      </w:r>
      <w:r>
        <w:rPr>
          <w:rFonts w:ascii="宋体" w:hAnsi="宋体" w:cs="宋体" w:eastAsia="宋体" w:hint="default"/>
          <w:w w:val="100"/>
          <w:sz w:val="21"/>
          <w:szCs w:val="21"/>
        </w:rPr>
        <w:t> </w:t>
      </w:r>
      <w:r>
        <w:rPr>
          <w:rFonts w:ascii="宋体" w:hAnsi="宋体" w:cs="宋体" w:eastAsia="宋体" w:hint="default"/>
          <w:sz w:val="21"/>
          <w:szCs w:val="21"/>
        </w:rPr>
        <w:t>达到预定可使用状态前所发生的实际成本计量。</w:t>
      </w:r>
    </w:p>
    <w:p>
      <w:pPr>
        <w:spacing w:line="264" w:lineRule="auto" w:before="23"/>
        <w:ind w:left="153" w:right="1125"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5"/>
          <w:sz w:val="21"/>
          <w:szCs w:val="21"/>
        </w:rPr>
        <w:t> </w:t>
      </w:r>
      <w:r>
        <w:rPr>
          <w:rFonts w:ascii="宋体" w:hAnsi="宋体" w:cs="宋体" w:eastAsia="宋体" w:hint="default"/>
          <w:spacing w:val="-3"/>
          <w:sz w:val="21"/>
          <w:szCs w:val="21"/>
        </w:rPr>
        <w:t>在建工程达到预定可使用状态时，按工程实际成本转入固定资产。已达到预定可使用状态但尚未办</w:t>
      </w:r>
      <w:r>
        <w:rPr>
          <w:rFonts w:ascii="宋体" w:hAnsi="宋体" w:cs="宋体" w:eastAsia="宋体" w:hint="default"/>
          <w:w w:val="100"/>
          <w:sz w:val="21"/>
          <w:szCs w:val="21"/>
        </w:rPr>
        <w:t> </w:t>
      </w:r>
      <w:r>
        <w:rPr>
          <w:rFonts w:ascii="宋体" w:hAnsi="宋体" w:cs="宋体" w:eastAsia="宋体" w:hint="default"/>
          <w:spacing w:val="-2"/>
          <w:sz w:val="21"/>
          <w:szCs w:val="21"/>
        </w:rPr>
        <w:t>理竣工决算的，先按估计价值转入固定资产，待办理竣工决算后再按实际成本调整原暂估价值，但不再调</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整原已计提的折旧。</w:t>
      </w:r>
    </w:p>
    <w:p>
      <w:pPr>
        <w:spacing w:line="240" w:lineRule="auto" w:before="5"/>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15、借款费用" w:id="190"/>
      <w:bookmarkEnd w:id="190"/>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56" w:lineRule="auto"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借款费用资本化的确认原则</w:t>
      </w:r>
      <w:r>
        <w:rPr>
          <w:rFonts w:ascii="宋体" w:hAnsi="宋体" w:cs="宋体" w:eastAsia="宋体" w:hint="default"/>
          <w:w w:val="100"/>
          <w:sz w:val="21"/>
          <w:szCs w:val="21"/>
        </w:rPr>
        <w:t> </w:t>
      </w:r>
      <w:r>
        <w:rPr>
          <w:rFonts w:ascii="宋体" w:hAnsi="宋体" w:cs="宋体" w:eastAsia="宋体" w:hint="default"/>
          <w:spacing w:val="-2"/>
          <w:sz w:val="21"/>
          <w:szCs w:val="21"/>
        </w:rPr>
        <w:t>公司发生的借款费用，可直接归属于符合资本化条件的资产的购建或者生产的，予以资本化，计入相</w:t>
      </w:r>
    </w:p>
    <w:p>
      <w:pPr>
        <w:spacing w:before="22"/>
        <w:ind w:left="153" w:right="0" w:firstLine="0"/>
        <w:jc w:val="left"/>
        <w:rPr>
          <w:rFonts w:ascii="宋体" w:hAnsi="宋体" w:cs="宋体" w:eastAsia="宋体" w:hint="default"/>
          <w:sz w:val="21"/>
          <w:szCs w:val="21"/>
        </w:rPr>
      </w:pPr>
      <w:r>
        <w:rPr>
          <w:rFonts w:ascii="宋体" w:hAnsi="宋体" w:cs="宋体" w:eastAsia="宋体" w:hint="default"/>
          <w:sz w:val="21"/>
          <w:szCs w:val="21"/>
        </w:rPr>
        <w:t>关资产成本；其他借款费用，在发生时确认为费用，计入当期损益。</w:t>
      </w:r>
    </w:p>
    <w:p>
      <w:pPr>
        <w:spacing w:after="0"/>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借款费用资本化期间</w:t>
      </w:r>
    </w:p>
    <w:p>
      <w:pPr>
        <w:spacing w:line="256" w:lineRule="auto" w:before="21"/>
        <w:ind w:left="153" w:right="0"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pacing w:val="-8"/>
          <w:sz w:val="21"/>
          <w:szCs w:val="21"/>
        </w:rPr>
        <w:t>当借款费用同时满足下列条件时，开始资本化：</w:t>
      </w:r>
      <w:r>
        <w:rPr>
          <w:rFonts w:ascii="Times New Roman" w:hAnsi="Times New Roman" w:cs="Times New Roman" w:eastAsia="Times New Roman" w:hint="default"/>
          <w:spacing w:val="-8"/>
          <w:sz w:val="21"/>
          <w:szCs w:val="21"/>
        </w:rPr>
        <w:t>1) </w:t>
      </w:r>
      <w:r>
        <w:rPr>
          <w:rFonts w:ascii="宋体" w:hAnsi="宋体" w:cs="宋体" w:eastAsia="宋体" w:hint="default"/>
          <w:spacing w:val="-8"/>
          <w:sz w:val="21"/>
          <w:szCs w:val="21"/>
        </w:rPr>
        <w:t>资产支出已经发生；</w:t>
      </w:r>
      <w:r>
        <w:rPr>
          <w:rFonts w:ascii="Times New Roman" w:hAnsi="Times New Roman" w:cs="Times New Roman" w:eastAsia="Times New Roman" w:hint="default"/>
          <w:spacing w:val="-8"/>
          <w:sz w:val="21"/>
          <w:szCs w:val="21"/>
        </w:rPr>
        <w:t>2) </w:t>
      </w:r>
      <w:r>
        <w:rPr>
          <w:rFonts w:ascii="宋体" w:hAnsi="宋体" w:cs="宋体" w:eastAsia="宋体" w:hint="default"/>
          <w:spacing w:val="-8"/>
          <w:sz w:val="21"/>
          <w:szCs w:val="21"/>
        </w:rPr>
        <w:t>借款费用已经发生；</w:t>
      </w:r>
      <w:r>
        <w:rPr>
          <w:rFonts w:ascii="Times New Roman" w:hAnsi="Times New Roman" w:cs="Times New Roman" w:eastAsia="Times New Roman" w:hint="default"/>
          <w:spacing w:val="-8"/>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使资产达到预定可使用或可销售状态所必要的购建或者生产活动已经开始。</w:t>
      </w:r>
    </w:p>
    <w:p>
      <w:pPr>
        <w:spacing w:line="264" w:lineRule="auto" w:before="23"/>
        <w:ind w:left="153" w:right="1011"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若符合资本化条件的资产在购建或者生产过程中发生非正常中断，并且中断时间连续超过</w:t>
      </w:r>
      <w:r>
        <w:rPr>
          <w:rFonts w:ascii="Times New Roman" w:hAnsi="Times New Roman" w:cs="Times New Roman" w:eastAsia="Times New Roman" w:hint="default"/>
          <w:sz w:val="21"/>
          <w:szCs w:val="21"/>
        </w:rPr>
        <w:t>3</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暂停借款费用的资本化；中断期间发生的借款费用确认为当期费用，直至资产的购建或者生产活动重新开</w:t>
      </w:r>
      <w:r>
        <w:rPr>
          <w:rFonts w:ascii="宋体" w:hAnsi="宋体" w:cs="宋体" w:eastAsia="宋体" w:hint="default"/>
          <w:w w:val="100"/>
          <w:sz w:val="21"/>
          <w:szCs w:val="21"/>
        </w:rPr>
        <w:t> </w:t>
      </w:r>
      <w:r>
        <w:rPr>
          <w:rFonts w:ascii="宋体" w:hAnsi="宋体" w:cs="宋体" w:eastAsia="宋体" w:hint="default"/>
          <w:sz w:val="21"/>
          <w:szCs w:val="21"/>
        </w:rPr>
        <w:t>始。</w:t>
      </w:r>
    </w:p>
    <w:p>
      <w:pPr>
        <w:spacing w:before="16"/>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19"/>
          <w:sz w:val="21"/>
          <w:szCs w:val="21"/>
        </w:rPr>
        <w:t> </w:t>
      </w:r>
      <w:r>
        <w:rPr>
          <w:rFonts w:ascii="宋体" w:hAnsi="宋体" w:cs="宋体" w:eastAsia="宋体" w:hint="default"/>
          <w:spacing w:val="-3"/>
          <w:sz w:val="21"/>
          <w:szCs w:val="21"/>
        </w:rPr>
        <w:t>当所购建或者生产符合资本化条件的资产达到预定可使用或可销售状态时，借款费用停止资本化。</w:t>
      </w:r>
    </w:p>
    <w:p>
      <w:pPr>
        <w:spacing w:line="256" w:lineRule="auto"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借款费用资本化率以及资本化金额</w:t>
      </w:r>
      <w:r>
        <w:rPr>
          <w:rFonts w:ascii="宋体" w:hAnsi="宋体" w:cs="宋体" w:eastAsia="宋体" w:hint="default"/>
          <w:w w:val="100"/>
          <w:sz w:val="21"/>
          <w:szCs w:val="21"/>
        </w:rPr>
        <w:t> </w:t>
      </w:r>
      <w:r>
        <w:rPr>
          <w:rFonts w:ascii="宋体" w:hAnsi="宋体" w:cs="宋体" w:eastAsia="宋体" w:hint="default"/>
          <w:spacing w:val="-2"/>
          <w:sz w:val="21"/>
          <w:szCs w:val="21"/>
        </w:rPr>
        <w:t>为购建或者生产符合资本化条件的资产而借入专门借款的，以专门借款当期实际发生的利息费用（包</w:t>
      </w:r>
    </w:p>
    <w:p>
      <w:pPr>
        <w:spacing w:line="273" w:lineRule="auto" w:before="23"/>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括按照实际利率法确定的折价或溢价的摊销），减去将尚未动用的借款资金存入银行取得的利息收入或进</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行暂时性投资取得的投资收益后的金额，确定应予资本化的利息金额；为购建或者生产符合资本化条件的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资产占用了一般借款的，根据累计资产支出超过专门借款的资产支出加权平均数乘以占用一般借款的资本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化率，计算确定一般借款应予资本化的利息金额。</w:t>
      </w:r>
    </w:p>
    <w:p>
      <w:pPr>
        <w:spacing w:line="240" w:lineRule="auto" w:before="10"/>
        <w:rPr>
          <w:rFonts w:ascii="宋体" w:hAnsi="宋体" w:cs="宋体" w:eastAsia="宋体" w:hint="default"/>
          <w:sz w:val="23"/>
          <w:szCs w:val="23"/>
        </w:rPr>
      </w:pPr>
    </w:p>
    <w:p>
      <w:pPr>
        <w:spacing w:before="0"/>
        <w:ind w:left="153" w:right="0" w:firstLine="0"/>
        <w:jc w:val="both"/>
        <w:rPr>
          <w:rFonts w:ascii="宋体" w:hAnsi="宋体" w:cs="宋体" w:eastAsia="宋体" w:hint="default"/>
          <w:sz w:val="21"/>
          <w:szCs w:val="21"/>
        </w:rPr>
      </w:pPr>
      <w:bookmarkStart w:name="16、无形资产" w:id="191"/>
      <w:bookmarkEnd w:id="191"/>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计价方法、使用寿命、减值测试" w:id="192"/>
      <w:bookmarkEnd w:id="1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无形资产包括土地使用权、专利权及非专利技术等，按成本进行初始计量。</w:t>
      </w:r>
    </w:p>
    <w:p>
      <w:pPr>
        <w:spacing w:line="256" w:lineRule="auto" w:before="21"/>
        <w:ind w:left="153" w:right="0"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0"/>
          <w:sz w:val="21"/>
          <w:szCs w:val="21"/>
        </w:rPr>
        <w:t> </w:t>
      </w:r>
      <w:r>
        <w:rPr>
          <w:rFonts w:ascii="宋体" w:hAnsi="宋体" w:cs="宋体" w:eastAsia="宋体" w:hint="default"/>
          <w:spacing w:val="-3"/>
          <w:sz w:val="21"/>
          <w:szCs w:val="21"/>
        </w:rPr>
        <w:t>使用寿命有限的无形资产，在使用寿命内按照与该项无形资产有关的经济利益的预期实现方式系统</w:t>
      </w:r>
      <w:r>
        <w:rPr>
          <w:rFonts w:ascii="宋体" w:hAnsi="宋体" w:cs="宋体" w:eastAsia="宋体" w:hint="default"/>
          <w:w w:val="100"/>
          <w:sz w:val="21"/>
          <w:szCs w:val="21"/>
        </w:rPr>
        <w:t> </w:t>
      </w:r>
      <w:r>
        <w:rPr>
          <w:rFonts w:ascii="宋体" w:hAnsi="宋体" w:cs="宋体" w:eastAsia="宋体" w:hint="default"/>
          <w:sz w:val="21"/>
          <w:szCs w:val="21"/>
        </w:rPr>
        <w:t>合理地摊销，无法可靠确定预期实现方式的，采用直线法摊销。具体年限如下：</w:t>
      </w:r>
    </w:p>
    <w:p>
      <w:pPr>
        <w:spacing w:line="240" w:lineRule="auto" w:before="11"/>
        <w:rPr>
          <w:rFonts w:ascii="宋体" w:hAnsi="宋体" w:cs="宋体" w:eastAsia="宋体" w:hint="default"/>
          <w:sz w:val="2"/>
          <w:szCs w:val="2"/>
        </w:rPr>
      </w:pPr>
    </w:p>
    <w:tbl>
      <w:tblPr>
        <w:tblW w:w="0" w:type="auto"/>
        <w:jc w:val="left"/>
        <w:tblInd w:w="239" w:type="dxa"/>
        <w:tblLayout w:type="fixed"/>
        <w:tblCellMar>
          <w:top w:w="0" w:type="dxa"/>
          <w:left w:w="0" w:type="dxa"/>
          <w:bottom w:w="0" w:type="dxa"/>
          <w:right w:w="0" w:type="dxa"/>
        </w:tblCellMar>
        <w:tblLook w:val="01E0"/>
      </w:tblPr>
      <w:tblGrid>
        <w:gridCol w:w="2339"/>
        <w:gridCol w:w="7121"/>
      </w:tblGrid>
      <w:tr>
        <w:trPr>
          <w:trHeight w:val="341" w:hRule="exact"/>
        </w:trPr>
        <w:tc>
          <w:tcPr>
            <w:tcW w:w="2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9"/>
                <w:sz w:val="21"/>
                <w:szCs w:val="21"/>
              </w:rPr>
              <w:t> </w:t>
            </w:r>
            <w:r>
              <w:rPr>
                <w:rFonts w:ascii="宋体" w:hAnsi="宋体" w:cs="宋体" w:eastAsia="宋体" w:hint="default"/>
                <w:sz w:val="21"/>
                <w:szCs w:val="21"/>
              </w:rPr>
              <w:t>目</w:t>
            </w:r>
          </w:p>
        </w:tc>
        <w:tc>
          <w:tcPr>
            <w:tcW w:w="7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6"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7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3-10</w:t>
            </w:r>
          </w:p>
        </w:tc>
      </w:tr>
      <w:tr>
        <w:trPr>
          <w:trHeight w:val="341"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7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10</w:t>
            </w:r>
          </w:p>
        </w:tc>
      </w:tr>
      <w:tr>
        <w:trPr>
          <w:trHeight w:val="341"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7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w w:val="100"/>
                <w:sz w:val="21"/>
              </w:rPr>
              <w:t>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3" w:right="0" w:firstLine="0"/>
        <w:jc w:val="left"/>
        <w:rPr>
          <w:rFonts w:ascii="宋体" w:hAnsi="宋体" w:cs="宋体" w:eastAsia="宋体" w:hint="default"/>
          <w:sz w:val="21"/>
          <w:szCs w:val="21"/>
        </w:rPr>
      </w:pPr>
      <w:bookmarkStart w:name="（2）内部研究开发支出会计政策"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261" w:lineRule="auto" w:before="0"/>
        <w:ind w:left="153" w:right="1120" w:firstLine="422"/>
        <w:jc w:val="both"/>
        <w:rPr>
          <w:rFonts w:ascii="宋体" w:hAnsi="宋体" w:cs="宋体" w:eastAsia="宋体" w:hint="default"/>
          <w:sz w:val="21"/>
          <w:szCs w:val="21"/>
        </w:rPr>
      </w:pPr>
      <w:r>
        <w:rPr>
          <w:rFonts w:ascii="宋体" w:hAnsi="宋体" w:cs="宋体" w:eastAsia="宋体" w:hint="default"/>
          <w:spacing w:val="-2"/>
          <w:sz w:val="21"/>
          <w:szCs w:val="21"/>
        </w:rPr>
        <w:t>内部研究开发项目研究阶段的支出，于发生时计入当期损益。内部研究开发项目开发阶段的支出，同</w:t>
      </w:r>
      <w:r>
        <w:rPr>
          <w:rFonts w:ascii="宋体" w:hAnsi="宋体" w:cs="宋体" w:eastAsia="宋体" w:hint="default"/>
          <w:w w:val="100"/>
          <w:sz w:val="21"/>
          <w:szCs w:val="21"/>
        </w:rPr>
        <w:t> </w:t>
      </w:r>
      <w:r>
        <w:rPr>
          <w:rFonts w:ascii="宋体" w:hAnsi="宋体" w:cs="宋体" w:eastAsia="宋体" w:hint="default"/>
          <w:sz w:val="21"/>
          <w:szCs w:val="21"/>
        </w:rPr>
        <w:t>时满足下列条件的，确认为无形资产：</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完成该无形资产以使其能够使用或出售在技术上具有可行性；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Times New Roman" w:hAnsi="Times New Roman" w:cs="Times New Roman" w:eastAsia="Times New Roman" w:hint="default"/>
          <w:sz w:val="21"/>
          <w:szCs w:val="21"/>
        </w:rPr>
        <w:t>(2) </w:t>
      </w:r>
      <w:r>
        <w:rPr>
          <w:rFonts w:ascii="宋体" w:hAnsi="宋体" w:cs="宋体" w:eastAsia="宋体" w:hint="default"/>
          <w:spacing w:val="-3"/>
          <w:sz w:val="21"/>
          <w:szCs w:val="21"/>
        </w:rPr>
        <w:t>具有完成该无形资产并使用或出售的意图；</w:t>
      </w:r>
      <w:r>
        <w:rPr>
          <w:rFonts w:ascii="Times New Roman" w:hAnsi="Times New Roman" w:cs="Times New Roman" w:eastAsia="Times New Roman" w:hint="default"/>
          <w:spacing w:val="-3"/>
          <w:sz w:val="21"/>
          <w:szCs w:val="21"/>
        </w:rPr>
        <w:t>(3) </w:t>
      </w:r>
      <w:r>
        <w:rPr>
          <w:rFonts w:ascii="宋体" w:hAnsi="宋体" w:cs="宋体" w:eastAsia="宋体" w:hint="default"/>
          <w:spacing w:val="-3"/>
          <w:sz w:val="21"/>
          <w:szCs w:val="21"/>
        </w:rPr>
        <w:t>无形资产产生经济利益的方式，包括能够证明运用该无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形资产生产的产品存在市场或无形资产自身存在市场，无形资产将在内部使用的，能证明其有用性；</w:t>
      </w:r>
      <w:r>
        <w:rPr>
          <w:rFonts w:ascii="Times New Roman" w:hAnsi="Times New Roman" w:cs="Times New Roman" w:eastAsia="Times New Roman" w:hint="default"/>
          <w:spacing w:val="-5"/>
          <w:sz w:val="21"/>
          <w:szCs w:val="21"/>
        </w:rPr>
        <w:t>(4) </w:t>
      </w:r>
      <w:r>
        <w:rPr>
          <w:rFonts w:ascii="宋体" w:hAnsi="宋体" w:cs="宋体" w:eastAsia="宋体" w:hint="default"/>
          <w:sz w:val="21"/>
          <w:szCs w:val="21"/>
        </w:rPr>
        <w:t>有</w:t>
      </w:r>
      <w:r>
        <w:rPr>
          <w:rFonts w:ascii="宋体" w:hAnsi="宋体" w:cs="宋体" w:eastAsia="宋体" w:hint="default"/>
          <w:spacing w:val="-65"/>
          <w:sz w:val="21"/>
          <w:szCs w:val="21"/>
        </w:rPr>
        <w:t> </w:t>
      </w:r>
      <w:r>
        <w:rPr>
          <w:rFonts w:ascii="宋体" w:hAnsi="宋体" w:cs="宋体" w:eastAsia="宋体" w:hint="default"/>
          <w:spacing w:val="-3"/>
          <w:sz w:val="21"/>
          <w:szCs w:val="21"/>
        </w:rPr>
        <w:t>足够的技术、财务资源和其他资源支持，以完成该无形资产的开发，并有能力使用或出售该无形资产；</w:t>
      </w:r>
      <w:r>
        <w:rPr>
          <w:rFonts w:ascii="Times New Roman" w:hAnsi="Times New Roman" w:cs="Times New Roman" w:eastAsia="Times New Roman" w:hint="default"/>
          <w:spacing w:val="-3"/>
          <w:sz w:val="21"/>
          <w:szCs w:val="21"/>
        </w:rPr>
        <w:t>(5)</w:t>
      </w:r>
      <w:r>
        <w:rPr>
          <w:rFonts w:ascii="Times New Roman" w:hAnsi="Times New Roman" w:cs="Times New Roman" w:eastAsia="Times New Roman" w:hint="default"/>
          <w:spacing w:val="31"/>
          <w:sz w:val="21"/>
          <w:szCs w:val="21"/>
        </w:rPr>
        <w:t> </w:t>
      </w:r>
      <w:r>
        <w:rPr>
          <w:rFonts w:ascii="Times New Roman" w:hAnsi="Times New Roman" w:cs="Times New Roman" w:eastAsia="Times New Roman" w:hint="default"/>
          <w:spacing w:val="31"/>
          <w:sz w:val="21"/>
          <w:szCs w:val="21"/>
        </w:rPr>
      </w:r>
      <w:r>
        <w:rPr>
          <w:rFonts w:ascii="宋体" w:hAnsi="宋体" w:cs="宋体" w:eastAsia="宋体" w:hint="default"/>
          <w:sz w:val="21"/>
          <w:szCs w:val="21"/>
        </w:rPr>
        <w:t>归属于该无形资产开发阶段的支出能够可靠地计量。</w:t>
      </w:r>
    </w:p>
    <w:p>
      <w:pPr>
        <w:spacing w:line="273" w:lineRule="auto" w:before="18"/>
        <w:ind w:left="153" w:right="1126" w:firstLine="422"/>
        <w:jc w:val="both"/>
        <w:rPr>
          <w:rFonts w:ascii="宋体" w:hAnsi="宋体" w:cs="宋体" w:eastAsia="宋体" w:hint="default"/>
          <w:sz w:val="21"/>
          <w:szCs w:val="21"/>
        </w:rPr>
      </w:pPr>
      <w:r>
        <w:rPr>
          <w:rFonts w:ascii="宋体" w:hAnsi="宋体" w:cs="宋体" w:eastAsia="宋体" w:hint="default"/>
          <w:spacing w:val="-2"/>
          <w:sz w:val="21"/>
          <w:szCs w:val="21"/>
        </w:rPr>
        <w:t>公司将平台及软件搭建并形成软件著作权之前的支出作为研究阶段支出，将平台及软件升级改造达到</w:t>
      </w:r>
      <w:r>
        <w:rPr>
          <w:rFonts w:ascii="宋体" w:hAnsi="宋体" w:cs="宋体" w:eastAsia="宋体" w:hint="default"/>
          <w:w w:val="100"/>
          <w:sz w:val="21"/>
          <w:szCs w:val="21"/>
        </w:rPr>
        <w:t> </w:t>
      </w:r>
      <w:r>
        <w:rPr>
          <w:rFonts w:ascii="宋体" w:hAnsi="宋体" w:cs="宋体" w:eastAsia="宋体" w:hint="default"/>
          <w:sz w:val="21"/>
          <w:szCs w:val="21"/>
        </w:rPr>
        <w:t>对外销售条件的支出作为开发阶段支出，开发结束后转入无形资产。</w:t>
      </w:r>
    </w:p>
    <w:p>
      <w:pPr>
        <w:spacing w:line="614" w:lineRule="exact" w:before="64"/>
        <w:ind w:left="575" w:right="0" w:hanging="423"/>
        <w:jc w:val="left"/>
        <w:rPr>
          <w:rFonts w:ascii="宋体" w:hAnsi="宋体" w:cs="宋体" w:eastAsia="宋体" w:hint="default"/>
          <w:sz w:val="21"/>
          <w:szCs w:val="21"/>
        </w:rPr>
      </w:pPr>
      <w:bookmarkStart w:name="17、长期资产减值" w:id="194"/>
      <w:bookmarkEnd w:id="194"/>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、长期资产减值</w:t>
      </w:r>
      <w:r>
        <w:rPr>
          <w:rFonts w:ascii="宋体" w:hAnsi="宋体" w:cs="宋体" w:eastAsia="宋体" w:hint="default"/>
          <w:b/>
          <w:bCs/>
          <w:spacing w:val="-102"/>
          <w:sz w:val="21"/>
          <w:szCs w:val="21"/>
        </w:rPr>
        <w:t> </w:t>
      </w:r>
      <w:r>
        <w:rPr>
          <w:rFonts w:ascii="宋体" w:hAnsi="宋体" w:cs="宋体" w:eastAsia="宋体" w:hint="default"/>
          <w:spacing w:val="-3"/>
          <w:sz w:val="21"/>
          <w:szCs w:val="21"/>
        </w:rPr>
        <w:t>对长期股权投资、固定资产、在建工程、使用寿命有限的无形资产等长期资产</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在资产负债表日有迹象</w:t>
      </w:r>
    </w:p>
    <w:p>
      <w:pPr>
        <w:spacing w:line="219" w:lineRule="exact"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表明发生减值的，估计其可收回金额。对因企业合并所形成的商誉和使用寿命不确定的无形资产，无论是</w:t>
      </w:r>
    </w:p>
    <w:p>
      <w:pPr>
        <w:spacing w:line="273" w:lineRule="auto" w:before="37"/>
        <w:ind w:left="575" w:right="0" w:hanging="423"/>
        <w:jc w:val="left"/>
        <w:rPr>
          <w:rFonts w:ascii="宋体" w:hAnsi="宋体" w:cs="宋体" w:eastAsia="宋体" w:hint="default"/>
          <w:sz w:val="21"/>
          <w:szCs w:val="21"/>
        </w:rPr>
      </w:pPr>
      <w:r>
        <w:rPr>
          <w:rFonts w:ascii="宋体" w:hAnsi="宋体" w:cs="宋体" w:eastAsia="宋体" w:hint="default"/>
          <w:spacing w:val="-2"/>
          <w:sz w:val="21"/>
          <w:szCs w:val="21"/>
        </w:rPr>
        <w:t>否存在减值迹象，每年都进行减值测试。商誉结合与其相关的资产组或者资产组组合进行减值测试。</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若上述长期资产的可收回金额低于其账面价值的，按其差额确认资产减值准备并计入当期损益。</w:t>
      </w:r>
    </w:p>
    <w:p>
      <w:pPr>
        <w:spacing w:after="0" w:line="273"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18、长期待摊费用" w:id="195"/>
      <w:bookmarkEnd w:id="195"/>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266" w:lineRule="auto" w:before="0"/>
        <w:ind w:left="153" w:right="1123" w:firstLine="422"/>
        <w:jc w:val="both"/>
        <w:rPr>
          <w:rFonts w:ascii="宋体" w:hAnsi="宋体" w:cs="宋体" w:eastAsia="宋体" w:hint="default"/>
          <w:sz w:val="21"/>
          <w:szCs w:val="21"/>
        </w:rPr>
      </w:pPr>
      <w:r>
        <w:rPr>
          <w:rFonts w:ascii="宋体" w:hAnsi="宋体" w:cs="宋体" w:eastAsia="宋体" w:hint="default"/>
          <w:spacing w:val="-2"/>
          <w:sz w:val="21"/>
          <w:szCs w:val="21"/>
        </w:rPr>
        <w:t>长期待摊费用核算已经支出，摊销期限在</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年以上（不含</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年）的各项费用。长期待摊费用按实际发生</w:t>
      </w:r>
      <w:r>
        <w:rPr>
          <w:rFonts w:ascii="宋体" w:hAnsi="宋体" w:cs="宋体" w:eastAsia="宋体" w:hint="default"/>
          <w:w w:val="100"/>
          <w:sz w:val="21"/>
          <w:szCs w:val="21"/>
        </w:rPr>
        <w:t> </w:t>
      </w:r>
      <w:r>
        <w:rPr>
          <w:rFonts w:ascii="宋体" w:hAnsi="宋体" w:cs="宋体" w:eastAsia="宋体" w:hint="default"/>
          <w:spacing w:val="-2"/>
          <w:sz w:val="21"/>
          <w:szCs w:val="21"/>
        </w:rPr>
        <w:t>额入账，在受益期或规定的期限内分期平均摊销。如果长期待摊的费用项目不能使以后会计期间受益则将</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尚未摊销的该项目的摊余价值全部转入当期损益。</w:t>
      </w:r>
    </w:p>
    <w:p>
      <w:pPr>
        <w:spacing w:line="240" w:lineRule="auto" w:before="2"/>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19、职工薪酬" w:id="196"/>
      <w:bookmarkEnd w:id="196"/>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短期薪酬的会计处理方法"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职工薪酬包括短期薪酬、离职后福利、辞退福利和其他长期职工福利。</w:t>
      </w:r>
    </w:p>
    <w:p>
      <w:pPr>
        <w:spacing w:line="256" w:lineRule="auto"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短期薪酬的会计处理方法</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在职工为公司提供服务的会计期间，将实际发生的短期薪酬确认为负债，并计入当期损益或相关资产</w:t>
      </w:r>
    </w:p>
    <w:p>
      <w:pPr>
        <w:spacing w:before="22"/>
        <w:ind w:left="153" w:right="0" w:firstLine="0"/>
        <w:jc w:val="left"/>
        <w:rPr>
          <w:rFonts w:ascii="宋体" w:hAnsi="宋体" w:cs="宋体" w:eastAsia="宋体" w:hint="default"/>
          <w:sz w:val="21"/>
          <w:szCs w:val="21"/>
        </w:rPr>
      </w:pPr>
      <w:r>
        <w:rPr>
          <w:rFonts w:ascii="宋体" w:hAnsi="宋体" w:cs="宋体" w:eastAsia="宋体" w:hint="default"/>
          <w:sz w:val="21"/>
          <w:szCs w:val="21"/>
        </w:rPr>
        <w:t>成本。</w:t>
      </w:r>
    </w:p>
    <w:p>
      <w:pPr>
        <w:spacing w:line="590" w:lineRule="atLeast" w:before="41"/>
        <w:ind w:left="575" w:right="5572" w:hanging="423"/>
        <w:jc w:val="left"/>
        <w:rPr>
          <w:rFonts w:ascii="宋体" w:hAnsi="宋体" w:cs="宋体" w:eastAsia="宋体" w:hint="default"/>
          <w:sz w:val="21"/>
          <w:szCs w:val="21"/>
        </w:rPr>
      </w:pPr>
      <w:bookmarkStart w:name="（2）离职后福利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spacing w:val="-101"/>
          <w:sz w:val="21"/>
          <w:szCs w:val="21"/>
        </w:rPr>
        <w:t> </w:t>
      </w:r>
      <w:r>
        <w:rPr>
          <w:rFonts w:ascii="宋体" w:hAnsi="宋体" w:cs="宋体" w:eastAsia="宋体" w:hint="default"/>
          <w:spacing w:val="-1"/>
          <w:sz w:val="21"/>
          <w:szCs w:val="21"/>
        </w:rPr>
        <w:t>离职后福利分为设定提存计划和设定受益计划。</w:t>
      </w:r>
    </w:p>
    <w:p>
      <w:pPr>
        <w:spacing w:line="256" w:lineRule="auto" w:before="37"/>
        <w:ind w:left="153" w:right="1130"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在职工为公司提供服务的会计期间，根据设定提存计划计算的应缴存金额确认为负债，并计入当</w:t>
      </w:r>
      <w:r>
        <w:rPr>
          <w:rFonts w:ascii="宋体" w:hAnsi="宋体" w:cs="宋体" w:eastAsia="宋体" w:hint="default"/>
          <w:w w:val="100"/>
          <w:sz w:val="21"/>
          <w:szCs w:val="21"/>
        </w:rPr>
        <w:t> </w:t>
      </w:r>
      <w:r>
        <w:rPr>
          <w:rFonts w:ascii="宋体" w:hAnsi="宋体" w:cs="宋体" w:eastAsia="宋体" w:hint="default"/>
          <w:sz w:val="21"/>
          <w:szCs w:val="21"/>
        </w:rPr>
        <w:t>期损益或相关资产成本。</w:t>
      </w:r>
    </w:p>
    <w:p>
      <w:pPr>
        <w:spacing w:before="23"/>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对设定受益计划的会计处理通常包括下列步骤：</w:t>
      </w:r>
    </w:p>
    <w:p>
      <w:pPr>
        <w:spacing w:line="264" w:lineRule="auto" w:before="21"/>
        <w:ind w:left="153" w:right="1121"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6"/>
          <w:sz w:val="21"/>
          <w:szCs w:val="21"/>
        </w:rPr>
        <w:t> </w:t>
      </w:r>
      <w:r>
        <w:rPr>
          <w:rFonts w:ascii="宋体" w:hAnsi="宋体" w:cs="宋体" w:eastAsia="宋体" w:hint="default"/>
          <w:spacing w:val="-3"/>
          <w:sz w:val="21"/>
          <w:szCs w:val="21"/>
        </w:rPr>
        <w:t>根据预期累计福利单位法，采用无偏且相互一致的精算假设对有关人口统计变量和财务变量等作出</w:t>
      </w:r>
      <w:r>
        <w:rPr>
          <w:rFonts w:ascii="宋体" w:hAnsi="宋体" w:cs="宋体" w:eastAsia="宋体" w:hint="default"/>
          <w:w w:val="100"/>
          <w:sz w:val="21"/>
          <w:szCs w:val="21"/>
        </w:rPr>
        <w:t> </w:t>
      </w:r>
      <w:r>
        <w:rPr>
          <w:rFonts w:ascii="宋体" w:hAnsi="宋体" w:cs="宋体" w:eastAsia="宋体" w:hint="default"/>
          <w:spacing w:val="-2"/>
          <w:sz w:val="21"/>
          <w:szCs w:val="21"/>
        </w:rPr>
        <w:t>估计，计量设定受益计划所产生的义务，并确定相关义务的所属期间。同时，对设定受益计划所产生的义</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务予以折现，以确定设定受益计划义务的现值和当期服务成本；</w:t>
      </w:r>
    </w:p>
    <w:p>
      <w:pPr>
        <w:spacing w:line="266" w:lineRule="auto" w:before="16"/>
        <w:ind w:left="153" w:right="1121"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6"/>
          <w:sz w:val="21"/>
          <w:szCs w:val="21"/>
        </w:rPr>
        <w:t> </w:t>
      </w:r>
      <w:r>
        <w:rPr>
          <w:rFonts w:ascii="宋体" w:hAnsi="宋体" w:cs="宋体" w:eastAsia="宋体" w:hint="default"/>
          <w:spacing w:val="-3"/>
          <w:sz w:val="21"/>
          <w:szCs w:val="21"/>
        </w:rPr>
        <w:t>设定受益计划存在资产的，将设定受益计划义务现值减去设定受益计划资产公允价值所形成的赤字</w:t>
      </w:r>
      <w:r>
        <w:rPr>
          <w:rFonts w:ascii="宋体" w:hAnsi="宋体" w:cs="宋体" w:eastAsia="宋体" w:hint="default"/>
          <w:w w:val="100"/>
          <w:sz w:val="21"/>
          <w:szCs w:val="21"/>
        </w:rPr>
        <w:t> </w:t>
      </w:r>
      <w:r>
        <w:rPr>
          <w:rFonts w:ascii="宋体" w:hAnsi="宋体" w:cs="宋体" w:eastAsia="宋体" w:hint="default"/>
          <w:spacing w:val="-2"/>
          <w:sz w:val="21"/>
          <w:szCs w:val="21"/>
        </w:rPr>
        <w:t>或盈余确认为一项设定受益计划净负债或净资产。设定受益计划存在盈余的，以设定受益计划的盈余和资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产上限两项的孰低者计量设定受益计划净资产；</w:t>
      </w:r>
    </w:p>
    <w:p>
      <w:pPr>
        <w:spacing w:line="268" w:lineRule="auto" w:before="14"/>
        <w:ind w:left="153" w:right="1125"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0"/>
          <w:sz w:val="21"/>
          <w:szCs w:val="21"/>
        </w:rPr>
        <w:t> </w:t>
      </w:r>
      <w:r>
        <w:rPr>
          <w:rFonts w:ascii="宋体" w:hAnsi="宋体" w:cs="宋体" w:eastAsia="宋体" w:hint="default"/>
          <w:spacing w:val="-3"/>
          <w:sz w:val="21"/>
          <w:szCs w:val="21"/>
        </w:rPr>
        <w:t>期末，将设定受益计划产生的职工薪酬成本确认为服务成本、设定受益计划净负债或净资产的利息</w:t>
      </w:r>
      <w:r>
        <w:rPr>
          <w:rFonts w:ascii="宋体" w:hAnsi="宋体" w:cs="宋体" w:eastAsia="宋体" w:hint="default"/>
          <w:w w:val="100"/>
          <w:sz w:val="21"/>
          <w:szCs w:val="21"/>
        </w:rPr>
        <w:t> </w:t>
      </w:r>
      <w:r>
        <w:rPr>
          <w:rFonts w:ascii="宋体" w:hAnsi="宋体" w:cs="宋体" w:eastAsia="宋体" w:hint="default"/>
          <w:spacing w:val="-2"/>
          <w:sz w:val="21"/>
          <w:szCs w:val="21"/>
        </w:rPr>
        <w:t>净额以及重新计量设定受益计划净负债或净资产所产生的变动等三部分，其中服务成本和设定受益计划净</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负债或净资产的利息净额计入当期损益或相关资产成本，重新计量设定受益计划净负债或净资产所产生的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变动计入其他综合收益，并且在后续会计期间不允许转回至损益，但可以在权益范围内转移这些在其他综</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合收益确认的金额。</w:t>
      </w:r>
    </w:p>
    <w:p>
      <w:pPr>
        <w:spacing w:line="610" w:lineRule="exact" w:before="71"/>
        <w:ind w:left="575" w:right="0" w:hanging="423"/>
        <w:jc w:val="left"/>
        <w:rPr>
          <w:rFonts w:ascii="Times New Roman" w:hAnsi="Times New Roman" w:cs="Times New Roman" w:eastAsia="Times New Roman" w:hint="default"/>
          <w:sz w:val="21"/>
          <w:szCs w:val="21"/>
        </w:rPr>
      </w:pPr>
      <w:bookmarkStart w:name="（3）辞退福利的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02"/>
          <w:sz w:val="21"/>
          <w:szCs w:val="21"/>
        </w:rPr>
        <w:t> </w:t>
      </w:r>
      <w:r>
        <w:rPr>
          <w:rFonts w:ascii="宋体" w:hAnsi="宋体" w:cs="宋体" w:eastAsia="宋体" w:hint="default"/>
          <w:spacing w:val="-3"/>
          <w:sz w:val="21"/>
          <w:szCs w:val="21"/>
        </w:rPr>
        <w:t>向职工提供的辞退福利，在下列两者孰早日确认辞退福利产生的职工薪酬负债，并计入当期损益：</w:t>
      </w:r>
      <w:r>
        <w:rPr>
          <w:rFonts w:ascii="Times New Roman" w:hAnsi="Times New Roman" w:cs="Times New Roman" w:eastAsia="Times New Roman" w:hint="default"/>
          <w:spacing w:val="-3"/>
          <w:sz w:val="21"/>
          <w:szCs w:val="21"/>
        </w:rPr>
        <w:t>(1)</w:t>
      </w:r>
    </w:p>
    <w:p>
      <w:pPr>
        <w:spacing w:line="236" w:lineRule="exact"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公司不能单方面撤回因解除劳动关系计划或裁减建议所提供的辞退福利时；</w:t>
      </w: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公司确认与涉及支付辞退</w:t>
      </w:r>
    </w:p>
    <w:p>
      <w:pPr>
        <w:spacing w:before="21"/>
        <w:ind w:left="153" w:right="0" w:firstLine="0"/>
        <w:jc w:val="left"/>
        <w:rPr>
          <w:rFonts w:ascii="宋体" w:hAnsi="宋体" w:cs="宋体" w:eastAsia="宋体" w:hint="default"/>
          <w:sz w:val="21"/>
          <w:szCs w:val="21"/>
        </w:rPr>
      </w:pPr>
      <w:r>
        <w:rPr>
          <w:rFonts w:ascii="宋体" w:hAnsi="宋体" w:cs="宋体" w:eastAsia="宋体" w:hint="default"/>
          <w:sz w:val="21"/>
          <w:szCs w:val="21"/>
        </w:rPr>
        <w:t>福利的重组相关的成本或费用时。</w:t>
      </w:r>
    </w:p>
    <w:p>
      <w:pPr>
        <w:spacing w:line="600" w:lineRule="atLeast" w:before="30"/>
        <w:ind w:left="575" w:right="0" w:hanging="423"/>
        <w:jc w:val="left"/>
        <w:rPr>
          <w:rFonts w:ascii="宋体" w:hAnsi="宋体" w:cs="宋体" w:eastAsia="宋体" w:hint="default"/>
          <w:sz w:val="21"/>
          <w:szCs w:val="21"/>
        </w:rPr>
      </w:pPr>
      <w:bookmarkStart w:name="（4）其他长期职工福利的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5"/>
          <w:sz w:val="21"/>
          <w:szCs w:val="21"/>
        </w:rPr>
        <w:t>向职工提供的其他长期福利，符合设定提存计划条件的，按照设定提存计划的有关规定进行会计处理；</w:t>
      </w:r>
    </w:p>
    <w:p>
      <w:pPr>
        <w:spacing w:line="273" w:lineRule="auto" w:before="37"/>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除此之外的其他长期福利，按照设定受益计划的有关规定进行会计处理，为简化相关会计处理，将其产生</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的职工薪酬成本确认为服务成本、其他长期职工福利净负债或净资产的利息净额以及重新计量其他长期职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工福利净负债或净资产所产生的变动等组成项目的总净额计入当期损益或相关资产成本。</w:t>
      </w:r>
    </w:p>
    <w:p>
      <w:pPr>
        <w:spacing w:after="0" w:line="273"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both"/>
        <w:rPr>
          <w:rFonts w:ascii="宋体" w:hAnsi="宋体" w:cs="宋体" w:eastAsia="宋体" w:hint="default"/>
          <w:sz w:val="21"/>
          <w:szCs w:val="21"/>
        </w:rPr>
      </w:pPr>
      <w:bookmarkStart w:name="20、预计负债" w:id="201"/>
      <w:bookmarkEnd w:id="201"/>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266" w:lineRule="auto" w:before="0"/>
        <w:ind w:left="153" w:right="1121"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7"/>
          <w:sz w:val="21"/>
          <w:szCs w:val="21"/>
        </w:rPr>
        <w:t> </w:t>
      </w:r>
      <w:r>
        <w:rPr>
          <w:rFonts w:ascii="宋体" w:hAnsi="宋体" w:cs="宋体" w:eastAsia="宋体" w:hint="default"/>
          <w:spacing w:val="-3"/>
          <w:sz w:val="21"/>
          <w:szCs w:val="21"/>
        </w:rPr>
        <w:t>因对外提供担保、诉讼事项、产品质量保证、亏损合同等或有事项形成的义务成为公司承担的现时</w:t>
      </w:r>
      <w:r>
        <w:rPr>
          <w:rFonts w:ascii="宋体" w:hAnsi="宋体" w:cs="宋体" w:eastAsia="宋体" w:hint="default"/>
          <w:w w:val="100"/>
          <w:sz w:val="21"/>
          <w:szCs w:val="21"/>
        </w:rPr>
        <w:t> </w:t>
      </w:r>
      <w:r>
        <w:rPr>
          <w:rFonts w:ascii="宋体" w:hAnsi="宋体" w:cs="宋体" w:eastAsia="宋体" w:hint="default"/>
          <w:spacing w:val="-2"/>
          <w:sz w:val="21"/>
          <w:szCs w:val="21"/>
        </w:rPr>
        <w:t>义务，履行该义务很可能导致经济利益流出公司，且该义务的金额能够可靠的计量时，公司将该项义务确</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认为预计负债。</w:t>
      </w:r>
    </w:p>
    <w:p>
      <w:pPr>
        <w:spacing w:line="256" w:lineRule="auto" w:before="14"/>
        <w:ind w:left="153" w:right="1126"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6"/>
          <w:sz w:val="21"/>
          <w:szCs w:val="21"/>
        </w:rPr>
        <w:t> </w:t>
      </w:r>
      <w:r>
        <w:rPr>
          <w:rFonts w:ascii="宋体" w:hAnsi="宋体" w:cs="宋体" w:eastAsia="宋体" w:hint="default"/>
          <w:spacing w:val="-3"/>
          <w:sz w:val="21"/>
          <w:szCs w:val="21"/>
        </w:rPr>
        <w:t>公司按照履行相关现时义务所需支出的最佳估计数对预计负债进行初始计量，并在资产负债表日对</w:t>
      </w:r>
      <w:r>
        <w:rPr>
          <w:rFonts w:ascii="宋体" w:hAnsi="宋体" w:cs="宋体" w:eastAsia="宋体" w:hint="default"/>
          <w:w w:val="100"/>
          <w:sz w:val="21"/>
          <w:szCs w:val="21"/>
        </w:rPr>
        <w:t> </w:t>
      </w:r>
      <w:r>
        <w:rPr>
          <w:rFonts w:ascii="宋体" w:hAnsi="宋体" w:cs="宋体" w:eastAsia="宋体" w:hint="default"/>
          <w:sz w:val="21"/>
          <w:szCs w:val="21"/>
        </w:rPr>
        <w:t>预计负债的账面价值进行复核。</w:t>
      </w:r>
    </w:p>
    <w:p>
      <w:pPr>
        <w:spacing w:line="240" w:lineRule="auto" w:before="11"/>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21、股份支付" w:id="202"/>
      <w:bookmarkEnd w:id="202"/>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264" w:lineRule="auto" w:before="0"/>
        <w:ind w:left="575" w:right="52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股份支付的种类</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包括以权益结算的股份支付和以现金结算的股份支付。</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实施、修改、终止股份支付计划的相关会计处理</w:t>
      </w:r>
    </w:p>
    <w:p>
      <w:pPr>
        <w:spacing w:line="259" w:lineRule="auto"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以权益结算的股份支付</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授予后立即可行权的换取职工服务的以权益结算的股份支付，在授予日按照权益工具的公允价值计入</w:t>
      </w:r>
    </w:p>
    <w:p>
      <w:pPr>
        <w:spacing w:line="273" w:lineRule="auto" w:before="20"/>
        <w:ind w:left="153" w:right="0" w:firstLine="0"/>
        <w:jc w:val="left"/>
        <w:rPr>
          <w:rFonts w:ascii="宋体" w:hAnsi="宋体" w:cs="宋体" w:eastAsia="宋体" w:hint="default"/>
          <w:sz w:val="21"/>
          <w:szCs w:val="21"/>
        </w:rPr>
      </w:pPr>
      <w:r>
        <w:rPr>
          <w:rFonts w:ascii="宋体" w:hAnsi="宋体" w:cs="宋体" w:eastAsia="宋体" w:hint="default"/>
          <w:sz w:val="21"/>
          <w:szCs w:val="21"/>
        </w:rPr>
        <w:t>相关成本或费用，相应调整资本公积。完成等待期内的服务或达到规定业绩条件才可行权的换取职工服务</w:t>
      </w:r>
      <w:r>
        <w:rPr>
          <w:rFonts w:ascii="宋体" w:hAnsi="宋体" w:cs="宋体" w:eastAsia="宋体" w:hint="default"/>
          <w:w w:val="100"/>
          <w:sz w:val="21"/>
          <w:szCs w:val="21"/>
        </w:rPr>
        <w:t> </w:t>
      </w:r>
      <w:r>
        <w:rPr>
          <w:rFonts w:ascii="宋体" w:hAnsi="宋体" w:cs="宋体" w:eastAsia="宋体" w:hint="default"/>
          <w:spacing w:val="-4"/>
          <w:sz w:val="21"/>
          <w:szCs w:val="21"/>
        </w:rPr>
        <w:t>的以权益结算的股份支付，在等待期内的每个资产负债表日，以对可行权权益工具数量的最佳估计为基础，</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按权益工具授予日的公允价值，将当期取得的服务计入相关成本或费用，相应调整资本公积。</w:t>
      </w:r>
    </w:p>
    <w:p>
      <w:pPr>
        <w:spacing w:line="273" w:lineRule="auto" w:before="7"/>
        <w:ind w:left="153" w:right="1124" w:firstLine="422"/>
        <w:jc w:val="both"/>
        <w:rPr>
          <w:rFonts w:ascii="宋体" w:hAnsi="宋体" w:cs="宋体" w:eastAsia="宋体" w:hint="default"/>
          <w:sz w:val="21"/>
          <w:szCs w:val="21"/>
        </w:rPr>
      </w:pPr>
      <w:r>
        <w:rPr>
          <w:rFonts w:ascii="宋体" w:hAnsi="宋体" w:cs="宋体" w:eastAsia="宋体" w:hint="default"/>
          <w:spacing w:val="-2"/>
          <w:sz w:val="21"/>
          <w:szCs w:val="21"/>
        </w:rPr>
        <w:t>换取其他方服务的权益结算的股份支付，如果其他方服务的公允价值能够可靠计量的，按照其他方服</w:t>
      </w:r>
      <w:r>
        <w:rPr>
          <w:rFonts w:ascii="宋体" w:hAnsi="宋体" w:cs="宋体" w:eastAsia="宋体" w:hint="default"/>
          <w:w w:val="100"/>
          <w:sz w:val="21"/>
          <w:szCs w:val="21"/>
        </w:rPr>
        <w:t> </w:t>
      </w:r>
      <w:r>
        <w:rPr>
          <w:rFonts w:ascii="宋体" w:hAnsi="宋体" w:cs="宋体" w:eastAsia="宋体" w:hint="default"/>
          <w:spacing w:val="-2"/>
          <w:sz w:val="21"/>
          <w:szCs w:val="21"/>
        </w:rPr>
        <w:t>务在取得日的公允价值计量；如果其他方服务的公允价值不能可靠计量，但权益工具的公允价值能够可靠</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计量的，按照权益工具在服务取得日的公允价值计量，计入相关成本或费用，相应增加所有者权益。</w:t>
      </w:r>
    </w:p>
    <w:p>
      <w:pPr>
        <w:spacing w:line="256" w:lineRule="auto" w:before="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以现金结算的股份支付</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授予后立即可行权的换取职工服务的以现金结算的股份支付，在授予日按公司承担负债的公允价值计</w:t>
      </w:r>
    </w:p>
    <w:p>
      <w:pPr>
        <w:spacing w:line="273" w:lineRule="auto" w:before="22"/>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入相关成本或费用，相应增加负债。完成等待期内的服务或达到规定业绩条件才可行权的换取职工服务的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以现金结算的股份支付，在等待期内的每个资产负债表日，以对可行权情况的最佳估计为基础，按公司承</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担负债的公允价值，将当期取得的服务计入相关成本或费用和相应的负债。</w:t>
      </w:r>
    </w:p>
    <w:p>
      <w:pPr>
        <w:spacing w:line="256" w:lineRule="auto" w:before="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修改、终止股份支付计划</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如果修改增加了所授予的权益工具的公允价值，公司按照权益工具公允价值的增加相应地确认取得服</w:t>
      </w:r>
    </w:p>
    <w:p>
      <w:pPr>
        <w:spacing w:line="273" w:lineRule="auto" w:before="22"/>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务的增加；如果修改增加了所授予的权益工具的数量，公司将增加的权益工具的公允价值相应地确认为取</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得服务的增加；如果公司按照有利于职工的方式修改可行权条件，公司在处理可行权条件时，考虑修改后</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的可行权条件。</w:t>
      </w:r>
    </w:p>
    <w:p>
      <w:pPr>
        <w:spacing w:line="273" w:lineRule="auto" w:before="7"/>
        <w:ind w:left="153" w:right="1125" w:firstLine="422"/>
        <w:jc w:val="both"/>
        <w:rPr>
          <w:rFonts w:ascii="宋体" w:hAnsi="宋体" w:cs="宋体" w:eastAsia="宋体" w:hint="default"/>
          <w:sz w:val="21"/>
          <w:szCs w:val="21"/>
        </w:rPr>
      </w:pPr>
      <w:r>
        <w:rPr>
          <w:rFonts w:ascii="宋体" w:hAnsi="宋体" w:cs="宋体" w:eastAsia="宋体" w:hint="default"/>
          <w:spacing w:val="-2"/>
          <w:sz w:val="21"/>
          <w:szCs w:val="21"/>
        </w:rPr>
        <w:t>如果修改减少了授予的权益工具的公允价值，公司继续以权益工具在授予日的公允价值为基础，确认</w:t>
      </w:r>
      <w:r>
        <w:rPr>
          <w:rFonts w:ascii="宋体" w:hAnsi="宋体" w:cs="宋体" w:eastAsia="宋体" w:hint="default"/>
          <w:w w:val="100"/>
          <w:sz w:val="21"/>
          <w:szCs w:val="21"/>
        </w:rPr>
        <w:t> </w:t>
      </w:r>
      <w:r>
        <w:rPr>
          <w:rFonts w:ascii="宋体" w:hAnsi="宋体" w:cs="宋体" w:eastAsia="宋体" w:hint="default"/>
          <w:spacing w:val="-2"/>
          <w:sz w:val="21"/>
          <w:szCs w:val="21"/>
        </w:rPr>
        <w:t>取得服务的金额，而不考虑权益工具公允价值的减少；如果修改减少了授予的权益工具的数量，公司将减</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少部分作为已授予的权益工具的取消来进行处理；如果以不利于职工的方式修改了可行权条件，在处理可</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行权条件时，不考虑修改后的可行权条件。</w:t>
      </w:r>
    </w:p>
    <w:p>
      <w:pPr>
        <w:spacing w:line="273" w:lineRule="auto" w:before="7"/>
        <w:ind w:left="153" w:right="1126" w:firstLine="422"/>
        <w:jc w:val="both"/>
        <w:rPr>
          <w:rFonts w:ascii="宋体" w:hAnsi="宋体" w:cs="宋体" w:eastAsia="宋体" w:hint="default"/>
          <w:sz w:val="21"/>
          <w:szCs w:val="21"/>
        </w:rPr>
      </w:pPr>
      <w:r>
        <w:rPr>
          <w:rFonts w:ascii="宋体" w:hAnsi="宋体" w:cs="宋体" w:eastAsia="宋体" w:hint="default"/>
          <w:spacing w:val="-2"/>
          <w:sz w:val="21"/>
          <w:szCs w:val="21"/>
        </w:rPr>
        <w:t>如果公司在等待期内取消了所授予的权益工具或结算了所授予的权益工具（因未满足可行权条件而被</w:t>
      </w:r>
      <w:r>
        <w:rPr>
          <w:rFonts w:ascii="宋体" w:hAnsi="宋体" w:cs="宋体" w:eastAsia="宋体" w:hint="default"/>
          <w:w w:val="100"/>
          <w:sz w:val="21"/>
          <w:szCs w:val="21"/>
        </w:rPr>
        <w:t> </w:t>
      </w:r>
      <w:r>
        <w:rPr>
          <w:rFonts w:ascii="宋体" w:hAnsi="宋体" w:cs="宋体" w:eastAsia="宋体" w:hint="default"/>
          <w:sz w:val="21"/>
          <w:szCs w:val="21"/>
        </w:rPr>
        <w:t>取消的除外），则将取消或结算作为加速可行权处理，立即确认原本在剩余等待期内确认的金额。</w:t>
      </w:r>
    </w:p>
    <w:p>
      <w:pPr>
        <w:spacing w:line="240" w:lineRule="auto" w:before="9"/>
        <w:rPr>
          <w:rFonts w:ascii="宋体" w:hAnsi="宋体" w:cs="宋体" w:eastAsia="宋体" w:hint="default"/>
          <w:sz w:val="23"/>
          <w:szCs w:val="23"/>
        </w:rPr>
      </w:pPr>
    </w:p>
    <w:p>
      <w:pPr>
        <w:spacing w:before="0"/>
        <w:ind w:left="153" w:right="0" w:firstLine="0"/>
        <w:jc w:val="both"/>
        <w:rPr>
          <w:rFonts w:ascii="宋体" w:hAnsi="宋体" w:cs="宋体" w:eastAsia="宋体" w:hint="default"/>
          <w:sz w:val="21"/>
          <w:szCs w:val="21"/>
        </w:rPr>
      </w:pPr>
      <w:bookmarkStart w:name="22、收入" w:id="203"/>
      <w:bookmarkEnd w:id="203"/>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before="76"/>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收入确认原则</w:t>
      </w:r>
    </w:p>
    <w:p>
      <w:pPr>
        <w:spacing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销售商品</w:t>
      </w:r>
    </w:p>
    <w:p>
      <w:pPr>
        <w:spacing w:before="21"/>
        <w:ind w:left="575" w:right="0" w:firstLine="0"/>
        <w:jc w:val="left"/>
        <w:rPr>
          <w:rFonts w:ascii="宋体" w:hAnsi="宋体" w:cs="宋体" w:eastAsia="宋体" w:hint="default"/>
          <w:sz w:val="21"/>
          <w:szCs w:val="21"/>
        </w:rPr>
      </w:pPr>
      <w:r>
        <w:rPr>
          <w:rFonts w:ascii="宋体" w:hAnsi="宋体" w:cs="宋体" w:eastAsia="宋体" w:hint="default"/>
          <w:sz w:val="21"/>
          <w:szCs w:val="21"/>
        </w:rPr>
        <w:t>销售商品收入在同时满足下列条件时予以确认：</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将商品所有权上的主要风险和报酬转移给购货方；</w:t>
      </w:r>
    </w:p>
    <w:p>
      <w:pPr>
        <w:spacing w:after="0"/>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256" w:lineRule="auto" w:before="36"/>
        <w:ind w:left="1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公司不再保留通常与所有权相联系的继续管理权，也不再对已售出的商品实施有效控制；</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收入的金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额能够可靠地计量；</w:t>
      </w:r>
      <w:r>
        <w:rPr>
          <w:rFonts w:ascii="Times New Roman" w:hAnsi="Times New Roman" w:cs="Times New Roman" w:eastAsia="Times New Roman" w:hint="default"/>
          <w:sz w:val="21"/>
          <w:szCs w:val="21"/>
        </w:rPr>
        <w:t>4)  </w:t>
      </w:r>
      <w:r>
        <w:rPr>
          <w:rFonts w:ascii="宋体" w:hAnsi="宋体" w:cs="宋体" w:eastAsia="宋体" w:hint="default"/>
          <w:sz w:val="21"/>
          <w:szCs w:val="21"/>
        </w:rPr>
        <w:t>相关的经济利益很可能流入；</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相关的已发生或将发生的成本能够可靠地计量。</w:t>
      </w:r>
    </w:p>
    <w:p>
      <w:pPr>
        <w:spacing w:line="259" w:lineRule="auto" w:before="5"/>
        <w:ind w:left="575" w:right="11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提供劳务</w:t>
      </w:r>
      <w:r>
        <w:rPr>
          <w:rFonts w:ascii="宋体" w:hAnsi="宋体" w:cs="宋体" w:eastAsia="宋体" w:hint="default"/>
          <w:spacing w:val="-98"/>
          <w:sz w:val="21"/>
          <w:szCs w:val="21"/>
        </w:rPr>
        <w:t> </w:t>
      </w:r>
      <w:r>
        <w:rPr>
          <w:rFonts w:ascii="宋体" w:hAnsi="宋体" w:cs="宋体" w:eastAsia="宋体" w:hint="default"/>
          <w:spacing w:val="-2"/>
          <w:sz w:val="21"/>
          <w:szCs w:val="21"/>
        </w:rPr>
        <w:t>提供劳务交易的结果在资产负债表日能够可靠估计的（同时满足收入的金额能够可靠地计量、相关经</w:t>
      </w:r>
    </w:p>
    <w:p>
      <w:pPr>
        <w:spacing w:line="273" w:lineRule="auto" w:before="20"/>
        <w:ind w:left="153" w:right="0" w:firstLine="0"/>
        <w:jc w:val="left"/>
        <w:rPr>
          <w:rFonts w:ascii="宋体" w:hAnsi="宋体" w:cs="宋体" w:eastAsia="宋体" w:hint="default"/>
          <w:sz w:val="21"/>
          <w:szCs w:val="21"/>
        </w:rPr>
      </w:pPr>
      <w:r>
        <w:rPr>
          <w:rFonts w:ascii="宋体" w:hAnsi="宋体" w:cs="宋体" w:eastAsia="宋体" w:hint="default"/>
          <w:sz w:val="21"/>
          <w:szCs w:val="21"/>
        </w:rPr>
        <w:t>济利益很可能流入、交易的完工进度能够可靠地确定、交易中已发生和将发生的成本能够可靠地计量），</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采用完工百分比法确认提供劳务的收入，并按已经发生的成本占估计总成本的比例确定提供劳务交易的完</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工进度。提供劳务交易的结果在资产负债表日不能够可靠估计的，若已经发生的劳务成本预计能够得到补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偿，按已经发生的劳务成本金额确认提供劳务收入，并按相同金额结转劳务成本；若已经发生的劳务成本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预计不能够得到补偿，将已经发生的劳务成本计入当期损益，不确认劳务收入。</w:t>
      </w:r>
    </w:p>
    <w:p>
      <w:pPr>
        <w:spacing w:line="256" w:lineRule="auto" w:before="8"/>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让渡资产使用权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让渡资产使用权在同时满足相关的经济利益很可能流入、收入金额能够可靠计量时，确认让渡资产使</w:t>
      </w:r>
    </w:p>
    <w:p>
      <w:pPr>
        <w:spacing w:line="273" w:lineRule="auto" w:before="22"/>
        <w:ind w:left="153" w:right="0" w:firstLine="0"/>
        <w:jc w:val="left"/>
        <w:rPr>
          <w:rFonts w:ascii="宋体" w:hAnsi="宋体" w:cs="宋体" w:eastAsia="宋体" w:hint="default"/>
          <w:sz w:val="21"/>
          <w:szCs w:val="21"/>
        </w:rPr>
      </w:pPr>
      <w:r>
        <w:rPr>
          <w:rFonts w:ascii="宋体" w:hAnsi="宋体" w:cs="宋体" w:eastAsia="宋体" w:hint="default"/>
          <w:spacing w:val="-2"/>
          <w:sz w:val="21"/>
          <w:szCs w:val="21"/>
        </w:rPr>
        <w:t>用权的收入。利息收入按照他人使用本公司货币资金的时间和实际利率计算确定；使用费收入按有关合同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或协议约定的收费时间和方法计算确定。</w:t>
      </w:r>
    </w:p>
    <w:p>
      <w:pPr>
        <w:spacing w:line="259" w:lineRule="auto" w:before="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收入确认的具体方法</w:t>
      </w:r>
      <w:r>
        <w:rPr>
          <w:rFonts w:ascii="宋体" w:hAnsi="宋体" w:cs="宋体" w:eastAsia="宋体" w:hint="default"/>
          <w:w w:val="100"/>
          <w:sz w:val="21"/>
          <w:szCs w:val="21"/>
        </w:rPr>
        <w:t> </w:t>
      </w:r>
      <w:r>
        <w:rPr>
          <w:rFonts w:ascii="宋体" w:hAnsi="宋体" w:cs="宋体" w:eastAsia="宋体" w:hint="default"/>
          <w:spacing w:val="-2"/>
          <w:sz w:val="21"/>
          <w:szCs w:val="21"/>
        </w:rPr>
        <w:t>公司业务主要包括智慧一卡通相关业务的系统建设、运营与维护服务和智能管控等，各类业务确认的</w:t>
      </w:r>
    </w:p>
    <w:p>
      <w:pPr>
        <w:spacing w:before="20"/>
        <w:ind w:left="153" w:right="0" w:firstLine="0"/>
        <w:jc w:val="left"/>
        <w:rPr>
          <w:rFonts w:ascii="宋体" w:hAnsi="宋体" w:cs="宋体" w:eastAsia="宋体" w:hint="default"/>
          <w:sz w:val="21"/>
          <w:szCs w:val="21"/>
        </w:rPr>
      </w:pPr>
      <w:r>
        <w:rPr>
          <w:rFonts w:ascii="宋体" w:hAnsi="宋体" w:cs="宋体" w:eastAsia="宋体" w:hint="default"/>
          <w:sz w:val="21"/>
          <w:szCs w:val="21"/>
        </w:rPr>
        <w:t>具体方法如下：</w:t>
      </w:r>
    </w:p>
    <w:p>
      <w:pPr>
        <w:spacing w:line="256" w:lineRule="auto" w:before="3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系统建设：一卡通项目设备安装及调试工作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系统建设分为通过系统集成业务需要安装的产品销售以及单独的产品销售两种方式。通过系统集成业</w:t>
      </w:r>
    </w:p>
    <w:p>
      <w:pPr>
        <w:spacing w:line="273" w:lineRule="auto" w:before="22"/>
        <w:ind w:left="153" w:right="0" w:firstLine="0"/>
        <w:jc w:val="left"/>
        <w:rPr>
          <w:rFonts w:ascii="宋体" w:hAnsi="宋体" w:cs="宋体" w:eastAsia="宋体" w:hint="default"/>
          <w:sz w:val="21"/>
          <w:szCs w:val="21"/>
        </w:rPr>
      </w:pPr>
      <w:r>
        <w:rPr>
          <w:rFonts w:ascii="宋体" w:hAnsi="宋体" w:cs="宋体" w:eastAsia="宋体" w:hint="default"/>
          <w:spacing w:val="-2"/>
          <w:sz w:val="21"/>
          <w:szCs w:val="21"/>
        </w:rPr>
        <w:t>务需要安装的产品销售在项目已实际完工并取得项目调试验收报告时确认收入；单独的产品销售，一般不</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需安装，在完成产品交付时确认收入。</w:t>
      </w:r>
    </w:p>
    <w:p>
      <w:pPr>
        <w:spacing w:before="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运营与维护</w:t>
      </w:r>
    </w:p>
    <w:p>
      <w:pPr>
        <w:spacing w:line="256" w:lineRule="auto" w:before="21"/>
        <w:ind w:left="153" w:right="1125"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pacing w:val="-3"/>
          <w:sz w:val="21"/>
          <w:szCs w:val="21"/>
        </w:rPr>
        <w:t>维护服务：公司在一卡通系统项目建设完毕后，在非质保期内或非质保范围内发生的、为保证系统</w:t>
      </w:r>
      <w:r>
        <w:rPr>
          <w:rFonts w:ascii="宋体" w:hAnsi="宋体" w:cs="宋体" w:eastAsia="宋体" w:hint="default"/>
          <w:w w:val="100"/>
          <w:sz w:val="21"/>
          <w:szCs w:val="21"/>
        </w:rPr>
        <w:t> </w:t>
      </w:r>
      <w:r>
        <w:rPr>
          <w:rFonts w:ascii="宋体" w:hAnsi="宋体" w:cs="宋体" w:eastAsia="宋体" w:hint="default"/>
          <w:sz w:val="21"/>
          <w:szCs w:val="21"/>
        </w:rPr>
        <w:t>的正常运行而提供的维护服务，根据与客户签署的服务协议，按照规定的服务期限分摊确认收入。</w:t>
      </w:r>
    </w:p>
    <w:p>
      <w:pPr>
        <w:spacing w:line="256" w:lineRule="auto" w:before="22"/>
        <w:ind w:left="153" w:right="1126"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9"/>
          <w:sz w:val="21"/>
          <w:szCs w:val="21"/>
        </w:rPr>
        <w:t> </w:t>
      </w:r>
      <w:r>
        <w:rPr>
          <w:rFonts w:ascii="宋体" w:hAnsi="宋体" w:cs="宋体" w:eastAsia="宋体" w:hint="default"/>
          <w:spacing w:val="-3"/>
          <w:sz w:val="21"/>
          <w:szCs w:val="21"/>
        </w:rPr>
        <w:t>运营增值：公司与基础运营商等签订运营增值业务合作协议，根据运营商等使用数据，以及事先确</w:t>
      </w:r>
      <w:r>
        <w:rPr>
          <w:rFonts w:ascii="宋体" w:hAnsi="宋体" w:cs="宋体" w:eastAsia="宋体" w:hint="default"/>
          <w:w w:val="100"/>
          <w:sz w:val="21"/>
          <w:szCs w:val="21"/>
        </w:rPr>
        <w:t> </w:t>
      </w:r>
      <w:r>
        <w:rPr>
          <w:rFonts w:ascii="宋体" w:hAnsi="宋体" w:cs="宋体" w:eastAsia="宋体" w:hint="default"/>
          <w:sz w:val="21"/>
          <w:szCs w:val="21"/>
        </w:rPr>
        <w:t>定的结算方式确认收入。</w:t>
      </w:r>
    </w:p>
    <w:p>
      <w:pPr>
        <w:spacing w:line="256" w:lineRule="auto" w:before="23"/>
        <w:ind w:left="575" w:right="11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智能管控</w:t>
      </w:r>
      <w:r>
        <w:rPr>
          <w:rFonts w:ascii="宋体" w:hAnsi="宋体" w:cs="宋体" w:eastAsia="宋体" w:hint="default"/>
          <w:spacing w:val="-98"/>
          <w:sz w:val="21"/>
          <w:szCs w:val="21"/>
        </w:rPr>
        <w:t> </w:t>
      </w:r>
      <w:r>
        <w:rPr>
          <w:rFonts w:ascii="宋体" w:hAnsi="宋体" w:cs="宋体" w:eastAsia="宋体" w:hint="default"/>
          <w:spacing w:val="-2"/>
          <w:sz w:val="21"/>
          <w:szCs w:val="21"/>
        </w:rPr>
        <w:t>公司在一卡通系统建设中进行与之相关的弱电工程业务，在项目已实际完工并取得项目调试验收报告</w:t>
      </w:r>
    </w:p>
    <w:p>
      <w:pPr>
        <w:spacing w:before="22"/>
        <w:ind w:left="153" w:right="0" w:firstLine="0"/>
        <w:jc w:val="left"/>
        <w:rPr>
          <w:rFonts w:ascii="宋体" w:hAnsi="宋体" w:cs="宋体" w:eastAsia="宋体" w:hint="default"/>
          <w:sz w:val="21"/>
          <w:szCs w:val="21"/>
        </w:rPr>
      </w:pPr>
      <w:r>
        <w:rPr>
          <w:rFonts w:ascii="宋体" w:hAnsi="宋体" w:cs="宋体" w:eastAsia="宋体" w:hint="default"/>
          <w:sz w:val="21"/>
          <w:szCs w:val="21"/>
        </w:rPr>
        <w:t>时确认收入。</w:t>
      </w:r>
    </w:p>
    <w:p>
      <w:pPr>
        <w:spacing w:line="240" w:lineRule="auto" w:before="12"/>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3、政府补助" w:id="204"/>
      <w:bookmarkEnd w:id="204"/>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264" w:lineRule="auto" w:before="0"/>
        <w:ind w:left="153" w:right="1122"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pacing w:val="-3"/>
          <w:sz w:val="21"/>
          <w:szCs w:val="21"/>
        </w:rPr>
        <w:t>政府补助在同时满足下列条件时予以确认：</w:t>
      </w:r>
      <w:r>
        <w:rPr>
          <w:rFonts w:ascii="Times New Roman" w:hAnsi="Times New Roman" w:cs="Times New Roman" w:eastAsia="Times New Roman" w:hint="default"/>
          <w:spacing w:val="-3"/>
          <w:sz w:val="21"/>
          <w:szCs w:val="21"/>
        </w:rPr>
        <w:t>(1) </w:t>
      </w:r>
      <w:r>
        <w:rPr>
          <w:rFonts w:ascii="宋体" w:hAnsi="宋体" w:cs="宋体" w:eastAsia="宋体" w:hint="default"/>
          <w:spacing w:val="-4"/>
          <w:sz w:val="21"/>
          <w:szCs w:val="21"/>
        </w:rPr>
        <w:t>公司能够满足政府补助所附的条件；</w:t>
      </w:r>
      <w:r>
        <w:rPr>
          <w:rFonts w:ascii="Times New Roman" w:hAnsi="Times New Roman" w:cs="Times New Roman" w:eastAsia="Times New Roman" w:hint="default"/>
          <w:spacing w:val="-4"/>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公司能够收</w:t>
      </w:r>
      <w:r>
        <w:rPr>
          <w:rFonts w:ascii="宋体" w:hAnsi="宋体" w:cs="宋体" w:eastAsia="宋体" w:hint="default"/>
          <w:w w:val="100"/>
          <w:sz w:val="21"/>
          <w:szCs w:val="21"/>
        </w:rPr>
        <w:t> </w:t>
      </w:r>
      <w:r>
        <w:rPr>
          <w:rFonts w:ascii="宋体" w:hAnsi="宋体" w:cs="宋体" w:eastAsia="宋体" w:hint="default"/>
          <w:spacing w:val="-2"/>
          <w:sz w:val="21"/>
          <w:szCs w:val="21"/>
        </w:rPr>
        <w:t>到政府补助。政府补助为货币性资产的，按照收到或应收的金额计量。政府补助为非货币性资产的，按照</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公允价值计量；公允价值不能可靠取得的，按照名义金额计量。</w:t>
      </w:r>
    </w:p>
    <w:p>
      <w:pPr>
        <w:spacing w:line="256" w:lineRule="auto" w:before="16"/>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与资产相关的政府补助判断依据及会计处理方法</w:t>
      </w:r>
      <w:r>
        <w:rPr>
          <w:rFonts w:ascii="宋体" w:hAnsi="宋体" w:cs="宋体" w:eastAsia="宋体" w:hint="default"/>
          <w:w w:val="100"/>
          <w:sz w:val="21"/>
          <w:szCs w:val="21"/>
        </w:rPr>
        <w:t> </w:t>
      </w:r>
      <w:r>
        <w:rPr>
          <w:rFonts w:ascii="宋体" w:hAnsi="宋体" w:cs="宋体" w:eastAsia="宋体" w:hint="default"/>
          <w:spacing w:val="-2"/>
          <w:sz w:val="21"/>
          <w:szCs w:val="21"/>
        </w:rPr>
        <w:t>政府文件规定用于购建或以其他方式形成长期资产的政府补助划分为与资产相关的政府补助。政府文</w:t>
      </w:r>
    </w:p>
    <w:p>
      <w:pPr>
        <w:spacing w:line="273" w:lineRule="auto" w:before="23"/>
        <w:ind w:left="153" w:right="0" w:firstLine="0"/>
        <w:jc w:val="left"/>
        <w:rPr>
          <w:rFonts w:ascii="宋体" w:hAnsi="宋体" w:cs="宋体" w:eastAsia="宋体" w:hint="default"/>
          <w:sz w:val="21"/>
          <w:szCs w:val="21"/>
        </w:rPr>
      </w:pPr>
      <w:r>
        <w:rPr>
          <w:rFonts w:ascii="宋体" w:hAnsi="宋体" w:cs="宋体" w:eastAsia="宋体" w:hint="default"/>
          <w:sz w:val="21"/>
          <w:szCs w:val="21"/>
        </w:rPr>
        <w:t>件不明确的，以取得该补助必须具备的基本条件为基础进行判断，以购建或其他方式形成长期资产为基本</w:t>
      </w:r>
      <w:r>
        <w:rPr>
          <w:rFonts w:ascii="宋体" w:hAnsi="宋体" w:cs="宋体" w:eastAsia="宋体" w:hint="default"/>
          <w:w w:val="100"/>
          <w:sz w:val="21"/>
          <w:szCs w:val="21"/>
        </w:rPr>
        <w:t> </w:t>
      </w:r>
      <w:r>
        <w:rPr>
          <w:rFonts w:ascii="宋体" w:hAnsi="宋体" w:cs="宋体" w:eastAsia="宋体" w:hint="default"/>
          <w:spacing w:val="-4"/>
          <w:sz w:val="21"/>
          <w:szCs w:val="21"/>
        </w:rPr>
        <w:t>条件的作为与资产相关的政府补助。与资产相关的政府补助，冲减相关资产的账面价值或确认为递延收益。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与资产相关的政府补助确认为递延收益的，在相关资产使用寿命内按照合理、系统的方法分期计入损益。</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按照名义金额计量的政府补助，直接计入当期损益。相关资产在使用寿命结束前被出售、转让、报废或发</w:t>
      </w:r>
      <w:r>
        <w:rPr>
          <w:rFonts w:ascii="宋体" w:hAnsi="宋体" w:cs="宋体" w:eastAsia="宋体" w:hint="default"/>
          <w:w w:val="100"/>
          <w:sz w:val="21"/>
          <w:szCs w:val="21"/>
        </w:rPr>
        <w:t> </w:t>
      </w:r>
      <w:r>
        <w:rPr>
          <w:rFonts w:ascii="宋体" w:hAnsi="宋体" w:cs="宋体" w:eastAsia="宋体" w:hint="default"/>
          <w:sz w:val="21"/>
          <w:szCs w:val="21"/>
        </w:rPr>
        <w:t>生毁损的，将尚未分配的相关递延收益余额转入资产处置当期的损益。</w:t>
      </w:r>
    </w:p>
    <w:p>
      <w:pPr>
        <w:spacing w:line="256" w:lineRule="auto" w:before="8"/>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与收益相关的政府补助判断依据及会计处理方法</w:t>
      </w:r>
      <w:r>
        <w:rPr>
          <w:rFonts w:ascii="宋体" w:hAnsi="宋体" w:cs="宋体" w:eastAsia="宋体" w:hint="default"/>
          <w:w w:val="100"/>
          <w:sz w:val="21"/>
          <w:szCs w:val="21"/>
        </w:rPr>
        <w:t> </w:t>
      </w:r>
      <w:r>
        <w:rPr>
          <w:rFonts w:ascii="宋体" w:hAnsi="宋体" w:cs="宋体" w:eastAsia="宋体" w:hint="default"/>
          <w:spacing w:val="-2"/>
          <w:sz w:val="21"/>
          <w:szCs w:val="21"/>
        </w:rPr>
        <w:t>除与资产相关的政府补助之外的政府补助划分为与收益相关的政府补助。对于同时包含与资产相关部</w:t>
      </w:r>
    </w:p>
    <w:p>
      <w:pPr>
        <w:spacing w:before="22"/>
        <w:ind w:left="153" w:right="0" w:firstLine="0"/>
        <w:jc w:val="left"/>
        <w:rPr>
          <w:rFonts w:ascii="宋体" w:hAnsi="宋体" w:cs="宋体" w:eastAsia="宋体" w:hint="default"/>
          <w:sz w:val="21"/>
          <w:szCs w:val="21"/>
        </w:rPr>
      </w:pPr>
      <w:r>
        <w:rPr>
          <w:rFonts w:ascii="宋体" w:hAnsi="宋体" w:cs="宋体" w:eastAsia="宋体" w:hint="default"/>
          <w:sz w:val="21"/>
          <w:szCs w:val="21"/>
        </w:rPr>
        <w:t>分和与收益相关部分的政府补助，难以区分与资产相关或与收益相关的，整体归类为与收益相关的政府补</w:t>
      </w:r>
    </w:p>
    <w:p>
      <w:pPr>
        <w:spacing w:after="0"/>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273" w:lineRule="auto" w:before="36"/>
        <w:ind w:left="153" w:right="1124" w:firstLine="0"/>
        <w:jc w:val="both"/>
        <w:rPr>
          <w:rFonts w:ascii="宋体" w:hAnsi="宋体" w:cs="宋体" w:eastAsia="宋体" w:hint="default"/>
          <w:sz w:val="21"/>
          <w:szCs w:val="21"/>
        </w:rPr>
      </w:pPr>
      <w:r>
        <w:rPr>
          <w:rFonts w:ascii="宋体" w:hAnsi="宋体" w:cs="宋体" w:eastAsia="宋体" w:hint="default"/>
          <w:spacing w:val="-2"/>
          <w:sz w:val="21"/>
          <w:szCs w:val="21"/>
        </w:rPr>
        <w:t>助。与收益相关的政府补助，用于补偿以后期间的相关成本费用或损失的，确认为递延收益，在确认相关</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成本费用或损失的期间，计入当期损益或冲减相关成本；用于补偿已发生的相关成本费用或损失的，直接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计入当期损益或冲减相关成本。</w:t>
      </w:r>
    </w:p>
    <w:p>
      <w:pPr>
        <w:spacing w:line="256" w:lineRule="auto" w:before="8"/>
        <w:ind w:left="153" w:right="0"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3"/>
          <w:sz w:val="21"/>
          <w:szCs w:val="21"/>
        </w:rPr>
        <w:t> </w:t>
      </w:r>
      <w:r>
        <w:rPr>
          <w:rFonts w:ascii="宋体" w:hAnsi="宋体" w:cs="宋体" w:eastAsia="宋体" w:hint="default"/>
          <w:spacing w:val="-3"/>
          <w:sz w:val="21"/>
          <w:szCs w:val="21"/>
        </w:rPr>
        <w:t>与公司日常经营活动相关的政府补助，按照经济业务实质，计入其他收益或冲减相关成本费用。与</w:t>
      </w:r>
      <w:r>
        <w:rPr>
          <w:rFonts w:ascii="宋体" w:hAnsi="宋体" w:cs="宋体" w:eastAsia="宋体" w:hint="default"/>
          <w:w w:val="100"/>
          <w:sz w:val="21"/>
          <w:szCs w:val="21"/>
        </w:rPr>
        <w:t> </w:t>
      </w:r>
      <w:r>
        <w:rPr>
          <w:rFonts w:ascii="宋体" w:hAnsi="宋体" w:cs="宋体" w:eastAsia="宋体" w:hint="default"/>
          <w:sz w:val="21"/>
          <w:szCs w:val="21"/>
        </w:rPr>
        <w:t>公司日常活动无关的政府补助，计入营业外收支。</w:t>
      </w:r>
    </w:p>
    <w:p>
      <w:pPr>
        <w:spacing w:before="22"/>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政策性优惠贷款贴息的会计处理方法</w:t>
      </w:r>
    </w:p>
    <w:p>
      <w:pPr>
        <w:spacing w:line="247" w:lineRule="auto" w:before="9"/>
        <w:ind w:left="153" w:right="0" w:firstLine="422"/>
        <w:jc w:val="left"/>
        <w:rPr>
          <w:rFonts w:ascii="宋体" w:hAnsi="宋体" w:cs="宋体" w:eastAsia="宋体" w:hint="default"/>
          <w:sz w:val="22"/>
          <w:szCs w:val="22"/>
        </w:rPr>
      </w:pPr>
      <w:r>
        <w:rPr>
          <w:rFonts w:ascii="Times New Roman" w:hAnsi="Times New Roman" w:cs="Times New Roman" w:eastAsia="Times New Roman" w:hint="default"/>
          <w:i/>
          <w:w w:val="95"/>
          <w:sz w:val="21"/>
          <w:szCs w:val="21"/>
        </w:rPr>
        <w:t>(1)</w:t>
      </w:r>
      <w:r>
        <w:rPr>
          <w:rFonts w:ascii="Times New Roman" w:hAnsi="Times New Roman" w:cs="Times New Roman" w:eastAsia="Times New Roman" w:hint="default"/>
          <w:i/>
          <w:spacing w:val="41"/>
          <w:w w:val="95"/>
          <w:sz w:val="21"/>
          <w:szCs w:val="21"/>
        </w:rPr>
        <w:t> </w:t>
      </w:r>
      <w:r>
        <w:rPr>
          <w:rFonts w:ascii="宋体" w:hAnsi="宋体" w:cs="宋体" w:eastAsia="宋体" w:hint="default"/>
          <w:i/>
          <w:w w:val="95"/>
          <w:sz w:val="22"/>
          <w:szCs w:val="22"/>
        </w:rPr>
        <w:t>财政将贴息资金拨付给贷款银行，由贷款银行以政策性优惠利率向公司提供贷款的，以实际收到</w:t>
      </w:r>
      <w:r>
        <w:rPr>
          <w:rFonts w:ascii="宋体" w:hAnsi="宋体" w:cs="宋体" w:eastAsia="宋体" w:hint="default"/>
          <w:i/>
          <w:w w:val="95"/>
          <w:sz w:val="22"/>
          <w:szCs w:val="22"/>
        </w:rPr>
        <w:t> </w:t>
      </w:r>
      <w:r>
        <w:rPr>
          <w:rFonts w:ascii="宋体" w:hAnsi="宋体" w:cs="宋体" w:eastAsia="宋体" w:hint="default"/>
          <w:i/>
          <w:sz w:val="22"/>
          <w:szCs w:val="22"/>
        </w:rPr>
        <w:t>的借款金额作为借款的入账价值，按照借款本金和该政策性优惠利率计算相关借款费用。</w:t>
      </w:r>
      <w:r>
        <w:rPr>
          <w:rFonts w:ascii="宋体" w:hAnsi="宋体" w:cs="宋体" w:eastAsia="宋体" w:hint="default"/>
          <w:sz w:val="22"/>
          <w:szCs w:val="22"/>
        </w:rPr>
      </w:r>
    </w:p>
    <w:p>
      <w:pPr>
        <w:spacing w:before="29"/>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财政将贴息资金直接拨付给公司的，将对应的贴息冲减相关借款费用。</w:t>
      </w:r>
    </w:p>
    <w:p>
      <w:pPr>
        <w:spacing w:line="240" w:lineRule="auto" w:before="10"/>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24、递延所得税资产/递延所得税负债" w:id="205"/>
      <w:bookmarkEnd w:id="205"/>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266" w:lineRule="auto" w:before="0"/>
        <w:ind w:left="153" w:right="1125"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5"/>
          <w:sz w:val="21"/>
          <w:szCs w:val="21"/>
        </w:rPr>
        <w:t> </w:t>
      </w:r>
      <w:r>
        <w:rPr>
          <w:rFonts w:ascii="宋体" w:hAnsi="宋体" w:cs="宋体" w:eastAsia="宋体" w:hint="default"/>
          <w:spacing w:val="-3"/>
          <w:sz w:val="21"/>
          <w:szCs w:val="21"/>
        </w:rPr>
        <w:t>根据资产、负债的账面价值与其计税基础之间的差额（未作为资产和负债确认的项目按照税法规定</w:t>
      </w:r>
      <w:r>
        <w:rPr>
          <w:rFonts w:ascii="宋体" w:hAnsi="宋体" w:cs="宋体" w:eastAsia="宋体" w:hint="default"/>
          <w:w w:val="100"/>
          <w:sz w:val="21"/>
          <w:szCs w:val="21"/>
        </w:rPr>
        <w:t> </w:t>
      </w:r>
      <w:r>
        <w:rPr>
          <w:rFonts w:ascii="宋体" w:hAnsi="宋体" w:cs="宋体" w:eastAsia="宋体" w:hint="default"/>
          <w:spacing w:val="-2"/>
          <w:sz w:val="21"/>
          <w:szCs w:val="21"/>
        </w:rPr>
        <w:t>可以确定其计税基础的，该计税基础与其账面数之间的差额），按照预期收回该资产或清偿该负债期间的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适用税率计算确认递延所得税资产或递延所得税负债。</w:t>
      </w:r>
    </w:p>
    <w:p>
      <w:pPr>
        <w:spacing w:line="264" w:lineRule="auto" w:before="14"/>
        <w:ind w:left="153" w:right="0"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9"/>
          <w:sz w:val="21"/>
          <w:szCs w:val="21"/>
        </w:rPr>
        <w:t> </w:t>
      </w:r>
      <w:r>
        <w:rPr>
          <w:rFonts w:ascii="宋体" w:hAnsi="宋体" w:cs="宋体" w:eastAsia="宋体" w:hint="default"/>
          <w:spacing w:val="-3"/>
          <w:sz w:val="21"/>
          <w:szCs w:val="21"/>
        </w:rPr>
        <w:t>确认递延所得税资产以很可能取得用来抵扣可抵扣暂时性差异的应纳税所得额为限。资产负债表日，</w:t>
      </w:r>
      <w:r>
        <w:rPr>
          <w:rFonts w:ascii="宋体" w:hAnsi="宋体" w:cs="宋体" w:eastAsia="宋体" w:hint="default"/>
          <w:w w:val="100"/>
          <w:sz w:val="21"/>
          <w:szCs w:val="21"/>
        </w:rPr>
        <w:t> </w:t>
      </w:r>
      <w:r>
        <w:rPr>
          <w:rFonts w:ascii="宋体" w:hAnsi="宋体" w:cs="宋体" w:eastAsia="宋体" w:hint="default"/>
          <w:sz w:val="21"/>
          <w:szCs w:val="21"/>
        </w:rPr>
        <w:t>有确凿证据表明未来期间很可能获得足够的应纳税所得额用来抵扣可抵扣暂时性差异的，确认以前会计期</w:t>
      </w:r>
      <w:r>
        <w:rPr>
          <w:rFonts w:ascii="宋体" w:hAnsi="宋体" w:cs="宋体" w:eastAsia="宋体" w:hint="default"/>
          <w:w w:val="100"/>
          <w:sz w:val="21"/>
          <w:szCs w:val="21"/>
        </w:rPr>
        <w:t> </w:t>
      </w:r>
      <w:r>
        <w:rPr>
          <w:rFonts w:ascii="宋体" w:hAnsi="宋体" w:cs="宋体" w:eastAsia="宋体" w:hint="default"/>
          <w:sz w:val="21"/>
          <w:szCs w:val="21"/>
        </w:rPr>
        <w:t>间未确认的递延所得税资产。</w:t>
      </w:r>
    </w:p>
    <w:p>
      <w:pPr>
        <w:spacing w:line="266" w:lineRule="auto" w:before="16"/>
        <w:ind w:left="153" w:right="1125"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5"/>
          <w:sz w:val="21"/>
          <w:szCs w:val="21"/>
        </w:rPr>
        <w:t> </w:t>
      </w:r>
      <w:r>
        <w:rPr>
          <w:rFonts w:ascii="宋体" w:hAnsi="宋体" w:cs="宋体" w:eastAsia="宋体" w:hint="default"/>
          <w:spacing w:val="-3"/>
          <w:sz w:val="21"/>
          <w:szCs w:val="21"/>
        </w:rPr>
        <w:t>资产负债表日，对递延所得税资产的账面价值进行复核，如果未来期间很可能无法获得足够的应纳</w:t>
      </w:r>
      <w:r>
        <w:rPr>
          <w:rFonts w:ascii="宋体" w:hAnsi="宋体" w:cs="宋体" w:eastAsia="宋体" w:hint="default"/>
          <w:w w:val="100"/>
          <w:sz w:val="21"/>
          <w:szCs w:val="21"/>
        </w:rPr>
        <w:t> </w:t>
      </w:r>
      <w:r>
        <w:rPr>
          <w:rFonts w:ascii="宋体" w:hAnsi="宋体" w:cs="宋体" w:eastAsia="宋体" w:hint="default"/>
          <w:spacing w:val="-2"/>
          <w:sz w:val="21"/>
          <w:szCs w:val="21"/>
        </w:rPr>
        <w:t>税所得额用以抵扣递延所得税资产的利益，则减记递延所得税资产的账面价值。在很可能获得足够的应纳</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税所得额时，转回减记的金额。</w:t>
      </w:r>
    </w:p>
    <w:p>
      <w:pPr>
        <w:spacing w:line="256" w:lineRule="auto" w:before="14"/>
        <w:ind w:left="153" w:right="1124"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9"/>
          <w:sz w:val="21"/>
          <w:szCs w:val="21"/>
        </w:rPr>
        <w:t> </w:t>
      </w:r>
      <w:r>
        <w:rPr>
          <w:rFonts w:ascii="宋体" w:hAnsi="宋体" w:cs="宋体" w:eastAsia="宋体" w:hint="default"/>
          <w:spacing w:val="-3"/>
          <w:sz w:val="21"/>
          <w:szCs w:val="21"/>
        </w:rPr>
        <w:t>公司当期所得税和递延所得税作为所得税费用或收益计入当期损益，但不包括下列情况产生的所得</w:t>
      </w:r>
      <w:r>
        <w:rPr>
          <w:rFonts w:ascii="宋体" w:hAnsi="宋体" w:cs="宋体" w:eastAsia="宋体" w:hint="default"/>
          <w:w w:val="100"/>
          <w:sz w:val="21"/>
          <w:szCs w:val="21"/>
        </w:rPr>
        <w:t> </w:t>
      </w:r>
      <w:r>
        <w:rPr>
          <w:rFonts w:ascii="宋体" w:hAnsi="宋体" w:cs="宋体" w:eastAsia="宋体" w:hint="default"/>
          <w:sz w:val="21"/>
          <w:szCs w:val="21"/>
        </w:rPr>
        <w:t>税：</w:t>
      </w:r>
      <w:r>
        <w:rPr>
          <w:rFonts w:ascii="Times New Roman" w:hAnsi="Times New Roman" w:cs="Times New Roman" w:eastAsia="Times New Roman" w:hint="default"/>
          <w:sz w:val="21"/>
          <w:szCs w:val="21"/>
        </w:rPr>
        <w:t>(1)  </w:t>
      </w:r>
      <w:r>
        <w:rPr>
          <w:rFonts w:ascii="宋体" w:hAnsi="宋体" w:cs="宋体" w:eastAsia="宋体" w:hint="default"/>
          <w:sz w:val="21"/>
          <w:szCs w:val="21"/>
        </w:rPr>
        <w:t>企业合并；</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直接在所有者权益中确认的交易或者事项。</w:t>
      </w:r>
    </w:p>
    <w:p>
      <w:pPr>
        <w:spacing w:line="240" w:lineRule="auto" w:before="6"/>
        <w:rPr>
          <w:rFonts w:ascii="宋体" w:hAnsi="宋体" w:cs="宋体" w:eastAsia="宋体" w:hint="default"/>
          <w:sz w:val="23"/>
          <w:szCs w:val="23"/>
        </w:rPr>
      </w:pPr>
    </w:p>
    <w:p>
      <w:pPr>
        <w:spacing w:before="0"/>
        <w:ind w:left="153" w:right="0" w:firstLine="0"/>
        <w:jc w:val="left"/>
        <w:rPr>
          <w:rFonts w:ascii="宋体" w:hAnsi="宋体" w:cs="宋体" w:eastAsia="宋体" w:hint="default"/>
          <w:sz w:val="21"/>
          <w:szCs w:val="21"/>
        </w:rPr>
      </w:pPr>
      <w:bookmarkStart w:name="25、租赁" w:id="206"/>
      <w:bookmarkEnd w:id="206"/>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、租赁</w:t>
      </w:r>
      <w:r>
        <w:rPr>
          <w:rFonts w:ascii="宋体" w:hAnsi="宋体" w:cs="宋体" w:eastAsia="宋体" w:hint="default"/>
          <w:sz w:val="21"/>
          <w:szCs w:val="21"/>
        </w:rPr>
      </w:r>
    </w:p>
    <w:p>
      <w:pPr>
        <w:spacing w:line="590" w:lineRule="atLeast" w:before="24"/>
        <w:ind w:left="575" w:right="0" w:hanging="423"/>
        <w:jc w:val="left"/>
        <w:rPr>
          <w:rFonts w:ascii="宋体" w:hAnsi="宋体" w:cs="宋体" w:eastAsia="宋体" w:hint="default"/>
          <w:sz w:val="21"/>
          <w:szCs w:val="21"/>
        </w:rPr>
      </w:pPr>
      <w:bookmarkStart w:name="（1）经营租赁的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公司为承租人时，在租赁期内各个期间按照直线法将租金计入相关资产成本或确认为当期损益，发生</w:t>
      </w:r>
    </w:p>
    <w:p>
      <w:pPr>
        <w:spacing w:line="273" w:lineRule="auto" w:before="37"/>
        <w:ind w:left="575" w:right="0" w:hanging="423"/>
        <w:jc w:val="left"/>
        <w:rPr>
          <w:rFonts w:ascii="宋体" w:hAnsi="宋体" w:cs="宋体" w:eastAsia="宋体" w:hint="default"/>
          <w:sz w:val="21"/>
          <w:szCs w:val="21"/>
        </w:rPr>
      </w:pPr>
      <w:r>
        <w:rPr>
          <w:rFonts w:ascii="宋体" w:hAnsi="宋体" w:cs="宋体" w:eastAsia="宋体" w:hint="default"/>
          <w:sz w:val="21"/>
          <w:szCs w:val="21"/>
        </w:rPr>
        <w:t>的初始直接费用，直接计入当期损益。或有租金在实际发生时计入当期损益。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公司为出租人时，在租赁期内各个期间按照直线法将租金确认为当期损益，发生的初始直接费用，除</w:t>
      </w:r>
    </w:p>
    <w:p>
      <w:pPr>
        <w:spacing w:before="7"/>
        <w:ind w:left="153" w:right="0" w:firstLine="0"/>
        <w:jc w:val="left"/>
        <w:rPr>
          <w:rFonts w:ascii="宋体" w:hAnsi="宋体" w:cs="宋体" w:eastAsia="宋体" w:hint="default"/>
          <w:sz w:val="21"/>
          <w:szCs w:val="21"/>
        </w:rPr>
      </w:pPr>
      <w:r>
        <w:rPr>
          <w:rFonts w:ascii="宋体" w:hAnsi="宋体" w:cs="宋体" w:eastAsia="宋体" w:hint="default"/>
          <w:sz w:val="21"/>
          <w:szCs w:val="21"/>
        </w:rPr>
        <w:t>金额较大的予以资本化并分期计入损益外，均直接计入当期损益。或有租金在实际发生时计入当期损益。</w:t>
      </w:r>
    </w:p>
    <w:p>
      <w:pPr>
        <w:spacing w:line="600" w:lineRule="atLeast" w:before="30"/>
        <w:ind w:left="575" w:right="7379" w:hanging="423"/>
        <w:jc w:val="left"/>
        <w:rPr>
          <w:rFonts w:ascii="宋体" w:hAnsi="宋体" w:cs="宋体" w:eastAsia="宋体" w:hint="default"/>
          <w:sz w:val="21"/>
          <w:szCs w:val="21"/>
        </w:rPr>
      </w:pPr>
      <w:bookmarkStart w:name="26、其他重要的会计政策和会计估计" w:id="208"/>
      <w:bookmarkEnd w:id="208"/>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、其他重要的会计政策和会计估计</w:t>
      </w:r>
      <w:r>
        <w:rPr>
          <w:rFonts w:ascii="宋体" w:hAnsi="宋体" w:cs="宋体" w:eastAsia="宋体" w:hint="default"/>
          <w:b/>
          <w:bCs/>
          <w:w w:val="100"/>
          <w:sz w:val="21"/>
          <w:szCs w:val="21"/>
        </w:rPr>
        <w:t> </w:t>
      </w:r>
      <w:r>
        <w:rPr>
          <w:rFonts w:ascii="宋体" w:hAnsi="宋体" w:cs="宋体" w:eastAsia="宋体" w:hint="default"/>
          <w:sz w:val="21"/>
          <w:szCs w:val="21"/>
        </w:rPr>
        <w:t>分部报告：</w:t>
      </w:r>
    </w:p>
    <w:p>
      <w:pPr>
        <w:spacing w:line="273" w:lineRule="auto" w:before="37"/>
        <w:ind w:left="153" w:right="0" w:firstLine="422"/>
        <w:jc w:val="left"/>
        <w:rPr>
          <w:rFonts w:ascii="宋体" w:hAnsi="宋体" w:cs="宋体" w:eastAsia="宋体" w:hint="default"/>
          <w:sz w:val="21"/>
          <w:szCs w:val="21"/>
        </w:rPr>
      </w:pPr>
      <w:r>
        <w:rPr>
          <w:rFonts w:ascii="宋体" w:hAnsi="宋体" w:cs="宋体" w:eastAsia="宋体" w:hint="default"/>
          <w:spacing w:val="-2"/>
          <w:sz w:val="21"/>
          <w:szCs w:val="21"/>
        </w:rPr>
        <w:t>公司以内部组织结构、管理要求、内部报告制度等为依据确定经营分部。公司的经营分部是指同时满</w:t>
      </w:r>
      <w:r>
        <w:rPr>
          <w:rFonts w:ascii="宋体" w:hAnsi="宋体" w:cs="宋体" w:eastAsia="宋体" w:hint="default"/>
          <w:w w:val="100"/>
          <w:sz w:val="21"/>
          <w:szCs w:val="21"/>
        </w:rPr>
        <w:t> </w:t>
      </w:r>
      <w:r>
        <w:rPr>
          <w:rFonts w:ascii="宋体" w:hAnsi="宋体" w:cs="宋体" w:eastAsia="宋体" w:hint="default"/>
          <w:sz w:val="21"/>
          <w:szCs w:val="21"/>
        </w:rPr>
        <w:t>足下列条件的组成部分：</w:t>
      </w:r>
    </w:p>
    <w:p>
      <w:pPr>
        <w:spacing w:before="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该组成部分能够在日常活动中产生收入、发生费用；</w:t>
      </w:r>
    </w:p>
    <w:p>
      <w:pPr>
        <w:spacing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管理层能够定期评价该组成部分的经营成果，以决定向其配置资源、评价其业绩；</w:t>
      </w:r>
    </w:p>
    <w:p>
      <w:pPr>
        <w:spacing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能够通过分析取得该组成部分的财务状况、经营成果和现金流量等有关会计信息。</w:t>
      </w:r>
    </w:p>
    <w:p>
      <w:pPr>
        <w:spacing w:after="0"/>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93" w:right="969" w:firstLine="0"/>
        <w:jc w:val="left"/>
        <w:rPr>
          <w:rFonts w:ascii="宋体" w:hAnsi="宋体" w:cs="宋体" w:eastAsia="宋体" w:hint="default"/>
          <w:sz w:val="21"/>
          <w:szCs w:val="21"/>
        </w:rPr>
      </w:pPr>
      <w:bookmarkStart w:name="27、重要会计政策和会计估计变更" w:id="209"/>
      <w:bookmarkEnd w:id="209"/>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93" w:right="969" w:firstLine="0"/>
        <w:jc w:val="left"/>
        <w:rPr>
          <w:rFonts w:ascii="宋体" w:hAnsi="宋体" w:cs="宋体" w:eastAsia="宋体" w:hint="default"/>
          <w:sz w:val="21"/>
          <w:szCs w:val="21"/>
        </w:rPr>
      </w:pPr>
      <w:bookmarkStart w:name="（1）重要会计政策变更" w:id="210"/>
      <w:bookmarkEnd w:id="2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93" w:right="96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688"/>
        <w:gridCol w:w="2977"/>
        <w:gridCol w:w="3122"/>
      </w:tblGrid>
      <w:tr>
        <w:trPr>
          <w:trHeight w:val="403" w:hRule="exact"/>
        </w:trPr>
        <w:tc>
          <w:tcPr>
            <w:tcW w:w="3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59"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7"/>
              <w:jc w:val="both"/>
              <w:rPr>
                <w:rFonts w:ascii="宋体" w:hAnsi="宋体" w:cs="宋体" w:eastAsia="宋体" w:hint="default"/>
                <w:sz w:val="18"/>
                <w:szCs w:val="18"/>
              </w:rPr>
            </w:pPr>
            <w:r>
              <w:rPr>
                <w:rFonts w:ascii="宋体" w:hAnsi="宋体" w:cs="宋体" w:eastAsia="宋体" w:hint="default"/>
                <w:spacing w:val="-7"/>
                <w:sz w:val="18"/>
                <w:szCs w:val="18"/>
              </w:rPr>
              <w:t>本公司根据财政部《关于修订印发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般企业财务报表格式的通知》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w w:val="101"/>
                <w:sz w:val="18"/>
                <w:szCs w:val="18"/>
              </w:rPr>
              <w:t> </w:t>
            </w:r>
            <w:r>
              <w:rPr>
                <w:rFonts w:ascii="宋体" w:hAnsi="宋体" w:cs="宋体" w:eastAsia="宋体" w:hint="default"/>
                <w:spacing w:val="-6"/>
                <w:w w:val="101"/>
                <w:sz w:val="18"/>
                <w:szCs w:val="18"/>
              </w:rPr>
              <w:t>号</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、《关于修订印发合并财务报表格式（</w:t>
            </w:r>
            <w:r>
              <w:rPr>
                <w:rFonts w:ascii="Times New Roman" w:hAnsi="Times New Roman" w:cs="Times New Roman" w:eastAsia="Times New Roman" w:hint="default"/>
                <w:spacing w:val="-6"/>
                <w:w w:val="101"/>
                <w:sz w:val="18"/>
                <w:szCs w:val="18"/>
              </w:rPr>
              <w:t>2019</w:t>
            </w:r>
            <w:r>
              <w:rPr>
                <w:rFonts w:ascii="Times New Roman" w:hAnsi="Times New Roman" w:cs="Times New Roman" w:eastAsia="Times New Roman" w:hint="default"/>
                <w:spacing w:val="-43"/>
                <w:w w:val="101"/>
                <w:sz w:val="18"/>
                <w:szCs w:val="18"/>
              </w:rPr>
              <w:t> </w:t>
            </w:r>
            <w:r>
              <w:rPr>
                <w:rFonts w:ascii="宋体" w:hAnsi="宋体" w:cs="宋体" w:eastAsia="宋体" w:hint="default"/>
                <w:sz w:val="18"/>
                <w:szCs w:val="18"/>
              </w:rPr>
              <w:t>版）的通知》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和企业会计</w:t>
            </w:r>
            <w:r>
              <w:rPr>
                <w:rFonts w:ascii="宋体" w:hAnsi="宋体" w:cs="宋体" w:eastAsia="宋体" w:hint="default"/>
                <w:w w:val="101"/>
                <w:sz w:val="18"/>
                <w:szCs w:val="18"/>
              </w:rPr>
              <w:t> </w:t>
            </w:r>
            <w:r>
              <w:rPr>
                <w:rFonts w:ascii="宋体" w:hAnsi="宋体" w:cs="宋体" w:eastAsia="宋体" w:hint="default"/>
                <w:sz w:val="18"/>
                <w:szCs w:val="18"/>
              </w:rPr>
              <w:t>准则的要求编制</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pacing w:val="-8"/>
                <w:sz w:val="18"/>
                <w:szCs w:val="18"/>
              </w:rPr>
              <w:t>年度财务报表，此项会计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政策变更采用追溯调整法。</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47" w:firstLine="91"/>
              <w:jc w:val="left"/>
              <w:rPr>
                <w:rFonts w:ascii="宋体" w:hAnsi="宋体" w:cs="宋体" w:eastAsia="宋体" w:hint="default"/>
                <w:sz w:val="18"/>
                <w:szCs w:val="18"/>
              </w:rPr>
            </w:pPr>
            <w:r>
              <w:rPr>
                <w:rFonts w:ascii="宋体" w:hAnsi="宋体" w:cs="宋体" w:eastAsia="宋体" w:hint="default"/>
                <w:spacing w:val="-3"/>
                <w:sz w:val="18"/>
                <w:szCs w:val="18"/>
              </w:rPr>
              <w:t>本次会计政策变更业经公司第三届</w:t>
            </w:r>
            <w:r>
              <w:rPr>
                <w:rFonts w:ascii="宋体" w:hAnsi="宋体" w:cs="宋体" w:eastAsia="宋体" w:hint="default"/>
                <w:w w:val="101"/>
                <w:sz w:val="18"/>
                <w:szCs w:val="18"/>
              </w:rPr>
              <w:t> </w:t>
            </w:r>
            <w:r>
              <w:rPr>
                <w:rFonts w:ascii="宋体" w:hAnsi="宋体" w:cs="宋体" w:eastAsia="宋体" w:hint="default"/>
                <w:spacing w:val="-3"/>
                <w:sz w:val="18"/>
                <w:szCs w:val="18"/>
              </w:rPr>
              <w:t>董事会第七次会议审议通过。</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3"/>
                <w:sz w:val="18"/>
                <w:szCs w:val="18"/>
              </w:rPr>
              <w:t>具体内容详见以下说明。</w:t>
            </w:r>
          </w:p>
        </w:tc>
      </w:tr>
      <w:tr>
        <w:trPr>
          <w:trHeight w:val="2900" w:hRule="exact"/>
        </w:trPr>
        <w:tc>
          <w:tcPr>
            <w:tcW w:w="368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日起执行财政部修订后</w:t>
            </w:r>
          </w:p>
          <w:p>
            <w:pPr>
              <w:pStyle w:val="TableParagraph"/>
              <w:spacing w:line="300" w:lineRule="auto" w:before="63"/>
              <w:ind w:left="24" w:right="-50"/>
              <w:jc w:val="both"/>
              <w:rPr>
                <w:rFonts w:ascii="宋体" w:hAnsi="宋体" w:cs="宋体" w:eastAsia="宋体" w:hint="default"/>
                <w:sz w:val="18"/>
                <w:szCs w:val="18"/>
              </w:rPr>
            </w:pPr>
            <w:r>
              <w:rPr>
                <w:rFonts w:ascii="宋体" w:hAnsi="宋体" w:cs="宋体" w:eastAsia="宋体" w:hint="default"/>
                <w:spacing w:val="-9"/>
                <w:sz w:val="18"/>
                <w:szCs w:val="18"/>
              </w:rPr>
              <w:t>的《企业会计准则第 </w:t>
            </w:r>
            <w:r>
              <w:rPr>
                <w:rFonts w:ascii="Times New Roman" w:hAnsi="Times New Roman" w:cs="Times New Roman" w:eastAsia="Times New Roman" w:hint="default"/>
                <w:sz w:val="18"/>
                <w:szCs w:val="18"/>
              </w:rPr>
              <w:t>22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金融工具确认和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0"/>
                <w:w w:val="101"/>
                <w:sz w:val="18"/>
                <w:szCs w:val="18"/>
              </w:rPr>
              <w:t>计量》《企业会计准则第</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8"/>
                <w:w w:val="101"/>
                <w:sz w:val="18"/>
                <w:szCs w:val="18"/>
              </w:rPr>
              <w:t> </w:t>
            </w:r>
            <w:r>
              <w:rPr>
                <w:rFonts w:ascii="宋体" w:hAnsi="宋体" w:cs="宋体" w:eastAsia="宋体" w:hint="default"/>
                <w:spacing w:val="-2"/>
                <w:w w:val="101"/>
                <w:sz w:val="18"/>
                <w:szCs w:val="18"/>
              </w:rPr>
              <w:t>号</w:t>
            </w:r>
            <w:r>
              <w:rPr>
                <w:rFonts w:ascii="Times New Roman" w:hAnsi="Times New Roman" w:cs="Times New Roman" w:eastAsia="Times New Roman" w:hint="default"/>
                <w:spacing w:val="-2"/>
                <w:w w:val="101"/>
                <w:sz w:val="18"/>
                <w:szCs w:val="18"/>
              </w:rPr>
              <w:t>——</w:t>
            </w:r>
            <w:r>
              <w:rPr>
                <w:rFonts w:ascii="宋体" w:hAnsi="宋体" w:cs="宋体" w:eastAsia="宋体" w:hint="default"/>
                <w:spacing w:val="-2"/>
                <w:w w:val="101"/>
                <w:sz w:val="18"/>
                <w:szCs w:val="18"/>
              </w:rPr>
              <w:t>金融资产转</w:t>
            </w:r>
            <w:r>
              <w:rPr>
                <w:rFonts w:ascii="宋体" w:hAnsi="宋体" w:cs="宋体" w:eastAsia="宋体" w:hint="default"/>
                <w:w w:val="101"/>
                <w:sz w:val="18"/>
                <w:szCs w:val="18"/>
              </w:rPr>
              <w:t> </w:t>
            </w:r>
            <w:r>
              <w:rPr>
                <w:rFonts w:ascii="宋体" w:hAnsi="宋体" w:cs="宋体" w:eastAsia="宋体" w:hint="default"/>
                <w:spacing w:val="-11"/>
                <w:w w:val="101"/>
                <w:sz w:val="18"/>
                <w:szCs w:val="18"/>
              </w:rPr>
              <w:t>移》《企业会计准则第</w:t>
            </w:r>
            <w:r>
              <w:rPr>
                <w:rFonts w:ascii="宋体" w:hAnsi="宋体" w:cs="宋体" w:eastAsia="宋体" w:hint="default"/>
                <w:spacing w:val="-52"/>
                <w:w w:val="101"/>
                <w:sz w:val="18"/>
                <w:szCs w:val="18"/>
              </w:rPr>
              <w:t> </w:t>
            </w:r>
            <w:r>
              <w:rPr>
                <w:rFonts w:ascii="Times New Roman" w:hAnsi="Times New Roman" w:cs="Times New Roman" w:eastAsia="Times New Roman" w:hint="default"/>
                <w:w w:val="101"/>
                <w:sz w:val="18"/>
                <w:szCs w:val="18"/>
              </w:rPr>
              <w:t>24</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3"/>
                <w:w w:val="101"/>
                <w:sz w:val="18"/>
                <w:szCs w:val="18"/>
              </w:rPr>
              <w:t>号</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3"/>
                <w:w w:val="101"/>
                <w:sz w:val="18"/>
                <w:szCs w:val="18"/>
              </w:rPr>
              <w:t>套期保值》以</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及《企业会计准则第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p>
          <w:p>
            <w:pPr>
              <w:pStyle w:val="TableParagraph"/>
              <w:spacing w:line="319" w:lineRule="auto" w:before="13"/>
              <w:ind w:left="24" w:right="12"/>
              <w:jc w:val="both"/>
              <w:rPr>
                <w:rFonts w:ascii="宋体" w:hAnsi="宋体" w:cs="宋体" w:eastAsia="宋体" w:hint="default"/>
                <w:sz w:val="18"/>
                <w:szCs w:val="18"/>
              </w:rPr>
            </w:pPr>
            <w:r>
              <w:rPr>
                <w:rFonts w:ascii="宋体" w:hAnsi="宋体" w:cs="宋体" w:eastAsia="宋体" w:hint="default"/>
                <w:spacing w:val="-10"/>
                <w:w w:val="101"/>
                <w:sz w:val="18"/>
                <w:szCs w:val="18"/>
              </w:rPr>
              <w:t>（以下简称新金融工具准则）。根据相关新旧准</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则衔接规定，对可比期间信息不予调整，首次</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执行日执行新准则与原准则的差异追溯调整本</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报告期期初留存收益或其他综合收益。</w:t>
            </w:r>
          </w:p>
        </w:tc>
        <w:tc>
          <w:tcPr>
            <w:tcW w:w="297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 w:right="147" w:firstLine="91"/>
              <w:jc w:val="left"/>
              <w:rPr>
                <w:rFonts w:ascii="宋体" w:hAnsi="宋体" w:cs="宋体" w:eastAsia="宋体" w:hint="default"/>
                <w:sz w:val="18"/>
                <w:szCs w:val="18"/>
              </w:rPr>
            </w:pPr>
            <w:r>
              <w:rPr>
                <w:rFonts w:ascii="宋体" w:hAnsi="宋体" w:cs="宋体" w:eastAsia="宋体" w:hint="default"/>
                <w:spacing w:val="-3"/>
                <w:sz w:val="18"/>
                <w:szCs w:val="18"/>
              </w:rPr>
              <w:t>本次会计政策变更业经公司第三届</w:t>
            </w:r>
            <w:r>
              <w:rPr>
                <w:rFonts w:ascii="宋体" w:hAnsi="宋体" w:cs="宋体" w:eastAsia="宋体" w:hint="default"/>
                <w:w w:val="101"/>
                <w:sz w:val="18"/>
                <w:szCs w:val="18"/>
              </w:rPr>
              <w:t> </w:t>
            </w:r>
            <w:r>
              <w:rPr>
                <w:rFonts w:ascii="宋体" w:hAnsi="宋体" w:cs="宋体" w:eastAsia="宋体" w:hint="default"/>
                <w:spacing w:val="-3"/>
                <w:sz w:val="18"/>
                <w:szCs w:val="18"/>
              </w:rPr>
              <w:t>董事会第二次会议审议通过。</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pacing w:val="-3"/>
                <w:sz w:val="18"/>
                <w:szCs w:val="18"/>
              </w:rPr>
              <w:t>具体内容详见以下说明。</w:t>
            </w:r>
          </w:p>
        </w:tc>
      </w:tr>
      <w:tr>
        <w:trPr>
          <w:trHeight w:val="165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司自</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w w:val="101"/>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w w:val="101"/>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起</w:t>
            </w:r>
            <w:r>
              <w:rPr>
                <w:rFonts w:ascii="宋体" w:hAnsi="宋体" w:cs="宋体" w:eastAsia="宋体" w:hint="default"/>
                <w:w w:val="101"/>
                <w:sz w:val="18"/>
                <w:szCs w:val="18"/>
              </w:rPr>
              <w:t>执</w:t>
            </w:r>
            <w:r>
              <w:rPr>
                <w:rFonts w:ascii="宋体" w:hAnsi="宋体" w:cs="宋体" w:eastAsia="宋体" w:hint="default"/>
                <w:spacing w:val="-5"/>
                <w:w w:val="101"/>
                <w:sz w:val="18"/>
                <w:szCs w:val="18"/>
              </w:rPr>
              <w:t>行</w:t>
            </w:r>
            <w:r>
              <w:rPr>
                <w:rFonts w:ascii="宋体" w:hAnsi="宋体" w:cs="宋体" w:eastAsia="宋体" w:hint="default"/>
                <w:w w:val="101"/>
                <w:sz w:val="18"/>
                <w:szCs w:val="18"/>
              </w:rPr>
              <w:t>经</w:t>
            </w:r>
            <w:r>
              <w:rPr>
                <w:rFonts w:ascii="宋体" w:hAnsi="宋体" w:cs="宋体" w:eastAsia="宋体" w:hint="default"/>
                <w:spacing w:val="-5"/>
                <w:w w:val="101"/>
                <w:sz w:val="18"/>
                <w:szCs w:val="18"/>
              </w:rPr>
              <w:t>修</w:t>
            </w:r>
            <w:r>
              <w:rPr>
                <w:rFonts w:ascii="宋体" w:hAnsi="宋体" w:cs="宋体" w:eastAsia="宋体" w:hint="default"/>
                <w:w w:val="101"/>
                <w:sz w:val="18"/>
                <w:szCs w:val="18"/>
              </w:rPr>
              <w:t>订</w:t>
            </w:r>
            <w:r>
              <w:rPr>
                <w:rFonts w:ascii="宋体" w:hAnsi="宋体" w:cs="宋体" w:eastAsia="宋体" w:hint="default"/>
                <w:spacing w:val="-92"/>
                <w:w w:val="101"/>
                <w:sz w:val="18"/>
                <w:szCs w:val="18"/>
              </w:rPr>
              <w:t>的</w:t>
            </w:r>
            <w:r>
              <w:rPr>
                <w:rFonts w:ascii="宋体" w:hAnsi="宋体" w:cs="宋体" w:eastAsia="宋体" w:hint="default"/>
                <w:spacing w:val="-5"/>
                <w:w w:val="101"/>
                <w:sz w:val="18"/>
                <w:szCs w:val="18"/>
              </w:rPr>
              <w:t>《</w:t>
            </w:r>
            <w:r>
              <w:rPr>
                <w:rFonts w:ascii="宋体" w:hAnsi="宋体" w:cs="宋体" w:eastAsia="宋体" w:hint="default"/>
                <w:w w:val="101"/>
                <w:sz w:val="18"/>
                <w:szCs w:val="18"/>
              </w:rPr>
              <w:t>企</w:t>
            </w:r>
            <w:r>
              <w:rPr>
                <w:rFonts w:ascii="宋体" w:hAnsi="宋体" w:cs="宋体" w:eastAsia="宋体" w:hint="default"/>
                <w:sz w:val="18"/>
                <w:szCs w:val="18"/>
              </w:rPr>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w w:val="101"/>
                <w:sz w:val="18"/>
                <w:szCs w:val="18"/>
              </w:rPr>
              <w:t>业</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准</w:t>
            </w:r>
            <w:r>
              <w:rPr>
                <w:rFonts w:ascii="宋体" w:hAnsi="宋体" w:cs="宋体" w:eastAsia="宋体" w:hint="default"/>
                <w:w w:val="101"/>
                <w:sz w:val="18"/>
                <w:szCs w:val="18"/>
              </w:rPr>
              <w:t>则第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货</w:t>
            </w:r>
            <w:r>
              <w:rPr>
                <w:rFonts w:ascii="宋体" w:hAnsi="宋体" w:cs="宋体" w:eastAsia="宋体" w:hint="default"/>
                <w:w w:val="101"/>
                <w:sz w:val="18"/>
                <w:szCs w:val="18"/>
              </w:rPr>
              <w:t>币</w:t>
            </w:r>
            <w:r>
              <w:rPr>
                <w:rFonts w:ascii="宋体" w:hAnsi="宋体" w:cs="宋体" w:eastAsia="宋体" w:hint="default"/>
                <w:spacing w:val="-5"/>
                <w:w w:val="101"/>
                <w:sz w:val="18"/>
                <w:szCs w:val="18"/>
              </w:rPr>
              <w:t>性</w:t>
            </w: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交换</w:t>
            </w:r>
            <w:r>
              <w:rPr>
                <w:rFonts w:ascii="宋体" w:hAnsi="宋体" w:cs="宋体" w:eastAsia="宋体" w:hint="default"/>
                <w:spacing w:val="-96"/>
                <w:w w:val="101"/>
                <w:sz w:val="18"/>
                <w:szCs w:val="18"/>
              </w:rPr>
              <w:t>》</w:t>
            </w:r>
            <w:r>
              <w:rPr>
                <w:rFonts w:ascii="宋体" w:hAnsi="宋体" w:cs="宋体" w:eastAsia="宋体" w:hint="default"/>
                <w:spacing w:val="-63"/>
                <w:w w:val="101"/>
                <w:sz w:val="18"/>
                <w:szCs w:val="18"/>
              </w:rPr>
              <w:t>，</w:t>
            </w:r>
            <w:r>
              <w:rPr>
                <w:rFonts w:ascii="宋体" w:hAnsi="宋体" w:cs="宋体" w:eastAsia="宋体" w:hint="default"/>
                <w:w w:val="101"/>
                <w:sz w:val="18"/>
                <w:szCs w:val="18"/>
              </w:rPr>
              <w:t>自</w:t>
            </w:r>
            <w:r>
              <w:rPr>
                <w:rFonts w:ascii="宋体" w:hAnsi="宋体" w:cs="宋体" w:eastAsia="宋体" w:hint="default"/>
                <w:sz w:val="18"/>
                <w:szCs w:val="18"/>
              </w:rPr>
            </w:r>
          </w:p>
          <w:p>
            <w:pPr>
              <w:pStyle w:val="TableParagraph"/>
              <w:spacing w:line="302" w:lineRule="auto" w:before="63"/>
              <w:ind w:left="24"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日起执行经修订的《企业会计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w w:val="101"/>
                <w:sz w:val="18"/>
                <w:szCs w:val="18"/>
              </w:rPr>
              <w:t>准则第</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7"/>
                <w:w w:val="101"/>
                <w:sz w:val="18"/>
                <w:szCs w:val="18"/>
              </w:rPr>
              <w:t> </w:t>
            </w:r>
            <w:r>
              <w:rPr>
                <w:rFonts w:ascii="宋体" w:hAnsi="宋体" w:cs="宋体" w:eastAsia="宋体" w:hint="default"/>
                <w:spacing w:val="-8"/>
                <w:w w:val="101"/>
                <w:sz w:val="18"/>
                <w:szCs w:val="18"/>
              </w:rPr>
              <w:t>号</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债务重组》。该项会计政策变</w:t>
            </w:r>
            <w:r>
              <w:rPr>
                <w:rFonts w:ascii="宋体" w:hAnsi="宋体" w:cs="宋体" w:eastAsia="宋体" w:hint="default"/>
                <w:w w:val="101"/>
                <w:sz w:val="18"/>
                <w:szCs w:val="18"/>
              </w:rPr>
              <w:t> </w:t>
            </w:r>
            <w:r>
              <w:rPr>
                <w:rFonts w:ascii="宋体" w:hAnsi="宋体" w:cs="宋体" w:eastAsia="宋体" w:hint="default"/>
                <w:spacing w:val="-3"/>
                <w:sz w:val="18"/>
                <w:szCs w:val="18"/>
              </w:rPr>
              <w:t>更采用未来适用法处理。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4" w:right="55"/>
              <w:jc w:val="left"/>
              <w:rPr>
                <w:rFonts w:ascii="宋体" w:hAnsi="宋体" w:cs="宋体" w:eastAsia="宋体" w:hint="default"/>
                <w:sz w:val="18"/>
                <w:szCs w:val="18"/>
              </w:rPr>
            </w:pPr>
            <w:r>
              <w:rPr>
                <w:rFonts w:ascii="宋体" w:hAnsi="宋体" w:cs="宋体" w:eastAsia="宋体" w:hint="default"/>
                <w:spacing w:val="-3"/>
                <w:sz w:val="18"/>
                <w:szCs w:val="18"/>
              </w:rPr>
              <w:t>本次会计政策变更业经公司第三届董</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事会第十五次会议审议通过。</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该修订于本公司无显著影响。</w:t>
            </w:r>
          </w:p>
        </w:tc>
      </w:tr>
    </w:tbl>
    <w:p>
      <w:pPr>
        <w:spacing w:before="66"/>
        <w:ind w:left="615" w:right="9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本公司根据财政部《关于修订印发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年度一般企业财务报表格式的通知》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Times New Roman" w:hAnsi="Times New Roman" w:cs="Times New Roman" w:eastAsia="Times New Roman" w:hint="default"/>
          <w:sz w:val="21"/>
          <w:szCs w:val="21"/>
        </w:rPr>
        <w:t>2019</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386" w:lineRule="auto" w:before="175"/>
        <w:ind w:left="193" w:right="1127" w:firstLine="0"/>
        <w:jc w:val="both"/>
        <w:rPr>
          <w:rFonts w:ascii="宋体" w:hAnsi="宋体" w:cs="宋体" w:eastAsia="宋体" w:hint="default"/>
          <w:sz w:val="21"/>
          <w:szCs w:val="21"/>
        </w:rPr>
      </w:pPr>
      <w:r>
        <w:rPr>
          <w:rFonts w:ascii="宋体" w:hAnsi="宋体" w:cs="宋体" w:eastAsia="宋体" w:hint="default"/>
          <w:sz w:val="21"/>
          <w:szCs w:val="21"/>
        </w:rPr>
        <w:t>《关于修订印发合并财务报表格式（</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版）的通知》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Times New Roman" w:hAnsi="Times New Roman" w:cs="Times New Roman" w:eastAsia="Times New Roman" w:hint="default"/>
          <w:sz w:val="21"/>
          <w:szCs w:val="21"/>
        </w:rPr>
        <w:t>2019</w:t>
      </w:r>
      <w:r>
        <w:rPr>
          <w:rFonts w:ascii="宋体" w:hAnsi="宋体" w:cs="宋体" w:eastAsia="宋体" w:hint="default"/>
          <w:sz w:val="21"/>
          <w:szCs w:val="21"/>
        </w:rPr>
        <w:t>〕</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和企业会计准则的要求编制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2019 </w:t>
      </w:r>
      <w:r>
        <w:rPr>
          <w:rFonts w:ascii="宋体" w:hAnsi="宋体" w:cs="宋体" w:eastAsia="宋体" w:hint="default"/>
          <w:sz w:val="21"/>
          <w:szCs w:val="21"/>
        </w:rPr>
        <w:t>年度财务报表，此项会计政策变更采用追溯调整法。</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年度财务报表受重要影响的报表项目和金</w:t>
      </w:r>
      <w:r>
        <w:rPr>
          <w:rFonts w:ascii="宋体" w:hAnsi="宋体" w:cs="宋体" w:eastAsia="宋体" w:hint="default"/>
          <w:w w:val="100"/>
          <w:sz w:val="21"/>
          <w:szCs w:val="21"/>
        </w:rPr>
        <w:t> </w:t>
      </w:r>
      <w:r>
        <w:rPr>
          <w:rFonts w:ascii="宋体" w:hAnsi="宋体" w:cs="宋体" w:eastAsia="宋体" w:hint="default"/>
          <w:sz w:val="21"/>
          <w:szCs w:val="21"/>
        </w:rPr>
        <w:t>额如下：</w:t>
      </w:r>
    </w:p>
    <w:tbl>
      <w:tblPr>
        <w:tblW w:w="0" w:type="auto"/>
        <w:jc w:val="left"/>
        <w:tblInd w:w="135" w:type="dxa"/>
        <w:tblLayout w:type="fixed"/>
        <w:tblCellMar>
          <w:top w:w="0" w:type="dxa"/>
          <w:left w:w="0" w:type="dxa"/>
          <w:bottom w:w="0" w:type="dxa"/>
          <w:right w:w="0" w:type="dxa"/>
        </w:tblCellMar>
        <w:tblLook w:val="01E0"/>
      </w:tblPr>
      <w:tblGrid>
        <w:gridCol w:w="2612"/>
        <w:gridCol w:w="2406"/>
        <w:gridCol w:w="2497"/>
        <w:gridCol w:w="2233"/>
      </w:tblGrid>
      <w:tr>
        <w:trPr>
          <w:trHeight w:val="480" w:hRule="exact"/>
        </w:trPr>
        <w:tc>
          <w:tcPr>
            <w:tcW w:w="501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454"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473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310"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476" w:hRule="exact"/>
        </w:trPr>
        <w:tc>
          <w:tcPr>
            <w:tcW w:w="261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40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984" w:right="0"/>
              <w:jc w:val="left"/>
              <w:rPr>
                <w:rFonts w:ascii="Times New Roman" w:hAnsi="Times New Roman" w:cs="Times New Roman" w:eastAsia="Times New Roman" w:hint="default"/>
                <w:sz w:val="21"/>
                <w:szCs w:val="21"/>
              </w:rPr>
            </w:pPr>
            <w:r>
              <w:rPr>
                <w:rFonts w:ascii="Times New Roman"/>
                <w:sz w:val="21"/>
              </w:rPr>
              <w:t>316,704,751.52</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1,942,145.00</w:t>
            </w:r>
          </w:p>
        </w:tc>
      </w:tr>
      <w:tr>
        <w:trPr>
          <w:trHeight w:val="480" w:hRule="exact"/>
        </w:trPr>
        <w:tc>
          <w:tcPr>
            <w:tcW w:w="2612" w:type="dxa"/>
            <w:vMerge/>
            <w:tcBorders>
              <w:left w:val="single" w:sz="4" w:space="0" w:color="000000"/>
              <w:bottom w:val="single" w:sz="4" w:space="0" w:color="000000"/>
              <w:right w:val="single" w:sz="4" w:space="0" w:color="000000"/>
            </w:tcBorders>
          </w:tcPr>
          <w:p>
            <w:pPr/>
          </w:p>
        </w:tc>
        <w:tc>
          <w:tcPr>
            <w:tcW w:w="2406" w:type="dxa"/>
            <w:vMerge/>
            <w:tcBorders>
              <w:left w:val="single" w:sz="4" w:space="0" w:color="000000"/>
              <w:bottom w:val="single" w:sz="4" w:space="0" w:color="000000"/>
              <w:right w:val="single" w:sz="4" w:space="0" w:color="000000"/>
            </w:tcBorders>
          </w:tcPr>
          <w:p>
            <w:pP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5"/>
              <w:jc w:val="right"/>
              <w:rPr>
                <w:rFonts w:ascii="Times New Roman" w:hAnsi="Times New Roman" w:cs="Times New Roman" w:eastAsia="Times New Roman" w:hint="default"/>
                <w:sz w:val="21"/>
                <w:szCs w:val="21"/>
              </w:rPr>
            </w:pPr>
            <w:r>
              <w:rPr>
                <w:rFonts w:ascii="Times New Roman"/>
                <w:spacing w:val="-1"/>
                <w:sz w:val="21"/>
              </w:rPr>
              <w:t>314,762,606.52</w:t>
            </w:r>
          </w:p>
        </w:tc>
      </w:tr>
      <w:tr>
        <w:trPr>
          <w:trHeight w:val="475" w:hRule="exact"/>
        </w:trPr>
        <w:tc>
          <w:tcPr>
            <w:tcW w:w="261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40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984" w:right="0"/>
              <w:jc w:val="left"/>
              <w:rPr>
                <w:rFonts w:ascii="Times New Roman" w:hAnsi="Times New Roman" w:cs="Times New Roman" w:eastAsia="Times New Roman" w:hint="default"/>
                <w:sz w:val="21"/>
                <w:szCs w:val="21"/>
              </w:rPr>
            </w:pPr>
            <w:r>
              <w:rPr>
                <w:rFonts w:ascii="Times New Roman"/>
                <w:sz w:val="21"/>
              </w:rPr>
              <w:t>121,854,768.54</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13,306,710.05</w:t>
            </w:r>
          </w:p>
        </w:tc>
      </w:tr>
      <w:tr>
        <w:trPr>
          <w:trHeight w:val="480" w:hRule="exact"/>
        </w:trPr>
        <w:tc>
          <w:tcPr>
            <w:tcW w:w="2612" w:type="dxa"/>
            <w:vMerge/>
            <w:tcBorders>
              <w:left w:val="single" w:sz="4" w:space="0" w:color="000000"/>
              <w:bottom w:val="single" w:sz="4" w:space="0" w:color="000000"/>
              <w:right w:val="single" w:sz="4" w:space="0" w:color="000000"/>
            </w:tcBorders>
          </w:tcPr>
          <w:p>
            <w:pPr/>
          </w:p>
        </w:tc>
        <w:tc>
          <w:tcPr>
            <w:tcW w:w="2406" w:type="dxa"/>
            <w:vMerge/>
            <w:tcBorders>
              <w:left w:val="single" w:sz="4" w:space="0" w:color="000000"/>
              <w:bottom w:val="single" w:sz="4" w:space="0" w:color="000000"/>
              <w:right w:val="single" w:sz="4" w:space="0" w:color="000000"/>
            </w:tcBorders>
          </w:tcPr>
          <w:p>
            <w:pP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5"/>
              <w:jc w:val="right"/>
              <w:rPr>
                <w:rFonts w:ascii="Times New Roman" w:hAnsi="Times New Roman" w:cs="Times New Roman" w:eastAsia="Times New Roman" w:hint="default"/>
                <w:sz w:val="21"/>
                <w:szCs w:val="21"/>
              </w:rPr>
            </w:pPr>
            <w:r>
              <w:rPr>
                <w:rFonts w:ascii="Times New Roman"/>
                <w:spacing w:val="-1"/>
                <w:sz w:val="21"/>
              </w:rPr>
              <w:t>108,548,058.49</w:t>
            </w:r>
          </w:p>
        </w:tc>
      </w:tr>
    </w:tbl>
    <w:p>
      <w:pPr>
        <w:spacing w:before="67"/>
        <w:ind w:left="615" w:right="969"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本公司自</w:t>
      </w:r>
      <w:r>
        <w:rPr>
          <w:rFonts w:ascii="宋体" w:hAnsi="宋体" w:cs="宋体" w:eastAsia="宋体" w:hint="default"/>
          <w:spacing w:val="-62"/>
          <w:sz w:val="21"/>
          <w:szCs w:val="21"/>
        </w:rPr>
        <w:t> </w:t>
      </w:r>
      <w:r>
        <w:rPr>
          <w:rFonts w:ascii="Times New Roman" w:hAnsi="Times New Roman" w:cs="Times New Roman" w:eastAsia="Times New Roman" w:hint="default"/>
          <w:spacing w:val="-5"/>
          <w:w w:val="100"/>
          <w:sz w:val="21"/>
          <w:szCs w:val="21"/>
        </w:rPr>
        <w:t>2</w:t>
      </w:r>
      <w:r>
        <w:rPr>
          <w:rFonts w:ascii="Times New Roman" w:hAnsi="Times New Roman" w:cs="Times New Roman" w:eastAsia="Times New Roman" w:hint="default"/>
          <w:w w:val="100"/>
          <w:sz w:val="21"/>
          <w:szCs w:val="21"/>
        </w:rPr>
        <w:t>019</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5"/>
          <w:sz w:val="21"/>
          <w:szCs w:val="21"/>
        </w:rPr>
        <w:t> </w:t>
      </w:r>
      <w:r>
        <w:rPr>
          <w:rFonts w:ascii="宋体" w:hAnsi="宋体" w:cs="宋体" w:eastAsia="宋体" w:hint="default"/>
          <w:w w:val="100"/>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日起</w:t>
      </w:r>
      <w:r>
        <w:rPr>
          <w:rFonts w:ascii="宋体" w:hAnsi="宋体" w:cs="宋体" w:eastAsia="宋体" w:hint="default"/>
          <w:spacing w:val="-5"/>
          <w:w w:val="100"/>
          <w:sz w:val="21"/>
          <w:szCs w:val="21"/>
        </w:rPr>
        <w:t>执</w:t>
      </w:r>
      <w:r>
        <w:rPr>
          <w:rFonts w:ascii="宋体" w:hAnsi="宋体" w:cs="宋体" w:eastAsia="宋体" w:hint="default"/>
          <w:w w:val="100"/>
          <w:sz w:val="21"/>
          <w:szCs w:val="21"/>
        </w:rPr>
        <w:t>行财政</w:t>
      </w:r>
      <w:r>
        <w:rPr>
          <w:rFonts w:ascii="宋体" w:hAnsi="宋体" w:cs="宋体" w:eastAsia="宋体" w:hint="default"/>
          <w:spacing w:val="-5"/>
          <w:w w:val="100"/>
          <w:sz w:val="21"/>
          <w:szCs w:val="21"/>
        </w:rPr>
        <w:t>部</w:t>
      </w:r>
      <w:r>
        <w:rPr>
          <w:rFonts w:ascii="宋体" w:hAnsi="宋体" w:cs="宋体" w:eastAsia="宋体" w:hint="default"/>
          <w:w w:val="100"/>
          <w:sz w:val="21"/>
          <w:szCs w:val="21"/>
        </w:rPr>
        <w:t>修订后</w:t>
      </w:r>
      <w:r>
        <w:rPr>
          <w:rFonts w:ascii="宋体" w:hAnsi="宋体" w:cs="宋体" w:eastAsia="宋体" w:hint="default"/>
          <w:spacing w:val="-111"/>
          <w:w w:val="100"/>
          <w:sz w:val="21"/>
          <w:szCs w:val="21"/>
        </w:rPr>
        <w:t>的</w:t>
      </w:r>
      <w:r>
        <w:rPr>
          <w:rFonts w:ascii="宋体" w:hAnsi="宋体" w:cs="宋体" w:eastAsia="宋体" w:hint="default"/>
          <w:spacing w:val="-5"/>
          <w:w w:val="100"/>
          <w:sz w:val="21"/>
          <w:szCs w:val="21"/>
        </w:rPr>
        <w:t>《</w:t>
      </w:r>
      <w:r>
        <w:rPr>
          <w:rFonts w:ascii="宋体" w:hAnsi="宋体" w:cs="宋体" w:eastAsia="宋体" w:hint="default"/>
          <w:w w:val="100"/>
          <w:sz w:val="21"/>
          <w:szCs w:val="21"/>
        </w:rPr>
        <w:t>企业会计</w:t>
      </w:r>
      <w:r>
        <w:rPr>
          <w:rFonts w:ascii="宋体" w:hAnsi="宋体" w:cs="宋体" w:eastAsia="宋体" w:hint="default"/>
          <w:spacing w:val="-5"/>
          <w:w w:val="100"/>
          <w:sz w:val="21"/>
          <w:szCs w:val="21"/>
        </w:rPr>
        <w:t>准</w:t>
      </w:r>
      <w:r>
        <w:rPr>
          <w:rFonts w:ascii="宋体" w:hAnsi="宋体" w:cs="宋体" w:eastAsia="宋体" w:hint="default"/>
          <w:w w:val="100"/>
          <w:sz w:val="21"/>
          <w:szCs w:val="21"/>
        </w:rPr>
        <w:t>则第</w:t>
      </w:r>
      <w:r>
        <w:rPr>
          <w:rFonts w:ascii="宋体" w:hAnsi="宋体" w:cs="宋体" w:eastAsia="宋体" w:hint="default"/>
          <w:spacing w:val="-61"/>
          <w:sz w:val="21"/>
          <w:szCs w:val="21"/>
        </w:rPr>
        <w:t> </w:t>
      </w:r>
      <w:r>
        <w:rPr>
          <w:rFonts w:ascii="Times New Roman" w:hAnsi="Times New Roman" w:cs="Times New Roman" w:eastAsia="Times New Roman" w:hint="default"/>
          <w:w w:val="100"/>
          <w:sz w:val="21"/>
          <w:szCs w:val="21"/>
        </w:rPr>
        <w:t>22</w:t>
      </w:r>
      <w:r>
        <w:rPr>
          <w:rFonts w:ascii="Times New Roman" w:hAnsi="Times New Roman" w:cs="Times New Roman" w:eastAsia="Times New Roman" w:hint="default"/>
          <w:spacing w:val="-10"/>
          <w:sz w:val="21"/>
          <w:szCs w:val="21"/>
        </w:rPr>
        <w:t> </w:t>
      </w:r>
      <w:r>
        <w:rPr>
          <w:rFonts w:ascii="宋体" w:hAnsi="宋体" w:cs="宋体" w:eastAsia="宋体" w:hint="default"/>
          <w:spacing w:val="-5"/>
          <w:w w:val="100"/>
          <w:sz w:val="21"/>
          <w:szCs w:val="21"/>
        </w:rPr>
        <w:t>号</w:t>
      </w:r>
      <w:r>
        <w:rPr>
          <w:rFonts w:ascii="Times New Roman" w:hAnsi="Times New Roman" w:cs="Times New Roman" w:eastAsia="Times New Roman" w:hint="default"/>
          <w:w w:val="100"/>
          <w:sz w:val="21"/>
          <w:szCs w:val="21"/>
        </w:rPr>
        <w:t>——</w:t>
      </w:r>
      <w:r>
        <w:rPr>
          <w:rFonts w:ascii="宋体" w:hAnsi="宋体" w:cs="宋体" w:eastAsia="宋体" w:hint="default"/>
          <w:w w:val="100"/>
          <w:sz w:val="21"/>
          <w:szCs w:val="21"/>
        </w:rPr>
        <w:t>金</w:t>
      </w:r>
      <w:r>
        <w:rPr>
          <w:rFonts w:ascii="宋体" w:hAnsi="宋体" w:cs="宋体" w:eastAsia="宋体" w:hint="default"/>
          <w:spacing w:val="-5"/>
          <w:w w:val="100"/>
          <w:sz w:val="21"/>
          <w:szCs w:val="21"/>
        </w:rPr>
        <w:t>融</w:t>
      </w:r>
      <w:r>
        <w:rPr>
          <w:rFonts w:ascii="宋体" w:hAnsi="宋体" w:cs="宋体" w:eastAsia="宋体" w:hint="default"/>
          <w:w w:val="100"/>
          <w:sz w:val="21"/>
          <w:szCs w:val="21"/>
        </w:rPr>
        <w:t>工具确</w:t>
      </w:r>
      <w:r>
        <w:rPr>
          <w:rFonts w:ascii="宋体" w:hAnsi="宋体" w:cs="宋体" w:eastAsia="宋体" w:hint="default"/>
          <w:spacing w:val="-5"/>
          <w:w w:val="100"/>
          <w:sz w:val="21"/>
          <w:szCs w:val="21"/>
        </w:rPr>
        <w:t>认</w:t>
      </w:r>
      <w:r>
        <w:rPr>
          <w:rFonts w:ascii="宋体" w:hAnsi="宋体" w:cs="宋体" w:eastAsia="宋体" w:hint="default"/>
          <w:w w:val="100"/>
          <w:sz w:val="21"/>
          <w:szCs w:val="21"/>
        </w:rPr>
        <w:t>和计量》</w:t>
      </w:r>
    </w:p>
    <w:p>
      <w:pPr>
        <w:spacing w:before="175"/>
        <w:ind w:left="193" w:right="969" w:firstLine="0"/>
        <w:jc w:val="left"/>
        <w:rPr>
          <w:rFonts w:ascii="宋体" w:hAnsi="宋体" w:cs="宋体" w:eastAsia="宋体" w:hint="default"/>
          <w:sz w:val="21"/>
          <w:szCs w:val="21"/>
        </w:rPr>
      </w:pPr>
      <w:r>
        <w:rPr>
          <w:rFonts w:ascii="宋体" w:hAnsi="宋体" w:cs="宋体" w:eastAsia="宋体" w:hint="default"/>
          <w:w w:val="100"/>
          <w:sz w:val="21"/>
          <w:szCs w:val="21"/>
        </w:rPr>
        <w:t>《企业会</w:t>
      </w:r>
      <w:r>
        <w:rPr>
          <w:rFonts w:ascii="宋体" w:hAnsi="宋体" w:cs="宋体" w:eastAsia="宋体" w:hint="default"/>
          <w:spacing w:val="-5"/>
          <w:w w:val="100"/>
          <w:sz w:val="21"/>
          <w:szCs w:val="21"/>
        </w:rPr>
        <w:t>计</w:t>
      </w:r>
      <w:r>
        <w:rPr>
          <w:rFonts w:ascii="宋体" w:hAnsi="宋体" w:cs="宋体" w:eastAsia="宋体" w:hint="default"/>
          <w:w w:val="100"/>
          <w:sz w:val="21"/>
          <w:szCs w:val="21"/>
        </w:rPr>
        <w:t>准则第</w:t>
      </w:r>
      <w:r>
        <w:rPr>
          <w:rFonts w:ascii="宋体" w:hAnsi="宋体" w:cs="宋体" w:eastAsia="宋体" w:hint="default"/>
          <w:spacing w:val="-33"/>
          <w:sz w:val="21"/>
          <w:szCs w:val="21"/>
        </w:rPr>
        <w:t> </w:t>
      </w:r>
      <w:r>
        <w:rPr>
          <w:rFonts w:ascii="Times New Roman" w:hAnsi="Times New Roman" w:cs="Times New Roman" w:eastAsia="Times New Roman" w:hint="default"/>
          <w:w w:val="100"/>
          <w:sz w:val="21"/>
          <w:szCs w:val="21"/>
        </w:rPr>
        <w:t>23</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号</w:t>
      </w:r>
      <w:r>
        <w:rPr>
          <w:rFonts w:ascii="Times New Roman" w:hAnsi="Times New Roman" w:cs="Times New Roman" w:eastAsia="Times New Roman" w:hint="default"/>
          <w:spacing w:val="-5"/>
          <w:w w:val="100"/>
          <w:sz w:val="21"/>
          <w:szCs w:val="21"/>
        </w:rPr>
        <w:t>—</w:t>
      </w:r>
      <w:r>
        <w:rPr>
          <w:rFonts w:ascii="Times New Roman" w:hAnsi="Times New Roman" w:cs="Times New Roman" w:eastAsia="Times New Roman" w:hint="default"/>
          <w:w w:val="100"/>
          <w:sz w:val="21"/>
          <w:szCs w:val="21"/>
        </w:rPr>
        <w:t>—</w:t>
      </w:r>
      <w:r>
        <w:rPr>
          <w:rFonts w:ascii="宋体" w:hAnsi="宋体" w:cs="宋体" w:eastAsia="宋体" w:hint="default"/>
          <w:w w:val="100"/>
          <w:sz w:val="21"/>
          <w:szCs w:val="21"/>
        </w:rPr>
        <w:t>金融</w:t>
      </w:r>
      <w:r>
        <w:rPr>
          <w:rFonts w:ascii="宋体" w:hAnsi="宋体" w:cs="宋体" w:eastAsia="宋体" w:hint="default"/>
          <w:spacing w:val="-5"/>
          <w:w w:val="100"/>
          <w:sz w:val="21"/>
          <w:szCs w:val="21"/>
        </w:rPr>
        <w:t>资</w:t>
      </w:r>
      <w:r>
        <w:rPr>
          <w:rFonts w:ascii="宋体" w:hAnsi="宋体" w:cs="宋体" w:eastAsia="宋体" w:hint="default"/>
          <w:w w:val="100"/>
          <w:sz w:val="21"/>
          <w:szCs w:val="21"/>
        </w:rPr>
        <w:t>产转移</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企业</w:t>
      </w:r>
      <w:r>
        <w:rPr>
          <w:rFonts w:ascii="宋体" w:hAnsi="宋体" w:cs="宋体" w:eastAsia="宋体" w:hint="default"/>
          <w:spacing w:val="-5"/>
          <w:w w:val="100"/>
          <w:sz w:val="21"/>
          <w:szCs w:val="21"/>
        </w:rPr>
        <w:t>会</w:t>
      </w:r>
      <w:r>
        <w:rPr>
          <w:rFonts w:ascii="宋体" w:hAnsi="宋体" w:cs="宋体" w:eastAsia="宋体" w:hint="default"/>
          <w:w w:val="100"/>
          <w:sz w:val="21"/>
          <w:szCs w:val="21"/>
        </w:rPr>
        <w:t>计准则第</w:t>
      </w:r>
      <w:r>
        <w:rPr>
          <w:rFonts w:ascii="宋体" w:hAnsi="宋体" w:cs="宋体" w:eastAsia="宋体" w:hint="default"/>
          <w:spacing w:val="-32"/>
          <w:sz w:val="21"/>
          <w:szCs w:val="21"/>
        </w:rPr>
        <w:t> </w:t>
      </w:r>
      <w:r>
        <w:rPr>
          <w:rFonts w:ascii="Times New Roman" w:hAnsi="Times New Roman" w:cs="Times New Roman" w:eastAsia="Times New Roman" w:hint="default"/>
          <w:w w:val="100"/>
          <w:sz w:val="21"/>
          <w:szCs w:val="21"/>
        </w:rPr>
        <w:t>24</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号</w:t>
      </w:r>
      <w:r>
        <w:rPr>
          <w:rFonts w:ascii="Times New Roman" w:hAnsi="Times New Roman" w:cs="Times New Roman" w:eastAsia="Times New Roman" w:hint="default"/>
          <w:spacing w:val="-5"/>
          <w:w w:val="100"/>
          <w:sz w:val="21"/>
          <w:szCs w:val="21"/>
        </w:rPr>
        <w:t>—</w:t>
      </w:r>
      <w:r>
        <w:rPr>
          <w:rFonts w:ascii="Times New Roman" w:hAnsi="Times New Roman" w:cs="Times New Roman" w:eastAsia="Times New Roman" w:hint="default"/>
          <w:w w:val="100"/>
          <w:sz w:val="21"/>
          <w:szCs w:val="21"/>
        </w:rPr>
        <w:t>—</w:t>
      </w:r>
      <w:r>
        <w:rPr>
          <w:rFonts w:ascii="宋体" w:hAnsi="宋体" w:cs="宋体" w:eastAsia="宋体" w:hint="default"/>
          <w:w w:val="100"/>
          <w:sz w:val="21"/>
          <w:szCs w:val="21"/>
        </w:rPr>
        <w:t>套期</w:t>
      </w:r>
      <w:r>
        <w:rPr>
          <w:rFonts w:ascii="宋体" w:hAnsi="宋体" w:cs="宋体" w:eastAsia="宋体" w:hint="default"/>
          <w:spacing w:val="-5"/>
          <w:w w:val="100"/>
          <w:sz w:val="21"/>
          <w:szCs w:val="21"/>
        </w:rPr>
        <w:t>保</w:t>
      </w:r>
      <w:r>
        <w:rPr>
          <w:rFonts w:ascii="宋体" w:hAnsi="宋体" w:cs="宋体" w:eastAsia="宋体" w:hint="default"/>
          <w:w w:val="100"/>
          <w:sz w:val="21"/>
          <w:szCs w:val="21"/>
        </w:rPr>
        <w:t>值》以</w:t>
      </w:r>
      <w:r>
        <w:rPr>
          <w:rFonts w:ascii="宋体" w:hAnsi="宋体" w:cs="宋体" w:eastAsia="宋体" w:hint="default"/>
          <w:spacing w:val="-5"/>
          <w:w w:val="100"/>
          <w:sz w:val="21"/>
          <w:szCs w:val="21"/>
        </w:rPr>
        <w:t>及</w:t>
      </w:r>
      <w:r>
        <w:rPr>
          <w:rFonts w:ascii="宋体" w:hAnsi="宋体" w:cs="宋体" w:eastAsia="宋体" w:hint="default"/>
          <w:w w:val="100"/>
          <w:sz w:val="21"/>
          <w:szCs w:val="21"/>
        </w:rPr>
        <w:t>《企业</w:t>
      </w:r>
      <w:r>
        <w:rPr>
          <w:rFonts w:ascii="宋体" w:hAnsi="宋体" w:cs="宋体" w:eastAsia="宋体" w:hint="default"/>
          <w:spacing w:val="-5"/>
          <w:w w:val="100"/>
          <w:sz w:val="21"/>
          <w:szCs w:val="21"/>
        </w:rPr>
        <w:t>会</w:t>
      </w:r>
      <w:r>
        <w:rPr>
          <w:rFonts w:ascii="宋体" w:hAnsi="宋体" w:cs="宋体" w:eastAsia="宋体" w:hint="default"/>
          <w:w w:val="100"/>
          <w:sz w:val="21"/>
          <w:szCs w:val="21"/>
        </w:rPr>
        <w:t>计准则</w:t>
      </w:r>
    </w:p>
    <w:p>
      <w:pPr>
        <w:spacing w:after="0"/>
        <w:jc w:val="left"/>
        <w:rPr>
          <w:rFonts w:ascii="宋体" w:hAnsi="宋体" w:cs="宋体" w:eastAsia="宋体" w:hint="default"/>
          <w:sz w:val="21"/>
          <w:szCs w:val="21"/>
        </w:rPr>
        <w:sectPr>
          <w:pgSz w:w="11910" w:h="16840"/>
          <w:pgMar w:header="741" w:footer="979" w:top="1060" w:bottom="1160" w:left="94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384" w:lineRule="auto" w:before="0"/>
        <w:ind w:left="173" w:right="0" w:firstLine="0"/>
        <w:jc w:val="left"/>
        <w:rPr>
          <w:rFonts w:ascii="宋体" w:hAnsi="宋体" w:cs="宋体" w:eastAsia="宋体" w:hint="default"/>
          <w:sz w:val="21"/>
          <w:szCs w:val="21"/>
        </w:rPr>
      </w:pPr>
      <w:r>
        <w:rPr>
          <w:rFonts w:ascii="宋体" w:hAnsi="宋体" w:cs="宋体" w:eastAsia="宋体" w:hint="default"/>
          <w:w w:val="100"/>
          <w:sz w:val="21"/>
          <w:szCs w:val="21"/>
        </w:rPr>
        <w:t>第</w:t>
      </w:r>
      <w:r>
        <w:rPr>
          <w:rFonts w:ascii="宋体" w:hAnsi="宋体" w:cs="宋体" w:eastAsia="宋体" w:hint="default"/>
          <w:spacing w:val="10"/>
          <w:w w:val="100"/>
          <w:sz w:val="21"/>
          <w:szCs w:val="21"/>
        </w:rPr>
        <w:t> </w:t>
      </w:r>
      <w:r>
        <w:rPr>
          <w:rFonts w:ascii="Times New Roman" w:hAnsi="Times New Roman" w:cs="Times New Roman" w:eastAsia="Times New Roman" w:hint="default"/>
          <w:w w:val="100"/>
          <w:sz w:val="21"/>
          <w:szCs w:val="21"/>
        </w:rPr>
        <w:t>37</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7"/>
          <w:w w:val="100"/>
          <w:sz w:val="21"/>
          <w:szCs w:val="21"/>
        </w:rPr>
        <w:t>号</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金融工具列报》（以下简称新金融工具准则）。根据相关新旧准则衔接规定，对可比期间信息</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不予调整，首次执行日执行新准则与原准则的差异追溯调整本报告期期初留存收益或其他综合收益。</w:t>
      </w:r>
    </w:p>
    <w:p>
      <w:pPr>
        <w:spacing w:line="403" w:lineRule="auto" w:before="70"/>
        <w:ind w:left="173" w:right="0" w:firstLine="422"/>
        <w:jc w:val="left"/>
        <w:rPr>
          <w:rFonts w:ascii="宋体" w:hAnsi="宋体" w:cs="宋体" w:eastAsia="宋体" w:hint="default"/>
          <w:sz w:val="21"/>
          <w:szCs w:val="21"/>
        </w:rPr>
      </w:pPr>
      <w:r>
        <w:rPr>
          <w:rFonts w:ascii="宋体" w:hAnsi="宋体" w:cs="宋体" w:eastAsia="宋体" w:hint="default"/>
          <w:spacing w:val="-2"/>
          <w:sz w:val="21"/>
          <w:szCs w:val="21"/>
        </w:rPr>
        <w:t>新金融工具准则改变了金融资产的分类和计量方式，确定了三个计量类别：摊余成本；以公允价值计</w:t>
      </w:r>
      <w:r>
        <w:rPr>
          <w:rFonts w:ascii="宋体" w:hAnsi="宋体" w:cs="宋体" w:eastAsia="宋体" w:hint="default"/>
          <w:w w:val="100"/>
          <w:sz w:val="21"/>
          <w:szCs w:val="21"/>
        </w:rPr>
        <w:t> </w:t>
      </w:r>
      <w:r>
        <w:rPr>
          <w:rFonts w:ascii="宋体" w:hAnsi="宋体" w:cs="宋体" w:eastAsia="宋体" w:hint="default"/>
          <w:spacing w:val="-2"/>
          <w:sz w:val="21"/>
          <w:szCs w:val="21"/>
        </w:rPr>
        <w:t>量且其变动计入其他综合收益；以公允价值计量且其变动计入当期损益。公司考虑自身业务模式，以及金</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融资产的合同现金流特征进行上述分类。权益类投资需按公允价值计量且其变动计入当期损益，但非交易</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性权益类投资在初始确认时可选择按公允价值计量且其变动计入其他综合收益</w:t>
      </w:r>
      <w:r>
        <w:rPr>
          <w:rFonts w:ascii="Times New Roman" w:hAnsi="Times New Roman" w:cs="Times New Roman" w:eastAsia="Times New Roman" w:hint="default"/>
          <w:sz w:val="21"/>
          <w:szCs w:val="21"/>
        </w:rPr>
        <w:t>(</w:t>
      </w:r>
      <w:r>
        <w:rPr>
          <w:rFonts w:ascii="宋体" w:hAnsi="宋体" w:cs="宋体" w:eastAsia="宋体" w:hint="default"/>
          <w:sz w:val="21"/>
          <w:szCs w:val="21"/>
        </w:rPr>
        <w:t>处置时的利得或损失不能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回转到损益，但股利收入计入当期损益</w:t>
      </w:r>
      <w:r>
        <w:rPr>
          <w:rFonts w:ascii="Times New Roman" w:hAnsi="Times New Roman" w:cs="Times New Roman" w:eastAsia="Times New Roman" w:hint="default"/>
          <w:sz w:val="21"/>
          <w:szCs w:val="21"/>
        </w:rPr>
        <w:t>)</w:t>
      </w:r>
      <w:r>
        <w:rPr>
          <w:rFonts w:ascii="宋体" w:hAnsi="宋体" w:cs="宋体" w:eastAsia="宋体" w:hint="default"/>
          <w:sz w:val="21"/>
          <w:szCs w:val="21"/>
        </w:rPr>
        <w:t>，且该选择不可撤销。</w:t>
      </w:r>
    </w:p>
    <w:p>
      <w:pPr>
        <w:spacing w:line="388" w:lineRule="auto" w:before="16"/>
        <w:ind w:left="173" w:right="0" w:firstLine="422"/>
        <w:jc w:val="left"/>
        <w:rPr>
          <w:rFonts w:ascii="宋体" w:hAnsi="宋体" w:cs="宋体" w:eastAsia="宋体" w:hint="default"/>
          <w:sz w:val="21"/>
          <w:szCs w:val="21"/>
        </w:rPr>
      </w:pPr>
      <w:r>
        <w:rPr>
          <w:rFonts w:ascii="宋体" w:hAnsi="宋体" w:cs="宋体" w:eastAsia="宋体" w:hint="default"/>
          <w:spacing w:val="-2"/>
          <w:sz w:val="21"/>
          <w:szCs w:val="21"/>
        </w:rPr>
        <w:t>新金融工具准则要求金融资产减值计量由</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已发生损失模型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改为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预期信用损失模型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，适用于以摊余</w:t>
      </w:r>
      <w:r>
        <w:rPr>
          <w:rFonts w:ascii="宋体" w:hAnsi="宋体" w:cs="宋体" w:eastAsia="宋体" w:hint="default"/>
          <w:w w:val="100"/>
          <w:sz w:val="21"/>
          <w:szCs w:val="21"/>
        </w:rPr>
        <w:t> </w:t>
      </w:r>
      <w:r>
        <w:rPr>
          <w:rFonts w:ascii="宋体" w:hAnsi="宋体" w:cs="宋体" w:eastAsia="宋体" w:hint="default"/>
          <w:sz w:val="21"/>
          <w:szCs w:val="21"/>
        </w:rPr>
        <w:t>成本计量的金融资产、以公允价值计量且其变动计入其他综合收益的金融资产、租赁应收款。</w:t>
      </w:r>
    </w:p>
    <w:p>
      <w:pPr>
        <w:spacing w:before="61"/>
        <w:ind w:left="59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执行新金融工具准则对公司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日财务报表的主要影响如下：</w:t>
      </w:r>
    </w:p>
    <w:p>
      <w:pPr>
        <w:spacing w:line="240" w:lineRule="auto" w:before="8"/>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127"/>
        <w:gridCol w:w="2540"/>
        <w:gridCol w:w="2540"/>
        <w:gridCol w:w="2540"/>
      </w:tblGrid>
      <w:tr>
        <w:trPr>
          <w:trHeight w:val="480" w:hRule="exact"/>
        </w:trPr>
        <w:tc>
          <w:tcPr>
            <w:tcW w:w="212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9"/>
                <w:szCs w:val="29"/>
              </w:rPr>
            </w:pPr>
          </w:p>
          <w:p>
            <w:pPr>
              <w:pStyle w:val="TableParagraph"/>
              <w:tabs>
                <w:tab w:pos="427" w:val="left" w:leader="none"/>
              </w:tabs>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762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205" w:right="0"/>
              <w:jc w:val="center"/>
              <w:rPr>
                <w:rFonts w:ascii="宋体" w:hAnsi="宋体" w:cs="宋体" w:eastAsia="宋体" w:hint="default"/>
                <w:sz w:val="21"/>
                <w:szCs w:val="21"/>
              </w:rPr>
            </w:pPr>
            <w:r>
              <w:rPr>
                <w:rFonts w:ascii="宋体" w:hAnsi="宋体" w:cs="宋体" w:eastAsia="宋体" w:hint="default"/>
                <w:sz w:val="21"/>
                <w:szCs w:val="21"/>
              </w:rPr>
              <w:t>资产负债表</w:t>
            </w:r>
          </w:p>
        </w:tc>
      </w:tr>
      <w:tr>
        <w:trPr>
          <w:trHeight w:val="634" w:hRule="exact"/>
        </w:trPr>
        <w:tc>
          <w:tcPr>
            <w:tcW w:w="2127" w:type="dxa"/>
            <w:vMerge/>
            <w:tcBorders>
              <w:left w:val="single" w:sz="4" w:space="0" w:color="000000"/>
              <w:bottom w:val="single" w:sz="4" w:space="0" w:color="000000"/>
              <w:right w:val="single" w:sz="4" w:space="0" w:color="000000"/>
            </w:tcBorders>
            <w:shd w:val="clear" w:color="auto" w:fill="D9D9D9"/>
          </w:tcPr>
          <w:p>
            <w:pPr/>
          </w:p>
        </w:tc>
        <w:tc>
          <w:tcPr>
            <w:tcW w:w="2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3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新金融工具准则</w:t>
            </w:r>
          </w:p>
          <w:p>
            <w:pPr>
              <w:pStyle w:val="TableParagraph"/>
              <w:spacing w:line="240" w:lineRule="auto" w:before="37"/>
              <w:ind w:left="3" w:right="0"/>
              <w:jc w:val="center"/>
              <w:rPr>
                <w:rFonts w:ascii="宋体" w:hAnsi="宋体" w:cs="宋体" w:eastAsia="宋体" w:hint="default"/>
                <w:sz w:val="21"/>
                <w:szCs w:val="21"/>
              </w:rPr>
            </w:pPr>
            <w:r>
              <w:rPr>
                <w:rFonts w:ascii="宋体" w:hAnsi="宋体" w:cs="宋体" w:eastAsia="宋体" w:hint="default"/>
                <w:sz w:val="21"/>
                <w:szCs w:val="21"/>
              </w:rPr>
              <w:t>调整影响</w:t>
            </w:r>
          </w:p>
        </w:tc>
        <w:tc>
          <w:tcPr>
            <w:tcW w:w="2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5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1,942,145.00</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pacing w:val="-1"/>
                <w:sz w:val="21"/>
              </w:rPr>
              <w:t>-1,942,145.00</w:t>
            </w:r>
          </w:p>
        </w:tc>
        <w:tc>
          <w:tcPr>
            <w:tcW w:w="2540"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540" w:type="dxa"/>
            <w:tcBorders>
              <w:top w:val="single" w:sz="4" w:space="0" w:color="000000"/>
              <w:left w:val="single" w:sz="4" w:space="0" w:color="000000"/>
              <w:bottom w:val="single" w:sz="4" w:space="0" w:color="000000"/>
              <w:right w:val="single" w:sz="4" w:space="0" w:color="000000"/>
            </w:tcBorders>
          </w:tcPr>
          <w:p>
            <w:pP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1,942,145.00</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1,942,145.00</w:t>
            </w: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216,000.00</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pacing w:val="-1"/>
                <w:sz w:val="21"/>
              </w:rPr>
              <w:t>-216,000.00</w:t>
            </w:r>
          </w:p>
        </w:tc>
        <w:tc>
          <w:tcPr>
            <w:tcW w:w="2540"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540" w:type="dxa"/>
            <w:tcBorders>
              <w:top w:val="single" w:sz="4" w:space="0" w:color="000000"/>
              <w:left w:val="single" w:sz="4" w:space="0" w:color="000000"/>
              <w:bottom w:val="single" w:sz="4" w:space="0" w:color="000000"/>
              <w:right w:val="single" w:sz="4" w:space="0" w:color="000000"/>
            </w:tcBorders>
          </w:tcPr>
          <w:p>
            <w:pP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216,000.00</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216,000.00</w:t>
            </w: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pacing w:val="-1"/>
                <w:sz w:val="21"/>
              </w:rPr>
              <w:t>60,359,767.11</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pacing w:val="-1"/>
                <w:sz w:val="21"/>
              </w:rPr>
              <w:t>-50,000,000.00</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pacing w:val="-1"/>
                <w:sz w:val="21"/>
              </w:rPr>
              <w:t>10,359,767.11</w:t>
            </w: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540" w:type="dxa"/>
            <w:tcBorders>
              <w:top w:val="single" w:sz="4" w:space="0" w:color="000000"/>
              <w:left w:val="single" w:sz="4" w:space="0" w:color="000000"/>
              <w:bottom w:val="single" w:sz="4" w:space="0" w:color="000000"/>
              <w:right w:val="single" w:sz="4" w:space="0" w:color="000000"/>
            </w:tcBorders>
          </w:tcPr>
          <w:p>
            <w:pP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50,000,000.00</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50,000,000.00</w:t>
            </w: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5"/>
              <w:jc w:val="right"/>
              <w:rPr>
                <w:rFonts w:ascii="Times New Roman" w:hAnsi="Times New Roman" w:cs="Times New Roman" w:eastAsia="Times New Roman" w:hint="default"/>
                <w:sz w:val="21"/>
                <w:szCs w:val="21"/>
              </w:rPr>
            </w:pPr>
            <w:r>
              <w:rPr>
                <w:rFonts w:ascii="Times New Roman"/>
                <w:spacing w:val="-1"/>
                <w:sz w:val="21"/>
              </w:rPr>
              <w:t>167,177,351.38</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240,797.26</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5"/>
              <w:jc w:val="right"/>
              <w:rPr>
                <w:rFonts w:ascii="Times New Roman" w:hAnsi="Times New Roman" w:cs="Times New Roman" w:eastAsia="Times New Roman" w:hint="default"/>
                <w:sz w:val="21"/>
                <w:szCs w:val="21"/>
              </w:rPr>
            </w:pPr>
            <w:r>
              <w:rPr>
                <w:rFonts w:ascii="Times New Roman"/>
                <w:spacing w:val="-1"/>
                <w:sz w:val="21"/>
              </w:rPr>
              <w:t>167,418,148.64</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4,346,822.36</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pacing w:val="-1"/>
                <w:sz w:val="21"/>
              </w:rPr>
              <w:t>-240,797.26</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4,106,025.10</w:t>
            </w:r>
          </w:p>
        </w:tc>
      </w:tr>
    </w:tbl>
    <w:p>
      <w:pPr>
        <w:spacing w:line="388" w:lineRule="auto" w:before="66"/>
        <w:ind w:left="173" w:right="1162"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日，公司金融资产和金融负债按照新金融工具准则和按原金融工具准则的规定进行</w:t>
      </w:r>
      <w:r>
        <w:rPr>
          <w:rFonts w:ascii="宋体" w:hAnsi="宋体" w:cs="宋体" w:eastAsia="宋体" w:hint="default"/>
          <w:w w:val="100"/>
          <w:sz w:val="21"/>
          <w:szCs w:val="21"/>
        </w:rPr>
        <w:t> </w:t>
      </w:r>
      <w:r>
        <w:rPr>
          <w:rFonts w:ascii="宋体" w:hAnsi="宋体" w:cs="宋体" w:eastAsia="宋体" w:hint="default"/>
          <w:sz w:val="21"/>
          <w:szCs w:val="21"/>
        </w:rPr>
        <w:t>分类和计量结果对比如下表：</w:t>
      </w:r>
    </w:p>
    <w:tbl>
      <w:tblPr>
        <w:tblW w:w="0" w:type="auto"/>
        <w:jc w:val="left"/>
        <w:tblInd w:w="106" w:type="dxa"/>
        <w:tblLayout w:type="fixed"/>
        <w:tblCellMar>
          <w:top w:w="0" w:type="dxa"/>
          <w:left w:w="0" w:type="dxa"/>
          <w:bottom w:w="0" w:type="dxa"/>
          <w:right w:w="0" w:type="dxa"/>
        </w:tblCellMar>
        <w:tblLook w:val="01E0"/>
      </w:tblPr>
      <w:tblGrid>
        <w:gridCol w:w="1575"/>
        <w:gridCol w:w="2051"/>
        <w:gridCol w:w="2045"/>
        <w:gridCol w:w="2051"/>
        <w:gridCol w:w="2046"/>
      </w:tblGrid>
      <w:tr>
        <w:trPr>
          <w:trHeight w:val="480" w:hRule="exact"/>
        </w:trPr>
        <w:tc>
          <w:tcPr>
            <w:tcW w:w="157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09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517" w:right="0"/>
              <w:jc w:val="left"/>
              <w:rPr>
                <w:rFonts w:ascii="宋体" w:hAnsi="宋体" w:cs="宋体" w:eastAsia="宋体" w:hint="default"/>
                <w:sz w:val="18"/>
                <w:szCs w:val="18"/>
              </w:rPr>
            </w:pPr>
            <w:r>
              <w:rPr>
                <w:rFonts w:ascii="宋体" w:hAnsi="宋体" w:cs="宋体" w:eastAsia="宋体" w:hint="default"/>
                <w:spacing w:val="-3"/>
                <w:sz w:val="18"/>
                <w:szCs w:val="18"/>
              </w:rPr>
              <w:t>原金融工具准则</w:t>
            </w:r>
          </w:p>
        </w:tc>
        <w:tc>
          <w:tcPr>
            <w:tcW w:w="409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517" w:right="0"/>
              <w:jc w:val="left"/>
              <w:rPr>
                <w:rFonts w:ascii="宋体" w:hAnsi="宋体" w:cs="宋体" w:eastAsia="宋体" w:hint="default"/>
                <w:sz w:val="18"/>
                <w:szCs w:val="18"/>
              </w:rPr>
            </w:pPr>
            <w:r>
              <w:rPr>
                <w:rFonts w:ascii="宋体" w:hAnsi="宋体" w:cs="宋体" w:eastAsia="宋体" w:hint="default"/>
                <w:spacing w:val="-3"/>
                <w:sz w:val="18"/>
                <w:szCs w:val="18"/>
              </w:rPr>
              <w:t>新金融工具准则</w:t>
            </w:r>
          </w:p>
        </w:tc>
      </w:tr>
      <w:tr>
        <w:trPr>
          <w:trHeight w:val="480" w:hRule="exact"/>
        </w:trPr>
        <w:tc>
          <w:tcPr>
            <w:tcW w:w="1575" w:type="dxa"/>
            <w:vMerge/>
            <w:tcBorders>
              <w:left w:val="single" w:sz="4" w:space="0" w:color="000000"/>
              <w:bottom w:val="single" w:sz="4" w:space="0" w:color="000000"/>
              <w:right w:val="single" w:sz="4" w:space="0" w:color="000000"/>
            </w:tcBorders>
            <w:shd w:val="clear" w:color="auto" w:fill="D9D9D9"/>
          </w:tcPr>
          <w:p>
            <w:pPr/>
          </w:p>
        </w:tc>
        <w:tc>
          <w:tcPr>
            <w:tcW w:w="2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758"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20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75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758"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20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75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34"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224,257,088.55</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
              <w:ind w:left="105" w:right="128"/>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224,257,088.55</w:t>
            </w:r>
          </w:p>
        </w:tc>
      </w:tr>
      <w:tr>
        <w:trPr>
          <w:trHeight w:val="475"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pacing w:val="-1"/>
                <w:sz w:val="18"/>
              </w:rPr>
              <w:t>1,942,145.00</w:t>
            </w:r>
          </w:p>
        </w:tc>
        <w:tc>
          <w:tcPr>
            <w:tcW w:w="2051"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051"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
              <w:ind w:left="105" w:right="128"/>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动计入其他综合收益</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1,942,145.00</w:t>
            </w:r>
          </w:p>
        </w:tc>
      </w:tr>
      <w:tr>
        <w:trPr>
          <w:trHeight w:val="634"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314,762,606.52</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
              <w:ind w:left="105" w:right="128"/>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314,762,606.52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60" w:right="0"/>
        </w:sectPr>
      </w:pPr>
    </w:p>
    <w:p>
      <w:pPr>
        <w:spacing w:line="240" w:lineRule="auto" w:before="11"/>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575"/>
        <w:gridCol w:w="2051"/>
        <w:gridCol w:w="2045"/>
        <w:gridCol w:w="2051"/>
        <w:gridCol w:w="2046"/>
      </w:tblGrid>
      <w:tr>
        <w:trPr>
          <w:trHeight w:val="634"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32,418,763.19</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28"/>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32,418,763.19</w:t>
            </w:r>
          </w:p>
        </w:tc>
      </w:tr>
      <w:tr>
        <w:trPr>
          <w:trHeight w:val="634"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0" w:right="137"/>
              <w:jc w:val="left"/>
              <w:rPr>
                <w:rFonts w:ascii="宋体" w:hAnsi="宋体" w:cs="宋体" w:eastAsia="宋体" w:hint="default"/>
                <w:sz w:val="18"/>
                <w:szCs w:val="18"/>
              </w:rPr>
            </w:pPr>
            <w:r>
              <w:rPr>
                <w:rFonts w:ascii="宋体" w:hAnsi="宋体" w:cs="宋体" w:eastAsia="宋体" w:hint="default"/>
                <w:spacing w:val="-2"/>
                <w:sz w:val="18"/>
                <w:szCs w:val="18"/>
              </w:rPr>
              <w:t>其他流动资产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银</w:t>
            </w:r>
            <w:r>
              <w:rPr>
                <w:rFonts w:ascii="宋体" w:hAnsi="宋体" w:cs="宋体" w:eastAsia="宋体" w:hint="default"/>
                <w:spacing w:val="-71"/>
                <w:sz w:val="18"/>
                <w:szCs w:val="18"/>
              </w:rPr>
              <w:t> </w:t>
            </w:r>
            <w:r>
              <w:rPr>
                <w:rFonts w:ascii="宋体" w:hAnsi="宋体" w:cs="宋体" w:eastAsia="宋体" w:hint="default"/>
                <w:sz w:val="18"/>
                <w:szCs w:val="18"/>
              </w:rPr>
              <w:t>行理财产品</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2051"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051"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28"/>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动计入当期损益</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634"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99"/>
              <w:jc w:val="left"/>
              <w:rPr>
                <w:rFonts w:ascii="宋体" w:hAnsi="宋体" w:cs="宋体" w:eastAsia="宋体" w:hint="default"/>
                <w:sz w:val="18"/>
                <w:szCs w:val="18"/>
              </w:rPr>
            </w:pPr>
            <w:r>
              <w:rPr>
                <w:rFonts w:ascii="宋体" w:hAnsi="宋体" w:cs="宋体" w:eastAsia="宋体" w:hint="default"/>
                <w:spacing w:val="-3"/>
                <w:sz w:val="18"/>
                <w:szCs w:val="18"/>
              </w:rPr>
              <w:t>可供出售金融资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产</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216,000.00</w:t>
            </w:r>
          </w:p>
        </w:tc>
        <w:tc>
          <w:tcPr>
            <w:tcW w:w="2051"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0" w:right="199"/>
              <w:jc w:val="left"/>
              <w:rPr>
                <w:rFonts w:ascii="宋体" w:hAnsi="宋体" w:cs="宋体" w:eastAsia="宋体" w:hint="default"/>
                <w:sz w:val="18"/>
                <w:szCs w:val="18"/>
              </w:rPr>
            </w:pPr>
            <w:r>
              <w:rPr>
                <w:rFonts w:ascii="宋体" w:hAnsi="宋体" w:cs="宋体" w:eastAsia="宋体" w:hint="default"/>
                <w:spacing w:val="-3"/>
                <w:sz w:val="18"/>
                <w:szCs w:val="18"/>
              </w:rPr>
              <w:t>其他权益工具投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w:t>
            </w:r>
          </w:p>
        </w:tc>
        <w:tc>
          <w:tcPr>
            <w:tcW w:w="2051"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28"/>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动计入其他综合收益</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216,000.00</w:t>
            </w:r>
          </w:p>
        </w:tc>
      </w:tr>
      <w:tr>
        <w:trPr>
          <w:trHeight w:val="634"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167,177,351.38</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28"/>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负债</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167,418,148.64</w:t>
            </w:r>
          </w:p>
        </w:tc>
      </w:tr>
      <w:tr>
        <w:trPr>
          <w:trHeight w:val="638"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13,306,710.05</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105" w:right="128"/>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负债</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13,306,710.05</w:t>
            </w:r>
          </w:p>
        </w:tc>
      </w:tr>
      <w:tr>
        <w:trPr>
          <w:trHeight w:val="634"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108,548,058.49</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5" w:right="128"/>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负债</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108,548,058.49</w:t>
            </w:r>
          </w:p>
        </w:tc>
      </w:tr>
      <w:tr>
        <w:trPr>
          <w:trHeight w:val="634"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4,346,822.36</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28"/>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负债</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4,106,025.10</w:t>
            </w:r>
          </w:p>
        </w:tc>
      </w:tr>
    </w:tbl>
    <w:p>
      <w:pPr>
        <w:spacing w:line="384" w:lineRule="auto" w:before="66"/>
        <w:ind w:left="173" w:right="1162"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日，公司原金融资产和金融负债账面价值调整为按照新金融工具准则的规定进行分</w:t>
      </w:r>
      <w:r>
        <w:rPr>
          <w:rFonts w:ascii="宋体" w:hAnsi="宋体" w:cs="宋体" w:eastAsia="宋体" w:hint="default"/>
          <w:w w:val="100"/>
          <w:sz w:val="21"/>
          <w:szCs w:val="21"/>
        </w:rPr>
        <w:t> </w:t>
      </w:r>
      <w:r>
        <w:rPr>
          <w:rFonts w:ascii="宋体" w:hAnsi="宋体" w:cs="宋体" w:eastAsia="宋体" w:hint="default"/>
          <w:sz w:val="21"/>
          <w:szCs w:val="21"/>
        </w:rPr>
        <w:t>类和计量的新金融资产和金融负债账面价值的调节表如下：</w:t>
      </w:r>
    </w:p>
    <w:tbl>
      <w:tblPr>
        <w:tblW w:w="0" w:type="auto"/>
        <w:jc w:val="left"/>
        <w:tblInd w:w="115" w:type="dxa"/>
        <w:tblLayout w:type="fixed"/>
        <w:tblCellMar>
          <w:top w:w="0" w:type="dxa"/>
          <w:left w:w="0" w:type="dxa"/>
          <w:bottom w:w="0" w:type="dxa"/>
          <w:right w:w="0" w:type="dxa"/>
        </w:tblCellMar>
        <w:tblLook w:val="01E0"/>
      </w:tblPr>
      <w:tblGrid>
        <w:gridCol w:w="2670"/>
        <w:gridCol w:w="1834"/>
        <w:gridCol w:w="1638"/>
        <w:gridCol w:w="110"/>
        <w:gridCol w:w="571"/>
        <w:gridCol w:w="2925"/>
      </w:tblGrid>
      <w:tr>
        <w:trPr>
          <w:trHeight w:val="946" w:hRule="exact"/>
        </w:trPr>
        <w:tc>
          <w:tcPr>
            <w:tcW w:w="2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77"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10"/>
              <w:ind w:left="120" w:right="79" w:hanging="1"/>
              <w:jc w:val="center"/>
              <w:rPr>
                <w:rFonts w:ascii="宋体" w:hAnsi="宋体" w:cs="宋体" w:eastAsia="宋体" w:hint="default"/>
                <w:sz w:val="18"/>
                <w:szCs w:val="18"/>
              </w:rPr>
            </w:pPr>
            <w:r>
              <w:rPr>
                <w:rFonts w:ascii="宋体" w:hAnsi="宋体" w:cs="宋体" w:eastAsia="宋体" w:hint="default"/>
                <w:spacing w:val="-3"/>
                <w:sz w:val="18"/>
                <w:szCs w:val="18"/>
              </w:rPr>
              <w:t>按原金融工具准则列</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示的账面价值（</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tc>
        <w:tc>
          <w:tcPr>
            <w:tcW w:w="16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58"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68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58" w:right="146"/>
              <w:jc w:val="left"/>
              <w:rPr>
                <w:rFonts w:ascii="宋体" w:hAnsi="宋体" w:cs="宋体" w:eastAsia="宋体" w:hint="default"/>
                <w:sz w:val="18"/>
                <w:szCs w:val="18"/>
              </w:rPr>
            </w:pPr>
            <w:r>
              <w:rPr>
                <w:rFonts w:ascii="宋体" w:hAnsi="宋体" w:cs="宋体" w:eastAsia="宋体" w:hint="default"/>
                <w:sz w:val="18"/>
                <w:szCs w:val="18"/>
              </w:rPr>
              <w:t>重新</w:t>
            </w:r>
            <w:r>
              <w:rPr>
                <w:rFonts w:ascii="宋体" w:hAnsi="宋体" w:cs="宋体" w:eastAsia="宋体" w:hint="default"/>
                <w:spacing w:val="-86"/>
                <w:sz w:val="18"/>
                <w:szCs w:val="18"/>
              </w:rPr>
              <w:t> </w:t>
            </w:r>
            <w:r>
              <w:rPr>
                <w:rFonts w:ascii="宋体" w:hAnsi="宋体" w:cs="宋体" w:eastAsia="宋体" w:hint="default"/>
                <w:sz w:val="18"/>
                <w:szCs w:val="18"/>
              </w:rPr>
              <w:t>计量</w:t>
            </w:r>
          </w:p>
        </w:tc>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pacing w:val="-3"/>
                <w:sz w:val="18"/>
                <w:szCs w:val="18"/>
              </w:rPr>
              <w:t>按新金融工具准则列示的账面价值</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76" w:hRule="exact"/>
        </w:trPr>
        <w:tc>
          <w:tcPr>
            <w:tcW w:w="97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A.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金融资产</w:t>
            </w:r>
          </w:p>
        </w:tc>
      </w:tr>
      <w:tr>
        <w:trPr>
          <w:trHeight w:val="480" w:hRule="exact"/>
        </w:trPr>
        <w:tc>
          <w:tcPr>
            <w:tcW w:w="97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摊余成本</w:t>
            </w:r>
          </w:p>
        </w:tc>
      </w:tr>
      <w:tr>
        <w:trPr>
          <w:trHeight w:val="480"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2"/>
              <w:jc w:val="right"/>
              <w:rPr>
                <w:rFonts w:ascii="Times New Roman" w:hAnsi="Times New Roman" w:cs="Times New Roman" w:eastAsia="Times New Roman" w:hint="default"/>
                <w:sz w:val="18"/>
                <w:szCs w:val="18"/>
              </w:rPr>
            </w:pPr>
            <w:r>
              <w:rPr>
                <w:rFonts w:ascii="Times New Roman"/>
                <w:spacing w:val="-1"/>
                <w:sz w:val="18"/>
              </w:rPr>
              <w:t>224,257,088.55</w:t>
            </w:r>
          </w:p>
        </w:tc>
        <w:tc>
          <w:tcPr>
            <w:tcW w:w="1638"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224,257,088.55</w:t>
            </w:r>
          </w:p>
        </w:tc>
      </w:tr>
      <w:tr>
        <w:trPr>
          <w:trHeight w:val="476"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1"/>
              <w:jc w:val="right"/>
              <w:rPr>
                <w:rFonts w:ascii="Times New Roman" w:hAnsi="Times New Roman" w:cs="Times New Roman" w:eastAsia="Times New Roman" w:hint="default"/>
                <w:sz w:val="18"/>
                <w:szCs w:val="18"/>
              </w:rPr>
            </w:pPr>
            <w:r>
              <w:rPr>
                <w:rFonts w:ascii="Times New Roman"/>
                <w:spacing w:val="-1"/>
                <w:sz w:val="18"/>
              </w:rPr>
              <w:t>1,942,145.00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-1,942,145.00</w:t>
            </w: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2"/>
              <w:jc w:val="right"/>
              <w:rPr>
                <w:rFonts w:ascii="Times New Roman" w:hAnsi="Times New Roman" w:cs="Times New Roman" w:eastAsia="Times New Roman" w:hint="default"/>
                <w:sz w:val="18"/>
                <w:szCs w:val="18"/>
              </w:rPr>
            </w:pPr>
            <w:r>
              <w:rPr>
                <w:rFonts w:ascii="Times New Roman"/>
                <w:spacing w:val="-1"/>
                <w:sz w:val="18"/>
              </w:rPr>
              <w:t>314,762,606.52</w:t>
            </w:r>
          </w:p>
        </w:tc>
        <w:tc>
          <w:tcPr>
            <w:tcW w:w="1638"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314,762,606.52</w:t>
            </w:r>
          </w:p>
        </w:tc>
      </w:tr>
      <w:tr>
        <w:trPr>
          <w:trHeight w:val="475"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2"/>
              <w:jc w:val="right"/>
              <w:rPr>
                <w:rFonts w:ascii="Times New Roman" w:hAnsi="Times New Roman" w:cs="Times New Roman" w:eastAsia="Times New Roman" w:hint="default"/>
                <w:sz w:val="18"/>
                <w:szCs w:val="18"/>
              </w:rPr>
            </w:pPr>
            <w:r>
              <w:rPr>
                <w:rFonts w:ascii="Times New Roman"/>
                <w:spacing w:val="-1"/>
                <w:sz w:val="18"/>
              </w:rPr>
              <w:t>32,418,763.19</w:t>
            </w:r>
          </w:p>
        </w:tc>
        <w:tc>
          <w:tcPr>
            <w:tcW w:w="1638"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32,418,763.19</w:t>
            </w:r>
          </w:p>
        </w:tc>
      </w:tr>
      <w:tr>
        <w:trPr>
          <w:trHeight w:val="480"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pacing w:val="-3"/>
                <w:sz w:val="18"/>
                <w:szCs w:val="18"/>
              </w:rPr>
              <w:t>其他流动资产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银行理财产品</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2"/>
              <w:jc w:val="right"/>
              <w:rPr>
                <w:rFonts w:ascii="Times New Roman" w:hAnsi="Times New Roman" w:cs="Times New Roman" w:eastAsia="Times New Roman" w:hint="default"/>
                <w:sz w:val="18"/>
                <w:szCs w:val="18"/>
              </w:rPr>
            </w:pPr>
            <w:r>
              <w:rPr>
                <w:rFonts w:ascii="Times New Roman"/>
                <w:spacing w:val="-1"/>
                <w:sz w:val="18"/>
              </w:rPr>
              <w:t>50,000,000.00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-50,000,000.00</w:t>
            </w: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以摊余成本计量的总金融资产</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52"/>
              <w:jc w:val="right"/>
              <w:rPr>
                <w:rFonts w:ascii="Times New Roman" w:hAnsi="Times New Roman" w:cs="Times New Roman" w:eastAsia="Times New Roman" w:hint="default"/>
                <w:sz w:val="18"/>
                <w:szCs w:val="18"/>
              </w:rPr>
            </w:pPr>
            <w:r>
              <w:rPr>
                <w:rFonts w:ascii="Times New Roman"/>
                <w:spacing w:val="-1"/>
                <w:sz w:val="18"/>
              </w:rPr>
              <w:t>623,380,603.26</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4"/>
              <w:jc w:val="right"/>
              <w:rPr>
                <w:rFonts w:ascii="Times New Roman" w:hAnsi="Times New Roman" w:cs="Times New Roman" w:eastAsia="Times New Roman" w:hint="default"/>
                <w:sz w:val="18"/>
                <w:szCs w:val="18"/>
              </w:rPr>
            </w:pPr>
            <w:r>
              <w:rPr>
                <w:rFonts w:ascii="Times New Roman"/>
                <w:spacing w:val="-1"/>
                <w:sz w:val="18"/>
              </w:rPr>
              <w:t>-51,942,145.00</w:t>
            </w: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18"/>
                <w:szCs w:val="18"/>
              </w:rPr>
            </w:pPr>
            <w:r>
              <w:rPr>
                <w:rFonts w:ascii="Times New Roman"/>
                <w:spacing w:val="-2"/>
                <w:sz w:val="18"/>
              </w:rPr>
              <w:t>571,438,458.26</w:t>
            </w:r>
            <w:r>
              <w:rPr>
                <w:rFonts w:ascii="Times New Roman"/>
                <w:sz w:val="18"/>
              </w:rPr>
            </w:r>
          </w:p>
        </w:tc>
      </w:tr>
      <w:tr>
        <w:trPr>
          <w:trHeight w:val="475" w:hRule="exact"/>
        </w:trPr>
        <w:tc>
          <w:tcPr>
            <w:tcW w:w="97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  </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以公允价值计量且其变动计入当期损益</w:t>
            </w:r>
          </w:p>
        </w:tc>
      </w:tr>
      <w:tr>
        <w:trPr>
          <w:trHeight w:val="480"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银行理财产品</w:t>
            </w:r>
          </w:p>
        </w:tc>
        <w:tc>
          <w:tcPr>
            <w:tcW w:w="1834" w:type="dxa"/>
            <w:tcBorders>
              <w:top w:val="single" w:sz="4" w:space="0" w:color="000000"/>
              <w:left w:val="single" w:sz="4" w:space="0" w:color="000000"/>
              <w:bottom w:val="single" w:sz="4" w:space="0" w:color="000000"/>
              <w:right w:val="single" w:sz="4" w:space="0" w:color="000000"/>
            </w:tcBorders>
          </w:tcPr>
          <w:p>
            <w:pPr/>
          </w:p>
        </w:tc>
        <w:tc>
          <w:tcPr>
            <w:tcW w:w="1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00" w:right="0"/>
              <w:jc w:val="left"/>
              <w:rPr>
                <w:rFonts w:ascii="Times New Roman" w:hAnsi="Times New Roman" w:cs="Times New Roman" w:eastAsia="Times New Roman" w:hint="default"/>
                <w:sz w:val="18"/>
                <w:szCs w:val="18"/>
              </w:rPr>
            </w:pPr>
            <w:r>
              <w:rPr>
                <w:rFonts w:ascii="Times New Roman"/>
                <w:sz w:val="18"/>
              </w:rPr>
              <w:t>50,000,000.00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711"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0" w:right="101"/>
              <w:jc w:val="left"/>
              <w:rPr>
                <w:rFonts w:ascii="宋体" w:hAnsi="宋体" w:cs="宋体" w:eastAsia="宋体" w:hint="default"/>
                <w:sz w:val="18"/>
                <w:szCs w:val="18"/>
              </w:rPr>
            </w:pPr>
            <w:r>
              <w:rPr>
                <w:rFonts w:ascii="宋体" w:hAnsi="宋体" w:cs="宋体" w:eastAsia="宋体" w:hint="default"/>
                <w:spacing w:val="5"/>
                <w:sz w:val="18"/>
                <w:szCs w:val="18"/>
              </w:rPr>
              <w:t>以公允价值计量且其变动计入</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当期损益总金融资产</w:t>
            </w:r>
          </w:p>
        </w:tc>
        <w:tc>
          <w:tcPr>
            <w:tcW w:w="1834" w:type="dxa"/>
            <w:tcBorders>
              <w:top w:val="single" w:sz="4" w:space="0" w:color="000000"/>
              <w:left w:val="single" w:sz="4" w:space="0" w:color="000000"/>
              <w:bottom w:val="single" w:sz="4" w:space="0" w:color="000000"/>
              <w:right w:val="single" w:sz="4" w:space="0" w:color="000000"/>
            </w:tcBorders>
          </w:tcPr>
          <w:p>
            <w:pPr/>
          </w:p>
        </w:tc>
        <w:tc>
          <w:tcPr>
            <w:tcW w:w="1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50,000,000.00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80" w:hRule="exact"/>
        </w:trPr>
        <w:tc>
          <w:tcPr>
            <w:tcW w:w="97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  </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以公允价值计量且其变动计入其他综合收益</w:t>
            </w:r>
          </w:p>
        </w:tc>
      </w:tr>
    </w:tbl>
    <w:p>
      <w:pPr>
        <w:spacing w:after="0" w:line="240" w:lineRule="auto"/>
        <w:jc w:val="left"/>
        <w:rPr>
          <w:rFonts w:ascii="宋体" w:hAnsi="宋体" w:cs="宋体" w:eastAsia="宋体" w:hint="default"/>
          <w:sz w:val="18"/>
          <w:szCs w:val="18"/>
        </w:rPr>
        <w:sectPr>
          <w:pgSz w:w="11910" w:h="16840"/>
          <w:pgMar w:header="741" w:footer="979" w:top="1060" w:bottom="1160" w:left="960" w:right="0"/>
        </w:sectPr>
      </w:pPr>
    </w:p>
    <w:p>
      <w:pPr>
        <w:spacing w:line="240" w:lineRule="auto" w:before="11"/>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2670"/>
        <w:gridCol w:w="1863"/>
        <w:gridCol w:w="1609"/>
        <w:gridCol w:w="682"/>
        <w:gridCol w:w="2925"/>
      </w:tblGrid>
      <w:tr>
        <w:trPr>
          <w:trHeight w:val="480"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63"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1,942,145.00</w:t>
            </w:r>
          </w:p>
        </w:tc>
        <w:tc>
          <w:tcPr>
            <w:tcW w:w="682"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1,942,145.00</w:t>
            </w:r>
          </w:p>
        </w:tc>
      </w:tr>
      <w:tr>
        <w:trPr>
          <w:trHeight w:val="475"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216,000.00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-216,000.00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
        </w:tc>
      </w:tr>
      <w:tr>
        <w:trPr>
          <w:trHeight w:val="481"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63"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18"/>
                <w:szCs w:val="18"/>
              </w:rPr>
            </w:pPr>
            <w:r>
              <w:rPr>
                <w:rFonts w:ascii="Times New Roman"/>
                <w:spacing w:val="-1"/>
                <w:sz w:val="18"/>
              </w:rPr>
              <w:t>216,000.00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4"/>
              <w:jc w:val="right"/>
              <w:rPr>
                <w:rFonts w:ascii="Times New Roman" w:hAnsi="Times New Roman" w:cs="Times New Roman" w:eastAsia="Times New Roman" w:hint="default"/>
                <w:sz w:val="18"/>
                <w:szCs w:val="18"/>
              </w:rPr>
            </w:pPr>
            <w:r>
              <w:rPr>
                <w:rFonts w:ascii="Times New Roman"/>
                <w:spacing w:val="-1"/>
                <w:sz w:val="18"/>
              </w:rPr>
              <w:t>216,000.00</w:t>
            </w:r>
          </w:p>
        </w:tc>
      </w:tr>
      <w:tr>
        <w:trPr>
          <w:trHeight w:val="634"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1"/>
              <w:jc w:val="left"/>
              <w:rPr>
                <w:rFonts w:ascii="宋体" w:hAnsi="宋体" w:cs="宋体" w:eastAsia="宋体" w:hint="default"/>
                <w:sz w:val="18"/>
                <w:szCs w:val="18"/>
              </w:rPr>
            </w:pPr>
            <w:r>
              <w:rPr>
                <w:rFonts w:ascii="宋体" w:hAnsi="宋体" w:cs="宋体" w:eastAsia="宋体" w:hint="default"/>
                <w:spacing w:val="5"/>
                <w:sz w:val="18"/>
                <w:szCs w:val="18"/>
              </w:rPr>
              <w:t>以公允价值计量且其变动计入</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其他综合收益的总金融资产</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216,000.00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1,942,145.00</w:t>
            </w:r>
          </w:p>
        </w:tc>
        <w:tc>
          <w:tcPr>
            <w:tcW w:w="682"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2,158,145.00</w:t>
            </w:r>
          </w:p>
        </w:tc>
      </w:tr>
      <w:tr>
        <w:trPr>
          <w:trHeight w:val="475" w:hRule="exact"/>
        </w:trPr>
        <w:tc>
          <w:tcPr>
            <w:tcW w:w="97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 </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金融负债</w:t>
            </w:r>
          </w:p>
        </w:tc>
      </w:tr>
      <w:tr>
        <w:trPr>
          <w:trHeight w:val="480" w:hRule="exact"/>
        </w:trPr>
        <w:tc>
          <w:tcPr>
            <w:tcW w:w="97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r>
      <w:tr>
        <w:trPr>
          <w:trHeight w:val="480"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167,177,351.38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240,797.26</w:t>
            </w:r>
          </w:p>
        </w:tc>
        <w:tc>
          <w:tcPr>
            <w:tcW w:w="682"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167,418,148.64</w:t>
            </w:r>
          </w:p>
        </w:tc>
      </w:tr>
      <w:tr>
        <w:trPr>
          <w:trHeight w:val="475"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13,306,710.05</w:t>
            </w:r>
          </w:p>
        </w:tc>
        <w:tc>
          <w:tcPr>
            <w:tcW w:w="1609"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13,306,710.05</w:t>
            </w:r>
          </w:p>
        </w:tc>
      </w:tr>
      <w:tr>
        <w:trPr>
          <w:trHeight w:val="481"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108,548,058.49</w:t>
            </w:r>
          </w:p>
        </w:tc>
        <w:tc>
          <w:tcPr>
            <w:tcW w:w="1609"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108,548,058.49</w:t>
            </w:r>
          </w:p>
        </w:tc>
      </w:tr>
      <w:tr>
        <w:trPr>
          <w:trHeight w:val="475"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4,346,822.36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-240,797.26</w:t>
            </w:r>
          </w:p>
        </w:tc>
        <w:tc>
          <w:tcPr>
            <w:tcW w:w="682"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4,106,025.10</w:t>
            </w:r>
          </w:p>
        </w:tc>
      </w:tr>
      <w:tr>
        <w:trPr>
          <w:trHeight w:val="480"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以摊余成本计量的总金融负债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293,378,942.28</w:t>
            </w:r>
          </w:p>
        </w:tc>
        <w:tc>
          <w:tcPr>
            <w:tcW w:w="1609"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293,378,942.28</w:t>
            </w:r>
          </w:p>
        </w:tc>
      </w:tr>
    </w:tbl>
    <w:p>
      <w:pPr>
        <w:spacing w:line="384" w:lineRule="auto" w:before="66"/>
        <w:ind w:left="173" w:right="1162"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日，公司原金融资产减值准备期末金额调整为按照新金融工具准则的规定进行分类</w:t>
      </w:r>
      <w:r>
        <w:rPr>
          <w:rFonts w:ascii="宋体" w:hAnsi="宋体" w:cs="宋体" w:eastAsia="宋体" w:hint="default"/>
          <w:w w:val="100"/>
          <w:sz w:val="21"/>
          <w:szCs w:val="21"/>
        </w:rPr>
        <w:t> </w:t>
      </w:r>
      <w:r>
        <w:rPr>
          <w:rFonts w:ascii="宋体" w:hAnsi="宋体" w:cs="宋体" w:eastAsia="宋体" w:hint="default"/>
          <w:sz w:val="21"/>
          <w:szCs w:val="21"/>
        </w:rPr>
        <w:t>和计量的新损失准备的调节表如下：</w:t>
      </w:r>
    </w:p>
    <w:tbl>
      <w:tblPr>
        <w:tblW w:w="0" w:type="auto"/>
        <w:jc w:val="left"/>
        <w:tblInd w:w="106" w:type="dxa"/>
        <w:tblLayout w:type="fixed"/>
        <w:tblCellMar>
          <w:top w:w="0" w:type="dxa"/>
          <w:left w:w="0" w:type="dxa"/>
          <w:bottom w:w="0" w:type="dxa"/>
          <w:right w:w="0" w:type="dxa"/>
        </w:tblCellMar>
        <w:tblLook w:val="01E0"/>
      </w:tblPr>
      <w:tblGrid>
        <w:gridCol w:w="1527"/>
        <w:gridCol w:w="2934"/>
        <w:gridCol w:w="1133"/>
        <w:gridCol w:w="1133"/>
        <w:gridCol w:w="3040"/>
      </w:tblGrid>
      <w:tr>
        <w:trPr>
          <w:trHeight w:val="946" w:hRule="exact"/>
        </w:trPr>
        <w:tc>
          <w:tcPr>
            <w:tcW w:w="15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tabs>
                <w:tab w:pos="864" w:val="left" w:leader="none"/>
              </w:tabs>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9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167" w:right="0" w:firstLine="28"/>
              <w:jc w:val="left"/>
              <w:rPr>
                <w:rFonts w:ascii="宋体" w:hAnsi="宋体" w:cs="宋体" w:eastAsia="宋体" w:hint="default"/>
                <w:sz w:val="21"/>
                <w:szCs w:val="21"/>
              </w:rPr>
            </w:pPr>
            <w:r>
              <w:rPr>
                <w:rFonts w:ascii="宋体" w:hAnsi="宋体" w:cs="宋体" w:eastAsia="宋体" w:hint="default"/>
                <w:sz w:val="21"/>
                <w:szCs w:val="21"/>
              </w:rPr>
              <w:t>按原金融工具准则计提损失</w:t>
            </w:r>
          </w:p>
          <w:p>
            <w:pPr>
              <w:pStyle w:val="TableParagraph"/>
              <w:spacing w:line="256" w:lineRule="auto" w:before="37"/>
              <w:ind w:left="100" w:right="-5" w:firstLine="67"/>
              <w:jc w:val="left"/>
              <w:rPr>
                <w:rFonts w:ascii="宋体" w:hAnsi="宋体" w:cs="宋体" w:eastAsia="宋体" w:hint="default"/>
                <w:sz w:val="21"/>
                <w:szCs w:val="21"/>
              </w:rPr>
            </w:pPr>
            <w:r>
              <w:rPr>
                <w:rFonts w:ascii="宋体" w:hAnsi="宋体" w:cs="宋体" w:eastAsia="宋体" w:hint="default"/>
                <w:sz w:val="21"/>
                <w:szCs w:val="21"/>
              </w:rPr>
              <w:t>准备</w:t>
            </w:r>
            <w:r>
              <w:rPr>
                <w:rFonts w:ascii="Times New Roman" w:hAnsi="Times New Roman" w:cs="Times New Roman" w:eastAsia="Times New Roman" w:hint="default"/>
                <w:sz w:val="21"/>
                <w:szCs w:val="21"/>
              </w:rPr>
              <w:t>/</w:t>
            </w:r>
            <w:r>
              <w:rPr>
                <w:rFonts w:ascii="宋体" w:hAnsi="宋体" w:cs="宋体" w:eastAsia="宋体" w:hint="default"/>
                <w:sz w:val="21"/>
                <w:szCs w:val="21"/>
              </w:rPr>
              <w:t>按或有事项准则确认的</w:t>
            </w:r>
            <w:r>
              <w:rPr>
                <w:rFonts w:ascii="宋体" w:hAnsi="宋体" w:cs="宋体" w:eastAsia="宋体" w:hint="default"/>
                <w:w w:val="100"/>
                <w:sz w:val="21"/>
                <w:szCs w:val="21"/>
              </w:rPr>
              <w:t> </w:t>
            </w:r>
            <w:r>
              <w:rPr>
                <w:rFonts w:ascii="宋体" w:hAnsi="宋体" w:cs="宋体" w:eastAsia="宋体" w:hint="default"/>
                <w:spacing w:val="-13"/>
                <w:w w:val="100"/>
                <w:sz w:val="21"/>
                <w:szCs w:val="21"/>
              </w:rPr>
              <w:t>预计负债（</w:t>
            </w:r>
            <w:r>
              <w:rPr>
                <w:rFonts w:ascii="Times New Roman" w:hAnsi="Times New Roman" w:cs="Times New Roman" w:eastAsia="Times New Roman" w:hint="default"/>
                <w:spacing w:val="-13"/>
                <w:w w:val="100"/>
                <w:sz w:val="21"/>
                <w:szCs w:val="21"/>
              </w:rPr>
              <w:t>2018</w:t>
            </w:r>
            <w:r>
              <w:rPr>
                <w:rFonts w:ascii="Times New Roman" w:hAnsi="Times New Roman" w:cs="Times New Roman" w:eastAsia="Times New Roman" w:hint="default"/>
                <w:spacing w:val="-15"/>
                <w:w w:val="100"/>
                <w:sz w:val="21"/>
                <w:szCs w:val="21"/>
              </w:rPr>
              <w:t> </w:t>
            </w:r>
            <w:r>
              <w:rPr>
                <w:rFonts w:ascii="宋体" w:hAnsi="宋体" w:cs="宋体" w:eastAsia="宋体" w:hint="default"/>
                <w:w w:val="100"/>
                <w:sz w:val="21"/>
                <w:szCs w:val="21"/>
              </w:rPr>
              <w:t>年</w:t>
            </w:r>
            <w:r>
              <w:rPr>
                <w:rFonts w:ascii="宋体" w:hAnsi="宋体" w:cs="宋体" w:eastAsia="宋体" w:hint="default"/>
                <w:spacing w:val="-67"/>
                <w:w w:val="100"/>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14"/>
                <w:w w:val="100"/>
                <w:sz w:val="21"/>
                <w:szCs w:val="21"/>
              </w:rPr>
              <w:t> </w:t>
            </w:r>
            <w:r>
              <w:rPr>
                <w:rFonts w:ascii="宋体" w:hAnsi="宋体" w:cs="宋体" w:eastAsia="宋体" w:hint="default"/>
                <w:w w:val="100"/>
                <w:sz w:val="21"/>
                <w:szCs w:val="21"/>
              </w:rPr>
              <w:t>月</w:t>
            </w:r>
            <w:r>
              <w:rPr>
                <w:rFonts w:ascii="宋体" w:hAnsi="宋体" w:cs="宋体" w:eastAsia="宋体" w:hint="default"/>
                <w:spacing w:val="-67"/>
                <w:w w:val="100"/>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15"/>
                <w:w w:val="100"/>
                <w:sz w:val="21"/>
                <w:szCs w:val="21"/>
              </w:rPr>
              <w:t> </w:t>
            </w:r>
            <w:r>
              <w:rPr>
                <w:rFonts w:ascii="宋体" w:hAnsi="宋体" w:cs="宋体" w:eastAsia="宋体" w:hint="default"/>
                <w:w w:val="100"/>
                <w:sz w:val="21"/>
                <w:szCs w:val="21"/>
              </w:rPr>
              <w:t>日）</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30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3"/>
              <w:ind w:left="442" w:right="143" w:hanging="294"/>
              <w:jc w:val="left"/>
              <w:rPr>
                <w:rFonts w:ascii="宋体" w:hAnsi="宋体" w:cs="宋体" w:eastAsia="宋体" w:hint="default"/>
                <w:sz w:val="21"/>
                <w:szCs w:val="21"/>
              </w:rPr>
            </w:pPr>
            <w:r>
              <w:rPr>
                <w:rFonts w:ascii="宋体" w:hAnsi="宋体" w:cs="宋体" w:eastAsia="宋体" w:hint="default"/>
                <w:spacing w:val="-1"/>
                <w:sz w:val="21"/>
                <w:szCs w:val="21"/>
              </w:rPr>
              <w:t>按新金融工具准则计提损失准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备（</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r>
          </w:p>
        </w:tc>
      </w:tr>
      <w:tr>
        <w:trPr>
          <w:trHeight w:val="480" w:hRule="exact"/>
        </w:trPr>
        <w:tc>
          <w:tcPr>
            <w:tcW w:w="97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02" w:right="0"/>
              <w:jc w:val="left"/>
              <w:rPr>
                <w:rFonts w:ascii="宋体" w:hAnsi="宋体" w:cs="宋体" w:eastAsia="宋体" w:hint="default"/>
                <w:sz w:val="21"/>
                <w:szCs w:val="21"/>
              </w:rPr>
            </w:pPr>
            <w:r>
              <w:rPr>
                <w:rFonts w:ascii="宋体" w:hAnsi="宋体" w:cs="宋体" w:eastAsia="宋体" w:hint="default"/>
                <w:sz w:val="21"/>
                <w:szCs w:val="21"/>
              </w:rPr>
              <w:t>贷款和应收款项（原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CAS22</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以摊余成本计量的金融资产（新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CAS22</w:t>
            </w:r>
            <w:r>
              <w:rPr>
                <w:rFonts w:ascii="宋体" w:hAnsi="宋体" w:cs="宋体" w:eastAsia="宋体" w:hint="default"/>
                <w:sz w:val="21"/>
                <w:szCs w:val="21"/>
              </w:rPr>
              <w:t>）</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z w:val="21"/>
              </w:rPr>
              <w:t>50,587,983.73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50,587,983.73</w:t>
            </w:r>
          </w:p>
        </w:tc>
      </w:tr>
      <w:tr>
        <w:trPr>
          <w:trHeight w:val="48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z w:val="21"/>
              </w:rPr>
              <w:t>5,281,984.49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5,281,984.49</w:t>
            </w:r>
          </w:p>
        </w:tc>
      </w:tr>
      <w:tr>
        <w:trPr>
          <w:trHeight w:val="475" w:hRule="exact"/>
        </w:trPr>
        <w:tc>
          <w:tcPr>
            <w:tcW w:w="15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864" w:val="left" w:leader="none"/>
              </w:tabs>
              <w:spacing w:line="240" w:lineRule="auto" w:before="66"/>
              <w:ind w:left="44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z w:val="21"/>
              </w:rPr>
              <w:t>55,869,968.22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z w:val="21"/>
              </w:rPr>
              <w:t>55,869,968.22</w:t>
            </w:r>
          </w:p>
        </w:tc>
      </w:tr>
    </w:tbl>
    <w:p>
      <w:pPr>
        <w:spacing w:before="70"/>
        <w:ind w:left="595"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本公司自</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日起执行</w:t>
      </w:r>
      <w:r>
        <w:rPr>
          <w:rFonts w:ascii="宋体" w:hAnsi="宋体" w:cs="宋体" w:eastAsia="宋体" w:hint="default"/>
          <w:spacing w:val="-5"/>
          <w:w w:val="100"/>
          <w:sz w:val="21"/>
          <w:szCs w:val="21"/>
        </w:rPr>
        <w:t>经</w:t>
      </w:r>
      <w:r>
        <w:rPr>
          <w:rFonts w:ascii="宋体" w:hAnsi="宋体" w:cs="宋体" w:eastAsia="宋体" w:hint="default"/>
          <w:w w:val="100"/>
          <w:sz w:val="21"/>
          <w:szCs w:val="21"/>
        </w:rPr>
        <w:t>修订</w:t>
      </w:r>
      <w:r>
        <w:rPr>
          <w:rFonts w:ascii="宋体" w:hAnsi="宋体" w:cs="宋体" w:eastAsia="宋体" w:hint="default"/>
          <w:spacing w:val="-106"/>
          <w:w w:val="100"/>
          <w:sz w:val="21"/>
          <w:szCs w:val="21"/>
        </w:rPr>
        <w:t>的</w:t>
      </w:r>
      <w:r>
        <w:rPr>
          <w:rFonts w:ascii="宋体" w:hAnsi="宋体" w:cs="宋体" w:eastAsia="宋体" w:hint="default"/>
          <w:spacing w:val="-5"/>
          <w:w w:val="100"/>
          <w:sz w:val="21"/>
          <w:szCs w:val="21"/>
        </w:rPr>
        <w:t>《</w:t>
      </w:r>
      <w:r>
        <w:rPr>
          <w:rFonts w:ascii="宋体" w:hAnsi="宋体" w:cs="宋体" w:eastAsia="宋体" w:hint="default"/>
          <w:w w:val="100"/>
          <w:sz w:val="21"/>
          <w:szCs w:val="21"/>
        </w:rPr>
        <w:t>企</w:t>
      </w:r>
      <w:r>
        <w:rPr>
          <w:rFonts w:ascii="宋体" w:hAnsi="宋体" w:cs="宋体" w:eastAsia="宋体" w:hint="default"/>
          <w:spacing w:val="-5"/>
          <w:w w:val="100"/>
          <w:sz w:val="21"/>
          <w:szCs w:val="21"/>
        </w:rPr>
        <w:t>业</w:t>
      </w:r>
      <w:r>
        <w:rPr>
          <w:rFonts w:ascii="宋体" w:hAnsi="宋体" w:cs="宋体" w:eastAsia="宋体" w:hint="default"/>
          <w:w w:val="100"/>
          <w:sz w:val="21"/>
          <w:szCs w:val="21"/>
        </w:rPr>
        <w:t>会计准则第</w:t>
      </w:r>
      <w:r>
        <w:rPr>
          <w:rFonts w:ascii="宋体" w:hAnsi="宋体" w:cs="宋体" w:eastAsia="宋体" w:hint="default"/>
          <w:spacing w:val="-56"/>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号</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pacing w:val="-5"/>
          <w:w w:val="100"/>
          <w:sz w:val="21"/>
          <w:szCs w:val="21"/>
        </w:rPr>
        <w:t>—</w:t>
      </w:r>
      <w:r>
        <w:rPr>
          <w:rFonts w:ascii="宋体" w:hAnsi="宋体" w:cs="宋体" w:eastAsia="宋体" w:hint="default"/>
          <w:w w:val="100"/>
          <w:sz w:val="21"/>
          <w:szCs w:val="21"/>
        </w:rPr>
        <w:t>非货币</w:t>
      </w:r>
      <w:r>
        <w:rPr>
          <w:rFonts w:ascii="宋体" w:hAnsi="宋体" w:cs="宋体" w:eastAsia="宋体" w:hint="default"/>
          <w:spacing w:val="-5"/>
          <w:w w:val="100"/>
          <w:sz w:val="21"/>
          <w:szCs w:val="21"/>
        </w:rPr>
        <w:t>性</w:t>
      </w:r>
      <w:r>
        <w:rPr>
          <w:rFonts w:ascii="宋体" w:hAnsi="宋体" w:cs="宋体" w:eastAsia="宋体" w:hint="default"/>
          <w:w w:val="100"/>
          <w:sz w:val="21"/>
          <w:szCs w:val="21"/>
        </w:rPr>
        <w:t>资产交</w:t>
      </w:r>
      <w:r>
        <w:rPr>
          <w:rFonts w:ascii="宋体" w:hAnsi="宋体" w:cs="宋体" w:eastAsia="宋体" w:hint="default"/>
          <w:spacing w:val="-5"/>
          <w:w w:val="100"/>
          <w:sz w:val="21"/>
          <w:szCs w:val="21"/>
        </w:rPr>
        <w:t>换</w:t>
      </w:r>
      <w:r>
        <w:rPr>
          <w:rFonts w:ascii="宋体" w:hAnsi="宋体" w:cs="宋体" w:eastAsia="宋体" w:hint="default"/>
          <w:spacing w:val="-106"/>
          <w:w w:val="100"/>
          <w:sz w:val="21"/>
          <w:szCs w:val="21"/>
        </w:rPr>
        <w:t>》，</w:t>
      </w:r>
      <w:r>
        <w:rPr>
          <w:rFonts w:ascii="宋体" w:hAnsi="宋体" w:cs="宋体" w:eastAsia="宋体" w:hint="default"/>
          <w:w w:val="100"/>
          <w:sz w:val="21"/>
          <w:szCs w:val="21"/>
        </w:rPr>
        <w:t>自</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2019</w:t>
      </w:r>
    </w:p>
    <w:p>
      <w:pPr>
        <w:spacing w:line="384" w:lineRule="auto" w:before="179"/>
        <w:ind w:left="173" w:right="1119" w:firstLine="0"/>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36"/>
          <w:w w:val="100"/>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17"/>
          <w:w w:val="100"/>
          <w:sz w:val="21"/>
          <w:szCs w:val="21"/>
        </w:rPr>
        <w:t> </w:t>
      </w:r>
      <w:r>
        <w:rPr>
          <w:rFonts w:ascii="宋体" w:hAnsi="宋体" w:cs="宋体" w:eastAsia="宋体" w:hint="default"/>
          <w:w w:val="100"/>
          <w:sz w:val="21"/>
          <w:szCs w:val="21"/>
        </w:rPr>
        <w:t>月</w:t>
      </w:r>
      <w:r>
        <w:rPr>
          <w:rFonts w:ascii="宋体" w:hAnsi="宋体" w:cs="宋体" w:eastAsia="宋体" w:hint="default"/>
          <w:spacing w:val="-36"/>
          <w:w w:val="100"/>
          <w:sz w:val="21"/>
          <w:szCs w:val="21"/>
        </w:rPr>
        <w:t> </w:t>
      </w:r>
      <w:r>
        <w:rPr>
          <w:rFonts w:ascii="Times New Roman" w:hAnsi="Times New Roman" w:cs="Times New Roman" w:eastAsia="Times New Roman" w:hint="default"/>
          <w:spacing w:val="-3"/>
          <w:w w:val="100"/>
          <w:sz w:val="21"/>
          <w:szCs w:val="21"/>
        </w:rPr>
        <w:t>17</w:t>
      </w:r>
      <w:r>
        <w:rPr>
          <w:rFonts w:ascii="Times New Roman" w:hAnsi="Times New Roman" w:cs="Times New Roman" w:eastAsia="Times New Roman" w:hint="default"/>
          <w:spacing w:val="18"/>
          <w:w w:val="100"/>
          <w:sz w:val="21"/>
          <w:szCs w:val="21"/>
        </w:rPr>
        <w:t> </w:t>
      </w:r>
      <w:r>
        <w:rPr>
          <w:rFonts w:ascii="宋体" w:hAnsi="宋体" w:cs="宋体" w:eastAsia="宋体" w:hint="default"/>
          <w:spacing w:val="-2"/>
          <w:w w:val="100"/>
          <w:sz w:val="21"/>
          <w:szCs w:val="21"/>
        </w:rPr>
        <w:t>日起执行经修订的《企业会计准则第</w:t>
      </w:r>
      <w:r>
        <w:rPr>
          <w:rFonts w:ascii="宋体" w:hAnsi="宋体" w:cs="宋体" w:eastAsia="宋体" w:hint="default"/>
          <w:spacing w:val="-35"/>
          <w:w w:val="100"/>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12"/>
          <w:w w:val="100"/>
          <w:sz w:val="21"/>
          <w:szCs w:val="21"/>
        </w:rPr>
        <w:t> </w:t>
      </w:r>
      <w:r>
        <w:rPr>
          <w:rFonts w:ascii="宋体" w:hAnsi="宋体" w:cs="宋体" w:eastAsia="宋体" w:hint="default"/>
          <w:spacing w:val="-6"/>
          <w:w w:val="100"/>
          <w:sz w:val="21"/>
          <w:szCs w:val="21"/>
        </w:rPr>
        <w:t>号</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债务重组》。该项会计政策变更采用未来适用法</w:t>
      </w:r>
      <w:r>
        <w:rPr>
          <w:rFonts w:ascii="宋体" w:hAnsi="宋体" w:cs="宋体" w:eastAsia="宋体" w:hint="default"/>
          <w:w w:val="100"/>
          <w:sz w:val="21"/>
          <w:szCs w:val="21"/>
        </w:rPr>
        <w:t> </w:t>
      </w:r>
      <w:r>
        <w:rPr>
          <w:rFonts w:ascii="宋体" w:hAnsi="宋体" w:cs="宋体" w:eastAsia="宋体" w:hint="default"/>
          <w:sz w:val="21"/>
          <w:szCs w:val="21"/>
        </w:rPr>
        <w:t>处理。</w:t>
      </w:r>
    </w:p>
    <w:p>
      <w:pPr>
        <w:spacing w:line="240" w:lineRule="auto" w:before="3"/>
        <w:rPr>
          <w:rFonts w:ascii="宋体" w:hAnsi="宋体" w:cs="宋体" w:eastAsia="宋体" w:hint="default"/>
          <w:sz w:val="22"/>
          <w:szCs w:val="22"/>
        </w:rPr>
      </w:pPr>
    </w:p>
    <w:p>
      <w:pPr>
        <w:spacing w:before="0"/>
        <w:ind w:left="173" w:right="0" w:firstLine="0"/>
        <w:jc w:val="left"/>
        <w:rPr>
          <w:rFonts w:ascii="宋体" w:hAnsi="宋体" w:cs="宋体" w:eastAsia="宋体" w:hint="default"/>
          <w:sz w:val="21"/>
          <w:szCs w:val="21"/>
        </w:rPr>
      </w:pPr>
      <w:bookmarkStart w:name="（2）重要会计估计变更" w:id="211"/>
      <w:bookmarkEnd w:id="2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73" w:right="0" w:firstLine="0"/>
        <w:jc w:val="left"/>
        <w:rPr>
          <w:rFonts w:ascii="宋体" w:hAnsi="宋体" w:cs="宋体" w:eastAsia="宋体" w:hint="default"/>
          <w:sz w:val="21"/>
          <w:szCs w:val="21"/>
        </w:rPr>
      </w:pPr>
      <w:bookmarkStart w:name="（3）2019年起执行新金融工具准则、新收入准则或新租赁准则调整执行当年年初财务"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年起执行新金融工具准则、新收入准则或新租赁准则调整执行当年年初财务报表相关项目情况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60" w:right="0"/>
        </w:sectPr>
      </w:pPr>
    </w:p>
    <w:p>
      <w:pPr>
        <w:spacing w:line="338" w:lineRule="auto" w:before="46"/>
        <w:ind w:left="1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pacing w:val="-3"/>
          <w:sz w:val="18"/>
          <w:szCs w:val="18"/>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7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60" w:right="0"/>
          <w:cols w:num="2" w:equalWidth="0">
            <w:col w:w="1557" w:space="7365"/>
            <w:col w:w="2028"/>
          </w:cols>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224,257,088.55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224,257,088.55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1,942,145.00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-1,942,145.00</w:t>
            </w: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314,762,606.52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314,762,606.52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1,942,145.00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1,942,145.00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18,143,758.57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18,143,758.57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32,418,763.19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32,418,763.19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168,680,057.50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168,680,057.50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60,359,767.11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10,359,767.11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820,564,186.44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820,564,186.44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-216,000.00</w:t>
            </w: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79,078,151.51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79,078,151.51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216,000.00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216,000.00</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78"/>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29,965,366.76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29,965,366.76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7,833,188.58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7,833,188.58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51,064,626.84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51,064,626.84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2,610,372.23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2,610,372.23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5,066,260.82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5,066,260.82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11,864,816.31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11,864,816.31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5,082,007.12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5,082,007.12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192,780,790.17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192,780,790.17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1,013,344,976.61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1,013,344,976.61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167,177,351.38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167,418,148.64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240,797.26</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13,306,710.05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13,306,710.05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108,548,058.49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108,548,058.49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58,710,105.65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58,710,105.65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22,245,614.02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22,245,614.02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6,591,983.45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6,591,983.45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4,346,822.36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4,106,025.10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-240,797.26</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5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240,797.26</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-240,797.26</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5"/>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2"/>
                <w:sz w:val="18"/>
                <w:szCs w:val="18"/>
              </w:rPr>
              <w:t>应付手续费及佣金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380,926,645.40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380,926,645.40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56"/>
              <w:jc w:val="right"/>
              <w:rPr>
                <w:rFonts w:ascii="宋体" w:hAnsi="宋体" w:cs="宋体" w:eastAsia="宋体" w:hint="default"/>
                <w:sz w:val="18"/>
                <w:szCs w:val="18"/>
              </w:rPr>
            </w:pPr>
            <w:r>
              <w:rPr>
                <w:rFonts w:ascii="宋体" w:hAnsi="宋体" w:cs="宋体" w:eastAsia="宋体" w:hint="default"/>
                <w:spacing w:val="-2"/>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380,926,645.40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380,926,645.40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66,666,667.00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66,666,667.00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281,383,613.25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281,383,613.25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25,502,239.13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25,502,239.13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211,138,977.02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211,138,977.02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584,691,496.40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584,691,496.40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47,726,834.81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47,726,834.81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632,418,331.21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632,418,331.21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1,013,344,976.61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1,013,344,976.61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362" w:lineRule="auto"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调整情况说明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99" w:space="7323"/>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152,909,828.90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152,909,828.90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1027"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1,942,145.00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-1,942,145.00</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297,442,449.74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297,442,449.74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1,942,145.00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1,942,145.00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13,049,467.15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13,049,467.15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67,519,391.57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67,519,391.57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5"/>
              <w:jc w:val="right"/>
              <w:rPr>
                <w:rFonts w:ascii="宋体" w:hAnsi="宋体" w:cs="宋体" w:eastAsia="宋体" w:hint="default"/>
                <w:sz w:val="18"/>
                <w:szCs w:val="18"/>
              </w:rPr>
            </w:pPr>
            <w:r>
              <w:rPr>
                <w:rFonts w:ascii="宋体" w:hAnsi="宋体" w:cs="宋体" w:eastAsia="宋体" w:hint="default"/>
                <w:spacing w:val="-2"/>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132,214,382.51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132,214,382.51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56,017,506.13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6,017,506.13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721,095,171.00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721,095,171.00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142,324,970.72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142,324,970.72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5,967,399.65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5,967,399.65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6,741,649.69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6,741,649.69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18,157,631.82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18,157,631.82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6,435,491.47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6,435,491.47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179,627,143.35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179,627,143.35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900,722,314.35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900,722,314.35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139,177,351.38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139,389,915.31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13" w:right="0"/>
              <w:jc w:val="left"/>
              <w:rPr>
                <w:rFonts w:ascii="Times New Roman" w:hAnsi="Times New Roman" w:cs="Times New Roman" w:eastAsia="Times New Roman" w:hint="default"/>
                <w:sz w:val="18"/>
                <w:szCs w:val="18"/>
              </w:rPr>
            </w:pPr>
            <w:r>
              <w:rPr>
                <w:rFonts w:ascii="Times New Roman"/>
                <w:sz w:val="18"/>
              </w:rPr>
              <w:t>212,563.93</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13,306,710.05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13,306,710.05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85,597,894.14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85,597,894.14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49,980,838.13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49,980,838.13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15,882,234.90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15,882,234.90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1,903,931.88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1,755,403.24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3,513,288.83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3,513,288.83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-212,563.93</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212,563.93</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-212,563.93</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55"/>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309,362,249.31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309,213,720.67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56"/>
              <w:jc w:val="right"/>
              <w:rPr>
                <w:rFonts w:ascii="宋体" w:hAnsi="宋体" w:cs="宋体" w:eastAsia="宋体" w:hint="default"/>
                <w:sz w:val="18"/>
                <w:szCs w:val="18"/>
              </w:rPr>
            </w:pPr>
            <w:r>
              <w:rPr>
                <w:rFonts w:ascii="宋体" w:hAnsi="宋体" w:cs="宋体" w:eastAsia="宋体" w:hint="default"/>
                <w:spacing w:val="-2"/>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309,362,249.31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309,213,720.67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66,666,667.00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66,666,667.00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283,004,340.21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283,004,340.21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25,502,239.13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25,510,351.13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216,186,818.70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216,327,235.34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591,360,065.04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591,508,593.68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2211"/>
        <w:gridCol w:w="2454"/>
        <w:gridCol w:w="2454"/>
        <w:gridCol w:w="2453"/>
      </w:tblGrid>
      <w:tr>
        <w:trPr>
          <w:trHeight w:val="403"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6" w:right="0"/>
              <w:jc w:val="left"/>
              <w:rPr>
                <w:rFonts w:ascii="Times New Roman" w:hAnsi="Times New Roman" w:cs="Times New Roman" w:eastAsia="Times New Roman" w:hint="default"/>
                <w:sz w:val="18"/>
                <w:szCs w:val="18"/>
              </w:rPr>
            </w:pPr>
            <w:r>
              <w:rPr>
                <w:rFonts w:ascii="Times New Roman"/>
                <w:sz w:val="18"/>
              </w:rPr>
              <w:t>900,722,314.35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01" w:right="0"/>
              <w:jc w:val="left"/>
              <w:rPr>
                <w:rFonts w:ascii="Times New Roman" w:hAnsi="Times New Roman" w:cs="Times New Roman" w:eastAsia="Times New Roman" w:hint="default"/>
                <w:sz w:val="18"/>
                <w:szCs w:val="18"/>
              </w:rPr>
            </w:pPr>
            <w:r>
              <w:rPr>
                <w:rFonts w:ascii="Times New Roman"/>
                <w:sz w:val="18"/>
              </w:rPr>
              <w:t>900,722,314.35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2019年起执行新金融工具准则或新租赁准则追溯调整前期比较数据说明"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年起执行新金融工具准则或新租赁准则追溯调整前期比较数据说明</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六、税项" w:id="214"/>
      <w:bookmarkEnd w:id="214"/>
      <w:r>
        <w:rPr>
          <w:b w:val="0"/>
          <w:bCs w:val="0"/>
        </w:rPr>
      </w:r>
      <w:r>
        <w:rPr/>
        <w:t>六、税项</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主要税种及税率" w:id="215"/>
      <w:bookmarkEnd w:id="21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pacing w:val="-3"/>
                <w:sz w:val="18"/>
                <w:szCs w:val="18"/>
              </w:rPr>
              <w:t>销售货物或提供应税劳务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16" w:right="0"/>
              <w:jc w:val="left"/>
              <w:rPr>
                <w:rFonts w:ascii="宋体" w:hAnsi="宋体" w:cs="宋体" w:eastAsia="宋体" w:hint="default"/>
                <w:sz w:val="18"/>
                <w:szCs w:val="18"/>
              </w:rPr>
            </w:pPr>
            <w:r>
              <w:rPr>
                <w:rFonts w:ascii="宋体" w:hAnsi="宋体" w:cs="宋体" w:eastAsia="宋体" w:hint="default"/>
                <w:spacing w:val="-3"/>
                <w:sz w:val="18"/>
                <w:szCs w:val="18"/>
              </w:rPr>
              <w:t>应缴流转税税额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从价计征的，按房产原值一次减除</w:t>
            </w:r>
            <w:r>
              <w:rPr>
                <w:rFonts w:ascii="宋体" w:hAnsi="宋体" w:cs="宋体" w:eastAsia="宋体" w:hint="default"/>
                <w:spacing w:val="-5"/>
                <w:sz w:val="18"/>
                <w:szCs w:val="18"/>
              </w:rPr>
              <w:t> </w:t>
            </w:r>
            <w:r>
              <w:rPr>
                <w:rFonts w:ascii="Times New Roman" w:hAnsi="Times New Roman" w:cs="Times New Roman" w:eastAsia="Times New Roman" w:hint="default"/>
                <w:spacing w:val="-2"/>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后余值的</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计缴</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应缴流转税税额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应缴流转税税额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存在不同企业所得税税率纳税主体的，披露情况说明</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广西筑波公司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青岛天高公司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南昌正元公司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杭州容博公司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除上述以外的其他纳税主体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税收优惠" w:id="216"/>
      <w:bookmarkEnd w:id="21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256" w:lineRule="auto" w:before="0"/>
        <w:ind w:left="575" w:right="11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．增值税</w:t>
      </w:r>
      <w:r>
        <w:rPr>
          <w:rFonts w:ascii="宋体" w:hAnsi="宋体" w:cs="宋体" w:eastAsia="宋体" w:hint="default"/>
          <w:spacing w:val="-100"/>
          <w:sz w:val="21"/>
          <w:szCs w:val="21"/>
        </w:rPr>
        <w:t> </w:t>
      </w:r>
      <w:r>
        <w:rPr>
          <w:rFonts w:ascii="宋体" w:hAnsi="宋体" w:cs="宋体" w:eastAsia="宋体" w:hint="default"/>
          <w:spacing w:val="-3"/>
          <w:sz w:val="21"/>
          <w:szCs w:val="21"/>
        </w:rPr>
        <w:t>根据财政部、国家税务总局《关于软件产品增值税政策的通知》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财税〔</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〕第</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，本公司及子</w:t>
      </w:r>
    </w:p>
    <w:p>
      <w:pPr>
        <w:spacing w:line="273" w:lineRule="auto" w:before="5"/>
        <w:ind w:left="153" w:right="0" w:firstLine="0"/>
        <w:jc w:val="left"/>
        <w:rPr>
          <w:rFonts w:ascii="宋体" w:hAnsi="宋体" w:cs="宋体" w:eastAsia="宋体" w:hint="default"/>
          <w:sz w:val="21"/>
          <w:szCs w:val="21"/>
        </w:rPr>
      </w:pPr>
      <w:r>
        <w:rPr>
          <w:rFonts w:ascii="宋体" w:hAnsi="宋体" w:cs="宋体" w:eastAsia="宋体" w:hint="default"/>
          <w:spacing w:val="-2"/>
          <w:sz w:val="21"/>
          <w:szCs w:val="21"/>
        </w:rPr>
        <w:t>公司青岛天高公司、广西筑波公司、杭州容博公司、校云智慧公司和坚果智慧公司销售自行开发生产的软</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件产品，对增值税实际税负超过</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的部分实行即征即退政策。</w:t>
      </w:r>
    </w:p>
    <w:p>
      <w:pPr>
        <w:spacing w:line="279" w:lineRule="exact"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．企业所得税</w:t>
      </w:r>
    </w:p>
    <w:p>
      <w:pPr>
        <w:spacing w:line="240" w:lineRule="auto" w:before="10"/>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1383"/>
        <w:gridCol w:w="4110"/>
        <w:gridCol w:w="2003"/>
        <w:gridCol w:w="2002"/>
      </w:tblGrid>
      <w:tr>
        <w:trPr>
          <w:trHeight w:val="341" w:hRule="exact"/>
        </w:trPr>
        <w:tc>
          <w:tcPr>
            <w:tcW w:w="13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41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文件名</w:t>
            </w:r>
          </w:p>
        </w:tc>
        <w:tc>
          <w:tcPr>
            <w:tcW w:w="20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686" w:right="0"/>
              <w:jc w:val="left"/>
              <w:rPr>
                <w:rFonts w:ascii="宋体" w:hAnsi="宋体" w:cs="宋体" w:eastAsia="宋体" w:hint="default"/>
                <w:sz w:val="21"/>
                <w:szCs w:val="21"/>
              </w:rPr>
            </w:pPr>
            <w:r>
              <w:rPr>
                <w:rFonts w:ascii="宋体" w:hAnsi="宋体" w:cs="宋体" w:eastAsia="宋体" w:hint="default"/>
                <w:sz w:val="21"/>
                <w:szCs w:val="21"/>
              </w:rPr>
              <w:t>有效期</w:t>
            </w:r>
          </w:p>
        </w:tc>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4"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970"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4"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14</w:t>
            </w:r>
            <w:r>
              <w:rPr>
                <w:rFonts w:ascii="宋体" w:hAnsi="宋体" w:cs="宋体" w:eastAsia="宋体" w:hint="default"/>
                <w:spacing w:val="-1"/>
                <w:sz w:val="18"/>
                <w:szCs w:val="18"/>
              </w:rPr>
              <w:t>日浙江省发改委高技术处《国家规划布</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2"/>
                <w:sz w:val="18"/>
                <w:szCs w:val="18"/>
              </w:rPr>
              <w:t>局内重点软件和集成电路企业所得税优惠核查结果</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公示》</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7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3" w:right="0"/>
              <w:jc w:val="center"/>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220" w:type="dxa"/>
        <w:tblLayout w:type="fixed"/>
        <w:tblCellMar>
          <w:top w:w="0" w:type="dxa"/>
          <w:left w:w="0" w:type="dxa"/>
          <w:bottom w:w="0" w:type="dxa"/>
          <w:right w:w="0" w:type="dxa"/>
        </w:tblCellMar>
        <w:tblLook w:val="01E0"/>
      </w:tblPr>
      <w:tblGrid>
        <w:gridCol w:w="1383"/>
        <w:gridCol w:w="4110"/>
        <w:gridCol w:w="2003"/>
        <w:gridCol w:w="2002"/>
      </w:tblGrid>
      <w:tr>
        <w:trPr>
          <w:trHeight w:val="653"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青岛天高公司</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《关于青岛市</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年第二批高新技术企业备案的复</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函》</w:t>
            </w:r>
            <w:r>
              <w:rPr>
                <w:rFonts w:ascii="Times New Roman" w:hAnsi="Times New Roman" w:cs="Times New Roman" w:eastAsia="Times New Roman" w:hint="default"/>
                <w:sz w:val="18"/>
                <w:szCs w:val="18"/>
              </w:rPr>
              <w:t>(</w:t>
            </w:r>
            <w:r>
              <w:rPr>
                <w:rFonts w:ascii="宋体" w:hAnsi="宋体" w:cs="宋体" w:eastAsia="宋体" w:hint="default"/>
                <w:sz w:val="18"/>
                <w:szCs w:val="18"/>
              </w:rPr>
              <w:t>国科火字〔</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2019-2021</w:t>
            </w:r>
            <w:r>
              <w:rPr>
                <w:rFonts w:ascii="宋体" w:hAnsi="宋体" w:cs="宋体" w:eastAsia="宋体" w:hint="default"/>
                <w:sz w:val="18"/>
                <w:szCs w:val="18"/>
              </w:rPr>
              <w:t>年</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35" w:right="0"/>
              <w:jc w:val="left"/>
              <w:rPr>
                <w:rFonts w:ascii="Times New Roman" w:hAnsi="Times New Roman" w:cs="Times New Roman" w:eastAsia="Times New Roman" w:hint="default"/>
                <w:sz w:val="18"/>
                <w:szCs w:val="18"/>
              </w:rPr>
            </w:pPr>
            <w:r>
              <w:rPr>
                <w:rFonts w:ascii="Times New Roman"/>
                <w:sz w:val="18"/>
              </w:rPr>
              <w:t>15%</w:t>
            </w:r>
          </w:p>
        </w:tc>
      </w:tr>
      <w:tr>
        <w:trPr>
          <w:trHeight w:val="653"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广西筑波公司</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《关于广西壮族自治区</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年第二批高新技术企业</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备案的复函》（国科火字〔</w:t>
            </w: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号）</w:t>
            </w:r>
            <w:r>
              <w:rPr>
                <w:rFonts w:ascii="宋体" w:hAnsi="宋体" w:cs="宋体" w:eastAsia="宋体" w:hint="default"/>
                <w:sz w:val="18"/>
                <w:szCs w:val="18"/>
              </w:rPr>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2019-2021</w:t>
            </w:r>
            <w:r>
              <w:rPr>
                <w:rFonts w:ascii="宋体" w:hAnsi="宋体" w:cs="宋体" w:eastAsia="宋体" w:hint="default"/>
                <w:sz w:val="18"/>
                <w:szCs w:val="18"/>
              </w:rPr>
              <w:t>年</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35" w:right="0"/>
              <w:jc w:val="left"/>
              <w:rPr>
                <w:rFonts w:ascii="Times New Roman" w:hAnsi="Times New Roman" w:cs="Times New Roman" w:eastAsia="Times New Roman" w:hint="default"/>
                <w:sz w:val="18"/>
                <w:szCs w:val="18"/>
              </w:rPr>
            </w:pPr>
            <w:r>
              <w:rPr>
                <w:rFonts w:ascii="Times New Roman"/>
                <w:sz w:val="18"/>
              </w:rPr>
              <w:t>15%</w:t>
            </w:r>
          </w:p>
        </w:tc>
      </w:tr>
      <w:tr>
        <w:trPr>
          <w:trHeight w:val="970"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南昌正元公司</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5"/>
              <w:ind w:left="4" w:right="-1"/>
              <w:jc w:val="both"/>
              <w:rPr>
                <w:rFonts w:ascii="宋体" w:hAnsi="宋体" w:cs="宋体" w:eastAsia="宋体" w:hint="default"/>
                <w:sz w:val="18"/>
                <w:szCs w:val="18"/>
              </w:rPr>
            </w:pPr>
            <w:r>
              <w:rPr>
                <w:rFonts w:ascii="宋体" w:hAnsi="宋体" w:cs="宋体" w:eastAsia="宋体" w:hint="default"/>
                <w:spacing w:val="2"/>
                <w:sz w:val="18"/>
                <w:szCs w:val="18"/>
              </w:rPr>
              <w:t>《江西省高企认定工作办公室关于公示江西省</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宋体" w:hAnsi="宋体" w:cs="宋体" w:eastAsia="宋体" w:hint="default"/>
                <w:spacing w:val="-5"/>
                <w:sz w:val="18"/>
                <w:szCs w:val="18"/>
              </w:rPr>
              <w:t>年第一批拟报备高新技术企业名单的通知》（赣高企</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认办〔</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2017-2019</w:t>
            </w:r>
            <w:r>
              <w:rPr>
                <w:rFonts w:ascii="宋体" w:hAnsi="宋体" w:cs="宋体" w:eastAsia="宋体" w:hint="default"/>
                <w:sz w:val="18"/>
                <w:szCs w:val="18"/>
              </w:rPr>
              <w:t>年</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835" w:right="0"/>
              <w:jc w:val="left"/>
              <w:rPr>
                <w:rFonts w:ascii="Times New Roman" w:hAnsi="Times New Roman" w:cs="Times New Roman" w:eastAsia="Times New Roman" w:hint="default"/>
                <w:sz w:val="18"/>
                <w:szCs w:val="18"/>
              </w:rPr>
            </w:pPr>
            <w:r>
              <w:rPr>
                <w:rFonts w:ascii="Times New Roman"/>
                <w:sz w:val="18"/>
              </w:rPr>
              <w:t>15%</w:t>
            </w:r>
          </w:p>
        </w:tc>
      </w:tr>
      <w:tr>
        <w:trPr>
          <w:trHeight w:val="653"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杭州容博公司</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5"/>
                <w:sz w:val="18"/>
                <w:szCs w:val="18"/>
              </w:rPr>
              <w:t>《关于浙江省</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年高新技术企业备案的复函》（国</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科火字〔</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r>
              <w:rPr>
                <w:rFonts w:ascii="宋体" w:hAnsi="宋体" w:cs="宋体" w:eastAsia="宋体" w:hint="default"/>
                <w:sz w:val="18"/>
                <w:szCs w:val="18"/>
              </w:rPr>
              <w:t>号）</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2018-2020</w:t>
            </w:r>
            <w:r>
              <w:rPr>
                <w:rFonts w:ascii="宋体" w:hAnsi="宋体" w:cs="宋体" w:eastAsia="宋体" w:hint="default"/>
                <w:sz w:val="18"/>
                <w:szCs w:val="18"/>
              </w:rPr>
              <w:t>年</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835" w:right="0"/>
              <w:jc w:val="left"/>
              <w:rPr>
                <w:rFonts w:ascii="Times New Roman" w:hAnsi="Times New Roman" w:cs="Times New Roman" w:eastAsia="Times New Roman" w:hint="default"/>
                <w:sz w:val="18"/>
                <w:szCs w:val="18"/>
              </w:rPr>
            </w:pPr>
            <w:r>
              <w:rPr>
                <w:rFonts w:ascii="Times New Roman"/>
                <w:sz w:val="18"/>
              </w:rPr>
              <w:t>15%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七、合并财务报表项目注释" w:id="217"/>
      <w:bookmarkEnd w:id="217"/>
      <w:r>
        <w:rPr>
          <w:b w:val="0"/>
          <w:bCs w:val="0"/>
        </w:rPr>
      </w:r>
      <w:r>
        <w:rPr/>
        <w:t>七、合并财务报表项目注释</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货币资金" w:id="218"/>
      <w:bookmarkEnd w:id="21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43,310.20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98,075.86</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234,281,312.07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220,949,796.59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7,423,948.67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3,209,216.10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241,748,570.94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224,257,088.55</w:t>
            </w:r>
          </w:p>
        </w:tc>
      </w:tr>
      <w:tr>
        <w:trPr>
          <w:trHeight w:val="71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0" w:firstLine="720"/>
              <w:jc w:val="left"/>
              <w:rPr>
                <w:rFonts w:ascii="宋体" w:hAnsi="宋体" w:cs="宋体" w:eastAsia="宋体" w:hint="default"/>
                <w:sz w:val="18"/>
                <w:szCs w:val="18"/>
              </w:rPr>
            </w:pPr>
            <w:r>
              <w:rPr>
                <w:rFonts w:ascii="宋体" w:hAnsi="宋体" w:cs="宋体" w:eastAsia="宋体" w:hint="default"/>
                <w:spacing w:val="-3"/>
                <w:sz w:val="18"/>
                <w:szCs w:val="18"/>
              </w:rPr>
              <w:t>因抵押、质押或冻结等对使用</w:t>
            </w:r>
            <w:r>
              <w:rPr>
                <w:rFonts w:ascii="宋体" w:hAnsi="宋体" w:cs="宋体" w:eastAsia="宋体" w:hint="default"/>
                <w:w w:val="101"/>
                <w:sz w:val="18"/>
                <w:szCs w:val="18"/>
              </w:rPr>
              <w:t> </w:t>
            </w:r>
            <w:r>
              <w:rPr>
                <w:rFonts w:ascii="宋体" w:hAnsi="宋体" w:cs="宋体" w:eastAsia="宋体" w:hint="default"/>
                <w:sz w:val="18"/>
                <w:szCs w:val="18"/>
              </w:rPr>
              <w:t>有限制的款项总额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7,151,702.13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3,114,234.87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89"/>
        <w:ind w:left="153" w:right="0" w:firstLine="0"/>
        <w:jc w:val="left"/>
        <w:rPr>
          <w:rFonts w:ascii="宋体" w:hAnsi="宋体" w:cs="宋体" w:eastAsia="宋体" w:hint="default"/>
          <w:sz w:val="21"/>
          <w:szCs w:val="21"/>
        </w:rPr>
      </w:pPr>
      <w:r>
        <w:rPr>
          <w:rFonts w:ascii="宋体" w:hAnsi="宋体" w:cs="宋体" w:eastAsia="宋体" w:hint="default"/>
          <w:sz w:val="21"/>
          <w:szCs w:val="21"/>
        </w:rPr>
        <w:t>抵押、质押或冻结等对使用有限制款项的说明</w:t>
      </w:r>
    </w:p>
    <w:p>
      <w:pPr>
        <w:spacing w:line="240" w:lineRule="auto" w:before="13"/>
        <w:rPr>
          <w:rFonts w:ascii="宋体" w:hAnsi="宋体" w:cs="宋体" w:eastAsia="宋体" w:hint="default"/>
          <w:sz w:val="3"/>
          <w:szCs w:val="3"/>
        </w:rPr>
      </w:pPr>
    </w:p>
    <w:tbl>
      <w:tblPr>
        <w:tblW w:w="0" w:type="auto"/>
        <w:jc w:val="left"/>
        <w:tblInd w:w="220" w:type="dxa"/>
        <w:tblLayout w:type="fixed"/>
        <w:tblCellMar>
          <w:top w:w="0" w:type="dxa"/>
          <w:left w:w="0" w:type="dxa"/>
          <w:bottom w:w="0" w:type="dxa"/>
          <w:right w:w="0" w:type="dxa"/>
        </w:tblCellMar>
        <w:tblLook w:val="01E0"/>
      </w:tblPr>
      <w:tblGrid>
        <w:gridCol w:w="4543"/>
        <w:gridCol w:w="1920"/>
        <w:gridCol w:w="3035"/>
      </w:tblGrid>
      <w:tr>
        <w:trPr>
          <w:trHeight w:val="341" w:hRule="exact"/>
        </w:trPr>
        <w:tc>
          <w:tcPr>
            <w:tcW w:w="4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2053"/>
              <w:jc w:val="right"/>
              <w:rPr>
                <w:rFonts w:ascii="宋体" w:hAnsi="宋体" w:cs="宋体" w:eastAsia="宋体" w:hint="default"/>
                <w:sz w:val="21"/>
                <w:szCs w:val="21"/>
              </w:rPr>
            </w:pPr>
            <w:r>
              <w:rPr>
                <w:rFonts w:ascii="宋体" w:hAnsi="宋体" w:cs="宋体" w:eastAsia="宋体" w:hint="default"/>
                <w:sz w:val="21"/>
                <w:szCs w:val="21"/>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64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0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6" w:hRule="exact"/>
        </w:trPr>
        <w:tc>
          <w:tcPr>
            <w:tcW w:w="454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银行存款</w:t>
            </w:r>
          </w:p>
        </w:tc>
        <w:tc>
          <w:tcPr>
            <w:tcW w:w="1920" w:type="dxa"/>
            <w:tcBorders>
              <w:top w:val="single" w:sz="4" w:space="0" w:color="000000"/>
              <w:left w:val="single" w:sz="4" w:space="0" w:color="000000"/>
              <w:bottom w:val="single" w:sz="4" w:space="0" w:color="000000"/>
              <w:right w:val="single" w:sz="4" w:space="0" w:color="000000"/>
            </w:tcBorders>
          </w:tcPr>
          <w:p>
            <w:pPr/>
          </w:p>
        </w:tc>
        <w:tc>
          <w:tcPr>
            <w:tcW w:w="303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543"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4" w:right="0"/>
              <w:jc w:val="left"/>
              <w:rPr>
                <w:rFonts w:ascii="Times New Roman" w:hAnsi="Times New Roman" w:cs="Times New Roman" w:eastAsia="Times New Roman" w:hint="default"/>
                <w:sz w:val="18"/>
                <w:szCs w:val="18"/>
              </w:rPr>
            </w:pPr>
            <w:r>
              <w:rPr>
                <w:rFonts w:ascii="宋体" w:hAnsi="宋体" w:cs="宋体" w:eastAsia="宋体" w:hint="default"/>
                <w:sz w:val="21"/>
                <w:szCs w:val="21"/>
              </w:rPr>
              <w:t>货款冻结</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176,398.64</w:t>
            </w:r>
          </w:p>
        </w:tc>
        <w:tc>
          <w:tcPr>
            <w:tcW w:w="303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54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其他货币资金</w:t>
            </w:r>
          </w:p>
        </w:tc>
        <w:tc>
          <w:tcPr>
            <w:tcW w:w="1920" w:type="dxa"/>
            <w:tcBorders>
              <w:top w:val="single" w:sz="4" w:space="0" w:color="000000"/>
              <w:left w:val="single" w:sz="4" w:space="0" w:color="000000"/>
              <w:bottom w:val="single" w:sz="4" w:space="0" w:color="000000"/>
              <w:right w:val="single" w:sz="4" w:space="0" w:color="000000"/>
            </w:tcBorders>
          </w:tcPr>
          <w:p>
            <w:pPr/>
          </w:p>
        </w:tc>
        <w:tc>
          <w:tcPr>
            <w:tcW w:w="303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54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6,218,024.84</w:t>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3,114,234.87</w:t>
            </w:r>
          </w:p>
        </w:tc>
      </w:tr>
      <w:tr>
        <w:trPr>
          <w:trHeight w:val="346" w:hRule="exact"/>
        </w:trPr>
        <w:tc>
          <w:tcPr>
            <w:tcW w:w="454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757,278.65</w:t>
            </w:r>
          </w:p>
        </w:tc>
        <w:tc>
          <w:tcPr>
            <w:tcW w:w="303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2053"/>
              <w:jc w:val="right"/>
              <w:rPr>
                <w:rFonts w:ascii="宋体" w:hAnsi="宋体" w:cs="宋体" w:eastAsia="宋体" w:hint="default"/>
                <w:sz w:val="21"/>
                <w:szCs w:val="21"/>
              </w:rPr>
            </w:pPr>
            <w:r>
              <w:rPr>
                <w:rFonts w:ascii="宋体" w:hAnsi="宋体" w:cs="宋体" w:eastAsia="宋体" w:hint="default"/>
                <w:sz w:val="21"/>
                <w:szCs w:val="21"/>
              </w:rPr>
              <w:t>小计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7,151,702.13</w:t>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3,114,234.87</w:t>
            </w:r>
          </w:p>
        </w:tc>
      </w:tr>
    </w:tbl>
    <w:p>
      <w:pPr>
        <w:spacing w:line="384" w:lineRule="auto" w:before="67"/>
        <w:ind w:left="153" w:right="1124"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r>
        <w:rPr>
          <w:rFonts w:ascii="宋体" w:hAnsi="宋体" w:cs="宋体" w:eastAsia="宋体" w:hint="default"/>
          <w:sz w:val="21"/>
          <w:szCs w:val="21"/>
        </w:rPr>
        <w:t>：货款冻结系公司与客户开立的共管账户，在项目完成前，账户内资金被银行冻结，无法随时支</w:t>
      </w:r>
      <w:r>
        <w:rPr>
          <w:rFonts w:ascii="宋体" w:hAnsi="宋体" w:cs="宋体" w:eastAsia="宋体" w:hint="default"/>
          <w:w w:val="100"/>
          <w:sz w:val="21"/>
          <w:szCs w:val="21"/>
        </w:rPr>
        <w:t> </w:t>
      </w:r>
      <w:r>
        <w:rPr>
          <w:rFonts w:ascii="宋体" w:hAnsi="宋体" w:cs="宋体" w:eastAsia="宋体" w:hint="default"/>
          <w:sz w:val="21"/>
          <w:szCs w:val="21"/>
        </w:rPr>
        <w:t>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交易性金融资产" w:id="219"/>
      <w:bookmarkEnd w:id="21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的金融资产</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理财产品投资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85"/>
        <w:ind w:left="575" w:right="0" w:firstLine="0"/>
        <w:jc w:val="left"/>
        <w:rPr>
          <w:rFonts w:ascii="宋体" w:hAnsi="宋体" w:cs="宋体" w:eastAsia="宋体" w:hint="default"/>
          <w:sz w:val="21"/>
          <w:szCs w:val="21"/>
        </w:rPr>
      </w:pPr>
      <w:r>
        <w:rPr>
          <w:rFonts w:ascii="宋体" w:hAnsi="宋体" w:cs="宋体" w:eastAsia="宋体" w:hint="default"/>
          <w:sz w:val="21"/>
          <w:szCs w:val="21"/>
        </w:rPr>
        <w:t>理财产品明细：</w:t>
      </w:r>
    </w:p>
    <w:p>
      <w:pPr>
        <w:spacing w:line="240" w:lineRule="auto" w:before="2"/>
        <w:rPr>
          <w:rFonts w:ascii="宋体" w:hAnsi="宋体" w:cs="宋体" w:eastAsia="宋体" w:hint="default"/>
          <w:sz w:val="4"/>
          <w:szCs w:val="4"/>
        </w:rPr>
      </w:pPr>
    </w:p>
    <w:tbl>
      <w:tblPr>
        <w:tblW w:w="0" w:type="auto"/>
        <w:jc w:val="left"/>
        <w:tblInd w:w="177" w:type="dxa"/>
        <w:tblLayout w:type="fixed"/>
        <w:tblCellMar>
          <w:top w:w="0" w:type="dxa"/>
          <w:left w:w="0" w:type="dxa"/>
          <w:bottom w:w="0" w:type="dxa"/>
          <w:right w:w="0" w:type="dxa"/>
        </w:tblCellMar>
        <w:tblLook w:val="01E0"/>
      </w:tblPr>
      <w:tblGrid>
        <w:gridCol w:w="2113"/>
        <w:gridCol w:w="2108"/>
        <w:gridCol w:w="2113"/>
        <w:gridCol w:w="1623"/>
        <w:gridCol w:w="1628"/>
      </w:tblGrid>
      <w:tr>
        <w:trPr>
          <w:trHeight w:val="425" w:hRule="exact"/>
        </w:trPr>
        <w:tc>
          <w:tcPr>
            <w:tcW w:w="21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sz w:val="18"/>
                <w:szCs w:val="18"/>
              </w:rPr>
              <w:t>银行名称</w:t>
            </w:r>
          </w:p>
        </w:tc>
        <w:tc>
          <w:tcPr>
            <w:tcW w:w="2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508" w:right="0"/>
              <w:jc w:val="left"/>
              <w:rPr>
                <w:rFonts w:ascii="宋体" w:hAnsi="宋体" w:cs="宋体" w:eastAsia="宋体" w:hint="default"/>
                <w:sz w:val="18"/>
                <w:szCs w:val="18"/>
              </w:rPr>
            </w:pPr>
            <w:r>
              <w:rPr>
                <w:rFonts w:ascii="宋体" w:hAnsi="宋体" w:cs="宋体" w:eastAsia="宋体" w:hint="default"/>
                <w:sz w:val="18"/>
                <w:szCs w:val="18"/>
              </w:rPr>
              <w:t>理财产品名称</w:t>
            </w:r>
          </w:p>
        </w:tc>
        <w:tc>
          <w:tcPr>
            <w:tcW w:w="21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14"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16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182" w:right="0"/>
              <w:jc w:val="left"/>
              <w:rPr>
                <w:rFonts w:ascii="宋体" w:hAnsi="宋体" w:cs="宋体" w:eastAsia="宋体" w:hint="default"/>
                <w:sz w:val="18"/>
                <w:szCs w:val="18"/>
              </w:rPr>
            </w:pPr>
            <w:r>
              <w:rPr>
                <w:rFonts w:ascii="宋体" w:hAnsi="宋体" w:cs="宋体" w:eastAsia="宋体" w:hint="default"/>
                <w:spacing w:val="-3"/>
                <w:sz w:val="18"/>
                <w:szCs w:val="18"/>
              </w:rPr>
              <w:t>预期年化收益率</w:t>
            </w:r>
          </w:p>
        </w:tc>
      </w:tr>
      <w:tr>
        <w:trPr>
          <w:trHeight w:val="658"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浙商银行杭州城西支行</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5"/>
              <w:ind w:left="206" w:right="7" w:hanging="19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浙商银行永乐</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号人民币理</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财产品</w:t>
            </w:r>
            <w:r>
              <w:rPr>
                <w:rFonts w:ascii="Times New Roman" w:hAnsi="Times New Roman" w:cs="Times New Roman" w:eastAsia="Times New Roman" w:hint="default"/>
                <w:sz w:val="18"/>
                <w:szCs w:val="18"/>
              </w:rPr>
              <w:t>90</w:t>
            </w:r>
            <w:r>
              <w:rPr>
                <w:rFonts w:ascii="宋体" w:hAnsi="宋体" w:cs="宋体" w:eastAsia="宋体" w:hint="default"/>
                <w:sz w:val="18"/>
                <w:szCs w:val="18"/>
              </w:rPr>
              <w:t>天型</w:t>
            </w:r>
            <w:r>
              <w:rPr>
                <w:rFonts w:ascii="Times New Roman" w:hAnsi="Times New Roman" w:cs="Times New Roman" w:eastAsia="Times New Roman" w:hint="default"/>
                <w:sz w:val="18"/>
                <w:szCs w:val="18"/>
              </w:rPr>
              <w:t>CB2247</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非保本浮动收益型</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11,000,000.00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4.03%</w:t>
            </w:r>
          </w:p>
        </w:tc>
      </w:tr>
      <w:tr>
        <w:trPr>
          <w:trHeight w:val="428" w:hRule="exact"/>
        </w:trPr>
        <w:tc>
          <w:tcPr>
            <w:tcW w:w="21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108"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11,000,000.00</w:t>
            </w: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3" w:right="0" w:firstLine="0"/>
        <w:jc w:val="left"/>
        <w:rPr>
          <w:rFonts w:ascii="宋体" w:hAnsi="宋体" w:cs="宋体" w:eastAsia="宋体" w:hint="default"/>
          <w:sz w:val="21"/>
          <w:szCs w:val="21"/>
        </w:rPr>
      </w:pPr>
      <w:bookmarkStart w:name="3、应收票据" w:id="220"/>
      <w:bookmarkEnd w:id="22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票据分类列示" w:id="221"/>
      <w:bookmarkEnd w:id="2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3167"/>
        <w:gridCol w:w="3203"/>
        <w:gridCol w:w="3194"/>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90"/>
              <w:jc w:val="right"/>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249,484.07</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390"/>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249,484.07</w:t>
            </w:r>
          </w:p>
        </w:tc>
        <w:tc>
          <w:tcPr>
            <w:tcW w:w="3194" w:type="dxa"/>
            <w:tcBorders>
              <w:top w:val="single" w:sz="4" w:space="0" w:color="000000"/>
              <w:left w:val="single" w:sz="4" w:space="0" w:color="000000"/>
              <w:bottom w:val="single" w:sz="4" w:space="0" w:color="000000"/>
              <w:right w:val="single" w:sz="4" w:space="0" w:color="000000"/>
            </w:tcBorders>
          </w:tcPr>
          <w:p>
            <w:pP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1397"/>
        <w:gridCol w:w="771"/>
        <w:gridCol w:w="763"/>
        <w:gridCol w:w="764"/>
        <w:gridCol w:w="898"/>
        <w:gridCol w:w="787"/>
        <w:gridCol w:w="778"/>
        <w:gridCol w:w="797"/>
        <w:gridCol w:w="932"/>
        <w:gridCol w:w="797"/>
        <w:gridCol w:w="879"/>
      </w:tblGrid>
      <w:tr>
        <w:trPr>
          <w:trHeight w:val="403" w:hRule="exact"/>
        </w:trPr>
        <w:tc>
          <w:tcPr>
            <w:tcW w:w="1397"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3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97" w:type="dxa"/>
            <w:vMerge/>
            <w:tcBorders>
              <w:left w:val="single" w:sz="4" w:space="0" w:color="000000"/>
              <w:bottom w:val="nil" w:sz="6" w:space="0" w:color="auto"/>
              <w:right w:val="single" w:sz="4" w:space="0" w:color="000000"/>
            </w:tcBorders>
            <w:shd w:val="clear" w:color="auto" w:fill="D2D2D2"/>
          </w:tcPr>
          <w:p>
            <w:pPr/>
          </w:p>
        </w:tc>
        <w:tc>
          <w:tcPr>
            <w:tcW w:w="1534" w:type="dxa"/>
            <w:gridSpan w:val="2"/>
            <w:vMerge/>
            <w:tcBorders>
              <w:left w:val="single" w:sz="4" w:space="0" w:color="000000"/>
              <w:bottom w:val="single" w:sz="4" w:space="0" w:color="000000"/>
              <w:right w:val="single" w:sz="4" w:space="0" w:color="000000"/>
            </w:tcBorders>
            <w:shd w:val="clear" w:color="auto" w:fill="D2D2D2"/>
          </w:tcPr>
          <w:p>
            <w:pPr/>
          </w:p>
        </w:tc>
        <w:tc>
          <w:tcPr>
            <w:tcW w:w="1662"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729" w:type="dxa"/>
            <w:gridSpan w:val="2"/>
            <w:vMerge/>
            <w:tcBorders>
              <w:left w:val="single" w:sz="4" w:space="0" w:color="000000"/>
              <w:bottom w:val="single" w:sz="4" w:space="0" w:color="000000"/>
              <w:right w:val="single" w:sz="4" w:space="0" w:color="000000"/>
            </w:tcBorders>
            <w:shd w:val="clear" w:color="auto" w:fill="D2D2D2"/>
          </w:tcPr>
          <w:p>
            <w:pPr/>
          </w:p>
        </w:tc>
        <w:tc>
          <w:tcPr>
            <w:tcW w:w="8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7" w:hRule="exact"/>
        </w:trPr>
        <w:tc>
          <w:tcPr>
            <w:tcW w:w="1397" w:type="dxa"/>
            <w:vMerge w:val="restart"/>
            <w:tcBorders>
              <w:top w:val="nil" w:sz="6" w:space="0" w:color="auto"/>
              <w:left w:val="single" w:sz="4" w:space="0" w:color="000000"/>
              <w:right w:val="single" w:sz="4" w:space="0" w:color="000000"/>
            </w:tcBorders>
            <w:shd w:val="clear" w:color="auto" w:fill="D2D2D2"/>
          </w:tcPr>
          <w:p>
            <w:pPr/>
          </w:p>
        </w:tc>
        <w:tc>
          <w:tcPr>
            <w:tcW w:w="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8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879"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397" w:type="dxa"/>
            <w:vMerge/>
            <w:tcBorders>
              <w:left w:val="single" w:sz="4" w:space="0" w:color="000000"/>
              <w:bottom w:val="single" w:sz="4" w:space="0" w:color="000000"/>
              <w:right w:val="single" w:sz="4" w:space="0" w:color="000000"/>
            </w:tcBorders>
            <w:shd w:val="clear" w:color="auto" w:fill="D2D2D2"/>
          </w:tcPr>
          <w:p>
            <w:pPr/>
          </w:p>
        </w:tc>
        <w:tc>
          <w:tcPr>
            <w:tcW w:w="771"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111"/>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准备的应收票据</w:t>
            </w:r>
          </w:p>
        </w:tc>
        <w:tc>
          <w:tcPr>
            <w:tcW w:w="7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262,614.</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13,130.7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249,484.0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262,614.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13,130.7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249,484.0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262,614.</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13,130.7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249,484.0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765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13,130.74</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商业承兑汇票组合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262,614.81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13,130.74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262,614.81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13,130.74</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362"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6" w:space="6694"/>
            <w:col w:w="210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如是按照预期信用损失一般模型计提应收票据坏账准备，请参照其他应收款的披露方式披露坏账准备的相关信息：</w:t>
      </w:r>
    </w:p>
    <w:p>
      <w:pPr>
        <w:spacing w:before="3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本期计提、收回或转回的坏账准备情况"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13,130.74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13,130.74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13,130.74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13,130.74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2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期末公司已质押的应收票据" w:id="223"/>
      <w:bookmarkEnd w:id="2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4）期末公司已背书或贴现且在资产负债表日尚未到期的应收票据" w:id="224"/>
      <w:bookmarkEnd w:id="2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5）期末公司因出票人未履约而将其转应收账款的票据"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79" w:right="0"/>
              <w:jc w:val="left"/>
              <w:rPr>
                <w:rFonts w:ascii="宋体" w:hAnsi="宋体" w:cs="宋体" w:eastAsia="宋体" w:hint="default"/>
                <w:sz w:val="18"/>
                <w:szCs w:val="18"/>
              </w:rPr>
            </w:pPr>
            <w:r>
              <w:rPr>
                <w:rFonts w:ascii="宋体" w:hAnsi="宋体" w:cs="宋体" w:eastAsia="宋体" w:hint="default"/>
                <w:spacing w:val="-3"/>
                <w:sz w:val="18"/>
                <w:szCs w:val="18"/>
              </w:rPr>
              <w:t>期末转应收账款金额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本期实际核销的应收票据情况" w:id="226"/>
      <w:bookmarkEnd w:id="2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）本期实际核销的应收票据情况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其中重要的应收票据核销情况：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应收票据核销说明：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应收账款" w:id="227"/>
      <w:bookmarkEnd w:id="22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账款分类披露"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3"/>
        <w:gridCol w:w="776"/>
        <w:gridCol w:w="758"/>
        <w:gridCol w:w="764"/>
        <w:gridCol w:w="764"/>
        <w:gridCol w:w="787"/>
        <w:gridCol w:w="778"/>
        <w:gridCol w:w="797"/>
        <w:gridCol w:w="797"/>
        <w:gridCol w:w="792"/>
        <w:gridCol w:w="931"/>
      </w:tblGrid>
      <w:tr>
        <w:trPr>
          <w:trHeight w:val="398" w:hRule="exact"/>
        </w:trPr>
        <w:tc>
          <w:tcPr>
            <w:tcW w:w="1613"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8" w:hRule="exact"/>
        </w:trPr>
        <w:tc>
          <w:tcPr>
            <w:tcW w:w="1613" w:type="dxa"/>
            <w:vMerge/>
            <w:tcBorders>
              <w:left w:val="single" w:sz="4" w:space="0" w:color="000000"/>
              <w:bottom w:val="nil" w:sz="6" w:space="0" w:color="auto"/>
              <w:right w:val="single" w:sz="4" w:space="0" w:color="000000"/>
            </w:tcBorders>
            <w:shd w:val="clear" w:color="auto" w:fill="D2D2D2"/>
          </w:tcPr>
          <w:p>
            <w:pPr/>
          </w:p>
        </w:tc>
        <w:tc>
          <w:tcPr>
            <w:tcW w:w="15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4"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13" w:type="dxa"/>
            <w:vMerge/>
            <w:tcBorders>
              <w:left w:val="single" w:sz="4" w:space="0" w:color="000000"/>
              <w:bottom w:val="single" w:sz="4" w:space="0" w:color="FFFFFF"/>
              <w:right w:val="single" w:sz="4" w:space="0" w:color="000000"/>
            </w:tcBorders>
            <w:shd w:val="clear" w:color="auto" w:fill="D2D2D2"/>
          </w:tcPr>
          <w:p>
            <w:pPr/>
          </w:p>
        </w:tc>
        <w:tc>
          <w:tcPr>
            <w:tcW w:w="77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3" w:type="dxa"/>
            <w:vMerge w:val="restart"/>
            <w:tcBorders>
              <w:top w:val="single" w:sz="4" w:space="0" w:color="FFFFFF"/>
              <w:left w:val="single" w:sz="4" w:space="0" w:color="000000"/>
              <w:right w:val="single" w:sz="4" w:space="0" w:color="000000"/>
            </w:tcBorders>
            <w:shd w:val="clear" w:color="auto" w:fill="D2D2D2"/>
          </w:tcPr>
          <w:p>
            <w:pPr/>
          </w:p>
        </w:tc>
        <w:tc>
          <w:tcPr>
            <w:tcW w:w="7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3" w:type="dxa"/>
            <w:vMerge/>
            <w:tcBorders>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613"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144"/>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920,000.0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44"/>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494,268,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912.87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68,393,6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96.26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13.84%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425,875,2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16.61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364,430,5</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90.25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49,667,98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314,762,60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6.52</w:t>
            </w:r>
          </w:p>
        </w:tc>
      </w:tr>
      <w:tr>
        <w:trPr>
          <w:trHeight w:val="398"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3" w:hRule="exact"/>
        </w:trPr>
        <w:tc>
          <w:tcPr>
            <w:tcW w:w="16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10" w:space="0" w:color="D2D2D2"/>
              <w:right w:val="single" w:sz="4" w:space="0" w:color="000000"/>
            </w:tcBorders>
          </w:tcPr>
          <w:p>
            <w:pPr>
              <w:pStyle w:val="TableParagraph"/>
              <w:spacing w:line="240" w:lineRule="auto" w:before="100"/>
              <w:ind w:left="83" w:right="0"/>
              <w:jc w:val="center"/>
              <w:rPr>
                <w:rFonts w:ascii="Times New Roman" w:hAnsi="Times New Roman" w:cs="Times New Roman" w:eastAsia="Times New Roman" w:hint="default"/>
                <w:sz w:val="18"/>
                <w:szCs w:val="18"/>
              </w:rPr>
            </w:pPr>
            <w:r>
              <w:rPr>
                <w:rFonts w:ascii="Times New Roman"/>
                <w:sz w:val="18"/>
              </w:rPr>
              <w:t>494,268,</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912.87</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68,393,6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96.26</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13.84%</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425,875,2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16.61</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365,350,5</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90.25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0"/>
              <w:ind w:left="48" w:right="0"/>
              <w:jc w:val="left"/>
              <w:rPr>
                <w:rFonts w:ascii="Times New Roman" w:hAnsi="Times New Roman" w:cs="Times New Roman" w:eastAsia="Times New Roman" w:hint="default"/>
                <w:sz w:val="18"/>
                <w:szCs w:val="18"/>
              </w:rPr>
            </w:pPr>
            <w:r>
              <w:rPr>
                <w:rFonts w:ascii="Times New Roman"/>
                <w:sz w:val="18"/>
              </w:rPr>
              <w:t>50,587,98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13.85%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314,762,60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6.52</w:t>
            </w:r>
          </w:p>
        </w:tc>
      </w:tr>
      <w:tr>
        <w:trPr>
          <w:trHeight w:val="394" w:hRule="exact"/>
        </w:trPr>
        <w:tc>
          <w:tcPr>
            <w:tcW w:w="16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76" w:type="dxa"/>
            <w:vMerge/>
            <w:tcBorders>
              <w:left w:val="single" w:sz="10" w:space="0" w:color="D2D2D2"/>
              <w:right w:val="single" w:sz="4" w:space="0" w:color="000000"/>
            </w:tcBorders>
          </w:tcPr>
          <w:p>
            <w:pPr/>
          </w:p>
        </w:tc>
        <w:tc>
          <w:tcPr>
            <w:tcW w:w="758"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58" w:hRule="exact"/>
        </w:trPr>
        <w:tc>
          <w:tcPr>
            <w:tcW w:w="16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vMerge/>
            <w:tcBorders>
              <w:left w:val="single" w:sz="10" w:space="0" w:color="D2D2D2"/>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68,393,696.26</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494,268,912.87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68,393,696.26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13.84%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494,268,912.87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68,393,696.26</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362"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6" w:space="6694"/>
            <w:col w:w="210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2"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38" w:lineRule="auto" w:before="23"/>
        <w:ind w:left="153" w:right="92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90"/>
              <w:jc w:val="right"/>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297,916,914.20</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2"/>
                <w:sz w:val="18"/>
              </w:rPr>
              <w:t>114,516,996.76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36,544,463.74</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45,290,538.17</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23,372,309.19</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12,607,859.19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9,310,369.79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90"/>
              <w:jc w:val="righ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494,268,912.87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公司需要遵守《深圳证券交易所行业信息披露指引第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本期计提、收回或转回的坏账准备情况" w:id="229"/>
      <w:bookmarkEnd w:id="2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单项计提坏账准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-920,000.00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49,667,983.73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17,805,712.53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920,000.00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68,393,696.26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50,587,983.73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17,805,712.53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68,393,696.26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按欠款方归集的期末余额前五名的应收账款情况" w:id="230"/>
      <w:bookmarkEnd w:id="2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715"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80" w:right="79" w:hanging="989"/>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24,051,352.00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4.87%</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1,202,567.60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22,987,741.00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4.65%</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2,626,441.09</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20,008,333.37</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4.05%</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2,000,833.34</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15,348,255.03</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3.10%</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767,412.75</w:t>
            </w:r>
          </w:p>
        </w:tc>
      </w:tr>
      <w:tr>
        <w:trPr>
          <w:trHeight w:val="39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9,481,000.00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1.92%</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474,050.00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91,876,681.40</w:t>
            </w:r>
          </w:p>
        </w:tc>
        <w:tc>
          <w:tcPr>
            <w:tcW w:w="2526" w:type="dxa"/>
            <w:tcBorders>
              <w:top w:val="single" w:sz="4" w:space="0" w:color="000000"/>
              <w:left w:val="single" w:sz="4" w:space="0" w:color="000000"/>
              <w:bottom w:val="single" w:sz="4" w:space="0" w:color="000000"/>
              <w:right w:val="single" w:sz="16" w:space="0" w:color="D2D2D2"/>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18.59%</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5、应收款项融资" w:id="231"/>
      <w:bookmarkEnd w:id="23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1"/>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2,120,913.49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1,942,145.00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1"/>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2,120,913.49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1,942,145.00</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应收款项融资本期增减变动及公允价值变动情况</w:t>
      </w:r>
    </w:p>
    <w:p>
      <w:pPr>
        <w:spacing w:line="333" w:lineRule="auto" w:before="119"/>
        <w:ind w:left="153" w:right="31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应收款项融资余额期末较期初增长</w:t>
      </w:r>
      <w:r>
        <w:rPr>
          <w:rFonts w:ascii="Times New Roman" w:hAnsi="Times New Roman" w:cs="Times New Roman" w:eastAsia="Times New Roman" w:hint="default"/>
          <w:spacing w:val="-3"/>
          <w:sz w:val="18"/>
          <w:szCs w:val="18"/>
        </w:rPr>
        <w:t>9.20%</w:t>
      </w:r>
      <w:r>
        <w:rPr>
          <w:rFonts w:ascii="宋体" w:hAnsi="宋体" w:cs="宋体" w:eastAsia="宋体" w:hint="default"/>
          <w:spacing w:val="-3"/>
          <w:sz w:val="18"/>
          <w:szCs w:val="18"/>
        </w:rPr>
        <w:t>，主要系期末收到的未兑付银行承兑汇票余额增加所致。</w:t>
      </w:r>
    </w:p>
    <w:p>
      <w:pPr>
        <w:spacing w:before="28"/>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如是按照预期信用损失一般模型计提应收款项融资减值准备，请参照其他应收款的披露方式披露减值准备的相关信息：</w:t>
      </w:r>
    </w:p>
    <w:p>
      <w:pPr>
        <w:spacing w:line="338" w:lineRule="auto" w:before="119"/>
        <w:ind w:left="153" w:right="92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before="11"/>
        <w:ind w:left="575" w:right="0" w:firstLine="0"/>
        <w:jc w:val="left"/>
        <w:rPr>
          <w:rFonts w:ascii="宋体" w:hAnsi="宋体" w:cs="宋体" w:eastAsia="宋体" w:hint="default"/>
          <w:sz w:val="21"/>
          <w:szCs w:val="21"/>
        </w:rPr>
      </w:pPr>
      <w:r>
        <w:rPr>
          <w:rFonts w:ascii="宋体" w:hAnsi="宋体" w:cs="宋体" w:eastAsia="宋体" w:hint="default"/>
          <w:sz w:val="21"/>
          <w:szCs w:val="21"/>
        </w:rPr>
        <w:t>期末公司已背书或贴现且在资产负债表日尚未到期的应收票据情况</w:t>
      </w:r>
    </w:p>
    <w:p>
      <w:pPr>
        <w:spacing w:line="240" w:lineRule="auto" w:before="11"/>
        <w:rPr>
          <w:rFonts w:ascii="宋体" w:hAnsi="宋体" w:cs="宋体" w:eastAsia="宋体"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4692"/>
        <w:gridCol w:w="4951"/>
      </w:tblGrid>
      <w:tr>
        <w:trPr>
          <w:trHeight w:val="365" w:hRule="exact"/>
        </w:trPr>
        <w:tc>
          <w:tcPr>
            <w:tcW w:w="46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right="2154"/>
              <w:jc w:val="right"/>
              <w:rPr>
                <w:rFonts w:ascii="宋体" w:hAnsi="宋体" w:cs="宋体" w:eastAsia="宋体" w:hint="default"/>
                <w:sz w:val="18"/>
                <w:szCs w:val="18"/>
              </w:rPr>
            </w:pPr>
            <w:r>
              <w:rPr>
                <w:rFonts w:ascii="宋体" w:hAnsi="宋体" w:cs="宋体" w:eastAsia="宋体" w:hint="default"/>
                <w:sz w:val="18"/>
                <w:szCs w:val="18"/>
              </w:rPr>
              <w:t>项目</w:t>
            </w:r>
          </w:p>
        </w:tc>
        <w:tc>
          <w:tcPr>
            <w:tcW w:w="4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期末终止确认金额</w:t>
            </w:r>
          </w:p>
        </w:tc>
      </w:tr>
      <w:tr>
        <w:trPr>
          <w:trHeight w:val="379" w:hRule="exact"/>
        </w:trPr>
        <w:tc>
          <w:tcPr>
            <w:tcW w:w="4692" w:type="dxa"/>
            <w:tcBorders>
              <w:top w:val="single" w:sz="10" w:space="0" w:color="D9D9D9"/>
              <w:left w:val="single" w:sz="4" w:space="0" w:color="000000"/>
              <w:bottom w:val="single" w:sz="4" w:space="0" w:color="000000"/>
              <w:right w:val="single" w:sz="4" w:space="0" w:color="000000"/>
            </w:tcBorders>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4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2,541,951.02</w:t>
            </w:r>
          </w:p>
        </w:tc>
      </w:tr>
      <w:tr>
        <w:trPr>
          <w:trHeight w:val="370" w:hRule="exact"/>
        </w:trPr>
        <w:tc>
          <w:tcPr>
            <w:tcW w:w="46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5"/>
              <w:ind w:right="2154"/>
              <w:jc w:val="right"/>
              <w:rPr>
                <w:rFonts w:ascii="宋体" w:hAnsi="宋体" w:cs="宋体" w:eastAsia="宋体" w:hint="default"/>
                <w:sz w:val="18"/>
                <w:szCs w:val="18"/>
              </w:rPr>
            </w:pPr>
            <w:r>
              <w:rPr>
                <w:rFonts w:ascii="宋体" w:hAnsi="宋体" w:cs="宋体" w:eastAsia="宋体" w:hint="default"/>
                <w:sz w:val="18"/>
                <w:szCs w:val="18"/>
              </w:rPr>
              <w:t>小计</w:t>
            </w:r>
          </w:p>
        </w:tc>
        <w:tc>
          <w:tcPr>
            <w:tcW w:w="4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2,541,951.02</w:t>
            </w:r>
          </w:p>
        </w:tc>
      </w:tr>
    </w:tbl>
    <w:p>
      <w:pPr>
        <w:spacing w:line="260" w:lineRule="exact" w:before="0"/>
        <w:ind w:left="153" w:right="0" w:firstLine="422"/>
        <w:jc w:val="left"/>
        <w:rPr>
          <w:rFonts w:ascii="宋体" w:hAnsi="宋体" w:cs="宋体" w:eastAsia="宋体" w:hint="default"/>
          <w:sz w:val="21"/>
          <w:szCs w:val="21"/>
        </w:rPr>
      </w:pPr>
      <w:r>
        <w:rPr>
          <w:rFonts w:ascii="宋体" w:hAnsi="宋体" w:cs="宋体" w:eastAsia="宋体" w:hint="default"/>
          <w:sz w:val="21"/>
          <w:szCs w:val="21"/>
        </w:rPr>
        <w:t>银行承兑汇票的承兑人是商业银行，由于商业银行具有较高的信用，银行承兑汇票到期不获支付的可</w:t>
      </w:r>
    </w:p>
    <w:p>
      <w:pPr>
        <w:spacing w:before="37"/>
        <w:ind w:left="153" w:right="0" w:firstLine="0"/>
        <w:jc w:val="left"/>
        <w:rPr>
          <w:rFonts w:ascii="宋体" w:hAnsi="宋体" w:cs="宋体" w:eastAsia="宋体" w:hint="default"/>
          <w:sz w:val="21"/>
          <w:szCs w:val="21"/>
        </w:rPr>
      </w:pPr>
      <w:r>
        <w:rPr>
          <w:rFonts w:ascii="宋体" w:hAnsi="宋体" w:cs="宋体" w:eastAsia="宋体" w:hint="default"/>
          <w:sz w:val="21"/>
          <w:szCs w:val="21"/>
        </w:rPr>
        <w:t>能性较低，故本公司将已背书或贴现的银行承兑汇票予以终止确认。但如果该等票据到期不获支付，依据</w:t>
      </w:r>
    </w:p>
    <w:p>
      <w:pPr>
        <w:spacing w:before="37"/>
        <w:ind w:left="153" w:right="0" w:firstLine="0"/>
        <w:jc w:val="left"/>
        <w:rPr>
          <w:rFonts w:ascii="宋体" w:hAnsi="宋体" w:cs="宋体" w:eastAsia="宋体" w:hint="default"/>
          <w:sz w:val="21"/>
          <w:szCs w:val="21"/>
        </w:rPr>
      </w:pPr>
      <w:r>
        <w:rPr>
          <w:rFonts w:ascii="宋体" w:hAnsi="宋体" w:cs="宋体" w:eastAsia="宋体" w:hint="default"/>
          <w:sz w:val="21"/>
          <w:szCs w:val="21"/>
        </w:rPr>
        <w:t>《票据法》之规定，公司仍将对持票人承担连带责任。</w:t>
      </w:r>
    </w:p>
    <w:p>
      <w:pPr>
        <w:spacing w:after="0"/>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6、预付款项" w:id="232"/>
      <w:bookmarkEnd w:id="23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预付款项按账龄列示" w:id="233"/>
      <w:bookmarkEnd w:id="2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6"/>
        <w:gridCol w:w="1916"/>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10,081,155.38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10,853,462.79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59.81%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301,183.91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6,316,844.69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34.82%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5,379,255.53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850,261.19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4.69%</w:t>
            </w:r>
          </w:p>
        </w:tc>
      </w:tr>
      <w:tr>
        <w:trPr>
          <w:trHeight w:val="3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197,836.81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123,189.90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15,959,431.63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18,143,758.57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账龄超过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年且金额重要的预付款项未及时结算原因的说明：</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按预付对象归集的期末余额前五名的预付款情况" w:id="234"/>
      <w:bookmarkEnd w:id="2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212"/>
        <w:gridCol w:w="3217"/>
        <w:gridCol w:w="3213"/>
      </w:tblGrid>
      <w:tr>
        <w:trPr>
          <w:trHeight w:val="331"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566"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占预付款项余额的比例</w:t>
            </w:r>
            <w:r>
              <w:rPr>
                <w:rFonts w:ascii="Times New Roman" w:hAnsi="Times New Roman" w:cs="Times New Roman" w:eastAsia="Times New Roman" w:hint="default"/>
                <w:spacing w:val="-3"/>
                <w:sz w:val="18"/>
                <w:szCs w:val="18"/>
              </w:rPr>
              <w:t>(%)</w:t>
            </w:r>
          </w:p>
        </w:tc>
      </w:tr>
      <w:tr>
        <w:trPr>
          <w:trHeight w:val="351"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5,252,222.00</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32.91</w:t>
            </w:r>
          </w:p>
        </w:tc>
      </w:tr>
      <w:tr>
        <w:trPr>
          <w:trHeight w:val="346"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600,000.00</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3.76</w:t>
            </w:r>
          </w:p>
        </w:tc>
      </w:tr>
      <w:tr>
        <w:trPr>
          <w:trHeight w:val="341"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532,945.50</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3.34</w:t>
            </w:r>
          </w:p>
        </w:tc>
      </w:tr>
      <w:tr>
        <w:trPr>
          <w:trHeight w:val="341"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500,000.00</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3.13</w:t>
            </w:r>
          </w:p>
        </w:tc>
      </w:tr>
      <w:tr>
        <w:trPr>
          <w:trHeight w:val="341"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412,915.53</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2.59</w:t>
            </w:r>
          </w:p>
        </w:tc>
      </w:tr>
      <w:tr>
        <w:trPr>
          <w:trHeight w:val="346"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7,298,083.03</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45.73</w:t>
            </w:r>
          </w:p>
        </w:tc>
      </w:tr>
    </w:tbl>
    <w:p>
      <w:pPr>
        <w:spacing w:before="1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3" w:right="0" w:firstLine="0"/>
        <w:jc w:val="left"/>
        <w:rPr>
          <w:rFonts w:ascii="宋体" w:hAnsi="宋体" w:cs="宋体" w:eastAsia="宋体" w:hint="default"/>
          <w:sz w:val="21"/>
          <w:szCs w:val="21"/>
        </w:rPr>
      </w:pPr>
      <w:bookmarkStart w:name="7、其他应收款" w:id="235"/>
      <w:bookmarkEnd w:id="235"/>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90"/>
              <w:jc w:val="right"/>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39,912,442.69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32,418,763.19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90"/>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39,912,442.69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32,418,763.19</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其他应收款"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其他应收款按款项性质分类情况" w:id="237"/>
      <w:bookmarkEnd w:id="23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33,111,704.07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24,266,179.06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10,386,955.27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6,047,213.66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应收软件增值税退税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4,675,118.49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3,710,239.21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2,022,523.24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870,158.92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689,713.23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48,079,057.47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37,700,747.68</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坏账准备计提情况" w:id="238"/>
      <w:bookmarkEnd w:id="23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3"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5"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933,612.47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1,326,768.36</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3,021,603.66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5,281,984.49</w:t>
            </w:r>
          </w:p>
        </w:tc>
      </w:tr>
      <w:tr>
        <w:trPr>
          <w:trHeight w:val="158"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-247,325.70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247,325.70</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-961,061.88</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961,061.88</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771,284.67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-118,380.77</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2,231,726.39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2,884,630.29</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1,457,571.44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494,651.41</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6,214,391.93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8,166,614.78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43" w:lineRule="auto" w:before="115"/>
        <w:ind w:left="153"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90"/>
              <w:jc w:val="right"/>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29,151,428.28</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4,946,514.08</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9,610,618.77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4,370,496.34</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1,747,373.04</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828,017.65</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1,795,105.65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90"/>
              <w:jc w:val="righ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48,079,057.47</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本期计提、收回或转回的坏账准备情况" w:id="239"/>
      <w:bookmarkEnd w:id="23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340"/>
        <w:gridCol w:w="1330"/>
        <w:gridCol w:w="1330"/>
        <w:gridCol w:w="1330"/>
        <w:gridCol w:w="1724"/>
      </w:tblGrid>
      <w:tr>
        <w:trPr>
          <w:trHeight w:val="403"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78"/>
              <w:jc w:val="right"/>
              <w:rPr>
                <w:rFonts w:ascii="宋体" w:hAnsi="宋体" w:cs="宋体" w:eastAsia="宋体" w:hint="default"/>
                <w:sz w:val="18"/>
                <w:szCs w:val="18"/>
              </w:rPr>
            </w:pPr>
            <w:r>
              <w:rPr>
                <w:rFonts w:ascii="宋体" w:hAnsi="宋体" w:cs="宋体" w:eastAsia="宋体" w:hint="default"/>
                <w:spacing w:val="-2"/>
                <w:sz w:val="18"/>
                <w:szCs w:val="18"/>
              </w:rPr>
              <w:t>其他应收款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Times New Roman" w:hAnsi="Times New Roman" w:cs="Times New Roman" w:eastAsia="Times New Roman" w:hint="default"/>
                <w:sz w:val="18"/>
                <w:szCs w:val="18"/>
              </w:rPr>
            </w:pPr>
            <w:r>
              <w:rPr>
                <w:rFonts w:ascii="Times New Roman"/>
                <w:sz w:val="18"/>
              </w:rPr>
              <w:t>5,281,984.49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2,884,630.29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8,166,614.78</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6"/>
              <w:jc w:val="righ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5,281,984.49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2,884,630.29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8,166,614.78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其中本期坏账准备转回或收回金额重要的：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4）按欠款方归集的期末余额前五名的其他应收款情况" w:id="240"/>
      <w:bookmarkEnd w:id="24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64,400.00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1,051,659.60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52,582.98</w:t>
            </w: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7,219,659.60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2,196,982.98</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8、存货" w:id="241"/>
      <w:bookmarkEnd w:id="24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存货分类" w:id="242"/>
      <w:bookmarkEnd w:id="2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206"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10,276,422.30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10,276,422.30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7,257,306.89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6" w:right="0"/>
              <w:jc w:val="center"/>
              <w:rPr>
                <w:rFonts w:ascii="Times New Roman" w:hAnsi="Times New Roman" w:cs="Times New Roman" w:eastAsia="Times New Roman" w:hint="default"/>
                <w:sz w:val="18"/>
                <w:szCs w:val="18"/>
              </w:rPr>
            </w:pPr>
            <w:r>
              <w:rPr>
                <w:rFonts w:ascii="Times New Roman"/>
                <w:sz w:val="18"/>
              </w:rPr>
              <w:t>7,257,306.89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18,839,848.78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340,805.52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18,499,043.26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30,240,263.77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197,766.88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center"/>
              <w:rPr>
                <w:rFonts w:ascii="Times New Roman" w:hAnsi="Times New Roman" w:cs="Times New Roman" w:eastAsia="Times New Roman" w:hint="default"/>
                <w:sz w:val="18"/>
                <w:szCs w:val="18"/>
              </w:rPr>
            </w:pPr>
            <w:r>
              <w:rPr>
                <w:rFonts w:ascii="Times New Roman"/>
                <w:sz w:val="18"/>
              </w:rPr>
              <w:t>30,042,496.89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182,745,421.73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182,745,421.73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131,380,253.72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131,380,253.72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1,962,886.41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1,962,886.41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213,824,579.22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340,805.52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213,483,773.70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168,877,824.38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197,766.88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168,680,057.50</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2）存货跌价准备" w:id="243"/>
      <w:bookmarkEnd w:id="2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207"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7"/>
              <w:jc w:val="right"/>
              <w:rPr>
                <w:rFonts w:ascii="Times New Roman" w:hAnsi="Times New Roman" w:cs="Times New Roman" w:eastAsia="Times New Roman" w:hint="default"/>
                <w:sz w:val="18"/>
                <w:szCs w:val="18"/>
              </w:rPr>
            </w:pPr>
            <w:r>
              <w:rPr>
                <w:rFonts w:ascii="Times New Roman"/>
                <w:spacing w:val="-1"/>
                <w:sz w:val="18"/>
              </w:rPr>
              <w:t>197,766.88</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67"/>
              <w:jc w:val="right"/>
              <w:rPr>
                <w:rFonts w:ascii="Times New Roman" w:hAnsi="Times New Roman" w:cs="Times New Roman" w:eastAsia="Times New Roman" w:hint="default"/>
                <w:sz w:val="18"/>
                <w:szCs w:val="18"/>
              </w:rPr>
            </w:pPr>
            <w:r>
              <w:rPr>
                <w:rFonts w:ascii="Times New Roman"/>
                <w:spacing w:val="-1"/>
                <w:sz w:val="18"/>
              </w:rPr>
              <w:t>207,705.73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64,667.09</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3" w:right="0"/>
              <w:jc w:val="left"/>
              <w:rPr>
                <w:rFonts w:ascii="Times New Roman" w:hAnsi="Times New Roman" w:cs="Times New Roman" w:eastAsia="Times New Roman" w:hint="default"/>
                <w:sz w:val="18"/>
                <w:szCs w:val="18"/>
              </w:rPr>
            </w:pPr>
            <w:r>
              <w:rPr>
                <w:rFonts w:ascii="Times New Roman"/>
                <w:sz w:val="18"/>
              </w:rPr>
              <w:t>340,805.52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7"/>
              <w:jc w:val="right"/>
              <w:rPr>
                <w:rFonts w:ascii="Times New Roman" w:hAnsi="Times New Roman" w:cs="Times New Roman" w:eastAsia="Times New Roman" w:hint="default"/>
                <w:sz w:val="18"/>
                <w:szCs w:val="18"/>
              </w:rPr>
            </w:pPr>
            <w:r>
              <w:rPr>
                <w:rFonts w:ascii="Times New Roman"/>
                <w:spacing w:val="-1"/>
                <w:sz w:val="18"/>
              </w:rPr>
              <w:t>197,766.88</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67"/>
              <w:jc w:val="right"/>
              <w:rPr>
                <w:rFonts w:ascii="Times New Roman" w:hAnsi="Times New Roman" w:cs="Times New Roman" w:eastAsia="Times New Roman" w:hint="default"/>
                <w:sz w:val="18"/>
                <w:szCs w:val="18"/>
              </w:rPr>
            </w:pPr>
            <w:r>
              <w:rPr>
                <w:rFonts w:ascii="Times New Roman"/>
                <w:spacing w:val="-1"/>
                <w:sz w:val="18"/>
              </w:rPr>
              <w:t>207,705.73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64,667.09</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3" w:right="0"/>
              <w:jc w:val="left"/>
              <w:rPr>
                <w:rFonts w:ascii="Times New Roman" w:hAnsi="Times New Roman" w:cs="Times New Roman" w:eastAsia="Times New Roman" w:hint="default"/>
                <w:sz w:val="18"/>
                <w:szCs w:val="18"/>
              </w:rPr>
            </w:pPr>
            <w:r>
              <w:rPr>
                <w:rFonts w:ascii="Times New Roman"/>
                <w:sz w:val="18"/>
              </w:rPr>
              <w:t>340,805.52</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存货期末余额含有借款费用资本化金额的说明"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期末建造合同形成的已完工未结算资产情况"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9、其他流动资产" w:id="246"/>
      <w:bookmarkEnd w:id="24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5,907,659.14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6,041,911.53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待抵扣增值税进项税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7,575,445.09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4,317,855.58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第三方支付机构存款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注</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1,110,752.28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可转债发行费用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674,528.30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15,268,384.81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10,359,767.11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84"/>
        <w:ind w:left="1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：公司洗衣业务存放于第三方支付机构尚未提现的款项。</w:t>
      </w:r>
    </w:p>
    <w:p>
      <w:pPr>
        <w:spacing w:line="240" w:lineRule="auto" w:before="10"/>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10、可供出售金融资产" w:id="247"/>
      <w:bookmarkEnd w:id="247"/>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12"/>
        <w:rPr>
          <w:rFonts w:ascii="宋体" w:hAnsi="宋体" w:cs="宋体" w:eastAsia="宋体" w:hint="default"/>
          <w:b/>
          <w:bCs/>
          <w:sz w:val="32"/>
          <w:szCs w:val="32"/>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期初无余额，与上年年末数（</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日）差异详见本财务报告五</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二十七</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before="0"/>
        <w:ind w:left="153" w:right="0" w:firstLine="0"/>
        <w:jc w:val="left"/>
        <w:rPr>
          <w:rFonts w:ascii="宋体" w:hAnsi="宋体" w:cs="宋体" w:eastAsia="宋体" w:hint="default"/>
          <w:sz w:val="21"/>
          <w:szCs w:val="21"/>
        </w:rPr>
      </w:pPr>
      <w:bookmarkStart w:name="11、长期股权投资" w:id="248"/>
      <w:bookmarkEnd w:id="248"/>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1" w:lineRule="auto"/>
              <w:ind w:left="302" w:right="27"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1"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3"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重庆汇贤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优策科技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15,481,78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5.76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1,668,890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.97</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17,150,67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杭州卓然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60,747,97</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2.28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-1,375,83</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1.04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-1,300,21</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6.21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94,071,92</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5.03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36"/>
              <w:jc w:val="both"/>
              <w:rPr>
                <w:rFonts w:ascii="宋体" w:hAnsi="宋体" w:cs="宋体" w:eastAsia="宋体" w:hint="default"/>
                <w:sz w:val="18"/>
                <w:szCs w:val="18"/>
              </w:rPr>
            </w:pPr>
            <w:r>
              <w:rPr>
                <w:rFonts w:ascii="宋体" w:hAnsi="宋体" w:cs="宋体" w:eastAsia="宋体" w:hint="default"/>
                <w:sz w:val="18"/>
                <w:szCs w:val="18"/>
              </w:rPr>
              <w:t>无锡汇众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智慧科技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1,622,352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18,427.44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1,640,780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常州常工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14,996,00</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852,475.8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-146,700.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15,701,77</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5.85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北京慧教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汇学教育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1,226,040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-276,328.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949,712.5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79,078,15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1.51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50,996,00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887,634.9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-146,700.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-1,300,21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129,514,8</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70.28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79,078,15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1.51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50,996,00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887,634.9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-146,700.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-1,300,21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129,514,8</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70.28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89"/>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）其他系公司与杭州卓然实业有限公司内部交易未实现利润</w:t>
      </w:r>
      <w:r>
        <w:rPr>
          <w:rFonts w:ascii="Times New Roman" w:hAnsi="Times New Roman" w:cs="Times New Roman" w:eastAsia="Times New Roman" w:hint="default"/>
          <w:sz w:val="21"/>
          <w:szCs w:val="21"/>
        </w:rPr>
        <w:t>1,300,216.21</w:t>
      </w:r>
      <w:r>
        <w:rPr>
          <w:rFonts w:ascii="宋体" w:hAnsi="宋体" w:cs="宋体" w:eastAsia="宋体" w:hint="default"/>
          <w:sz w:val="21"/>
          <w:szCs w:val="21"/>
        </w:rPr>
        <w:t>元。</w:t>
      </w:r>
    </w:p>
    <w:p>
      <w:pPr>
        <w:spacing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36"/>
          <w:sz w:val="21"/>
          <w:szCs w:val="21"/>
        </w:rPr>
        <w:t> </w:t>
      </w:r>
      <w:r>
        <w:rPr>
          <w:rFonts w:ascii="宋体" w:hAnsi="宋体" w:cs="宋体" w:eastAsia="宋体" w:hint="default"/>
          <w:spacing w:val="2"/>
          <w:sz w:val="21"/>
          <w:szCs w:val="21"/>
        </w:rPr>
        <w:t>本期杭州卓然实业有限公司增加注册资本</w:t>
      </w:r>
      <w:r>
        <w:rPr>
          <w:rFonts w:ascii="Times New Roman" w:hAnsi="Times New Roman" w:cs="Times New Roman" w:eastAsia="Times New Roman" w:hint="default"/>
          <w:spacing w:val="2"/>
          <w:sz w:val="21"/>
          <w:szCs w:val="21"/>
        </w:rPr>
        <w:t>9,000.00</w:t>
      </w:r>
      <w:r>
        <w:rPr>
          <w:rFonts w:ascii="宋体" w:hAnsi="宋体" w:cs="宋体" w:eastAsia="宋体" w:hint="default"/>
          <w:spacing w:val="2"/>
          <w:sz w:val="21"/>
          <w:szCs w:val="21"/>
        </w:rPr>
        <w:t>万元，本公司按照</w:t>
      </w:r>
      <w:r>
        <w:rPr>
          <w:rFonts w:ascii="Times New Roman" w:hAnsi="Times New Roman" w:cs="Times New Roman" w:eastAsia="Times New Roman" w:hint="default"/>
          <w:spacing w:val="2"/>
          <w:sz w:val="21"/>
          <w:szCs w:val="21"/>
        </w:rPr>
        <w:t>40.00%</w:t>
      </w:r>
      <w:r>
        <w:rPr>
          <w:rFonts w:ascii="宋体" w:hAnsi="宋体" w:cs="宋体" w:eastAsia="宋体" w:hint="default"/>
          <w:spacing w:val="2"/>
          <w:sz w:val="21"/>
          <w:szCs w:val="21"/>
        </w:rPr>
        <w:t>股权比例同比例增资</w:t>
      </w:r>
      <w:r>
        <w:rPr>
          <w:rFonts w:ascii="宋体" w:hAnsi="宋体" w:cs="宋体" w:eastAsia="宋体" w:hint="default"/>
          <w:sz w:val="21"/>
          <w:szCs w:val="21"/>
        </w:rPr>
      </w:r>
    </w:p>
    <w:p>
      <w:pPr>
        <w:spacing w:before="21"/>
        <w:ind w:left="1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3,600.00</w:t>
      </w:r>
      <w:r>
        <w:rPr>
          <w:rFonts w:ascii="宋体" w:hAnsi="宋体" w:cs="宋体" w:eastAsia="宋体" w:hint="default"/>
          <w:sz w:val="21"/>
          <w:szCs w:val="21"/>
        </w:rPr>
        <w:t>万元。</w:t>
      </w:r>
    </w:p>
    <w:p>
      <w:pPr>
        <w:spacing w:line="256" w:lineRule="auto" w:before="21"/>
        <w:ind w:left="153" w:right="0" w:firstLine="422"/>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）本期公司对常州常工电子科技股份有限公司出资</w:t>
      </w:r>
      <w:r>
        <w:rPr>
          <w:rFonts w:ascii="Times New Roman" w:hAnsi="Times New Roman" w:cs="Times New Roman" w:eastAsia="Times New Roman" w:hint="default"/>
          <w:spacing w:val="-2"/>
          <w:sz w:val="21"/>
          <w:szCs w:val="21"/>
        </w:rPr>
        <w:t>1,499.60</w:t>
      </w:r>
      <w:r>
        <w:rPr>
          <w:rFonts w:ascii="宋体" w:hAnsi="宋体" w:cs="宋体" w:eastAsia="宋体" w:hint="default"/>
          <w:spacing w:val="-2"/>
          <w:sz w:val="21"/>
          <w:szCs w:val="21"/>
        </w:rPr>
        <w:t>万元，持股比例</w:t>
      </w:r>
      <w:r>
        <w:rPr>
          <w:rFonts w:ascii="Times New Roman" w:hAnsi="Times New Roman" w:cs="Times New Roman" w:eastAsia="Times New Roman" w:hint="default"/>
          <w:spacing w:val="-2"/>
          <w:sz w:val="21"/>
          <w:szCs w:val="21"/>
        </w:rPr>
        <w:t>14.01%</w:t>
      </w:r>
      <w:r>
        <w:rPr>
          <w:rFonts w:ascii="宋体" w:hAnsi="宋体" w:cs="宋体" w:eastAsia="宋体" w:hint="default"/>
          <w:spacing w:val="-2"/>
          <w:sz w:val="21"/>
          <w:szCs w:val="21"/>
        </w:rPr>
        <w:t>，公司系其第二大</w:t>
      </w:r>
      <w:r>
        <w:rPr>
          <w:rFonts w:ascii="宋体" w:hAnsi="宋体" w:cs="宋体" w:eastAsia="宋体" w:hint="default"/>
          <w:w w:val="100"/>
          <w:sz w:val="21"/>
          <w:szCs w:val="21"/>
        </w:rPr>
        <w:t> </w:t>
      </w:r>
      <w:r>
        <w:rPr>
          <w:rFonts w:ascii="宋体" w:hAnsi="宋体" w:cs="宋体" w:eastAsia="宋体" w:hint="default"/>
          <w:sz w:val="21"/>
          <w:szCs w:val="21"/>
        </w:rPr>
        <w:t>股东并派有一名董事，故按权益法进行核算。</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0"/>
        <w:ind w:left="153" w:right="0" w:firstLine="0"/>
        <w:jc w:val="left"/>
        <w:rPr>
          <w:rFonts w:ascii="宋体" w:hAnsi="宋体" w:cs="宋体" w:eastAsia="宋体" w:hint="default"/>
          <w:sz w:val="21"/>
          <w:szCs w:val="21"/>
        </w:rPr>
      </w:pPr>
      <w:bookmarkStart w:name="12、其他权益工具投资" w:id="249"/>
      <w:bookmarkEnd w:id="249"/>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、其他权益工具投资</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杭州芭萝博网络科技有限公司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216,000.00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分项披露本期非交易性权益工具投资</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33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pacing w:val="-3"/>
                <w:sz w:val="18"/>
                <w:szCs w:val="18"/>
              </w:rPr>
              <w:t>确认的股利收入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1"/>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指定为以公允价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值计量且其变动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计入其他综合收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益的原因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6"/>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73" w:lineRule="auto" w:before="89"/>
        <w:ind w:left="153" w:right="0" w:firstLine="422"/>
        <w:jc w:val="left"/>
        <w:rPr>
          <w:rFonts w:ascii="宋体" w:hAnsi="宋体" w:cs="宋体" w:eastAsia="宋体" w:hint="default"/>
          <w:sz w:val="21"/>
          <w:szCs w:val="21"/>
        </w:rPr>
      </w:pPr>
      <w:r>
        <w:rPr>
          <w:rFonts w:ascii="宋体" w:hAnsi="宋体" w:cs="宋体" w:eastAsia="宋体" w:hint="default"/>
          <w:sz w:val="21"/>
          <w:szCs w:val="21"/>
        </w:rPr>
        <w:t>杭州芭萝博网络科技有限公司经营高考咨询服务，杭州容博公司投资目的主要系与其业务深度合作，</w:t>
      </w:r>
      <w:r>
        <w:rPr>
          <w:rFonts w:ascii="宋体" w:hAnsi="宋体" w:cs="宋体" w:eastAsia="宋体" w:hint="default"/>
          <w:w w:val="100"/>
          <w:sz w:val="21"/>
          <w:szCs w:val="21"/>
        </w:rPr>
        <w:t> </w:t>
      </w:r>
      <w:r>
        <w:rPr>
          <w:rFonts w:ascii="宋体" w:hAnsi="宋体" w:cs="宋体" w:eastAsia="宋体" w:hint="default"/>
          <w:sz w:val="21"/>
          <w:szCs w:val="21"/>
        </w:rPr>
        <w:t>系非交易性权益类投资，公司在初始确认时选择按公允价值计量且其变动计入其他综合收益。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0"/>
        <w:ind w:left="153" w:right="0" w:firstLine="0"/>
        <w:jc w:val="left"/>
        <w:rPr>
          <w:rFonts w:ascii="宋体" w:hAnsi="宋体" w:cs="宋体" w:eastAsia="宋体" w:hint="default"/>
          <w:sz w:val="21"/>
          <w:szCs w:val="21"/>
        </w:rPr>
      </w:pPr>
      <w:bookmarkStart w:name="13、固定资产" w:id="250"/>
      <w:bookmarkEnd w:id="250"/>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53,420,013.35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29,965,366.76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53,420,013.35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29,965,366.76</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固定资产情况"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90"/>
        <w:gridCol w:w="1604"/>
        <w:gridCol w:w="1599"/>
        <w:gridCol w:w="1594"/>
        <w:gridCol w:w="1594"/>
        <w:gridCol w:w="1595"/>
      </w:tblGrid>
      <w:tr>
        <w:trPr>
          <w:trHeight w:val="398"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6"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6,273,244.55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5,123,513.22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30,657,784.40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7,534,277.76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49,588,819.93</w:t>
            </w:r>
          </w:p>
        </w:tc>
      </w:tr>
      <w:tr>
        <w:trPr>
          <w:trHeight w:val="404"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1,106,433.48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29,157,096.59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1,036,960.35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31,300,490.42</w:t>
            </w:r>
          </w:p>
        </w:tc>
      </w:tr>
      <w:tr>
        <w:trPr>
          <w:trHeight w:val="398"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1,106,433.48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29,157,096.59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1,036,960.35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31,300,490.42</w:t>
            </w:r>
          </w:p>
        </w:tc>
      </w:tr>
      <w:tr>
        <w:trPr>
          <w:trHeight w:val="715"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）在建工程转</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入</w:t>
            </w:r>
            <w:r>
              <w:rPr>
                <w:rFonts w:ascii="宋体" w:hAnsi="宋体" w:cs="宋体" w:eastAsia="宋体" w:hint="default"/>
                <w:sz w:val="18"/>
                <w:szCs w:val="18"/>
              </w:rPr>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）企业合并增</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加</w:t>
            </w:r>
            <w:r>
              <w:rPr>
                <w:rFonts w:ascii="宋体" w:hAnsi="宋体" w:cs="宋体" w:eastAsia="宋体" w:hint="default"/>
                <w:sz w:val="18"/>
                <w:szCs w:val="18"/>
              </w:rPr>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86,971.32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1,344,757.51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377,800.00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1,809,528.83</w:t>
            </w: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）处置或报废</w:t>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86,971.32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1,344,757.51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377,800.00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1,809,528.83</w:t>
            </w:r>
          </w:p>
        </w:tc>
      </w:tr>
      <w:tr>
        <w:trPr>
          <w:trHeight w:val="404"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6,273,244.55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6,142,975.38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58,470,123.48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8,193,438.11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79,079,781.52</w:t>
            </w:r>
          </w:p>
        </w:tc>
      </w:tr>
      <w:tr>
        <w:trPr>
          <w:trHeight w:val="398"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90"/>
        <w:gridCol w:w="1604"/>
        <w:gridCol w:w="1599"/>
        <w:gridCol w:w="1594"/>
        <w:gridCol w:w="1594"/>
        <w:gridCol w:w="1595"/>
      </w:tblGrid>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100,371.92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2,902,214.44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10,896,263.08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5,724,603.73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19,623,453.17</w:t>
            </w:r>
          </w:p>
        </w:tc>
      </w:tr>
      <w:tr>
        <w:trPr>
          <w:trHeight w:val="398"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301,115.76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830,633.69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4,984,795.02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756,598.52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6,873,142.99</w:t>
            </w:r>
          </w:p>
        </w:tc>
      </w:tr>
      <w:tr>
        <w:trPr>
          <w:trHeight w:val="404"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301,115.76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830,633.69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4,984,795.02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756,598.52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6,873,142.99</w:t>
            </w: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77,708.16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397,649.83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361,470.00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836,827.99</w:t>
            </w:r>
          </w:p>
        </w:tc>
      </w:tr>
      <w:tr>
        <w:trPr>
          <w:trHeight w:val="398"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righ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）处置或报废</w:t>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77,708.16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397,649.83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361,470.00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836,827.99</w:t>
            </w:r>
          </w:p>
        </w:tc>
      </w:tr>
      <w:tr>
        <w:trPr>
          <w:trHeight w:val="404"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401,487.68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3,655,139.97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15,483,408.27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6,119,732.25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25,659,768.17</w:t>
            </w: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
              <w:jc w:val="righ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）处置或报废</w:t>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4" w:type="dxa"/>
            <w:tcBorders>
              <w:top w:val="single" w:sz="4" w:space="0" w:color="000000"/>
              <w:left w:val="single" w:sz="10" w:space="0" w:color="D2D2D2"/>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5,871,756.87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2,487,835.41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42,986,715.21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2,073,705.86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53,420,013.35</w:t>
            </w:r>
          </w:p>
        </w:tc>
      </w:tr>
      <w:tr>
        <w:trPr>
          <w:trHeight w:val="404"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6,172,872.63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2,221,298.78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19,761,521.32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1,809,674.03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29,965,366.76</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未办妥产权证书的固定资产情况"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404"/>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青岛中锦大厦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5,871,756.87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开发商破产清算，完成后办理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1404"/>
              <w:jc w:val="right"/>
              <w:rPr>
                <w:rFonts w:ascii="宋体" w:hAnsi="宋体" w:cs="宋体" w:eastAsia="宋体" w:hint="default"/>
                <w:sz w:val="18"/>
                <w:szCs w:val="18"/>
              </w:rPr>
            </w:pPr>
            <w:r>
              <w:rPr>
                <w:rFonts w:ascii="宋体" w:hAnsi="宋体" w:cs="宋体" w:eastAsia="宋体" w:hint="default"/>
                <w:sz w:val="18"/>
                <w:szCs w:val="18"/>
              </w:rPr>
              <w:t>小计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5,871,756.87</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4、在建工程" w:id="253"/>
      <w:bookmarkEnd w:id="253"/>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90"/>
              <w:jc w:val="right"/>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17,298,317.52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7,833,188.58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390"/>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17,298,317.52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7,833,188.58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1）在建工程情况"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正元智慧大厦装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17,298,317.52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17,298,317.52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6,741,649.69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6,741,649.69</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30"/>
              <w:jc w:val="right"/>
              <w:rPr>
                <w:rFonts w:ascii="宋体" w:hAnsi="宋体" w:cs="宋体" w:eastAsia="宋体" w:hint="default"/>
                <w:sz w:val="18"/>
                <w:szCs w:val="18"/>
              </w:rPr>
            </w:pPr>
            <w:r>
              <w:rPr>
                <w:rFonts w:ascii="宋体" w:hAnsi="宋体" w:cs="宋体" w:eastAsia="宋体" w:hint="default"/>
                <w:spacing w:val="-2"/>
                <w:sz w:val="18"/>
                <w:szCs w:val="18"/>
              </w:rPr>
              <w:t>办公室装修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1,091,538.89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1,091,538.89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92"/>
              <w:jc w:val="righ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85" w:right="0"/>
              <w:jc w:val="left"/>
              <w:rPr>
                <w:rFonts w:ascii="Times New Roman" w:hAnsi="Times New Roman" w:cs="Times New Roman" w:eastAsia="Times New Roman" w:hint="default"/>
                <w:sz w:val="18"/>
                <w:szCs w:val="18"/>
              </w:rPr>
            </w:pPr>
            <w:r>
              <w:rPr>
                <w:rFonts w:ascii="Times New Roman"/>
                <w:sz w:val="18"/>
              </w:rPr>
              <w:t>17,298,317.52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17,298,317.52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7,833,188.58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7,833,188.58</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重要在建工程项目本期变动情况" w:id="255"/>
      <w:bookmarkEnd w:id="2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4"/>
        <w:gridCol w:w="735"/>
        <w:gridCol w:w="735"/>
        <w:gridCol w:w="739"/>
        <w:gridCol w:w="735"/>
        <w:gridCol w:w="734"/>
        <w:gridCol w:w="740"/>
        <w:gridCol w:w="735"/>
        <w:gridCol w:w="734"/>
        <w:gridCol w:w="740"/>
        <w:gridCol w:w="734"/>
        <w:gridCol w:w="735"/>
        <w:gridCol w:w="739"/>
      </w:tblGrid>
      <w:tr>
        <w:trPr>
          <w:trHeight w:val="1334"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9" w:hanging="183"/>
              <w:jc w:val="left"/>
              <w:rPr>
                <w:rFonts w:ascii="宋体" w:hAnsi="宋体" w:cs="宋体" w:eastAsia="宋体" w:hint="default"/>
                <w:sz w:val="18"/>
                <w:szCs w:val="18"/>
              </w:rPr>
            </w:pPr>
            <w:r>
              <w:rPr>
                <w:rFonts w:ascii="宋体" w:hAnsi="宋体" w:cs="宋体" w:eastAsia="宋体" w:hint="default"/>
                <w:sz w:val="18"/>
                <w:szCs w:val="18"/>
              </w:rPr>
              <w:t>项目名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5" w:right="89"/>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5" w:right="84"/>
              <w:jc w:val="center"/>
              <w:rPr>
                <w:rFonts w:ascii="宋体" w:hAnsi="宋体" w:cs="宋体" w:eastAsia="宋体" w:hint="default"/>
                <w:sz w:val="18"/>
                <w:szCs w:val="18"/>
              </w:rPr>
            </w:pPr>
            <w:r>
              <w:rPr>
                <w:rFonts w:ascii="宋体" w:hAnsi="宋体" w:cs="宋体" w:eastAsia="宋体" w:hint="default"/>
                <w:spacing w:val="-2"/>
                <w:sz w:val="18"/>
                <w:szCs w:val="18"/>
              </w:rPr>
              <w:t>本期转</w:t>
            </w:r>
            <w:r>
              <w:rPr>
                <w:rFonts w:ascii="宋体" w:hAnsi="宋体" w:cs="宋体" w:eastAsia="宋体" w:hint="default"/>
                <w:w w:val="101"/>
                <w:sz w:val="18"/>
                <w:szCs w:val="18"/>
              </w:rPr>
              <w:t> </w:t>
            </w:r>
            <w:r>
              <w:rPr>
                <w:rFonts w:ascii="宋体" w:hAnsi="宋体" w:cs="宋体" w:eastAsia="宋体" w:hint="default"/>
                <w:spacing w:val="-2"/>
                <w:sz w:val="18"/>
                <w:szCs w:val="18"/>
              </w:rPr>
              <w:t>入固定</w:t>
            </w:r>
            <w:r>
              <w:rPr>
                <w:rFonts w:ascii="宋体" w:hAnsi="宋体" w:cs="宋体" w:eastAsia="宋体" w:hint="default"/>
                <w:w w:val="101"/>
                <w:sz w:val="18"/>
                <w:szCs w:val="18"/>
              </w:rPr>
              <w:t> </w:t>
            </w:r>
            <w:r>
              <w:rPr>
                <w:rFonts w:ascii="宋体" w:hAnsi="宋体" w:cs="宋体" w:eastAsia="宋体" w:hint="default"/>
                <w:spacing w:val="-2"/>
                <w:sz w:val="18"/>
                <w:szCs w:val="18"/>
              </w:rPr>
              <w:t>资产金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6" w:right="84"/>
              <w:jc w:val="both"/>
              <w:rPr>
                <w:rFonts w:ascii="宋体" w:hAnsi="宋体" w:cs="宋体" w:eastAsia="宋体" w:hint="default"/>
                <w:sz w:val="18"/>
                <w:szCs w:val="18"/>
              </w:rPr>
            </w:pPr>
            <w:r>
              <w:rPr>
                <w:rFonts w:ascii="宋体" w:hAnsi="宋体" w:cs="宋体" w:eastAsia="宋体" w:hint="default"/>
                <w:sz w:val="18"/>
                <w:szCs w:val="18"/>
              </w:rPr>
              <w:t>工程累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占预算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工程进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89"/>
              <w:jc w:val="both"/>
              <w:rPr>
                <w:rFonts w:ascii="宋体" w:hAnsi="宋体" w:cs="宋体" w:eastAsia="宋体" w:hint="default"/>
                <w:sz w:val="18"/>
                <w:szCs w:val="18"/>
              </w:rPr>
            </w:pPr>
            <w:r>
              <w:rPr>
                <w:rFonts w:ascii="宋体" w:hAnsi="宋体" w:cs="宋体" w:eastAsia="宋体" w:hint="default"/>
                <w:sz w:val="18"/>
                <w:szCs w:val="18"/>
              </w:rPr>
              <w:t>利息资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本化累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1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期利息</w:t>
            </w:r>
            <w:r>
              <w:rPr>
                <w:rFonts w:ascii="宋体" w:hAnsi="宋体" w:cs="宋体" w:eastAsia="宋体" w:hint="default"/>
                <w:w w:val="101"/>
                <w:sz w:val="18"/>
                <w:szCs w:val="18"/>
              </w:rPr>
              <w:t> </w:t>
            </w:r>
            <w:r>
              <w:rPr>
                <w:rFonts w:ascii="宋体" w:hAnsi="宋体" w:cs="宋体" w:eastAsia="宋体" w:hint="default"/>
                <w:sz w:val="18"/>
                <w:szCs w:val="18"/>
              </w:rPr>
              <w:t>资本化</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r>
      <w:tr>
        <w:trPr>
          <w:trHeight w:val="134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56"/>
              <w:jc w:val="both"/>
              <w:rPr>
                <w:rFonts w:ascii="宋体" w:hAnsi="宋体" w:cs="宋体" w:eastAsia="宋体" w:hint="default"/>
                <w:sz w:val="18"/>
                <w:szCs w:val="18"/>
              </w:rPr>
            </w:pPr>
            <w:r>
              <w:rPr>
                <w:rFonts w:ascii="宋体" w:hAnsi="宋体" w:cs="宋体" w:eastAsia="宋体" w:hint="default"/>
                <w:sz w:val="18"/>
                <w:szCs w:val="18"/>
              </w:rPr>
              <w:t>正元智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慧大厦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装修工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28,569,5</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77.80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6,741,64</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9.69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10,556,6</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67.83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17,298,3</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17.52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60.55%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w:t>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金与自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筹</w:t>
            </w:r>
          </w:p>
        </w:tc>
      </w:tr>
      <w:tr>
        <w:trPr>
          <w:trHeight w:val="71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left"/>
              <w:rPr>
                <w:rFonts w:ascii="宋体" w:hAnsi="宋体" w:cs="宋体" w:eastAsia="宋体" w:hint="default"/>
                <w:sz w:val="18"/>
                <w:szCs w:val="18"/>
              </w:rPr>
            </w:pPr>
            <w:r>
              <w:rPr>
                <w:rFonts w:ascii="宋体" w:hAnsi="宋体" w:cs="宋体" w:eastAsia="宋体" w:hint="default"/>
                <w:sz w:val="18"/>
                <w:szCs w:val="18"/>
              </w:rPr>
              <w:t>零星装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修</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1,550,32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7.20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1,091,53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8.89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458,788.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1,550,32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7.20</w:t>
            </w:r>
          </w:p>
        </w:tc>
        <w:tc>
          <w:tcPr>
            <w:tcW w:w="74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715"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2" w:right="0"/>
              <w:jc w:val="left"/>
              <w:rPr>
                <w:rFonts w:ascii="Times New Roman" w:hAnsi="Times New Roman" w:cs="Times New Roman" w:eastAsia="Times New Roman" w:hint="default"/>
                <w:sz w:val="18"/>
                <w:szCs w:val="18"/>
              </w:rPr>
            </w:pPr>
            <w:r>
              <w:rPr>
                <w:rFonts w:ascii="Times New Roman"/>
                <w:sz w:val="18"/>
              </w:rPr>
              <w:t>30,119,9</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05.00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7,833,18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8.58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11,015,4</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56.14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1,550,32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7.20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17,298,3</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17.52</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1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5、无形资产" w:id="256"/>
      <w:bookmarkEnd w:id="256"/>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无形资产情况" w:id="257"/>
      <w:bookmarkEnd w:id="2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9"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01"/>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53,777,285.11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9" w:right="0"/>
              <w:jc w:val="left"/>
              <w:rPr>
                <w:rFonts w:ascii="Times New Roman" w:hAnsi="Times New Roman" w:cs="Times New Roman" w:eastAsia="Times New Roman" w:hint="default"/>
                <w:sz w:val="18"/>
                <w:szCs w:val="18"/>
              </w:rPr>
            </w:pPr>
            <w:r>
              <w:rPr>
                <w:rFonts w:ascii="Times New Roman"/>
                <w:sz w:val="18"/>
              </w:rPr>
              <w:t>7,100,000.00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60,877,285.11</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2,450,000.00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15,935,407.94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18,385,407.94</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）购置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18"/>
                <w:szCs w:val="18"/>
              </w:rPr>
            </w:pPr>
            <w:r>
              <w:rPr>
                <w:rFonts w:ascii="Times New Roman"/>
                <w:sz w:val="18"/>
              </w:rPr>
              <w:t>2,450,000.00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6,272,715.31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8,722,715.31</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5"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）内部</w:t>
            </w:r>
          </w:p>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9,662,692.63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9,662,692.63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 w:firstLine="523"/>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）企业</w:t>
            </w:r>
            <w:r>
              <w:rPr>
                <w:rFonts w:ascii="宋体" w:hAnsi="宋体" w:cs="宋体" w:eastAsia="宋体" w:hint="default"/>
                <w:w w:val="101"/>
                <w:sz w:val="18"/>
                <w:szCs w:val="18"/>
              </w:rPr>
              <w:t> </w:t>
            </w:r>
            <w:r>
              <w:rPr>
                <w:rFonts w:ascii="宋体" w:hAnsi="宋体" w:cs="宋体" w:eastAsia="宋体" w:hint="default"/>
                <w:sz w:val="18"/>
                <w:szCs w:val="18"/>
              </w:rPr>
              <w:t>合并增加</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）处置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69,712,693.05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79,262,693.05</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8,760,824.94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295,833.33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9,056,658.27</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9,050,185.24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10,250,185.24</w:t>
            </w: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9,050,185.24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10,250,185.24</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）处置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490,000.00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17,811,010.18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1,005,833.33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19,306,843.51</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756,000.00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756,000.00</w:t>
            </w:r>
          </w:p>
        </w:tc>
      </w:tr>
      <w:tr>
        <w:trPr>
          <w:trHeight w:val="71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756,000.00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756,000.00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51,145,682.87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6,094,166.67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59,199,849.54</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44,260,460.17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6,804,166.67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51,064,626.84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本期末通过公司内部研发形成的无形资产占无形资产余额的比例</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15.87%</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16、开发支出" w:id="258"/>
      <w:bookmarkEnd w:id="258"/>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9"/>
        <w:gridCol w:w="1066"/>
        <w:gridCol w:w="1061"/>
        <w:gridCol w:w="1066"/>
        <w:gridCol w:w="1061"/>
        <w:gridCol w:w="1066"/>
        <w:gridCol w:w="1061"/>
        <w:gridCol w:w="1066"/>
        <w:gridCol w:w="1061"/>
      </w:tblGrid>
      <w:tr>
        <w:trPr>
          <w:trHeight w:val="404" w:hRule="exact"/>
        </w:trPr>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3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6" w:right="69" w:hanging="360"/>
              <w:jc w:val="left"/>
              <w:rPr>
                <w:rFonts w:ascii="宋体" w:hAnsi="宋体" w:cs="宋体" w:eastAsia="宋体" w:hint="default"/>
                <w:sz w:val="18"/>
                <w:szCs w:val="18"/>
              </w:rPr>
            </w:pPr>
            <w:r>
              <w:rPr>
                <w:rFonts w:ascii="宋体" w:hAnsi="宋体" w:cs="宋体" w:eastAsia="宋体" w:hint="default"/>
                <w:spacing w:val="-2"/>
                <w:sz w:val="18"/>
                <w:szCs w:val="18"/>
              </w:rPr>
              <w:t>内部开发支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5" w:right="75" w:hanging="269"/>
              <w:jc w:val="left"/>
              <w:rPr>
                <w:rFonts w:ascii="宋体" w:hAnsi="宋体" w:cs="宋体" w:eastAsia="宋体" w:hint="default"/>
                <w:sz w:val="18"/>
                <w:szCs w:val="18"/>
              </w:rPr>
            </w:pPr>
            <w:r>
              <w:rPr>
                <w:rFonts w:ascii="宋体" w:hAnsi="宋体" w:cs="宋体" w:eastAsia="宋体" w:hint="default"/>
                <w:spacing w:val="-2"/>
                <w:sz w:val="18"/>
                <w:szCs w:val="18"/>
              </w:rPr>
              <w:t>确认为无形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转入当期损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23"/>
              <w:jc w:val="left"/>
              <w:rPr>
                <w:rFonts w:ascii="宋体" w:hAnsi="宋体" w:cs="宋体" w:eastAsia="宋体" w:hint="default"/>
                <w:sz w:val="18"/>
                <w:szCs w:val="18"/>
              </w:rPr>
            </w:pPr>
            <w:r>
              <w:rPr>
                <w:rFonts w:ascii="宋体" w:hAnsi="宋体" w:cs="宋体" w:eastAsia="宋体" w:hint="default"/>
                <w:spacing w:val="-2"/>
                <w:sz w:val="18"/>
                <w:szCs w:val="18"/>
              </w:rPr>
              <w:t>教育云核心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平台</w:t>
            </w:r>
          </w:p>
        </w:tc>
        <w:tc>
          <w:tcPr>
            <w:tcW w:w="106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9,662,692.63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9,662,692.63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9,662,692.63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9,662,692.63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56" w:lineRule="auto" w:before="89"/>
        <w:ind w:left="153" w:right="1122"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月末，公司教育云核心基础平台搭建完成并取得相关软著证书，标志研究阶段已完成。</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w w:val="100"/>
          <w:sz w:val="21"/>
          <w:szCs w:val="21"/>
        </w:rPr>
        <w:t> </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7</w:t>
      </w:r>
      <w:r>
        <w:rPr>
          <w:rFonts w:ascii="宋体" w:hAnsi="宋体" w:cs="宋体" w:eastAsia="宋体" w:hint="default"/>
          <w:spacing w:val="-4"/>
          <w:sz w:val="21"/>
          <w:szCs w:val="21"/>
        </w:rPr>
        <w:t>月开始根据客户需求进行平台及软件升级改造，项目进入开发阶段。</w:t>
      </w:r>
      <w:r>
        <w:rPr>
          <w:rFonts w:ascii="Times New Roman" w:hAnsi="Times New Roman" w:cs="Times New Roman" w:eastAsia="Times New Roman" w:hint="default"/>
          <w:spacing w:val="-4"/>
          <w:sz w:val="21"/>
          <w:szCs w:val="21"/>
        </w:rPr>
        <w:t>2019</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月平台及软件升级完成，</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可以对外销售，故开发阶段结束转入无形资产。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0"/>
        <w:ind w:left="153" w:right="0" w:firstLine="0"/>
        <w:jc w:val="left"/>
        <w:rPr>
          <w:rFonts w:ascii="宋体" w:hAnsi="宋体" w:cs="宋体" w:eastAsia="宋体" w:hint="default"/>
          <w:sz w:val="21"/>
          <w:szCs w:val="21"/>
        </w:rPr>
      </w:pPr>
      <w:bookmarkStart w:name="17、商誉" w:id="259"/>
      <w:bookmarkEnd w:id="259"/>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商誉账面原值" w:id="260"/>
      <w:bookmarkEnd w:id="2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17"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5" w:type="dxa"/>
            <w:vMerge/>
            <w:tcBorders>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48"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福建正元公司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74,407.87</w:t>
            </w:r>
          </w:p>
        </w:tc>
        <w:tc>
          <w:tcPr>
            <w:tcW w:w="1364"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74,407.87</w:t>
            </w: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杭州容博公司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2,535,964.36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2,535,964.36</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云马智慧公司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2,634,456.39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2,634,456.39</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5,244,828.62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5,244,828.62</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商誉减值准备" w:id="261"/>
      <w:bookmarkEnd w:id="2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17"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5" w:type="dxa"/>
            <w:vMerge/>
            <w:tcBorders>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0" w:hRule="exact"/>
        </w:trPr>
        <w:tc>
          <w:tcPr>
            <w:tcW w:w="134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1"/>
              <w:ind w:left="9"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1"/>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云马智慧公司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2,634,456.39</w:t>
            </w:r>
          </w:p>
        </w:tc>
        <w:tc>
          <w:tcPr>
            <w:tcW w:w="1364"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2,634,456.39</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2,634,456.39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2,634,456.39</w:t>
            </w:r>
          </w:p>
        </w:tc>
      </w:tr>
    </w:tbl>
    <w:p>
      <w:pPr>
        <w:spacing w:line="340"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商誉所在资产组或资产组组合的相关信息</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4"/>
          <w:sz w:val="18"/>
          <w:szCs w:val="18"/>
        </w:rPr>
        <w:t>说明商誉减值测试过程、关键参数（如预计未来现金流量现值时的预测期增长率、稳定期增长率、利润率、折现率、预测期</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等）及商誉减值损失的确认方法：</w:t>
      </w:r>
    </w:p>
    <w:p>
      <w:pPr>
        <w:spacing w:before="39"/>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商誉减值测试的影响</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8、长期待摊费用" w:id="262"/>
      <w:bookmarkEnd w:id="262"/>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8"/>
              <w:jc w:val="right"/>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3,644,661.11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20,417,612.44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2,307,022.67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21,755,250.88</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停车位</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1,047,777.72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109,333.44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938,444.28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场租费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373,821.99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373,821.99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8"/>
              <w:jc w:val="righ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5,066,260.82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20,417,612.44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2,790,178.10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22,693,695.16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9、递延所得税资产/递延所得税负债" w:id="263"/>
      <w:bookmarkEnd w:id="263"/>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未经抵销的递延所得税资产" w:id="264"/>
      <w:bookmarkEnd w:id="2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206"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1" w:type="dxa"/>
            <w:vMerge/>
            <w:tcBorders>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206"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3,160,307.80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725,522.44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4,932,337.19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727,084.88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32,069,256.75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6,382,387.46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19,315,931.82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3,147,688.04</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2,037,597.58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305,639.64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2,634,414.62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395,162.20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67,973,052.25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10,201,675.05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50,434,774.41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7,565,216.15</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340,805.52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51,120.82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197,766.88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29,665.04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105,581,019.90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17,666,345.41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77,515,224.92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11,864,816.31</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以抵销后净额列示的递延所得税资产或负债" w:id="265"/>
      <w:bookmarkEnd w:id="2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1"/>
        <w:gridCol w:w="1909"/>
        <w:gridCol w:w="1913"/>
        <w:gridCol w:w="1914"/>
        <w:gridCol w:w="1904"/>
      </w:tblGrid>
      <w:tr>
        <w:trPr>
          <w:trHeight w:val="158"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1" w:right="51" w:hanging="361"/>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21" w:right="43"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10"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21" w:right="34"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394" w:hRule="exact"/>
        </w:trPr>
        <w:tc>
          <w:tcPr>
            <w:tcW w:w="1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9"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4" w:type="dxa"/>
            <w:vMerge/>
            <w:tcBorders>
              <w:left w:val="single" w:sz="4" w:space="0" w:color="000000"/>
              <w:right w:val="single" w:sz="4" w:space="0" w:color="000000"/>
            </w:tcBorders>
            <w:shd w:val="clear" w:color="auto" w:fill="D2D2D2"/>
          </w:tcPr>
          <w:p>
            <w:pPr/>
          </w:p>
        </w:tc>
      </w:tr>
      <w:tr>
        <w:trPr>
          <w:trHeight w:val="163"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9"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17,666,345.41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4" w:right="0"/>
              <w:jc w:val="left"/>
              <w:rPr>
                <w:rFonts w:ascii="Times New Roman" w:hAnsi="Times New Roman" w:cs="Times New Roman" w:eastAsia="Times New Roman" w:hint="default"/>
                <w:sz w:val="18"/>
                <w:szCs w:val="18"/>
              </w:rPr>
            </w:pPr>
            <w:r>
              <w:rPr>
                <w:rFonts w:ascii="Times New Roman"/>
                <w:spacing w:val="-2"/>
                <w:sz w:val="18"/>
              </w:rPr>
              <w:t>11,864,816.31</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未确认递延所得税资产明细" w:id="266"/>
      <w:bookmarkEnd w:id="2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应收票据坏账准备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13,130.74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420,644.01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153,209.32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8,166,614.78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5,281,984.49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可弥补亏损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36,050,679.27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20,656,080.91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44,651,068.80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26,091,274.72</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4）未确认递延所得税资产的可抵扣亏损将于以下年度到期" w:id="267"/>
      <w:bookmarkEnd w:id="2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06"/>
              <w:jc w:val="right"/>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1,899,445.27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1,794,349.62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2,815,720.88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1,208,349.62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1,746,943.19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5,245,901.99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6,145,911.71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11,610,153.94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8,048,059.86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16,191,924.10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06"/>
              <w:jc w:val="righ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36,050,679.27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20,656,080.91</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0、其他非流动资产" w:id="268"/>
      <w:bookmarkEnd w:id="268"/>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预付资产购置款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2,898,742.08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4,309,875.61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尚未安装的小兰智慧公司洗衣资产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8,327,466.88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772,131.51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11,226,208.96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5,082,007.12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1、短期借款" w:id="269"/>
      <w:bookmarkEnd w:id="269"/>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短期借款分类" w:id="270"/>
      <w:bookmarkEnd w:id="2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288,000,000.00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122,177,351.38</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保证并质押借款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保证并质押并抵押借款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478,790.62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240,797.26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325,978,790.62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167,418,148.64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2、应付票据" w:id="271"/>
      <w:bookmarkEnd w:id="271"/>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92"/>
              <w:jc w:val="right"/>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19,831,533.52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13,306,710.05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92"/>
              <w:jc w:val="righ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19,831,533.52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13,306,710.05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本期末已到期未支付的应付票据总额为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3、应付账款" w:id="272"/>
      <w:bookmarkEnd w:id="272"/>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付账款列示" w:id="273"/>
      <w:bookmarkEnd w:id="2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404"/>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122,381,741.69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108,548,058.49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长期资产购置款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14,022,580.27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4"/>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136,404,321.96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108,548,058.49</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4、预收款项" w:id="274"/>
      <w:bookmarkEnd w:id="274"/>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预收款项列示" w:id="275"/>
      <w:bookmarkEnd w:id="2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4"/>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59,547,186.50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58,710,105.65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404"/>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59,547,186.50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58,710,105.65</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期末建造合同形成的已结算未完工项目情况" w:id="276"/>
      <w:bookmarkEnd w:id="2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25、应付职工薪酬" w:id="277"/>
      <w:bookmarkEnd w:id="277"/>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付职工薪酬列示" w:id="278"/>
      <w:bookmarkEnd w:id="2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1"/>
              <w:jc w:val="right"/>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80"/>
              <w:jc w:val="right"/>
              <w:rPr>
                <w:rFonts w:ascii="宋体" w:hAnsi="宋体" w:cs="宋体" w:eastAsia="宋体" w:hint="default"/>
                <w:sz w:val="18"/>
                <w:szCs w:val="18"/>
              </w:rPr>
            </w:pPr>
            <w:r>
              <w:rPr>
                <w:rFonts w:ascii="宋体" w:hAnsi="宋体" w:cs="宋体" w:eastAsia="宋体" w:hint="default"/>
                <w:spacing w:val="-2"/>
                <w:sz w:val="18"/>
                <w:szCs w:val="18"/>
              </w:rPr>
              <w:t>一、短期薪酬</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21,890,133.91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149,516,537.38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142,736,858.67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28,669,812.62</w:t>
            </w:r>
          </w:p>
        </w:tc>
      </w:tr>
      <w:tr>
        <w:trPr>
          <w:trHeight w:val="71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355,480.11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9,426,855.13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9,348,995.56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433,339.68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80"/>
              <w:jc w:val="right"/>
              <w:rPr>
                <w:rFonts w:ascii="宋体" w:hAnsi="宋体" w:cs="宋体" w:eastAsia="宋体" w:hint="default"/>
                <w:sz w:val="18"/>
                <w:szCs w:val="18"/>
              </w:rPr>
            </w:pPr>
            <w:r>
              <w:rPr>
                <w:rFonts w:ascii="宋体" w:hAnsi="宋体" w:cs="宋体" w:eastAsia="宋体" w:hint="default"/>
                <w:spacing w:val="-2"/>
                <w:sz w:val="18"/>
                <w:szCs w:val="18"/>
              </w:rPr>
              <w:t>三、辞退福利</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441,156.00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191,016.00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250,140.00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1"/>
              <w:jc w:val="righ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22,245,614.02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159,384,548.51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152,276,870.23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29,353,292.30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短期薪酬列示" w:id="279"/>
      <w:bookmarkEnd w:id="2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21,225,233.38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131,589,088.14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124,888,105.19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27,926,216.33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37,033.60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2,998,300.56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3,035,334.16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291,456.85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6,719,055.96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6,659,691.04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350,821.77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257,132.92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5,881,866.93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5,829,258.20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309,741.65</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5,030.16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138,506.97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137,629.61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5,907.52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29,293.77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698,682.06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692,803.23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35,172.60</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20,486.00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6,332,019.95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6,340,060.23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12,445.72</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315,924.08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1,878,072.77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1,813,668.05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380,328.80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21,890,133.91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149,516,537.38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142,736,858.67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28,669,812.62</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设定提存计划列示" w:id="280"/>
      <w:bookmarkEnd w:id="2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342,762.72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9,095,108.07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9,019,645.53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418,225.26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12,717.39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331,747.06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329,350.03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15,114.42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355,480.11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9,426,855.13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9,348,995.56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433,339.68</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26、应交税费" w:id="281"/>
      <w:bookmarkEnd w:id="281"/>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404"/>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6,051,012.77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3,243,957.74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1,869,519.03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1,912,010.76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774,256.79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673,739.94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331,934.74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288,745.68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221,289.82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192,476.81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代扣代缴个人所得税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440,112.27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197,014.96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15,470.93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14,784.23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80,864.51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56,000.93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13,173.81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13,173.81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4"/>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9,797,702.37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6,591,983.45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7、其他应付款" w:id="282"/>
      <w:bookmarkEnd w:id="282"/>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92"/>
              <w:jc w:val="right"/>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14,318,520.05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4,106,025.10</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92"/>
              <w:jc w:val="righ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14,318,520.05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4,106,025.10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其他应付款" w:id="283"/>
      <w:bookmarkEnd w:id="2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按款项性质列示其他应付款" w:id="284"/>
      <w:bookmarkEnd w:id="28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4"/>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5,010,479.45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4,667,537.38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1,573,031.46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4,474,832.13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2,275,034.51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165,671.09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257,959.13</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4"/>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14,318,520.05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4,106,025.10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28、一年内到期的非流动负债" w:id="285"/>
      <w:bookmarkEnd w:id="285"/>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3,333,332.00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3,333,332.00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9、长期借款" w:id="286"/>
      <w:bookmarkEnd w:id="286"/>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长期借款分类" w:id="287"/>
      <w:bookmarkEnd w:id="2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392"/>
              <w:jc w:val="right"/>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5,000,002.00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92"/>
              <w:jc w:val="righ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5,000,002.00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362" w:lineRule="auto" w:before="53"/>
        <w:ind w:left="153" w:right="842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其他说明，包括利率区间：</w:t>
      </w:r>
    </w:p>
    <w:p>
      <w:pPr>
        <w:spacing w:line="240" w:lineRule="auto" w:before="3"/>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30、股本" w:id="288"/>
      <w:bookmarkEnd w:id="288"/>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9"/>
        <w:gridCol w:w="1196"/>
        <w:gridCol w:w="1196"/>
        <w:gridCol w:w="1196"/>
        <w:gridCol w:w="1186"/>
        <w:gridCol w:w="120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5"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2" w:type="dxa"/>
            <w:gridSpan w:val="5"/>
            <w:vMerge/>
            <w:tcBorders>
              <w:left w:val="single" w:sz="4" w:space="0" w:color="000000"/>
              <w:bottom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22" w:right="0"/>
              <w:jc w:val="left"/>
              <w:rPr>
                <w:rFonts w:ascii="Times New Roman" w:hAnsi="Times New Roman" w:cs="Times New Roman" w:eastAsia="Times New Roman" w:hint="default"/>
                <w:sz w:val="18"/>
                <w:szCs w:val="18"/>
              </w:rPr>
            </w:pPr>
            <w:r>
              <w:rPr>
                <w:rFonts w:ascii="Times New Roman"/>
                <w:sz w:val="18"/>
              </w:rPr>
              <w:t>66,666,667.00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60,000,000.00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60,000,000.00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126,666,667.00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56" w:lineRule="auto" w:before="89"/>
        <w:ind w:left="153" w:right="0" w:firstLine="422"/>
        <w:jc w:val="left"/>
        <w:rPr>
          <w:rFonts w:ascii="宋体" w:hAnsi="宋体" w:cs="宋体" w:eastAsia="宋体" w:hint="default"/>
          <w:sz w:val="21"/>
          <w:szCs w:val="21"/>
        </w:rPr>
      </w:pPr>
      <w:r>
        <w:rPr>
          <w:rFonts w:ascii="宋体" w:hAnsi="宋体" w:cs="宋体" w:eastAsia="宋体" w:hint="default"/>
          <w:sz w:val="21"/>
          <w:szCs w:val="21"/>
        </w:rPr>
        <w:t>根据公司第三届董事会第二次会议和</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年度股东大会决议，公司以</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日总股本为基数，</w:t>
      </w:r>
      <w:r>
        <w:rPr>
          <w:rFonts w:ascii="宋体" w:hAnsi="宋体" w:cs="宋体" w:eastAsia="宋体" w:hint="default"/>
          <w:w w:val="100"/>
          <w:sz w:val="21"/>
          <w:szCs w:val="21"/>
        </w:rPr>
        <w:t> </w:t>
      </w:r>
      <w:r>
        <w:rPr>
          <w:rFonts w:ascii="宋体" w:hAnsi="宋体" w:cs="宋体" w:eastAsia="宋体" w:hint="default"/>
          <w:sz w:val="21"/>
          <w:szCs w:val="21"/>
        </w:rPr>
        <w:t>以资本公积向全体股东每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股转增</w:t>
      </w:r>
      <w:r>
        <w:rPr>
          <w:rFonts w:ascii="Times New Roman" w:hAnsi="Times New Roman" w:cs="Times New Roman" w:eastAsia="Times New Roman" w:hint="default"/>
          <w:sz w:val="21"/>
          <w:szCs w:val="21"/>
        </w:rPr>
        <w:t>9</w:t>
      </w:r>
      <w:r>
        <w:rPr>
          <w:rFonts w:ascii="宋体" w:hAnsi="宋体" w:cs="宋体" w:eastAsia="宋体" w:hint="default"/>
          <w:sz w:val="21"/>
          <w:szCs w:val="21"/>
        </w:rPr>
        <w:t>股，共计</w:t>
      </w:r>
      <w:r>
        <w:rPr>
          <w:rFonts w:ascii="Times New Roman" w:hAnsi="Times New Roman" w:cs="Times New Roman" w:eastAsia="Times New Roman" w:hint="default"/>
          <w:sz w:val="21"/>
          <w:szCs w:val="21"/>
        </w:rPr>
        <w:t>6,000</w:t>
      </w:r>
      <w:r>
        <w:rPr>
          <w:rFonts w:ascii="宋体" w:hAnsi="宋体" w:cs="宋体" w:eastAsia="宋体" w:hint="default"/>
          <w:sz w:val="21"/>
          <w:szCs w:val="21"/>
        </w:rPr>
        <w:t>万股。该增资事项业经天健会计师事务所（特殊普通合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伙）审验，并出具《验资报告》（天健验〔</w:t>
      </w:r>
      <w:r>
        <w:rPr>
          <w:rFonts w:ascii="Times New Roman" w:hAnsi="Times New Roman" w:cs="Times New Roman" w:eastAsia="Times New Roman" w:hint="default"/>
          <w:sz w:val="21"/>
          <w:szCs w:val="21"/>
        </w:rPr>
        <w:t>2019</w:t>
      </w:r>
      <w:r>
        <w:rPr>
          <w:rFonts w:ascii="宋体" w:hAnsi="宋体" w:cs="宋体" w:eastAsia="宋体" w:hint="default"/>
          <w:sz w:val="21"/>
          <w:szCs w:val="21"/>
        </w:rPr>
        <w:t>〕</w:t>
      </w:r>
      <w:r>
        <w:rPr>
          <w:rFonts w:ascii="Times New Roman" w:hAnsi="Times New Roman" w:cs="Times New Roman" w:eastAsia="Times New Roman" w:hint="default"/>
          <w:sz w:val="21"/>
          <w:szCs w:val="21"/>
        </w:rPr>
        <w:t>114</w:t>
      </w:r>
      <w:r>
        <w:rPr>
          <w:rFonts w:ascii="宋体" w:hAnsi="宋体" w:cs="宋体" w:eastAsia="宋体" w:hint="default"/>
          <w:sz w:val="21"/>
          <w:szCs w:val="21"/>
        </w:rPr>
        <w:t>号），公司已完成工商变更登记。</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1、资本公积" w:id="289"/>
      <w:bookmarkEnd w:id="289"/>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265,042,934.65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236,348.92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62,282,469.06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202,996,814.51</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16,340,678.60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4,044,465.16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20,385,143.76</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281,383,613.25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4,280,814.08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62,282,469.06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223,381,958.27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0"/>
          <w:sz w:val="21"/>
          <w:szCs w:val="21"/>
        </w:rPr>
        <w:t> </w:t>
      </w:r>
      <w:r>
        <w:rPr>
          <w:rFonts w:ascii="宋体" w:hAnsi="宋体" w:cs="宋体" w:eastAsia="宋体" w:hint="default"/>
          <w:spacing w:val="2"/>
          <w:sz w:val="21"/>
          <w:szCs w:val="21"/>
        </w:rPr>
        <w:t>股本溢价增加</w:t>
      </w:r>
      <w:r>
        <w:rPr>
          <w:rFonts w:ascii="Times New Roman" w:hAnsi="Times New Roman" w:cs="Times New Roman" w:eastAsia="Times New Roman" w:hint="default"/>
          <w:spacing w:val="2"/>
          <w:sz w:val="21"/>
          <w:szCs w:val="21"/>
        </w:rPr>
        <w:t>236,348.92</w:t>
      </w:r>
      <w:r>
        <w:rPr>
          <w:rFonts w:ascii="宋体" w:hAnsi="宋体" w:cs="宋体" w:eastAsia="宋体" w:hint="default"/>
          <w:spacing w:val="2"/>
          <w:sz w:val="21"/>
          <w:szCs w:val="21"/>
        </w:rPr>
        <w:t>元，系公司</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年股份支付按照服务期摊销计入本期股本溢价</w:t>
      </w:r>
      <w:r>
        <w:rPr>
          <w:rFonts w:ascii="宋体" w:hAnsi="宋体" w:cs="宋体" w:eastAsia="宋体" w:hint="default"/>
          <w:sz w:val="21"/>
          <w:szCs w:val="21"/>
        </w:rPr>
      </w:r>
    </w:p>
    <w:p>
      <w:pPr>
        <w:spacing w:line="256" w:lineRule="auto" w:before="21"/>
        <w:ind w:left="575" w:right="0" w:hanging="423"/>
        <w:jc w:val="left"/>
        <w:rPr>
          <w:rFonts w:ascii="宋体" w:hAnsi="宋体" w:cs="宋体" w:eastAsia="宋体" w:hint="default"/>
          <w:sz w:val="21"/>
          <w:szCs w:val="21"/>
        </w:rPr>
      </w:pPr>
      <w:r>
        <w:rPr>
          <w:rFonts w:ascii="Times New Roman" w:hAnsi="Times New Roman" w:cs="Times New Roman" w:eastAsia="Times New Roman" w:hint="default"/>
          <w:sz w:val="21"/>
          <w:szCs w:val="21"/>
        </w:rPr>
        <w:t>236,348.92</w:t>
      </w:r>
      <w:r>
        <w:rPr>
          <w:rFonts w:ascii="宋体" w:hAnsi="宋体" w:cs="宋体" w:eastAsia="宋体" w:hint="default"/>
          <w:sz w:val="21"/>
          <w:szCs w:val="21"/>
        </w:rPr>
        <w:t>元，详见本财务报表附注十三之说明。</w:t>
      </w:r>
      <w:r>
        <w:rPr>
          <w:rFonts w:ascii="宋体" w:hAnsi="宋体" w:cs="宋体" w:eastAsia="宋体" w:hint="default"/>
          <w:w w:val="100"/>
          <w:sz w:val="21"/>
          <w:szCs w:val="21"/>
        </w:rPr>
        <w:t> </w:t>
      </w:r>
      <w:r>
        <w:rPr>
          <w:rFonts w:ascii="宋体" w:hAnsi="宋体" w:cs="宋体" w:eastAsia="宋体" w:hint="default"/>
          <w:sz w:val="21"/>
          <w:szCs w:val="21"/>
        </w:rPr>
        <w:t>股本溢价减少</w:t>
      </w:r>
      <w:r>
        <w:rPr>
          <w:rFonts w:ascii="Times New Roman" w:hAnsi="Times New Roman" w:cs="Times New Roman" w:eastAsia="Times New Roman" w:hint="default"/>
          <w:sz w:val="21"/>
          <w:szCs w:val="21"/>
        </w:rPr>
        <w:t>6,000</w:t>
      </w:r>
      <w:r>
        <w:rPr>
          <w:rFonts w:ascii="宋体" w:hAnsi="宋体" w:cs="宋体" w:eastAsia="宋体" w:hint="default"/>
          <w:sz w:val="21"/>
          <w:szCs w:val="21"/>
        </w:rPr>
        <w:t>万元，系以资本公积转增股本，详见本财务报表附注七、</w:t>
      </w:r>
      <w:r>
        <w:rPr>
          <w:rFonts w:ascii="Times New Roman" w:hAnsi="Times New Roman" w:cs="Times New Roman" w:eastAsia="Times New Roman" w:hint="default"/>
          <w:sz w:val="21"/>
          <w:szCs w:val="21"/>
        </w:rPr>
        <w:t>30</w:t>
      </w:r>
      <w:r>
        <w:rPr>
          <w:rFonts w:ascii="宋体" w:hAnsi="宋体" w:cs="宋体" w:eastAsia="宋体" w:hint="default"/>
          <w:sz w:val="21"/>
          <w:szCs w:val="21"/>
        </w:rPr>
        <w:t>股本之说明。</w:t>
      </w:r>
      <w:r>
        <w:rPr>
          <w:rFonts w:ascii="宋体" w:hAnsi="宋体" w:cs="宋体" w:eastAsia="宋体" w:hint="default"/>
          <w:w w:val="100"/>
          <w:sz w:val="21"/>
          <w:szCs w:val="21"/>
        </w:rPr>
        <w:t> </w:t>
      </w:r>
      <w:r>
        <w:rPr>
          <w:rFonts w:ascii="宋体" w:hAnsi="宋体" w:cs="宋体" w:eastAsia="宋体" w:hint="default"/>
          <w:spacing w:val="-3"/>
          <w:sz w:val="21"/>
          <w:szCs w:val="21"/>
        </w:rPr>
        <w:t>股本溢价减少</w:t>
      </w:r>
      <w:r>
        <w:rPr>
          <w:rFonts w:ascii="Times New Roman" w:hAnsi="Times New Roman" w:cs="Times New Roman" w:eastAsia="Times New Roman" w:hint="default"/>
          <w:spacing w:val="-3"/>
          <w:sz w:val="21"/>
          <w:szCs w:val="21"/>
        </w:rPr>
        <w:t>2,282,469.06</w:t>
      </w:r>
      <w:r>
        <w:rPr>
          <w:rFonts w:ascii="宋体" w:hAnsi="宋体" w:cs="宋体" w:eastAsia="宋体" w:hint="default"/>
          <w:spacing w:val="-3"/>
          <w:sz w:val="21"/>
          <w:szCs w:val="21"/>
        </w:rPr>
        <w:t>元，系公司收购正元曦客公司少数股东股权，购买成本高于取得的按股权比</w:t>
      </w:r>
    </w:p>
    <w:p>
      <w:pPr>
        <w:spacing w:before="5"/>
        <w:ind w:left="153" w:right="0" w:firstLine="0"/>
        <w:jc w:val="left"/>
        <w:rPr>
          <w:rFonts w:ascii="宋体" w:hAnsi="宋体" w:cs="宋体" w:eastAsia="宋体" w:hint="default"/>
          <w:sz w:val="21"/>
          <w:szCs w:val="21"/>
        </w:rPr>
      </w:pPr>
      <w:r>
        <w:rPr>
          <w:rFonts w:ascii="宋体" w:hAnsi="宋体" w:cs="宋体" w:eastAsia="宋体" w:hint="default"/>
          <w:sz w:val="21"/>
          <w:szCs w:val="21"/>
        </w:rPr>
        <w:t>例计算的净资产份额冲减资本公积，详见九</w:t>
      </w:r>
      <w:r>
        <w:rPr>
          <w:rFonts w:ascii="Times New Roman" w:hAnsi="Times New Roman" w:cs="Times New Roman" w:eastAsia="Times New Roman" w:hint="default"/>
          <w:sz w:val="21"/>
          <w:szCs w:val="21"/>
        </w:rPr>
        <w:t>2</w:t>
      </w:r>
      <w:r>
        <w:rPr>
          <w:rFonts w:ascii="宋体" w:hAnsi="宋体" w:cs="宋体" w:eastAsia="宋体" w:hint="default"/>
          <w:sz w:val="21"/>
          <w:szCs w:val="21"/>
        </w:rPr>
        <w:t>之说明。</w:t>
      </w:r>
    </w:p>
    <w:p>
      <w:pPr>
        <w:spacing w:line="256" w:lineRule="auto" w:before="21"/>
        <w:ind w:left="153" w:right="0"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其他资本公积增加</w:t>
      </w:r>
      <w:r>
        <w:rPr>
          <w:rFonts w:ascii="Times New Roman" w:hAnsi="Times New Roman" w:cs="Times New Roman" w:eastAsia="Times New Roman" w:hint="default"/>
          <w:sz w:val="21"/>
          <w:szCs w:val="21"/>
        </w:rPr>
        <w:t>4,044,465.16</w:t>
      </w:r>
      <w:r>
        <w:rPr>
          <w:rFonts w:ascii="宋体" w:hAnsi="宋体" w:cs="宋体" w:eastAsia="宋体" w:hint="default"/>
          <w:sz w:val="21"/>
          <w:szCs w:val="21"/>
        </w:rPr>
        <w:t>元，系本期授予员工股票期权确认资本公积</w:t>
      </w:r>
      <w:r>
        <w:rPr>
          <w:rFonts w:ascii="Times New Roman" w:hAnsi="Times New Roman" w:cs="Times New Roman" w:eastAsia="Times New Roman" w:hint="default"/>
          <w:sz w:val="21"/>
          <w:szCs w:val="21"/>
        </w:rPr>
        <w:t>4,044,465.16</w:t>
      </w:r>
      <w:r>
        <w:rPr>
          <w:rFonts w:ascii="宋体" w:hAnsi="宋体" w:cs="宋体" w:eastAsia="宋体" w:hint="default"/>
          <w:sz w:val="21"/>
          <w:szCs w:val="21"/>
        </w:rPr>
        <w:t>元，详见本</w:t>
      </w:r>
      <w:r>
        <w:rPr>
          <w:rFonts w:ascii="宋体" w:hAnsi="宋体" w:cs="宋体" w:eastAsia="宋体" w:hint="default"/>
          <w:w w:val="100"/>
          <w:sz w:val="21"/>
          <w:szCs w:val="21"/>
        </w:rPr>
        <w:t> </w:t>
      </w:r>
      <w:r>
        <w:rPr>
          <w:rFonts w:ascii="宋体" w:hAnsi="宋体" w:cs="宋体" w:eastAsia="宋体" w:hint="default"/>
          <w:sz w:val="21"/>
          <w:szCs w:val="21"/>
        </w:rPr>
        <w:t>财务报表附注十三之说明。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0"/>
        <w:ind w:left="153" w:right="0" w:firstLine="0"/>
        <w:jc w:val="left"/>
        <w:rPr>
          <w:rFonts w:ascii="宋体" w:hAnsi="宋体" w:cs="宋体" w:eastAsia="宋体" w:hint="default"/>
          <w:sz w:val="21"/>
          <w:szCs w:val="21"/>
        </w:rPr>
      </w:pPr>
      <w:bookmarkStart w:name="32、盈余公积" w:id="290"/>
      <w:bookmarkEnd w:id="290"/>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1"/>
              <w:jc w:val="right"/>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80"/>
              <w:jc w:val="right"/>
              <w:rPr>
                <w:rFonts w:ascii="宋体" w:hAnsi="宋体" w:cs="宋体" w:eastAsia="宋体" w:hint="default"/>
                <w:sz w:val="18"/>
                <w:szCs w:val="18"/>
              </w:rPr>
            </w:pPr>
            <w:r>
              <w:rPr>
                <w:rFonts w:ascii="宋体" w:hAnsi="宋体" w:cs="宋体" w:eastAsia="宋体" w:hint="default"/>
                <w:spacing w:val="-2"/>
                <w:sz w:val="18"/>
                <w:szCs w:val="18"/>
              </w:rPr>
              <w:t>法定盈余公积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25,502,239.13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4,634,663.40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30,136,902.53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1"/>
              <w:jc w:val="righ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25,502,239.13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4,634,663.40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30,136,902.53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盈余公积说明，包括本期增减变动情况、变动原因说明：</w:t>
      </w:r>
    </w:p>
    <w:p>
      <w:pPr>
        <w:spacing w:line="256" w:lineRule="auto" w:before="89"/>
        <w:ind w:left="153" w:right="0" w:firstLine="422"/>
        <w:jc w:val="left"/>
        <w:rPr>
          <w:rFonts w:ascii="宋体" w:hAnsi="宋体" w:cs="宋体" w:eastAsia="宋体" w:hint="default"/>
          <w:sz w:val="21"/>
          <w:szCs w:val="21"/>
        </w:rPr>
      </w:pPr>
      <w:r>
        <w:rPr>
          <w:rFonts w:ascii="宋体" w:hAnsi="宋体" w:cs="宋体" w:eastAsia="宋体" w:hint="default"/>
          <w:spacing w:val="-1"/>
          <w:sz w:val="21"/>
          <w:szCs w:val="21"/>
        </w:rPr>
        <w:t>本期盈余公积变动系根据《公司法》及公司章程的规定，按母公司当期实现净利润提取</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的法定盈</w:t>
      </w:r>
      <w:r>
        <w:rPr>
          <w:rFonts w:ascii="宋体" w:hAnsi="宋体" w:cs="宋体" w:eastAsia="宋体" w:hint="default"/>
          <w:w w:val="100"/>
          <w:sz w:val="21"/>
          <w:szCs w:val="21"/>
        </w:rPr>
        <w:t> </w:t>
      </w:r>
      <w:r>
        <w:rPr>
          <w:rFonts w:ascii="宋体" w:hAnsi="宋体" w:cs="宋体" w:eastAsia="宋体" w:hint="default"/>
          <w:sz w:val="21"/>
          <w:szCs w:val="21"/>
        </w:rPr>
        <w:t>余公积所致。</w:t>
      </w:r>
    </w:p>
    <w:p>
      <w:pPr>
        <w:spacing w:line="240" w:lineRule="auto" w:before="11"/>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33、未分配利润" w:id="291"/>
      <w:bookmarkEnd w:id="291"/>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211,138,977.02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179,547,380.38</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45,069,467.75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50,353,782.16</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4,634,663.40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5,428,852.12</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13,333,333.40</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241,573,781.32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211,138,977.02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调整期初未分配利润明细：</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、由于《企业会计准则》及其相关新规定进行追溯调整，影响期初未分配利润 </w:t>
      </w:r>
      <w:r>
        <w:rPr>
          <w:rFonts w:ascii="Times New Roman" w:hAnsi="Times New Roman" w:cs="Times New Roman" w:eastAsia="Times New Roman" w:hint="default"/>
          <w:sz w:val="18"/>
          <w:szCs w:val="18"/>
        </w:rPr>
        <w:t>0.00 </w:t>
      </w:r>
      <w:r>
        <w:rPr>
          <w:rFonts w:ascii="Times New Roman" w:hAnsi="Times New Roman" w:cs="Times New Roman" w:eastAsia="Times New Roman" w:hint="default"/>
          <w:spacing w:val="2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、由于会计政策变更，影响期初未分配利润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、由于重大会计差错更正，影响期初未分配利润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、由于同一控制导致的合并范围变更，影响期初未分配利润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w:t>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4、营业收入和营业成本" w:id="292"/>
      <w:bookmarkEnd w:id="292"/>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751,054,482.81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466,768,040.42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566,836,544.20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341,344,452.66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751,054,482.81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466,768,040.42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566,836,544.20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341,344,452.66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3" w:lineRule="auto" w:before="115"/>
        <w:ind w:left="153" w:right="92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5"/>
          <w:sz w:val="18"/>
          <w:szCs w:val="18"/>
        </w:rPr>
        <w:t> </w:t>
      </w:r>
      <w:r>
        <w:rPr>
          <w:rFonts w:ascii="宋体" w:hAnsi="宋体" w:cs="宋体" w:eastAsia="宋体" w:hint="default"/>
          <w:sz w:val="18"/>
          <w:szCs w:val="18"/>
        </w:rPr>
        <w:t>其他说明</w:t>
      </w:r>
    </w:p>
    <w:p>
      <w:pPr>
        <w:spacing w:line="240" w:lineRule="auto" w:before="5"/>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35、税金及附加" w:id="293"/>
      <w:bookmarkEnd w:id="293"/>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92"/>
              <w:jc w:val="right"/>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2,202,471.07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2,088,783.30</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972,590.87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895,194.86</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52,695.24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17,565.08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104.79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6,660.00</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289,767.08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144,396.72</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610,409.46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596,168.87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92"/>
              <w:jc w:val="righ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4,135,404.52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3,748,873.62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6、销售费用" w:id="294"/>
      <w:bookmarkEnd w:id="294"/>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1"/>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42,304,060.14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29,155,807.03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12,327,937.13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9,146,789.49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8,847,154.94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5,270,656.47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6,238,260.18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4,239,449.97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房租物管费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2,268,938.66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1,680,393.67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1,838,396.95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785,163.54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折旧费与摊销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1,444,627.12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806,106.72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898,580.41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821,256.82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353,944.05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1,862,172.66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1,021,004.61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401"/>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78,851,385.01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52,459,315.55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37、管理费用" w:id="295"/>
      <w:bookmarkEnd w:id="295"/>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401"/>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28,459,936.35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22,779,802.90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4,892,541.68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5,557,748.61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咨询、中介费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4,628,156.37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3,646,949.66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4,280,814.08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2,096,038.98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3,995,949.96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4,788,739.26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房租物管费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3,447,095.31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3,417,352.58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折旧费与摊销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4,125,494.99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2,771,298.79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3,110,595.38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3,583,780.52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3,596,943.24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2,463,128.17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1"/>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60,537,527.36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51,104,839.47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8、研发费用" w:id="296"/>
      <w:bookmarkEnd w:id="296"/>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、研发费用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1"/>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71,973,340.91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56,210,576.28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折旧费与摊销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6,420,733.99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2,516,727.19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3,639,551.94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3,301,789.04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委外研发费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2,831,018.39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4,837,717.13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2,531,920.58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2,061,213.40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1,085,526.08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429,855.11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房租物管费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521,897.58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471,821.31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产品测试费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234,047.69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380,381.30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454,769.31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178,071.01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401"/>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89,692,806.47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70,388,151.77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9、财务费用" w:id="297"/>
      <w:bookmarkEnd w:id="297"/>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15,819,328.50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6,733,528.25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710,950.54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612,772.87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526,159.59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206,431.41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15,634,537.55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6,327,186.79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0、其他收益" w:id="298"/>
      <w:bookmarkEnd w:id="298"/>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31,868,471.27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21,832,874.34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代扣代缴的个人所得税返还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50,434.34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31,918,905.61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21,832,874.34</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41、投资收益" w:id="299"/>
      <w:bookmarkEnd w:id="299"/>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8"/>
        <w:gridCol w:w="3200"/>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887,634.98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779,385.69</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1,313,685.54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2,418,635.07</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2,201,320.52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3,198,020.76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2、信用减值损失" w:id="300"/>
      <w:bookmarkEnd w:id="300"/>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、信用减值损失</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1"/>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-20,703,473.56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401"/>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-20,703,473.56</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3、资产减值损失" w:id="301"/>
      <w:bookmarkEnd w:id="301"/>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-13,795,266.52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-207,705.73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-197,766.88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6"/>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-207,705.73</w:t>
            </w:r>
          </w:p>
        </w:tc>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64" w:right="0"/>
              <w:jc w:val="left"/>
              <w:rPr>
                <w:rFonts w:ascii="Times New Roman" w:hAnsi="Times New Roman" w:cs="Times New Roman" w:eastAsia="Times New Roman" w:hint="default"/>
                <w:sz w:val="18"/>
                <w:szCs w:val="18"/>
              </w:rPr>
            </w:pPr>
            <w:r>
              <w:rPr>
                <w:rFonts w:ascii="Times New Roman"/>
                <w:sz w:val="18"/>
              </w:rPr>
              <w:t>-13,993,033.40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4、资产处置收益" w:id="302"/>
      <w:bookmarkEnd w:id="302"/>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39,829.84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226,608.74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-184,748.64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-489.03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-144,918.80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226,119.71</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45、营业外收入" w:id="303"/>
      <w:bookmarkEnd w:id="303"/>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06"/>
              <w:jc w:val="right"/>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无法支付的款项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29,266.47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163,100.00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29,266.47</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14,130.13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15,036.33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14,130.13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06"/>
              <w:jc w:val="righ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43,396.60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178,136.33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43,396.60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1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6" w:right="75"/>
              <w:jc w:val="left"/>
              <w:rPr>
                <w:rFonts w:ascii="宋体" w:hAnsi="宋体" w:cs="宋体" w:eastAsia="宋体" w:hint="default"/>
                <w:sz w:val="18"/>
                <w:szCs w:val="18"/>
              </w:rPr>
            </w:pPr>
            <w:r>
              <w:rPr>
                <w:rFonts w:ascii="宋体" w:hAnsi="宋体" w:cs="宋体" w:eastAsia="宋体" w:hint="default"/>
                <w:spacing w:val="-2"/>
                <w:sz w:val="18"/>
                <w:szCs w:val="18"/>
              </w:rPr>
              <w:t>补贴是否影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响当年盈亏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是否特殊补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上期发生金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6、营业外支出" w:id="304"/>
      <w:bookmarkEnd w:id="304"/>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63"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4"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58"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3,268,000.00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3,268,000.00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30,633.06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34,084.55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违约支出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491,711.10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491,711.10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4,124.61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17,583.43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4,124.61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3,794,468.77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3,401,667.98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3,763,835.71</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89"/>
        <w:ind w:left="153" w:right="0" w:firstLine="0"/>
        <w:jc w:val="left"/>
        <w:rPr>
          <w:rFonts w:ascii="宋体" w:hAnsi="宋体" w:cs="宋体" w:eastAsia="宋体" w:hint="default"/>
          <w:sz w:val="21"/>
          <w:szCs w:val="21"/>
        </w:rPr>
      </w:pPr>
      <w:r>
        <w:rPr>
          <w:rFonts w:ascii="宋体" w:hAnsi="宋体" w:cs="宋体" w:eastAsia="宋体" w:hint="default"/>
          <w:sz w:val="21"/>
          <w:szCs w:val="21"/>
        </w:rPr>
        <w:t>对外捐赠明细</w:t>
      </w:r>
    </w:p>
    <w:p>
      <w:pPr>
        <w:spacing w:line="240" w:lineRule="auto" w:before="5"/>
        <w:rPr>
          <w:rFonts w:ascii="宋体" w:hAnsi="宋体" w:cs="宋体" w:eastAsia="宋体" w:hint="default"/>
          <w:sz w:val="4"/>
          <w:szCs w:val="4"/>
        </w:rPr>
      </w:pPr>
    </w:p>
    <w:tbl>
      <w:tblPr>
        <w:tblW w:w="0" w:type="auto"/>
        <w:jc w:val="left"/>
        <w:tblInd w:w="184" w:type="dxa"/>
        <w:tblLayout w:type="fixed"/>
        <w:tblCellMar>
          <w:top w:w="0" w:type="dxa"/>
          <w:left w:w="0" w:type="dxa"/>
          <w:bottom w:w="0" w:type="dxa"/>
          <w:right w:w="0" w:type="dxa"/>
        </w:tblCellMar>
        <w:tblLook w:val="01E0"/>
      </w:tblPr>
      <w:tblGrid>
        <w:gridCol w:w="4334"/>
        <w:gridCol w:w="5239"/>
      </w:tblGrid>
      <w:tr>
        <w:trPr>
          <w:trHeight w:val="326" w:hRule="exact"/>
        </w:trPr>
        <w:tc>
          <w:tcPr>
            <w:tcW w:w="43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6" w:right="0"/>
              <w:jc w:val="center"/>
              <w:rPr>
                <w:rFonts w:ascii="宋体" w:hAnsi="宋体" w:cs="宋体" w:eastAsia="宋体" w:hint="default"/>
                <w:sz w:val="21"/>
                <w:szCs w:val="21"/>
              </w:rPr>
            </w:pPr>
            <w:r>
              <w:rPr>
                <w:rFonts w:ascii="宋体" w:hAnsi="宋体" w:cs="宋体" w:eastAsia="宋体" w:hint="default"/>
                <w:sz w:val="21"/>
                <w:szCs w:val="21"/>
              </w:rPr>
              <w:t>接受捐赠单位</w:t>
            </w:r>
          </w:p>
        </w:tc>
        <w:tc>
          <w:tcPr>
            <w:tcW w:w="5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发生额</w:t>
            </w:r>
          </w:p>
        </w:tc>
      </w:tr>
    </w:tbl>
    <w:p>
      <w:pPr>
        <w:spacing w:after="0" w:line="265" w:lineRule="exact"/>
        <w:jc w:val="center"/>
        <w:rPr>
          <w:rFonts w:ascii="宋体" w:hAnsi="宋体" w:cs="宋体" w:eastAsia="宋体" w:hint="default"/>
          <w:sz w:val="21"/>
          <w:szCs w:val="21"/>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4336"/>
        <w:gridCol w:w="5239"/>
      </w:tblGrid>
      <w:tr>
        <w:trPr>
          <w:trHeight w:val="341"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台州学院教育基金会</w:t>
            </w:r>
          </w:p>
        </w:tc>
        <w:tc>
          <w:tcPr>
            <w:tcW w:w="5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2,000,000.00</w:t>
            </w:r>
          </w:p>
        </w:tc>
      </w:tr>
      <w:tr>
        <w:trPr>
          <w:trHeight w:val="341"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浙江万里学院发展基金</w:t>
            </w:r>
          </w:p>
        </w:tc>
        <w:tc>
          <w:tcPr>
            <w:tcW w:w="5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1,000,000.00</w:t>
            </w:r>
          </w:p>
        </w:tc>
      </w:tr>
      <w:tr>
        <w:trPr>
          <w:trHeight w:val="346"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嘉兴学院教育发展基金会</w:t>
            </w:r>
          </w:p>
        </w:tc>
        <w:tc>
          <w:tcPr>
            <w:tcW w:w="5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1"/>
                <w:szCs w:val="21"/>
              </w:rPr>
            </w:pPr>
            <w:r>
              <w:rPr>
                <w:rFonts w:ascii="Times New Roman"/>
                <w:sz w:val="21"/>
              </w:rPr>
              <w:t>250,000.00</w:t>
            </w:r>
          </w:p>
        </w:tc>
      </w:tr>
      <w:tr>
        <w:trPr>
          <w:trHeight w:val="341"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18,000.00</w:t>
            </w:r>
          </w:p>
        </w:tc>
      </w:tr>
      <w:tr>
        <w:trPr>
          <w:trHeight w:val="341" w:hRule="exact"/>
        </w:trPr>
        <w:tc>
          <w:tcPr>
            <w:tcW w:w="4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3,268,000.00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3" w:right="0" w:firstLine="0"/>
        <w:jc w:val="left"/>
        <w:rPr>
          <w:rFonts w:ascii="宋体" w:hAnsi="宋体" w:cs="宋体" w:eastAsia="宋体" w:hint="default"/>
          <w:sz w:val="21"/>
          <w:szCs w:val="21"/>
        </w:rPr>
      </w:pPr>
      <w:bookmarkStart w:name="47、所得税费用" w:id="305"/>
      <w:bookmarkEnd w:id="305"/>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所得税费用表" w:id="306"/>
      <w:bookmarkEnd w:id="3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6,719,276.53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3,625,813.51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-5,801,529.10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-4,254,721.45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917,747.43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-628,907.94</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会计利润与所得税费用调整过程" w:id="307"/>
      <w:bookmarkEnd w:id="3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9"/>
        <w:gridCol w:w="4799"/>
      </w:tblGrid>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44,747,837.35</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4,474,783.72</w:t>
            </w:r>
          </w:p>
        </w:tc>
      </w:tr>
      <w:tr>
        <w:trPr>
          <w:trHeight w:val="398"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-1,892,509.63</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1,685,624.72</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55,074.55</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1,942,607.55</w:t>
            </w:r>
          </w:p>
        </w:tc>
      </w:tr>
      <w:tr>
        <w:trPr>
          <w:trHeight w:val="398"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-370,404.42</w:t>
            </w:r>
          </w:p>
        </w:tc>
      </w:tr>
      <w:tr>
        <w:trPr>
          <w:trHeight w:val="715"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49"/>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3,066,905.30</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研发费加计扣除</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-8,044,334.36</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917,747.43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8、现金流量表项目" w:id="308"/>
      <w:bookmarkEnd w:id="308"/>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收到的其他与经营活动有关的现金" w:id="309"/>
      <w:bookmarkEnd w:id="3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4"/>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收回票据保证金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4,822,929.37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25,478,584.96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往来款净额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5,260,000.00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2,201,090.46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货款解冻收回</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5,761,896.01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18,270,747.38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20,343,187.40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8,241,343.80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3,498,183.80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710,950.54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4,327,533.14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43,396.60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479,961.37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4"/>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37,349,367.69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62,090,437.14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收到的其他与经营活动有关的现金说明：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支付的其他与经营活动有关的现金" w:id="310"/>
      <w:bookmarkEnd w:id="3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支付票据、保函保证金及货款冻结</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8,860,396.63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17,749,390.92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24,916,474.77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18,242,089.85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付现研发支出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11,143,824.59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11,660,848.30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付现其他经营管理费用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47,823,999.45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45,989,464.51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往来款与备用金净额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11,015,282.45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1,220,996.70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3,268,000.00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496,952.73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696,927.23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107,524,930.62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98,909,717.51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支付的其他与经营活动有关的现金说明：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收到的其他与投资活动有关的现金" w:id="311"/>
      <w:bookmarkEnd w:id="3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4"/>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赎回银行理财产品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228,000,000.00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4"/>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228,000,000.00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299,000,000.00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收到的其他与投资活动有关的现金说明：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支付的其他与投资活动有关的现金" w:id="312"/>
      <w:bookmarkEnd w:id="3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购买银行理财产品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189,000,000.00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189,000,000.00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299,000,000.00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支付的其他与投资活动有关的现金说明：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收到的其他与筹资活动有关的现金" w:id="313"/>
      <w:bookmarkEnd w:id="3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收回用于借款质押的定期存款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云马智慧及小兰智慧公司收到少数股东</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12,100,000.00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收到的其他与筹资活动有关的现金说明：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支付的其他与筹资活动有关的现金" w:id="314"/>
      <w:bookmarkEnd w:id="3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云马智慧及小兰智慧公司归还少数股东</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借款及利息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7,099,404.12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购买正元曦客公司少数股权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3,920,000.00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公司可转债发行费用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674,528.30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11,693,932.42</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支付的其他与筹资活动有关的现金说明：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9、现金流量表补充资料" w:id="315"/>
      <w:bookmarkEnd w:id="315"/>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现金流量表补充资料" w:id="316"/>
      <w:bookmarkEnd w:id="3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43,830,089.92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50,133,082.04</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20,911,179.29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13,993,033.40</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6,873,142.99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3,927,753.82</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10,250,185.24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3,851,410.04</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2,790,178.10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318,433.23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r>
        <w:rPr/>
        <w:pict>
          <v:group style="position:absolute;margin-left:223.300003pt;margin-top:183.529984pt;width:151.25pt;height:20.9pt;mso-position-horizontal-relative:page;mso-position-vertical-relative:page;z-index:-1182664" coordorigin="4466,3671" coordsize="3025,418">
            <v:group style="position:absolute;left:4478;top:3683;width:2;height:394" coordorigin="4478,3683" coordsize="2,394">
              <v:shape style="position:absolute;left:4478;top:3683;width:2;height:394" coordorigin="4478,3683" coordsize="0,394" path="m4478,3683l4478,4076e" filled="false" stroked="true" strokeweight="1.2pt" strokecolor="#ffffff">
                <v:path arrowok="t"/>
              </v:shape>
            </v:group>
            <v:group style="position:absolute;left:4490;top:3683;width:3001;height:394" coordorigin="4490,3683" coordsize="3001,394">
              <v:shape style="position:absolute;left:4490;top:3683;width:3001;height:394" coordorigin="4490,3683" coordsize="3001,394" path="m4490,4076l7491,4076,7491,3683,4490,3683,4490,407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6"/>
        <w:gridCol w:w="1010"/>
        <w:gridCol w:w="2058"/>
        <w:gridCol w:w="3183"/>
      </w:tblGrid>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144,918.80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-226,119.71</w:t>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财务费用（收益以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15,819,328.50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7,093,528.25</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6"/>
              <w:jc w:val="right"/>
              <w:rPr>
                <w:rFonts w:ascii="宋体" w:hAnsi="宋体" w:cs="宋体" w:eastAsia="宋体" w:hint="default"/>
                <w:sz w:val="18"/>
                <w:szCs w:val="18"/>
              </w:rPr>
            </w:pPr>
            <w:r>
              <w:rPr>
                <w:rFonts w:ascii="宋体" w:hAnsi="宋体" w:cs="宋体" w:eastAsia="宋体" w:hint="default"/>
                <w:spacing w:val="-2"/>
                <w:sz w:val="18"/>
                <w:szCs w:val="18"/>
              </w:rPr>
              <w:t>投资损失（收益以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left="2025" w:right="0"/>
              <w:jc w:val="left"/>
              <w:rPr>
                <w:rFonts w:ascii="Times New Roman" w:hAnsi="Times New Roman" w:cs="Times New Roman" w:eastAsia="Times New Roman" w:hint="default"/>
                <w:sz w:val="18"/>
                <w:szCs w:val="18"/>
              </w:rPr>
            </w:pPr>
            <w:r>
              <w:rPr>
                <w:rFonts w:ascii="Times New Roman"/>
                <w:sz w:val="18"/>
              </w:rPr>
              <w:t>-2,201,320.52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-3,198,020.76</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25" w:right="0"/>
              <w:jc w:val="left"/>
              <w:rPr>
                <w:rFonts w:ascii="Times New Roman" w:hAnsi="Times New Roman" w:cs="Times New Roman" w:eastAsia="Times New Roman" w:hint="default"/>
                <w:sz w:val="18"/>
                <w:szCs w:val="18"/>
              </w:rPr>
            </w:pPr>
            <w:r>
              <w:rPr>
                <w:rFonts w:ascii="Times New Roman"/>
                <w:sz w:val="18"/>
              </w:rPr>
              <w:t>-5,801,529.10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-4,254,721.45</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4"/>
              <w:jc w:val="right"/>
              <w:rPr>
                <w:rFonts w:ascii="宋体" w:hAnsi="宋体" w:cs="宋体" w:eastAsia="宋体" w:hint="default"/>
                <w:sz w:val="18"/>
                <w:szCs w:val="18"/>
              </w:rPr>
            </w:pPr>
            <w:r>
              <w:rPr>
                <w:rFonts w:ascii="宋体" w:hAnsi="宋体" w:cs="宋体" w:eastAsia="宋体" w:hint="default"/>
                <w:spacing w:val="-5"/>
                <w:sz w:val="18"/>
                <w:szCs w:val="18"/>
              </w:rPr>
              <w:t>存货的减少（增加以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010" w:type="dxa"/>
            <w:tcBorders>
              <w:top w:val="single" w:sz="4" w:space="0" w:color="000000"/>
              <w:left w:val="single" w:sz="8" w:space="0" w:color="D2D2D2"/>
              <w:bottom w:val="single" w:sz="4" w:space="0" w:color="000000"/>
              <w:right w:val="nil" w:sz="6" w:space="0" w:color="auto"/>
            </w:tcBorders>
          </w:tcPr>
          <w:p>
            <w:pPr>
              <w:pStyle w:val="TableParagraph"/>
              <w:spacing w:line="240" w:lineRule="auto" w:before="53"/>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934" w:right="0"/>
              <w:jc w:val="left"/>
              <w:rPr>
                <w:rFonts w:ascii="Times New Roman" w:hAnsi="Times New Roman" w:cs="Times New Roman" w:eastAsia="Times New Roman" w:hint="default"/>
                <w:sz w:val="18"/>
                <w:szCs w:val="18"/>
              </w:rPr>
            </w:pPr>
            <w:r>
              <w:rPr>
                <w:rFonts w:ascii="Times New Roman"/>
                <w:sz w:val="18"/>
              </w:rPr>
              <w:t>-45,024,008.13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-55,892,440.15</w:t>
            </w:r>
          </w:p>
        </w:tc>
      </w:tr>
      <w:tr>
        <w:trPr>
          <w:trHeight w:val="71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3" w:right="0"/>
              <w:jc w:val="left"/>
              <w:rPr>
                <w:rFonts w:ascii="Times New Roman" w:hAnsi="Times New Roman" w:cs="Times New Roman" w:eastAsia="Times New Roman" w:hint="default"/>
                <w:sz w:val="18"/>
                <w:szCs w:val="18"/>
              </w:rPr>
            </w:pPr>
            <w:r>
              <w:rPr>
                <w:rFonts w:ascii="Times New Roman"/>
                <w:sz w:val="18"/>
              </w:rPr>
              <w:t>-145,825,245.43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-48,720,437.24</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92" w:right="0"/>
              <w:jc w:val="left"/>
              <w:rPr>
                <w:rFonts w:ascii="Times New Roman" w:hAnsi="Times New Roman" w:cs="Times New Roman" w:eastAsia="Times New Roman" w:hint="default"/>
                <w:sz w:val="18"/>
                <w:szCs w:val="18"/>
              </w:rPr>
            </w:pPr>
            <w:r>
              <w:rPr>
                <w:rFonts w:ascii="Times New Roman"/>
                <w:sz w:val="18"/>
              </w:rPr>
              <w:t>41,131,719.72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37,417,119.96</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5,581,030.29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2,096,038.98</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9"/>
              <w:jc w:val="righ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34" w:right="0"/>
              <w:jc w:val="left"/>
              <w:rPr>
                <w:rFonts w:ascii="Times New Roman" w:hAnsi="Times New Roman" w:cs="Times New Roman" w:eastAsia="Times New Roman" w:hint="default"/>
                <w:sz w:val="18"/>
                <w:szCs w:val="18"/>
              </w:rPr>
            </w:pPr>
            <w:r>
              <w:rPr>
                <w:rFonts w:ascii="Times New Roman"/>
                <w:sz w:val="18"/>
              </w:rPr>
              <w:t>-51,520,330.33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6,538,660.41</w:t>
            </w:r>
          </w:p>
        </w:tc>
      </w:tr>
      <w:tr>
        <w:trPr>
          <w:trHeight w:val="158" w:hRule="exact"/>
        </w:trPr>
        <w:tc>
          <w:tcPr>
            <w:tcW w:w="330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1" w:right="1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6" w:type="dxa"/>
            <w:vMerge/>
            <w:tcBorders>
              <w:left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1" w:hRule="exact"/>
        </w:trPr>
        <w:tc>
          <w:tcPr>
            <w:tcW w:w="3306" w:type="dxa"/>
            <w:vMerge/>
            <w:tcBorders>
              <w:left w:val="single" w:sz="4" w:space="0" w:color="000000"/>
              <w:bottom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234,596,868.81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221,142,853.68</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221,142,853.68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175,586,866.87</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13,454,015.13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45,555,986.81</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现金和现金等价物的构成" w:id="317"/>
      <w:bookmarkEnd w:id="3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234,596,868.81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221,142,853.68</w:t>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43,310.20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98,075.86</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234,104,913.43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220,949,796.59</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448,645.18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94,981.23</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234,596,868.81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221,142,853.68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85"/>
        <w:ind w:left="1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不属于现金及现金等价物的货币资金情况的说明</w:t>
      </w:r>
    </w:p>
    <w:p>
      <w:pPr>
        <w:spacing w:line="240" w:lineRule="auto" w:before="1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687"/>
        <w:gridCol w:w="1916"/>
        <w:gridCol w:w="3040"/>
      </w:tblGrid>
      <w:tr>
        <w:trPr>
          <w:trHeight w:val="346" w:hRule="exact"/>
        </w:trPr>
        <w:tc>
          <w:tcPr>
            <w:tcW w:w="4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63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0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2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1"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银行存款</w:t>
            </w:r>
          </w:p>
        </w:tc>
        <w:tc>
          <w:tcPr>
            <w:tcW w:w="1916" w:type="dxa"/>
            <w:tcBorders>
              <w:top w:val="single" w:sz="4" w:space="0" w:color="000000"/>
              <w:left w:val="single" w:sz="4" w:space="0" w:color="000000"/>
              <w:bottom w:val="single" w:sz="4" w:space="0" w:color="000000"/>
              <w:right w:val="single" w:sz="4" w:space="0" w:color="000000"/>
            </w:tcBorders>
          </w:tcPr>
          <w:p>
            <w:pPr/>
          </w:p>
        </w:tc>
        <w:tc>
          <w:tcPr>
            <w:tcW w:w="30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货款冻结</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176,398.64</w:t>
            </w:r>
          </w:p>
        </w:tc>
        <w:tc>
          <w:tcPr>
            <w:tcW w:w="30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其他货币资金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304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1"/>
                <w:szCs w:val="21"/>
              </w:rPr>
            </w:pPr>
            <w:r>
              <w:rPr>
                <w:rFonts w:ascii="Times New Roman"/>
                <w:sz w:val="21"/>
              </w:rPr>
              <w:t>6,218,024.84</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20" w:right="0"/>
              <w:jc w:val="left"/>
              <w:rPr>
                <w:rFonts w:ascii="Times New Roman" w:hAnsi="Times New Roman" w:cs="Times New Roman" w:eastAsia="Times New Roman" w:hint="default"/>
                <w:sz w:val="21"/>
                <w:szCs w:val="21"/>
              </w:rPr>
            </w:pPr>
            <w:r>
              <w:rPr>
                <w:rFonts w:ascii="Times New Roman"/>
                <w:sz w:val="21"/>
              </w:rPr>
              <w:t>3,114,234.87</w:t>
            </w:r>
          </w:p>
        </w:tc>
      </w:tr>
      <w:tr>
        <w:trPr>
          <w:trHeight w:val="341"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757,278.65</w:t>
            </w:r>
          </w:p>
        </w:tc>
        <w:tc>
          <w:tcPr>
            <w:tcW w:w="30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687"/>
        <w:gridCol w:w="1916"/>
        <w:gridCol w:w="3040"/>
      </w:tblGrid>
      <w:tr>
        <w:trPr>
          <w:trHeight w:val="341" w:hRule="exact"/>
        </w:trPr>
        <w:tc>
          <w:tcPr>
            <w:tcW w:w="4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96" w:right="0"/>
              <w:jc w:val="left"/>
              <w:rPr>
                <w:rFonts w:ascii="Times New Roman" w:hAnsi="Times New Roman" w:cs="Times New Roman" w:eastAsia="Times New Roman" w:hint="default"/>
                <w:sz w:val="21"/>
                <w:szCs w:val="21"/>
              </w:rPr>
            </w:pPr>
            <w:r>
              <w:rPr>
                <w:rFonts w:ascii="Times New Roman"/>
                <w:sz w:val="21"/>
              </w:rPr>
              <w:t>7,151,702.13</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920" w:right="0"/>
              <w:jc w:val="left"/>
              <w:rPr>
                <w:rFonts w:ascii="Times New Roman" w:hAnsi="Times New Roman" w:cs="Times New Roman" w:eastAsia="Times New Roman" w:hint="default"/>
                <w:sz w:val="21"/>
                <w:szCs w:val="21"/>
              </w:rPr>
            </w:pPr>
            <w:r>
              <w:rPr>
                <w:rFonts w:ascii="Times New Roman"/>
                <w:sz w:val="21"/>
              </w:rPr>
              <w:t>3,114,234.87</w:t>
            </w:r>
          </w:p>
        </w:tc>
      </w:tr>
    </w:tbl>
    <w:p>
      <w:pPr>
        <w:spacing w:line="276" w:lineRule="exact"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w:t>
      </w:r>
      <w:r>
        <w:rPr>
          <w:rFonts w:ascii="宋体" w:hAnsi="宋体" w:cs="宋体" w:eastAsia="宋体" w:hint="default"/>
          <w:sz w:val="21"/>
          <w:szCs w:val="21"/>
        </w:rPr>
        <w:t>货款冻结系公司与客户开立的共管账户</w:t>
      </w:r>
      <w:r>
        <w:rPr>
          <w:rFonts w:ascii="Times New Roman" w:hAnsi="Times New Roman" w:cs="Times New Roman" w:eastAsia="Times New Roman" w:hint="default"/>
          <w:sz w:val="21"/>
          <w:szCs w:val="21"/>
        </w:rPr>
        <w:t>,</w:t>
      </w:r>
      <w:r>
        <w:rPr>
          <w:rFonts w:ascii="宋体" w:hAnsi="宋体" w:cs="宋体" w:eastAsia="宋体" w:hint="default"/>
          <w:sz w:val="21"/>
          <w:szCs w:val="21"/>
        </w:rPr>
        <w:t>在项目完成前</w:t>
      </w:r>
      <w:r>
        <w:rPr>
          <w:rFonts w:ascii="Times New Roman" w:hAnsi="Times New Roman" w:cs="Times New Roman" w:eastAsia="Times New Roman" w:hint="default"/>
          <w:sz w:val="21"/>
          <w:szCs w:val="21"/>
        </w:rPr>
        <w:t>,</w:t>
      </w:r>
      <w:r>
        <w:rPr>
          <w:rFonts w:ascii="宋体" w:hAnsi="宋体" w:cs="宋体" w:eastAsia="宋体" w:hint="default"/>
          <w:sz w:val="21"/>
          <w:szCs w:val="21"/>
        </w:rPr>
        <w:t>账户内资金被银行冻结</w:t>
      </w:r>
      <w:r>
        <w:rPr>
          <w:rFonts w:ascii="Times New Roman" w:hAnsi="Times New Roman" w:cs="Times New Roman" w:eastAsia="Times New Roman" w:hint="default"/>
          <w:sz w:val="21"/>
          <w:szCs w:val="21"/>
        </w:rPr>
        <w:t>,</w:t>
      </w:r>
      <w:r>
        <w:rPr>
          <w:rFonts w:ascii="宋体" w:hAnsi="宋体" w:cs="宋体" w:eastAsia="宋体" w:hint="default"/>
          <w:sz w:val="21"/>
          <w:szCs w:val="21"/>
        </w:rPr>
        <w:t>无法随时支取。</w:t>
      </w:r>
    </w:p>
    <w:p>
      <w:pPr>
        <w:spacing w:before="21"/>
        <w:ind w:left="1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不涉及现金收支的商业汇票背书转让金额</w:t>
      </w:r>
    </w:p>
    <w:p>
      <w:pPr>
        <w:spacing w:line="240" w:lineRule="auto" w:before="11"/>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644"/>
        <w:gridCol w:w="1973"/>
        <w:gridCol w:w="3026"/>
      </w:tblGrid>
      <w:tr>
        <w:trPr>
          <w:trHeight w:val="332" w:hRule="exact"/>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right="2101"/>
              <w:jc w:val="right"/>
              <w:rPr>
                <w:rFonts w:ascii="宋体" w:hAnsi="宋体" w:cs="宋体" w:eastAsia="宋体" w:hint="default"/>
                <w:sz w:val="21"/>
                <w:szCs w:val="21"/>
              </w:rPr>
            </w:pPr>
            <w:r>
              <w:rPr>
                <w:rFonts w:ascii="宋体" w:hAnsi="宋体" w:cs="宋体" w:eastAsia="宋体" w:hint="default"/>
                <w:sz w:val="21"/>
                <w:szCs w:val="21"/>
              </w:rPr>
              <w:t>项目</w:t>
            </w:r>
          </w:p>
        </w:tc>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13"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9" w:right="0"/>
              <w:jc w:val="center"/>
              <w:rPr>
                <w:rFonts w:ascii="宋体" w:hAnsi="宋体" w:cs="宋体" w:eastAsia="宋体" w:hint="default"/>
                <w:sz w:val="21"/>
                <w:szCs w:val="21"/>
              </w:rPr>
            </w:pPr>
            <w:r>
              <w:rPr>
                <w:rFonts w:ascii="宋体" w:hAnsi="宋体" w:cs="宋体" w:eastAsia="宋体" w:hint="default"/>
                <w:sz w:val="21"/>
                <w:szCs w:val="21"/>
              </w:rPr>
              <w:t>上期数</w:t>
            </w:r>
          </w:p>
        </w:tc>
      </w:tr>
      <w:tr>
        <w:trPr>
          <w:trHeight w:val="341" w:hRule="exact"/>
        </w:trPr>
        <w:tc>
          <w:tcPr>
            <w:tcW w:w="4644"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背书转让的商业汇票金额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10,480,833.30</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6,527,121.27</w:t>
            </w:r>
          </w:p>
        </w:tc>
      </w:tr>
      <w:tr>
        <w:trPr>
          <w:trHeight w:val="341"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其中：支付货款</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10,480,833.30</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6,527,121.27</w:t>
            </w:r>
          </w:p>
        </w:tc>
      </w:tr>
      <w:tr>
        <w:trPr>
          <w:trHeight w:val="341"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应收账款抵付应付账款</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9,780,343.01</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1,902,016.62</w:t>
            </w:r>
          </w:p>
        </w:tc>
      </w:tr>
      <w:tr>
        <w:trPr>
          <w:trHeight w:val="346" w:hRule="exact"/>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2101"/>
              <w:jc w:val="righ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20,261,176.31</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8,429,137.89</w:t>
            </w:r>
          </w:p>
        </w:tc>
      </w:tr>
    </w:tbl>
    <w:p>
      <w:pPr>
        <w:spacing w:line="276" w:lineRule="exact"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上述金额未作为现金流量表</w:t>
      </w:r>
      <w:r>
        <w:rPr>
          <w:rFonts w:ascii="Times New Roman" w:hAnsi="Times New Roman" w:cs="Times New Roman" w:eastAsia="Times New Roman" w:hint="default"/>
          <w:sz w:val="21"/>
          <w:szCs w:val="21"/>
        </w:rPr>
        <w:t>“</w:t>
      </w:r>
      <w:r>
        <w:rPr>
          <w:rFonts w:ascii="宋体" w:hAnsi="宋体" w:cs="宋体" w:eastAsia="宋体" w:hint="default"/>
          <w:sz w:val="21"/>
          <w:szCs w:val="21"/>
        </w:rPr>
        <w:t>销售商品、提供劳务收到的现金</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购买商品、接受劳务支付的现金</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0、所有权或使用权受到限制的资产" w:id="318"/>
      <w:bookmarkEnd w:id="318"/>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72"/>
              <w:jc w:val="right"/>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7,151,702.13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汇票、保函保证金等</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33,922,381.90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72"/>
              <w:jc w:val="righ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41,074,084.03</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89"/>
        <w:ind w:left="0" w:right="1109" w:firstLine="0"/>
        <w:jc w:val="right"/>
        <w:rPr>
          <w:rFonts w:ascii="宋体" w:hAnsi="宋体" w:cs="宋体" w:eastAsia="宋体" w:hint="default"/>
          <w:sz w:val="21"/>
          <w:szCs w:val="21"/>
        </w:rPr>
      </w:pPr>
      <w:r>
        <w:rPr>
          <w:rFonts w:ascii="宋体" w:hAnsi="宋体" w:cs="宋体" w:eastAsia="宋体" w:hint="default"/>
          <w:spacing w:val="11"/>
          <w:sz w:val="21"/>
          <w:szCs w:val="21"/>
        </w:rPr>
        <w:t>注：青岛天高公司于</w:t>
      </w:r>
      <w:r>
        <w:rPr>
          <w:rFonts w:ascii="Times New Roman" w:hAnsi="Times New Roman" w:cs="Times New Roman" w:eastAsia="Times New Roman" w:hint="default"/>
          <w:spacing w:val="11"/>
          <w:sz w:val="21"/>
          <w:szCs w:val="21"/>
        </w:rPr>
        <w:t>2016</w:t>
      </w:r>
      <w:r>
        <w:rPr>
          <w:rFonts w:ascii="宋体" w:hAnsi="宋体" w:cs="宋体" w:eastAsia="宋体" w:hint="default"/>
          <w:spacing w:val="11"/>
          <w:sz w:val="21"/>
          <w:szCs w:val="21"/>
        </w:rPr>
        <w:t>年</w:t>
      </w:r>
      <w:r>
        <w:rPr>
          <w:rFonts w:ascii="Times New Roman" w:hAnsi="Times New Roman" w:cs="Times New Roman" w:eastAsia="Times New Roman" w:hint="default"/>
          <w:spacing w:val="11"/>
          <w:sz w:val="21"/>
          <w:szCs w:val="21"/>
        </w:rPr>
        <w:t>12</w:t>
      </w:r>
      <w:r>
        <w:rPr>
          <w:rFonts w:ascii="宋体" w:hAnsi="宋体" w:cs="宋体" w:eastAsia="宋体" w:hint="default"/>
          <w:spacing w:val="11"/>
          <w:sz w:val="21"/>
          <w:szCs w:val="21"/>
        </w:rPr>
        <w:t>月</w:t>
      </w:r>
      <w:r>
        <w:rPr>
          <w:rFonts w:ascii="Times New Roman" w:hAnsi="Times New Roman" w:cs="Times New Roman" w:eastAsia="Times New Roman" w:hint="default"/>
          <w:spacing w:val="11"/>
          <w:sz w:val="21"/>
          <w:szCs w:val="21"/>
        </w:rPr>
        <w:t>28</w:t>
      </w:r>
      <w:r>
        <w:rPr>
          <w:rFonts w:ascii="宋体" w:hAnsi="宋体" w:cs="宋体" w:eastAsia="宋体" w:hint="default"/>
          <w:spacing w:val="11"/>
          <w:sz w:val="21"/>
          <w:szCs w:val="21"/>
        </w:rPr>
        <w:t>日与上海浦东发展银行股份有限公司青岛分行最高额人民币</w:t>
      </w:r>
      <w:r>
        <w:rPr>
          <w:rFonts w:ascii="宋体" w:hAnsi="宋体" w:cs="宋体" w:eastAsia="宋体" w:hint="default"/>
          <w:sz w:val="21"/>
          <w:szCs w:val="21"/>
        </w:rPr>
      </w:r>
    </w:p>
    <w:p>
      <w:pPr>
        <w:spacing w:before="21"/>
        <w:ind w:left="1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1,100.00</w:t>
      </w:r>
      <w:r>
        <w:rPr>
          <w:rFonts w:ascii="宋体" w:hAnsi="宋体" w:cs="宋体" w:eastAsia="宋体" w:hint="default"/>
          <w:sz w:val="21"/>
          <w:szCs w:val="21"/>
        </w:rPr>
        <w:t>万元的质押合同，将青岛天高公司自</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日起至</w:t>
      </w:r>
      <w:r>
        <w:rPr>
          <w:rFonts w:ascii="Times New Roman" w:hAnsi="Times New Roman" w:cs="Times New Roman" w:eastAsia="Times New Roman" w:hint="default"/>
          <w:sz w:val="21"/>
          <w:szCs w:val="21"/>
        </w:rPr>
        <w:t>2022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日止内因全部销售发生的</w:t>
      </w:r>
    </w:p>
    <w:p>
      <w:pPr>
        <w:spacing w:line="256" w:lineRule="auto" w:before="21"/>
        <w:ind w:left="153" w:right="0" w:firstLine="0"/>
        <w:jc w:val="left"/>
        <w:rPr>
          <w:rFonts w:ascii="宋体" w:hAnsi="宋体" w:cs="宋体" w:eastAsia="宋体" w:hint="default"/>
          <w:sz w:val="21"/>
          <w:szCs w:val="21"/>
        </w:rPr>
      </w:pPr>
      <w:r>
        <w:rPr>
          <w:rFonts w:ascii="宋体" w:hAnsi="宋体" w:cs="宋体" w:eastAsia="宋体" w:hint="default"/>
          <w:spacing w:val="-2"/>
          <w:sz w:val="21"/>
          <w:szCs w:val="21"/>
        </w:rPr>
        <w:t>（包括已发生和将发生的）所有应收账款用于质押。截至</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日，青岛天高公司在上海浦东发展</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银行股份有限公司青岛分行的贷款余额为</w:t>
      </w:r>
      <w:r>
        <w:rPr>
          <w:rFonts w:ascii="Times New Roman" w:hAnsi="Times New Roman" w:cs="Times New Roman" w:eastAsia="Times New Roman" w:hint="default"/>
          <w:sz w:val="21"/>
          <w:szCs w:val="21"/>
        </w:rPr>
        <w:t>150.00</w:t>
      </w:r>
      <w:r>
        <w:rPr>
          <w:rFonts w:ascii="宋体" w:hAnsi="宋体" w:cs="宋体" w:eastAsia="宋体" w:hint="default"/>
          <w:sz w:val="21"/>
          <w:szCs w:val="21"/>
        </w:rPr>
        <w:t>万元，应收账款质押余额</w:t>
      </w:r>
      <w:r>
        <w:rPr>
          <w:rFonts w:ascii="Times New Roman" w:hAnsi="Times New Roman" w:cs="Times New Roman" w:eastAsia="Times New Roman" w:hint="default"/>
          <w:sz w:val="21"/>
          <w:szCs w:val="21"/>
        </w:rPr>
        <w:t>33,922,381.90</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1、政府补助" w:id="319"/>
      <w:bookmarkEnd w:id="319"/>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政府补助基本情况" w:id="320"/>
      <w:bookmarkEnd w:id="3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增值税即征即退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23,677,561.81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23,677,561.81</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智慧课桌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项目开发专项资金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0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移动互联健康餐饮管理服务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平台</w:t>
            </w:r>
            <w:r>
              <w:rPr>
                <w:rFonts w:ascii="Times New Roman" w:hAnsi="Times New Roman" w:cs="Times New Roman" w:eastAsia="Times New Roman" w:hint="default"/>
                <w:sz w:val="18"/>
                <w:szCs w:val="18"/>
              </w:rPr>
              <w:t>”</w:t>
            </w:r>
            <w:r>
              <w:rPr>
                <w:rFonts w:ascii="宋体" w:hAnsi="宋体" w:cs="宋体" w:eastAsia="宋体" w:hint="default"/>
                <w:sz w:val="18"/>
                <w:szCs w:val="18"/>
              </w:rPr>
              <w:t>研发项目补助资金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1,699,800.00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1,699,800.00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杭州市国际软件名城创建项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目市级资助资金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1,601,550.00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1,601,550.00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4" w:right="99"/>
              <w:jc w:val="left"/>
              <w:rPr>
                <w:rFonts w:ascii="宋体" w:hAnsi="宋体" w:cs="宋体" w:eastAsia="宋体" w:hint="default"/>
                <w:sz w:val="18"/>
                <w:szCs w:val="18"/>
              </w:rPr>
            </w:pPr>
            <w:r>
              <w:rPr>
                <w:rFonts w:ascii="宋体" w:hAnsi="宋体" w:cs="宋体" w:eastAsia="宋体" w:hint="default"/>
                <w:sz w:val="18"/>
                <w:szCs w:val="18"/>
              </w:rPr>
              <w:t>余杭区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年度企业研发投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713,400.00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713,400.00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南宁市商务局汇来服务外包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435,900.00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6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项目补助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4" w:right="28"/>
              <w:jc w:val="left"/>
              <w:rPr>
                <w:rFonts w:ascii="宋体" w:hAnsi="宋体" w:cs="宋体" w:eastAsia="宋体" w:hint="default"/>
                <w:sz w:val="18"/>
                <w:szCs w:val="18"/>
              </w:rPr>
            </w:pPr>
            <w:r>
              <w:rPr>
                <w:rFonts w:ascii="Times New Roman" w:hAnsi="Times New Roman" w:cs="Times New Roman" w:eastAsia="Times New Roman" w:hint="default"/>
                <w:spacing w:val="-9"/>
                <w:w w:val="101"/>
                <w:sz w:val="18"/>
                <w:szCs w:val="18"/>
              </w:rPr>
              <w:t>“</w:t>
            </w:r>
            <w:r>
              <w:rPr>
                <w:rFonts w:ascii="宋体" w:hAnsi="宋体" w:cs="宋体" w:eastAsia="宋体" w:hint="default"/>
                <w:spacing w:val="-9"/>
                <w:w w:val="101"/>
                <w:sz w:val="18"/>
                <w:szCs w:val="18"/>
              </w:rPr>
              <w:t>集约化一卡通平台</w:t>
            </w:r>
            <w:r>
              <w:rPr>
                <w:rFonts w:ascii="Times New Roman" w:hAnsi="Times New Roman" w:cs="Times New Roman" w:eastAsia="Times New Roman" w:hint="default"/>
                <w:spacing w:val="-9"/>
                <w:w w:val="101"/>
                <w:sz w:val="18"/>
                <w:szCs w:val="18"/>
              </w:rPr>
              <w:t>”</w:t>
            </w:r>
            <w:r>
              <w:rPr>
                <w:rFonts w:ascii="宋体" w:hAnsi="宋体" w:cs="宋体" w:eastAsia="宋体" w:hint="default"/>
                <w:spacing w:val="-9"/>
                <w:w w:val="101"/>
                <w:sz w:val="18"/>
                <w:szCs w:val="18"/>
              </w:rPr>
              <w:t>、</w:t>
            </w:r>
            <w:r>
              <w:rPr>
                <w:rFonts w:ascii="Times New Roman" w:hAnsi="Times New Roman" w:cs="Times New Roman" w:eastAsia="Times New Roman" w:hint="default"/>
                <w:spacing w:val="-9"/>
                <w:w w:val="101"/>
                <w:sz w:val="18"/>
                <w:szCs w:val="18"/>
              </w:rPr>
              <w:t>“</w:t>
            </w:r>
            <w:r>
              <w:rPr>
                <w:rFonts w:ascii="宋体" w:hAnsi="宋体" w:cs="宋体" w:eastAsia="宋体" w:hint="default"/>
                <w:spacing w:val="-9"/>
                <w:w w:val="101"/>
                <w:sz w:val="18"/>
                <w:szCs w:val="18"/>
              </w:rPr>
              <w:t>金融</w:t>
            </w:r>
            <w:r>
              <w:rPr>
                <w:rFonts w:ascii="宋体" w:hAnsi="宋体" w:cs="宋体" w:eastAsia="宋体" w:hint="default"/>
                <w:spacing w:val="-62"/>
                <w:w w:val="101"/>
                <w:sz w:val="18"/>
                <w:szCs w:val="18"/>
              </w:rPr>
              <w:t> </w:t>
            </w:r>
            <w:r>
              <w:rPr>
                <w:rFonts w:ascii="Times New Roman" w:hAnsi="Times New Roman" w:cs="Times New Roman" w:eastAsia="Times New Roman" w:hint="default"/>
                <w:spacing w:val="-8"/>
                <w:w w:val="101"/>
                <w:sz w:val="18"/>
                <w:szCs w:val="18"/>
              </w:rPr>
              <w:t>IC</w:t>
            </w:r>
            <w:r>
              <w:rPr>
                <w:rFonts w:ascii="Times New Roman" w:hAnsi="Times New Roman" w:cs="Times New Roman" w:eastAsia="Times New Roman" w:hint="default"/>
                <w:spacing w:val="-42"/>
                <w:w w:val="101"/>
                <w:sz w:val="18"/>
                <w:szCs w:val="18"/>
              </w:rPr>
              <w:t> </w:t>
            </w:r>
            <w:r>
              <w:rPr>
                <w:rFonts w:ascii="宋体" w:hAnsi="宋体" w:cs="宋体" w:eastAsia="宋体" w:hint="default"/>
                <w:sz w:val="18"/>
                <w:szCs w:val="18"/>
              </w:rPr>
              <w:t>卡企业币通用平台</w:t>
            </w:r>
            <w:r>
              <w:rPr>
                <w:rFonts w:ascii="Times New Roman" w:hAnsi="Times New Roman" w:cs="Times New Roman" w:eastAsia="Times New Roman" w:hint="default"/>
                <w:sz w:val="18"/>
                <w:szCs w:val="18"/>
              </w:rPr>
              <w:t>”</w:t>
            </w:r>
            <w:r>
              <w:rPr>
                <w:rFonts w:ascii="宋体" w:hAnsi="宋体" w:cs="宋体" w:eastAsia="宋体" w:hint="default"/>
                <w:sz w:val="18"/>
                <w:szCs w:val="18"/>
              </w:rPr>
              <w:t>剩余项目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289,800.00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289,800.00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南宁高新技术产业开发区财</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政局汇入政府补贴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212,000.00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99"/>
              <w:jc w:val="left"/>
              <w:rPr>
                <w:rFonts w:ascii="宋体" w:hAnsi="宋体" w:cs="宋体" w:eastAsia="宋体" w:hint="default"/>
                <w:sz w:val="18"/>
                <w:szCs w:val="18"/>
              </w:rPr>
            </w:pPr>
            <w:r>
              <w:rPr>
                <w:rFonts w:ascii="宋体" w:hAnsi="宋体" w:cs="宋体" w:eastAsia="宋体" w:hint="default"/>
                <w:sz w:val="18"/>
                <w:szCs w:val="18"/>
              </w:rPr>
              <w:t>南宁市</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年第二批技术创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新补助资金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青岛市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年科技专项基金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（第八批）款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169,000.00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169,000.00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3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智慧园区创新技术开发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产学</w:t>
            </w:r>
            <w:r>
              <w:rPr>
                <w:rFonts w:ascii="宋体" w:hAnsi="宋体" w:cs="宋体" w:eastAsia="宋体" w:hint="default"/>
                <w:spacing w:val="-53"/>
                <w:sz w:val="18"/>
                <w:szCs w:val="18"/>
              </w:rPr>
              <w:t> </w:t>
            </w:r>
            <w:r>
              <w:rPr>
                <w:rFonts w:ascii="宋体" w:hAnsi="宋体" w:cs="宋体" w:eastAsia="宋体" w:hint="default"/>
                <w:spacing w:val="-3"/>
                <w:sz w:val="18"/>
                <w:szCs w:val="18"/>
              </w:rPr>
              <w:t>研合作项目补助资金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156,000.00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4"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年杭州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雏鹰计划</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企业</w:t>
            </w:r>
            <w:r>
              <w:rPr>
                <w:rFonts w:ascii="宋体" w:hAnsi="宋体" w:cs="宋体" w:eastAsia="宋体" w:hint="default"/>
                <w:spacing w:val="-82"/>
                <w:sz w:val="18"/>
                <w:szCs w:val="18"/>
              </w:rPr>
              <w:t> </w:t>
            </w:r>
            <w:r>
              <w:rPr>
                <w:rFonts w:ascii="宋体" w:hAnsi="宋体" w:cs="宋体" w:eastAsia="宋体" w:hint="default"/>
                <w:sz w:val="18"/>
                <w:szCs w:val="18"/>
              </w:rPr>
              <w:t>培育工程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111,395.52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111,395.52</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激励企业加大研发经费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年二批政府补贴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100,600.00</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4" w:right="147"/>
              <w:jc w:val="left"/>
              <w:rPr>
                <w:rFonts w:ascii="宋体" w:hAnsi="宋体" w:cs="宋体" w:eastAsia="宋体" w:hint="default"/>
                <w:sz w:val="18"/>
                <w:szCs w:val="18"/>
              </w:rPr>
            </w:pPr>
            <w:r>
              <w:rPr>
                <w:rFonts w:ascii="宋体" w:hAnsi="宋体" w:cs="宋体" w:eastAsia="宋体" w:hint="default"/>
                <w:spacing w:val="-3"/>
                <w:sz w:val="18"/>
                <w:szCs w:val="18"/>
              </w:rPr>
              <w:t>余杭区人民政府仓前街道</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年度产业发展先进单位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杭州市实习基地补贴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96,268.87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96,268.87</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90"/>
              <w:jc w:val="both"/>
              <w:rPr>
                <w:rFonts w:ascii="宋体" w:hAnsi="宋体" w:cs="宋体" w:eastAsia="宋体" w:hint="default"/>
                <w:sz w:val="18"/>
                <w:szCs w:val="18"/>
              </w:rPr>
            </w:pPr>
            <w:r>
              <w:rPr>
                <w:rFonts w:ascii="宋体" w:hAnsi="宋体" w:cs="宋体" w:eastAsia="宋体" w:hint="default"/>
                <w:spacing w:val="-3"/>
                <w:sz w:val="18"/>
                <w:szCs w:val="18"/>
              </w:rPr>
              <w:t>青岛市第八批小微企业双创</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城市示范中央转移支付科技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专项款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94,510.00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94,510.00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企业人才房租金补助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51,840.00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51,840.00</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2"/>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4"/>
                <w:sz w:val="18"/>
                <w:szCs w:val="18"/>
              </w:rPr>
              <w:t> </w:t>
            </w:r>
            <w:r>
              <w:rPr>
                <w:rFonts w:ascii="宋体" w:hAnsi="宋体" w:cs="宋体" w:eastAsia="宋体" w:hint="default"/>
                <w:spacing w:val="-7"/>
                <w:sz w:val="18"/>
                <w:szCs w:val="18"/>
              </w:rPr>
              <w:t>年中小企业发展专项（市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场主体培育项目）资金市场奖</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励奖金款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158,845.07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158,845.07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31,868,471.27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31,868,471.27</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政府补助退回情况" w:id="321"/>
      <w:bookmarkEnd w:id="3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）政府补助退回情况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92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八、合并范围的变更" w:id="322"/>
      <w:bookmarkEnd w:id="322"/>
      <w:r>
        <w:rPr>
          <w:b w:val="0"/>
          <w:bCs w:val="0"/>
        </w:rPr>
      </w:r>
      <w:r>
        <w:rPr/>
        <w:t>八、合并范围的变更</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非同一控制下企业合并" w:id="323"/>
      <w:bookmarkEnd w:id="32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本期发生的非同一控制下企业合并" w:id="324"/>
      <w:bookmarkEnd w:id="3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1"/>
        <w:gridCol w:w="1066"/>
      </w:tblGrid>
      <w:tr>
        <w:trPr>
          <w:trHeight w:val="102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被购买方名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股权取得时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436" w:right="74" w:hanging="360"/>
              <w:jc w:val="left"/>
              <w:rPr>
                <w:rFonts w:ascii="宋体" w:hAnsi="宋体" w:cs="宋体" w:eastAsia="宋体" w:hint="default"/>
                <w:sz w:val="18"/>
                <w:szCs w:val="18"/>
              </w:rPr>
            </w:pPr>
            <w:r>
              <w:rPr>
                <w:rFonts w:ascii="宋体" w:hAnsi="宋体" w:cs="宋体" w:eastAsia="宋体" w:hint="default"/>
                <w:spacing w:val="-2"/>
                <w:sz w:val="18"/>
                <w:szCs w:val="18"/>
              </w:rPr>
              <w:t>股权取得成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437" w:right="70" w:hanging="361"/>
              <w:jc w:val="left"/>
              <w:rPr>
                <w:rFonts w:ascii="宋体" w:hAnsi="宋体" w:cs="宋体" w:eastAsia="宋体" w:hint="default"/>
                <w:sz w:val="18"/>
                <w:szCs w:val="18"/>
              </w:rPr>
            </w:pPr>
            <w:r>
              <w:rPr>
                <w:rFonts w:ascii="宋体" w:hAnsi="宋体" w:cs="宋体" w:eastAsia="宋体" w:hint="default"/>
                <w:spacing w:val="-2"/>
                <w:sz w:val="18"/>
                <w:szCs w:val="18"/>
              </w:rPr>
              <w:t>股权取得比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442" w:right="70" w:hanging="361"/>
              <w:jc w:val="left"/>
              <w:rPr>
                <w:rFonts w:ascii="宋体" w:hAnsi="宋体" w:cs="宋体" w:eastAsia="宋体" w:hint="default"/>
                <w:sz w:val="18"/>
                <w:szCs w:val="18"/>
              </w:rPr>
            </w:pPr>
            <w:r>
              <w:rPr>
                <w:rFonts w:ascii="宋体" w:hAnsi="宋体" w:cs="宋体" w:eastAsia="宋体" w:hint="default"/>
                <w:spacing w:val="-2"/>
                <w:sz w:val="18"/>
                <w:szCs w:val="18"/>
              </w:rPr>
              <w:t>股权取得方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59" w:right="70" w:hanging="183"/>
              <w:jc w:val="left"/>
              <w:rPr>
                <w:rFonts w:ascii="宋体" w:hAnsi="宋体" w:cs="宋体" w:eastAsia="宋体" w:hint="default"/>
                <w:sz w:val="18"/>
                <w:szCs w:val="18"/>
              </w:rPr>
            </w:pPr>
            <w:r>
              <w:rPr>
                <w:rFonts w:ascii="宋体" w:hAnsi="宋体" w:cs="宋体" w:eastAsia="宋体" w:hint="default"/>
                <w:spacing w:val="-2"/>
                <w:sz w:val="18"/>
                <w:szCs w:val="18"/>
              </w:rPr>
              <w:t>购买日的确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末被购买方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的收入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4"/>
              <w:jc w:val="both"/>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末被购买方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的净利润</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合并成本及商誉" w:id="325"/>
      <w:bookmarkEnd w:id="3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22;top:14;width:2;height:394" coordorigin="22,14" coordsize="2,394">
              <v:shape style="position:absolute;left:22;top:14;width:2;height:394" coordorigin="22,14" coordsize="0,394" path="m22,14l22,408e" filled="false" stroked="true" strokeweight="1.2pt" strokecolor="#d2d2d2">
                <v:path arrowok="t"/>
              </v:shape>
            </v:group>
            <v:group style="position:absolute;left:4776;top:14;width:2;height:394" coordorigin="4776,14" coordsize="2,394">
              <v:shape style="position:absolute;left:4776;top:14;width:2;height:394" coordorigin="4776,14" coordsize="0,394" path="m4776,14l4776,408e" filled="false" stroked="true" strokeweight="1.2pt" strokecolor="#d2d2d2">
                <v:path arrowok="t"/>
              </v:shape>
            </v:group>
            <v:group style="position:absolute;left:34;top:14;width:4730;height:394" coordorigin="34,14" coordsize="4730,394">
              <v:shape style="position:absolute;left:34;top:14;width:4730;height:394" coordorigin="34,14" coordsize="4730,394" path="m34,408l4764,408,4764,14,34,14,34,408xe" filled="true" fillcolor="#d2d2d2" stroked="false">
                <v:path arrowok="t"/>
                <v:fill type="solid"/>
              </v:shape>
            </v:group>
            <v:group style="position:absolute;left:4809;top:14;width:2;height:394" coordorigin="4809,14" coordsize="2,394">
              <v:shape style="position:absolute;left:4809;top:14;width:2;height:394" coordorigin="4809,14" coordsize="0,394" path="m4809,14l4809,408e" filled="false" stroked="true" strokeweight="1.2pt" strokecolor="#d2d2d2">
                <v:path arrowok="t"/>
              </v:shape>
            </v:group>
            <v:group style="position:absolute;left:9563;top:14;width:2;height:394" coordorigin="9563,14" coordsize="2,394">
              <v:shape style="position:absolute;left:9563;top:14;width:2;height:394" coordorigin="9563,14" coordsize="0,394" path="m9563,14l9563,408e" filled="false" stroked="true" strokeweight="1.2pt" strokecolor="#d2d2d2">
                <v:path arrowok="t"/>
              </v:shape>
            </v:group>
            <v:group style="position:absolute;left:4821;top:14;width:4730;height:394" coordorigin="4821,14" coordsize="4730,394">
              <v:shape style="position:absolute;left:4821;top:14;width:4730;height:394" coordorigin="4821,14" coordsize="4730,394" path="m4821,408l9551,408,9551,14,4821,14,4821,408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7998pt" strokecolor="#000000">
                <v:path arrowok="t"/>
              </v:shape>
            </v:group>
            <v:group style="position:absolute;left:4797;top:10;width:4773;height:2" coordorigin="4797,10" coordsize="4773,2">
              <v:shape style="position:absolute;left:4797;top:10;width:4773;height:2" coordorigin="4797,10" coordsize="4773,0" path="m4797,10l9570,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7998pt" strokecolor="#000000">
                <v:path arrowok="t"/>
              </v:shape>
            </v:group>
            <v:group style="position:absolute;left:4792;top:5;width:2;height:413" coordorigin="4792,5" coordsize="2,413">
              <v:shape style="position:absolute;left:4792;top:5;width:2;height:413" coordorigin="4792,5" coordsize="0,413" path="m4792,5l4792,418e" filled="false" stroked="true" strokeweight=".48001pt" strokecolor="#000000">
                <v:path arrowok="t"/>
              </v:shape>
            </v:group>
            <v:group style="position:absolute;left:4797;top:413;width:4773;height:2" coordorigin="4797,413" coordsize="4773,2">
              <v:shape style="position:absolute;left:4797;top:413;width:4773;height:2" coordorigin="4797,413" coordsize="4773,0" path="m4797,413l9570,413e" filled="false" stroked="true" strokeweight=".47998pt" strokecolor="#000000">
                <v:path arrowok="t"/>
              </v:shape>
            </v:group>
            <v:group style="position:absolute;left:9575;top:5;width:2;height:413" coordorigin="9575,5" coordsize="2,413">
              <v:shape style="position:absolute;left:9575;top:5;width:2;height:413" coordorigin="9575,5" coordsize="0,413" path="m9575,5l9575,418e" filled="false" stroked="true" strokeweight=".48004pt" strokecolor="#000000">
                <v:path arrowok="t"/>
              </v:shape>
              <v:shape style="position:absolute;left:5;top:10;width:4788;height:404" type="#_x0000_t202" filled="false" stroked="false">
                <v:textbox inset="0,0,0,0">
                  <w:txbxContent>
                    <w:p>
                      <w:pPr>
                        <w:spacing w:before="58"/>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2" w:lineRule="auto" w:before="49"/>
        <w:ind w:left="153" w:right="5572" w:firstLine="0"/>
        <w:jc w:val="left"/>
        <w:rPr>
          <w:rFonts w:ascii="宋体" w:hAnsi="宋体" w:cs="宋体" w:eastAsia="宋体" w:hint="default"/>
          <w:sz w:val="18"/>
          <w:szCs w:val="18"/>
        </w:rPr>
      </w:pPr>
      <w:r>
        <w:rPr>
          <w:rFonts w:ascii="宋体" w:hAnsi="宋体" w:cs="宋体" w:eastAsia="宋体" w:hint="default"/>
          <w:spacing w:val="-3"/>
          <w:sz w:val="18"/>
          <w:szCs w:val="18"/>
        </w:rPr>
        <w:t>合并成本公允价值的确定方法、或有对价及其变动的说明：</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大额商誉形成的主要原因：</w:t>
      </w:r>
    </w:p>
    <w:p>
      <w:pPr>
        <w:spacing w:before="2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被购买方于购买日可辨认资产、负债" w:id="326"/>
      <w:bookmarkEnd w:id="3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购买日账面价值</w:t>
            </w:r>
          </w:p>
        </w:tc>
      </w:tr>
    </w:tbl>
    <w:p>
      <w:pPr>
        <w:spacing w:line="360" w:lineRule="auto" w:before="53"/>
        <w:ind w:left="153" w:right="7523" w:firstLine="0"/>
        <w:jc w:val="both"/>
        <w:rPr>
          <w:rFonts w:ascii="宋体" w:hAnsi="宋体" w:cs="宋体" w:eastAsia="宋体" w:hint="default"/>
          <w:sz w:val="18"/>
          <w:szCs w:val="18"/>
        </w:rPr>
      </w:pPr>
      <w:r>
        <w:rPr>
          <w:rFonts w:ascii="宋体" w:hAnsi="宋体" w:cs="宋体" w:eastAsia="宋体" w:hint="default"/>
          <w:spacing w:val="-3"/>
          <w:sz w:val="18"/>
          <w:szCs w:val="18"/>
        </w:rPr>
        <w:t>可辨认资产、负债公允价值的确定方法：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企业合并中承担的被购买方的或有负债：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11"/>
        <w:rPr>
          <w:rFonts w:ascii="宋体" w:hAnsi="宋体" w:cs="宋体" w:eastAsia="宋体" w:hint="default"/>
          <w:sz w:val="19"/>
          <w:szCs w:val="19"/>
        </w:rPr>
      </w:pPr>
    </w:p>
    <w:p>
      <w:pPr>
        <w:spacing w:before="0"/>
        <w:ind w:left="153" w:right="0" w:firstLine="0"/>
        <w:jc w:val="both"/>
        <w:rPr>
          <w:rFonts w:ascii="宋体" w:hAnsi="宋体" w:cs="宋体" w:eastAsia="宋体" w:hint="default"/>
          <w:sz w:val="21"/>
          <w:szCs w:val="21"/>
        </w:rPr>
      </w:pPr>
      <w:bookmarkStart w:name="（4）购买日之前持有的股权按照公允价值重新计量产生的利得或损失" w:id="327"/>
      <w:bookmarkEnd w:id="3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是否存在通过多次交易分步实现企业合并且在报告期内取得控制权的交易</w:t>
      </w:r>
    </w:p>
    <w:p>
      <w:pPr>
        <w:spacing w:before="115"/>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5）购买日或合并当期期末无法合理确定合并对价或被购买方可辨认资产、负债公允价值" w:id="328"/>
      <w:bookmarkEnd w:id="3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6）其他说明" w:id="329"/>
      <w:bookmarkEnd w:id="3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同一控制下企业合并" w:id="330"/>
      <w:bookmarkEnd w:id="33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本期发生的同一控制下企业合并" w:id="331"/>
      <w:bookmarkEnd w:id="3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6"/>
        <w:gridCol w:w="1061"/>
        <w:gridCol w:w="1066"/>
        <w:gridCol w:w="1066"/>
        <w:gridCol w:w="1061"/>
        <w:gridCol w:w="1066"/>
        <w:gridCol w:w="1066"/>
      </w:tblGrid>
      <w:tr>
        <w:trPr>
          <w:trHeight w:val="1339"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被合并方名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0"/>
              <w:jc w:val="center"/>
              <w:rPr>
                <w:rFonts w:ascii="宋体" w:hAnsi="宋体" w:cs="宋体" w:eastAsia="宋体" w:hint="default"/>
                <w:sz w:val="18"/>
                <w:szCs w:val="18"/>
              </w:rPr>
            </w:pPr>
            <w:r>
              <w:rPr>
                <w:rFonts w:ascii="宋体" w:hAnsi="宋体" w:cs="宋体" w:eastAsia="宋体" w:hint="default"/>
                <w:spacing w:val="-2"/>
                <w:sz w:val="18"/>
                <w:szCs w:val="18"/>
              </w:rPr>
              <w:t>企业合并中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取得的权益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比例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pacing w:val="-2"/>
                <w:sz w:val="18"/>
                <w:szCs w:val="18"/>
              </w:rPr>
              <w:t>构成同一控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制下企业合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并的依据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合并日的确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5"/>
              <w:jc w:val="center"/>
              <w:rPr>
                <w:rFonts w:ascii="宋体" w:hAnsi="宋体" w:cs="宋体" w:eastAsia="宋体" w:hint="default"/>
                <w:sz w:val="18"/>
                <w:szCs w:val="18"/>
              </w:rPr>
            </w:pPr>
            <w:r>
              <w:rPr>
                <w:rFonts w:ascii="宋体" w:hAnsi="宋体" w:cs="宋体" w:eastAsia="宋体" w:hint="default"/>
                <w:spacing w:val="-2"/>
                <w:sz w:val="18"/>
                <w:szCs w:val="18"/>
              </w:rPr>
              <w:t>合并当期期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初至合并日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被合并方的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合并当期期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初至合并日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被合并方的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pacing w:val="-2"/>
                <w:sz w:val="18"/>
                <w:szCs w:val="18"/>
              </w:rPr>
              <w:t>比较期间被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合并方的收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pacing w:val="-2"/>
                <w:sz w:val="18"/>
                <w:szCs w:val="18"/>
              </w:rPr>
              <w:t>比较期间被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合并方的净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利润</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合并成本" w:id="332"/>
      <w:bookmarkEnd w:id="3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22;top:14;width:2;height:395" coordorigin="22,14" coordsize="2,395">
              <v:shape style="position:absolute;left:22;top:14;width:2;height:395" coordorigin="22,14" coordsize="0,395" path="m22,14l22,408e" filled="false" stroked="true" strokeweight="1.2pt" strokecolor="#d2d2d2">
                <v:path arrowok="t"/>
              </v:shape>
            </v:group>
            <v:group style="position:absolute;left:4776;top:14;width:2;height:395" coordorigin="4776,14" coordsize="2,395">
              <v:shape style="position:absolute;left:4776;top:14;width:2;height:395" coordorigin="4776,14" coordsize="0,395" path="m4776,14l4776,408e" filled="false" stroked="true" strokeweight="1.2pt" strokecolor="#d2d2d2">
                <v:path arrowok="t"/>
              </v:shape>
            </v:group>
            <v:group style="position:absolute;left:34;top:14;width:4730;height:395" coordorigin="34,14" coordsize="4730,395">
              <v:shape style="position:absolute;left:34;top:14;width:4730;height:395" coordorigin="34,14" coordsize="4730,395" path="m34,408l4764,408,4764,14,34,14,34,408xe" filled="true" fillcolor="#d2d2d2" stroked="false">
                <v:path arrowok="t"/>
                <v:fill type="solid"/>
              </v:shape>
            </v:group>
            <v:group style="position:absolute;left:4809;top:14;width:2;height:395" coordorigin="4809,14" coordsize="2,395">
              <v:shape style="position:absolute;left:4809;top:14;width:2;height:395" coordorigin="4809,14" coordsize="0,395" path="m4809,14l4809,408e" filled="false" stroked="true" strokeweight="1.2pt" strokecolor="#d2d2d2">
                <v:path arrowok="t"/>
              </v:shape>
            </v:group>
            <v:group style="position:absolute;left:9563;top:14;width:2;height:395" coordorigin="9563,14" coordsize="2,395">
              <v:shape style="position:absolute;left:9563;top:14;width:2;height:395" coordorigin="9563,14" coordsize="0,395" path="m9563,14l9563,408e" filled="false" stroked="true" strokeweight="1.2pt" strokecolor="#d2d2d2">
                <v:path arrowok="t"/>
              </v:shape>
            </v:group>
            <v:group style="position:absolute;left:4821;top:14;width:4730;height:395" coordorigin="4821,14" coordsize="4730,395">
              <v:shape style="position:absolute;left:4821;top:14;width:4730;height:395" coordorigin="4821,14" coordsize="4730,395" path="m4821,408l9551,408,9551,14,4821,14,4821,408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8001pt" strokecolor="#000000">
                <v:path arrowok="t"/>
              </v:shape>
            </v:group>
            <v:group style="position:absolute;left:4797;top:10;width:4773;height:2" coordorigin="4797,10" coordsize="4773,2">
              <v:shape style="position:absolute;left:4797;top:10;width:4773;height:2" coordorigin="4797,10" coordsize="4773,0" path="m4797,10l9570,10e" filled="false" stroked="true" strokeweight=".48001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7998pt" strokecolor="#000000">
                <v:path arrowok="t"/>
              </v:shape>
            </v:group>
            <v:group style="position:absolute;left:4792;top:5;width:2;height:414" coordorigin="4792,5" coordsize="2,414">
              <v:shape style="position:absolute;left:4792;top:5;width:2;height:414" coordorigin="4792,5" coordsize="0,414" path="m4792,5l4792,418e" filled="false" stroked="true" strokeweight=".48001pt" strokecolor="#000000">
                <v:path arrowok="t"/>
              </v:shape>
            </v:group>
            <v:group style="position:absolute;left:4797;top:413;width:4773;height:2" coordorigin="4797,413" coordsize="4773,2">
              <v:shape style="position:absolute;left:4797;top:413;width:4773;height:2" coordorigin="4797,413" coordsize="4773,0" path="m4797,413l9570,413e" filled="false" stroked="true" strokeweight=".47998pt" strokecolor="#000000">
                <v:path arrowok="t"/>
              </v:shape>
            </v:group>
            <v:group style="position:absolute;left:9575;top:5;width:2;height:414" coordorigin="9575,5" coordsize="2,414">
              <v:shape style="position:absolute;left:9575;top:5;width:2;height:414" coordorigin="9575,5" coordsize="0,414" path="m9575,5l9575,418e" filled="false" stroked="true" strokeweight=".48004pt" strokecolor="#000000">
                <v:path arrowok="t"/>
              </v:shape>
              <v:shape style="position:absolute;left:5;top:10;width:4788;height:404" type="#_x0000_t202" filled="false" stroked="false">
                <v:textbox inset="0,0,0,0">
                  <w:txbxContent>
                    <w:p>
                      <w:pPr>
                        <w:spacing w:before="58"/>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2" w:lineRule="auto" w:before="49"/>
        <w:ind w:left="153" w:right="8420" w:firstLine="0"/>
        <w:jc w:val="left"/>
        <w:rPr>
          <w:rFonts w:ascii="宋体" w:hAnsi="宋体" w:cs="宋体" w:eastAsia="宋体" w:hint="default"/>
          <w:sz w:val="18"/>
          <w:szCs w:val="18"/>
        </w:rPr>
      </w:pPr>
      <w:r>
        <w:rPr>
          <w:rFonts w:ascii="宋体" w:hAnsi="宋体" w:cs="宋体" w:eastAsia="宋体" w:hint="default"/>
          <w:spacing w:val="-3"/>
          <w:sz w:val="18"/>
          <w:szCs w:val="18"/>
        </w:rPr>
        <w:t>或有对价及其变动的说明：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3）合并日被合并方资产、负债的账面价值" w:id="333"/>
      <w:bookmarkEnd w:id="3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826" w:lineRule="exact"/>
        <w:ind w:left="14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25pt;height:41.35pt;mso-position-horizontal-relative:char;mso-position-vertical-relative:line" coordorigin="0,0" coordsize="9585,827">
            <v:group style="position:absolute;left:22;top:15;width:2;height:394" coordorigin="22,15" coordsize="2,394">
              <v:shape style="position:absolute;left:22;top:15;width:2;height:394" coordorigin="22,15" coordsize="0,394" path="m22,15l22,408e" filled="false" stroked="true" strokeweight="1.2pt" strokecolor="#d2d2d2">
                <v:path arrowok="t"/>
              </v:shape>
            </v:group>
            <v:group style="position:absolute;left:3181;top:15;width:2;height:394" coordorigin="3181,15" coordsize="2,394">
              <v:shape style="position:absolute;left:3181;top:15;width:2;height:394" coordorigin="3181,15" coordsize="0,394" path="m3181,15l3181,408e" filled="false" stroked="true" strokeweight="1.2pt" strokecolor="#d2d2d2">
                <v:path arrowok="t"/>
              </v:shape>
            </v:group>
            <v:group style="position:absolute;left:34;top:15;width:3136;height:394" coordorigin="34,15" coordsize="3136,394">
              <v:shape style="position:absolute;left:34;top:15;width:3136;height:394" coordorigin="34,15" coordsize="3136,394" path="m34,408l3169,408,3169,15,34,15,34,408xe" filled="true" fillcolor="#d2d2d2" stroked="false">
                <v:path arrowok="t"/>
                <v:fill type="solid"/>
              </v:shape>
            </v:group>
            <v:group style="position:absolute;left:3215;top:15;width:2;height:394" coordorigin="3215,15" coordsize="2,394">
              <v:shape style="position:absolute;left:3215;top:15;width:2;height:394" coordorigin="3215,15" coordsize="0,394" path="m3215,15l3215,408e" filled="false" stroked="true" strokeweight="1.2pt" strokecolor="#d2d2d2">
                <v:path arrowok="t"/>
              </v:shape>
            </v:group>
            <v:group style="position:absolute;left:9563;top:15;width:2;height:394" coordorigin="9563,15" coordsize="2,394">
              <v:shape style="position:absolute;left:9563;top:15;width:2;height:394" coordorigin="9563,15" coordsize="0,394" path="m9563,15l9563,408e" filled="false" stroked="true" strokeweight="1.2pt" strokecolor="#d2d2d2">
                <v:path arrowok="t"/>
              </v:shape>
            </v:group>
            <v:group style="position:absolute;left:3227;top:15;width:6324;height:394" coordorigin="3227,15" coordsize="6324,394">
              <v:shape style="position:absolute;left:3227;top:15;width:6324;height:394" coordorigin="3227,15" coordsize="6324,394" path="m3227,408l9551,408,9551,15,3227,15,3227,408xe" filled="true" fillcolor="#d2d2d2" stroked="false">
                <v:path arrowok="t"/>
                <v:fill type="solid"/>
              </v:shape>
            </v:group>
            <v:group style="position:absolute;left:10;top:10;width:3184;height:2" coordorigin="10,10" coordsize="3184,2">
              <v:shape style="position:absolute;left:10;top:10;width:3184;height:2" coordorigin="10,10" coordsize="3184,0" path="m10,10l3193,10e" filled="false" stroked="true" strokeweight=".48001pt" strokecolor="#000000">
                <v:path arrowok="t"/>
              </v:shape>
            </v:group>
            <v:group style="position:absolute;left:3203;top:10;width:6372;height:2" coordorigin="3203,10" coordsize="6372,2">
              <v:shape style="position:absolute;left:3203;top:10;width:6372;height:2" coordorigin="3203,10" coordsize="6372,0" path="m3203,10l9575,10e" filled="false" stroked="true" strokeweight=".48001pt" strokecolor="#000000">
                <v:path arrowok="t"/>
              </v:shape>
            </v:group>
            <v:group style="position:absolute;left:22;top:418;width:2;height:394" coordorigin="22,418" coordsize="2,394">
              <v:shape style="position:absolute;left:22;top:418;width:2;height:394" coordorigin="22,418" coordsize="0,394" path="m22,418l22,811e" filled="false" stroked="true" strokeweight="1.2pt" strokecolor="#d2d2d2">
                <v:path arrowok="t"/>
              </v:shape>
            </v:group>
            <v:group style="position:absolute;left:3181;top:418;width:2;height:394" coordorigin="3181,418" coordsize="2,394">
              <v:shape style="position:absolute;left:3181;top:418;width:2;height:394" coordorigin="3181,418" coordsize="0,394" path="m3181,418l3181,811e" filled="false" stroked="true" strokeweight="1.2pt" strokecolor="#d2d2d2">
                <v:path arrowok="t"/>
              </v:shape>
            </v:group>
            <v:group style="position:absolute;left:34;top:418;width:3136;height:394" coordorigin="34,418" coordsize="3136,394">
              <v:shape style="position:absolute;left:34;top:418;width:3136;height:394" coordorigin="34,418" coordsize="3136,394" path="m34,811l3169,811,3169,418,34,418,34,811xe" filled="true" fillcolor="#d2d2d2" stroked="false">
                <v:path arrowok="t"/>
                <v:fill type="solid"/>
              </v:shape>
            </v:group>
            <v:group style="position:absolute;left:3215;top:418;width:2;height:394" coordorigin="3215,418" coordsize="2,394">
              <v:shape style="position:absolute;left:3215;top:418;width:2;height:394" coordorigin="3215,418" coordsize="0,394" path="m3215,418l3215,811e" filled="false" stroked="true" strokeweight="1.2pt" strokecolor="#d2d2d2">
                <v:path arrowok="t"/>
              </v:shape>
            </v:group>
            <v:group style="position:absolute;left:6372;top:418;width:2;height:394" coordorigin="6372,418" coordsize="2,394">
              <v:shape style="position:absolute;left:6372;top:418;width:2;height:394" coordorigin="6372,418" coordsize="0,394" path="m6372,418l6372,811e" filled="false" stroked="true" strokeweight=".95999pt" strokecolor="#d2d2d2">
                <v:path arrowok="t"/>
              </v:shape>
            </v:group>
            <v:group style="position:absolute;left:3227;top:418;width:3136;height:394" coordorigin="3227,418" coordsize="3136,394">
              <v:shape style="position:absolute;left:3227;top:418;width:3136;height:394" coordorigin="3227,418" coordsize="3136,394" path="m3227,811l6362,811,6362,418,3227,418,3227,811xe" filled="true" fillcolor="#d2d2d2" stroked="false">
                <v:path arrowok="t"/>
                <v:fill type="solid"/>
              </v:shape>
            </v:group>
            <v:group style="position:absolute;left:6403;top:418;width:2;height:394" coordorigin="6403,418" coordsize="2,394">
              <v:shape style="position:absolute;left:6403;top:418;width:2;height:394" coordorigin="6403,418" coordsize="0,394" path="m6403,418l6403,811e" filled="false" stroked="true" strokeweight="1.2pt" strokecolor="#d2d2d2">
                <v:path arrowok="t"/>
              </v:shape>
            </v:group>
            <v:group style="position:absolute;left:9563;top:418;width:2;height:394" coordorigin="9563,418" coordsize="2,394">
              <v:shape style="position:absolute;left:9563;top:418;width:2;height:394" coordorigin="9563,418" coordsize="0,394" path="m9563,418l9563,811e" filled="false" stroked="true" strokeweight="1.2pt" strokecolor="#d2d2d2">
                <v:path arrowok="t"/>
              </v:shape>
            </v:group>
            <v:group style="position:absolute;left:6415;top:418;width:3136;height:394" coordorigin="6415,418" coordsize="3136,394">
              <v:shape style="position:absolute;left:6415;top:418;width:3136;height:394" coordorigin="6415,418" coordsize="3136,394" path="m6415,811l9551,811,9551,418,6415,418,6415,811xe" filled="true" fillcolor="#d2d2d2" stroked="false">
                <v:path arrowok="t"/>
                <v:fill type="solid"/>
              </v:shape>
            </v:group>
            <v:group style="position:absolute;left:10;top:413;width:3184;height:2" coordorigin="10,413" coordsize="3184,2">
              <v:shape style="position:absolute;left:10;top:413;width:3184;height:2" coordorigin="10,413" coordsize="3184,0" path="m10,413l3193,413e" filled="false" stroked="true" strokeweight=".48001pt" strokecolor="#000000">
                <v:path arrowok="t"/>
              </v:shape>
            </v:group>
            <v:group style="position:absolute;left:3203;top:413;width:3179;height:2" coordorigin="3203,413" coordsize="3179,2">
              <v:shape style="position:absolute;left:3203;top:413;width:3179;height:2" coordorigin="3203,413" coordsize="3179,0" path="m3203,413l6382,413e" filled="false" stroked="true" strokeweight=".48001pt" strokecolor="#000000">
                <v:path arrowok="t"/>
              </v:shape>
            </v:group>
            <v:group style="position:absolute;left:6391;top:413;width:3184;height:2" coordorigin="6391,413" coordsize="3184,2">
              <v:shape style="position:absolute;left:6391;top:413;width:3184;height:2" coordorigin="6391,413" coordsize="3184,0" path="m6391,413l9575,413e" filled="false" stroked="true" strokeweight=".48001pt" strokecolor="#000000">
                <v:path arrowok="t"/>
              </v:shape>
            </v:group>
            <v:group style="position:absolute;left:5;top:5;width:2;height:816" coordorigin="5,5" coordsize="2,816">
              <v:shape style="position:absolute;left:5;top:5;width:2;height:816" coordorigin="5,5" coordsize="0,816" path="m5,5l5,821e" filled="false" stroked="true" strokeweight=".48pt" strokecolor="#000000">
                <v:path arrowok="t"/>
              </v:shape>
            </v:group>
            <v:group style="position:absolute;left:10;top:816;width:3184;height:2" coordorigin="10,816" coordsize="3184,2">
              <v:shape style="position:absolute;left:10;top:816;width:3184;height:2" coordorigin="10,816" coordsize="3184,0" path="m10,816l3193,816e" filled="false" stroked="true" strokeweight=".47998pt" strokecolor="#000000">
                <v:path arrowok="t"/>
              </v:shape>
            </v:group>
            <v:group style="position:absolute;left:3198;top:5;width:2;height:816" coordorigin="3198,5" coordsize="2,816">
              <v:shape style="position:absolute;left:3198;top:5;width:2;height:816" coordorigin="3198,5" coordsize="0,816" path="m3198,5l3198,821e" filled="false" stroked="true" strokeweight=".48pt" strokecolor="#000000">
                <v:path arrowok="t"/>
              </v:shape>
            </v:group>
            <v:group style="position:absolute;left:3203;top:816;width:3179;height:2" coordorigin="3203,816" coordsize="3179,2">
              <v:shape style="position:absolute;left:3203;top:816;width:3179;height:2" coordorigin="3203,816" coordsize="3179,0" path="m3203,816l6382,816e" filled="false" stroked="true" strokeweight=".47998pt" strokecolor="#000000">
                <v:path arrowok="t"/>
              </v:shape>
            </v:group>
            <v:group style="position:absolute;left:6386;top:408;width:2;height:413" coordorigin="6386,408" coordsize="2,413">
              <v:shape style="position:absolute;left:6386;top:408;width:2;height:413" coordorigin="6386,408" coordsize="0,413" path="m6386,408l6386,821e" filled="false" stroked="true" strokeweight=".48001pt" strokecolor="#000000">
                <v:path arrowok="t"/>
              </v:shape>
            </v:group>
            <v:group style="position:absolute;left:6391;top:816;width:3184;height:2" coordorigin="6391,816" coordsize="3184,2">
              <v:shape style="position:absolute;left:6391;top:816;width:3184;height:2" coordorigin="6391,816" coordsize="3184,0" path="m6391,816l9575,816e" filled="false" stroked="true" strokeweight=".47998pt" strokecolor="#000000">
                <v:path arrowok="t"/>
              </v:shape>
            </v:group>
            <v:group style="position:absolute;left:9580;top:5;width:2;height:816" coordorigin="9580,5" coordsize="2,816">
              <v:shape style="position:absolute;left:9580;top:5;width:2;height:816" coordorigin="9580,5" coordsize="0,816" path="m9580,5l9580,821e" filled="false" stroked="true" strokeweight=".50403pt" strokecolor="#000000">
                <v:path arrowok="t"/>
              </v:shape>
              <v:shape style="position:absolute;left:3198;top:413;width:3189;height:404" type="#_x0000_t202" filled="false" stroked="false">
                <v:textbox inset="0,0,0,0">
                  <w:txbxContent>
                    <w:p>
                      <w:pPr>
                        <w:spacing w:before="58"/>
                        <w:ind w:left="4"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6;top:413;width:3194;height:404" type="#_x0000_t202" filled="false" stroked="false">
                <v:textbox inset="0,0,0,0">
                  <w:txbxContent>
                    <w:p>
                      <w:pPr>
                        <w:spacing w:before="58"/>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spacing w:line="362" w:lineRule="auto" w:before="49"/>
        <w:ind w:left="153" w:right="7272" w:firstLine="0"/>
        <w:jc w:val="left"/>
        <w:rPr>
          <w:rFonts w:ascii="宋体" w:hAnsi="宋体" w:cs="宋体" w:eastAsia="宋体" w:hint="default"/>
          <w:sz w:val="18"/>
          <w:szCs w:val="18"/>
        </w:rPr>
      </w:pPr>
      <w:r>
        <w:rPr>
          <w:rFonts w:ascii="宋体" w:hAnsi="宋体" w:cs="宋体" w:eastAsia="宋体" w:hint="default"/>
          <w:spacing w:val="-3"/>
          <w:sz w:val="18"/>
          <w:szCs w:val="18"/>
        </w:rPr>
        <w:t>企业合并中承担的被合并方的或有负债：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3、反向购买" w:id="334"/>
      <w:bookmarkEnd w:id="33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21" w:lineRule="auto"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交易基本信息、交易构成反向购买的依据、上市公司保留的资产、负债是否构成业务及其依据、合并成本的确定、按照权益</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性交易处理时调整权益的金额及其计算：</w:t>
      </w: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4、处置子公司" w:id="335"/>
      <w:bookmarkEnd w:id="33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是否存在单次处置对子公司投资即丧失控制权的情形</w:t>
      </w:r>
    </w:p>
    <w:p>
      <w:pPr>
        <w:spacing w:line="343" w:lineRule="auto" w:before="115"/>
        <w:ind w:left="153" w:right="43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是否存在通过多次交易分步处置对子公司投资且在本期丧失控制权的情形</w:t>
      </w:r>
    </w:p>
    <w:p>
      <w:pPr>
        <w:spacing w:before="3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5、其他原因的合并范围变动" w:id="336"/>
      <w:bookmarkEnd w:id="33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说明其他原因导致的合并范围变动（如，新设子公司、清算子公司等）及其相关情况：</w:t>
      </w:r>
    </w:p>
    <w:p>
      <w:pPr>
        <w:spacing w:before="85"/>
        <w:ind w:left="575" w:right="0" w:firstLine="0"/>
        <w:jc w:val="left"/>
        <w:rPr>
          <w:rFonts w:ascii="宋体" w:hAnsi="宋体" w:cs="宋体" w:eastAsia="宋体" w:hint="default"/>
          <w:sz w:val="21"/>
          <w:szCs w:val="21"/>
        </w:rPr>
      </w:pPr>
      <w:r>
        <w:rPr>
          <w:rFonts w:ascii="宋体" w:hAnsi="宋体" w:cs="宋体" w:eastAsia="宋体" w:hint="default"/>
          <w:sz w:val="21"/>
          <w:szCs w:val="21"/>
        </w:rPr>
        <w:t>合并范围增加</w:t>
      </w:r>
    </w:p>
    <w:p>
      <w:pPr>
        <w:spacing w:line="240" w:lineRule="auto" w:before="1"/>
        <w:rPr>
          <w:rFonts w:ascii="宋体" w:hAnsi="宋体" w:cs="宋体" w:eastAsia="宋体" w:hint="default"/>
          <w:sz w:val="16"/>
          <w:szCs w:val="16"/>
        </w:rPr>
      </w:pPr>
    </w:p>
    <w:tbl>
      <w:tblPr>
        <w:tblW w:w="0" w:type="auto"/>
        <w:jc w:val="left"/>
        <w:tblInd w:w="182" w:type="dxa"/>
        <w:tblLayout w:type="fixed"/>
        <w:tblCellMar>
          <w:top w:w="0" w:type="dxa"/>
          <w:left w:w="0" w:type="dxa"/>
          <w:bottom w:w="0" w:type="dxa"/>
          <w:right w:w="0" w:type="dxa"/>
        </w:tblCellMar>
        <w:tblLook w:val="01E0"/>
      </w:tblPr>
      <w:tblGrid>
        <w:gridCol w:w="1810"/>
        <w:gridCol w:w="1561"/>
        <w:gridCol w:w="2127"/>
        <w:gridCol w:w="1700"/>
        <w:gridCol w:w="2377"/>
      </w:tblGrid>
      <w:tr>
        <w:trPr>
          <w:trHeight w:val="480" w:hRule="exact"/>
        </w:trPr>
        <w:tc>
          <w:tcPr>
            <w:tcW w:w="1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64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302" w:right="0"/>
              <w:jc w:val="left"/>
              <w:rPr>
                <w:rFonts w:ascii="宋体" w:hAnsi="宋体" w:cs="宋体" w:eastAsia="宋体" w:hint="default"/>
                <w:sz w:val="18"/>
                <w:szCs w:val="18"/>
              </w:rPr>
            </w:pPr>
            <w:r>
              <w:rPr>
                <w:rFonts w:ascii="宋体" w:hAnsi="宋体" w:cs="宋体" w:eastAsia="宋体" w:hint="default"/>
                <w:sz w:val="18"/>
                <w:szCs w:val="18"/>
              </w:rPr>
              <w:t>出资额（元）</w:t>
            </w:r>
          </w:p>
        </w:tc>
        <w:tc>
          <w:tcPr>
            <w:tcW w:w="23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8"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8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0" w:right="0"/>
              <w:jc w:val="left"/>
              <w:rPr>
                <w:rFonts w:ascii="宋体" w:hAnsi="宋体" w:cs="宋体" w:eastAsia="宋体" w:hint="default"/>
                <w:sz w:val="18"/>
                <w:szCs w:val="18"/>
              </w:rPr>
            </w:pPr>
            <w:r>
              <w:rPr>
                <w:rFonts w:ascii="宋体" w:hAnsi="宋体" w:cs="宋体" w:eastAsia="宋体" w:hint="default"/>
                <w:sz w:val="18"/>
                <w:szCs w:val="18"/>
              </w:rPr>
              <w:t>双旗智慧公司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新设子公司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739" w:right="0"/>
              <w:jc w:val="left"/>
              <w:rPr>
                <w:rFonts w:ascii="Times New Roman" w:hAnsi="Times New Roman" w:cs="Times New Roman" w:eastAsia="Times New Roman" w:hint="default"/>
                <w:sz w:val="18"/>
                <w:szCs w:val="18"/>
              </w:rPr>
            </w:pPr>
            <w:r>
              <w:rPr>
                <w:rFonts w:ascii="Times New Roman"/>
                <w:spacing w:val="-1"/>
                <w:sz w:val="18"/>
              </w:rPr>
              <w:t>2,550,000.00</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51.00%</w:t>
            </w:r>
          </w:p>
        </w:tc>
      </w:tr>
    </w:tbl>
    <w:p>
      <w:pPr>
        <w:spacing w:line="240" w:lineRule="auto" w:before="3"/>
        <w:rPr>
          <w:rFonts w:ascii="宋体" w:hAnsi="宋体" w:cs="宋体" w:eastAsia="宋体" w:hint="default"/>
          <w:sz w:val="8"/>
          <w:szCs w:val="8"/>
        </w:rPr>
      </w:pPr>
    </w:p>
    <w:p>
      <w:pPr>
        <w:spacing w:line="256" w:lineRule="auto" w:before="36"/>
        <w:ind w:left="153" w:right="1122" w:firstLine="422"/>
        <w:jc w:val="both"/>
        <w:rPr>
          <w:rFonts w:ascii="宋体" w:hAnsi="宋体" w:cs="宋体" w:eastAsia="宋体" w:hint="default"/>
          <w:sz w:val="21"/>
          <w:szCs w:val="21"/>
        </w:rPr>
      </w:pPr>
      <w:r>
        <w:rPr>
          <w:rFonts w:ascii="宋体" w:hAnsi="宋体" w:cs="宋体" w:eastAsia="宋体" w:hint="default"/>
          <w:spacing w:val="-2"/>
          <w:sz w:val="21"/>
          <w:szCs w:val="21"/>
        </w:rPr>
        <w:t>根据公司与双旗智慧公司少数股东无锡双旗网络科技有限公司的股权协议约定，</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年双旗</w:t>
      </w:r>
      <w:r>
        <w:rPr>
          <w:rFonts w:ascii="宋体" w:hAnsi="宋体" w:cs="宋体" w:eastAsia="宋体" w:hint="default"/>
          <w:w w:val="100"/>
          <w:sz w:val="21"/>
          <w:szCs w:val="21"/>
        </w:rPr>
        <w:t> </w:t>
      </w:r>
      <w:r>
        <w:rPr>
          <w:rFonts w:ascii="宋体" w:hAnsi="宋体" w:cs="宋体" w:eastAsia="宋体" w:hint="default"/>
          <w:sz w:val="21"/>
          <w:szCs w:val="21"/>
        </w:rPr>
        <w:t>智慧产生的经营收益双方按照</w:t>
      </w: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Times New Roman" w:hAnsi="Times New Roman" w:cs="Times New Roman" w:eastAsia="Times New Roman" w:hint="default"/>
          <w:sz w:val="21"/>
          <w:szCs w:val="21"/>
        </w:rPr>
        <w:t>70%</w:t>
      </w:r>
      <w:r>
        <w:rPr>
          <w:rFonts w:ascii="宋体" w:hAnsi="宋体" w:cs="宋体" w:eastAsia="宋体" w:hint="default"/>
          <w:sz w:val="21"/>
          <w:szCs w:val="21"/>
        </w:rPr>
        <w:t>的比例分配（本公司享有</w:t>
      </w:r>
      <w:r>
        <w:rPr>
          <w:rFonts w:ascii="Times New Roman" w:hAnsi="Times New Roman" w:cs="Times New Roman" w:eastAsia="Times New Roman" w:hint="default"/>
          <w:sz w:val="21"/>
          <w:szCs w:val="21"/>
        </w:rPr>
        <w:t>30%</w:t>
      </w:r>
      <w:r>
        <w:rPr>
          <w:rFonts w:ascii="宋体" w:hAnsi="宋体" w:cs="宋体" w:eastAsia="宋体" w:hint="default"/>
          <w:sz w:val="21"/>
          <w:szCs w:val="21"/>
        </w:rPr>
        <w:t>），自</w:t>
      </w:r>
      <w:r>
        <w:rPr>
          <w:rFonts w:ascii="Times New Roman" w:hAnsi="Times New Roman" w:cs="Times New Roman" w:eastAsia="Times New Roman" w:hint="default"/>
          <w:sz w:val="21"/>
          <w:szCs w:val="21"/>
        </w:rPr>
        <w:t>2021</w:t>
      </w:r>
      <w:r>
        <w:rPr>
          <w:rFonts w:ascii="宋体" w:hAnsi="宋体" w:cs="宋体" w:eastAsia="宋体" w:hint="default"/>
          <w:sz w:val="21"/>
          <w:szCs w:val="21"/>
        </w:rPr>
        <w:t>年开始，双方按照出资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比例分配经营收益。</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bookmarkStart w:name="九、在其他主体中的权益" w:id="337"/>
      <w:bookmarkEnd w:id="337"/>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在子公司中的权益" w:id="338"/>
      <w:bookmarkEnd w:id="33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企业集团的构成" w:id="339"/>
      <w:bookmarkEnd w:id="3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398"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4"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青岛天高公司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广西筑波公司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南昌正元公司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福建正元公司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杭州容博公司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云马智慧公司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正元数据公司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四川正元公司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正元曦客公司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校云智慧公司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小兰智慧公司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坚果智慧公司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双旗智慧公司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60"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在子公司的持股比例不同于表决权比例的说明：</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持有半数或以下表决权但仍控制被投资单位、以及持有半数以上表决权但不控制被投资单位的依据：</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对于纳入合并范围的重要的结构化主体，控制的依据：</w:t>
      </w:r>
    </w:p>
    <w:p>
      <w:pPr>
        <w:spacing w:line="357" w:lineRule="auto" w:before="29"/>
        <w:ind w:left="153" w:right="7272" w:firstLine="0"/>
        <w:jc w:val="left"/>
        <w:rPr>
          <w:rFonts w:ascii="宋体" w:hAnsi="宋体" w:cs="宋体" w:eastAsia="宋体" w:hint="default"/>
          <w:sz w:val="18"/>
          <w:szCs w:val="18"/>
        </w:rPr>
      </w:pPr>
      <w:r>
        <w:rPr>
          <w:rFonts w:ascii="宋体" w:hAnsi="宋体" w:cs="宋体" w:eastAsia="宋体" w:hint="default"/>
          <w:spacing w:val="-3"/>
          <w:sz w:val="18"/>
          <w:szCs w:val="18"/>
        </w:rPr>
        <w:t>确定公司是代理人还是委托人的依据：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其他说明：</w:t>
      </w:r>
    </w:p>
    <w:p>
      <w:pPr>
        <w:spacing w:line="240" w:lineRule="auto" w:before="7"/>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2）重要的非全资子公司" w:id="340"/>
      <w:bookmarkEnd w:id="3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青岛天高公司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4,440,704.20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2,960,026.09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15,149,397.14</w:t>
            </w:r>
          </w:p>
        </w:tc>
      </w:tr>
    </w:tbl>
    <w:p>
      <w:pPr>
        <w:spacing w:line="357" w:lineRule="auto" w:before="53"/>
        <w:ind w:left="153" w:right="6287" w:firstLine="0"/>
        <w:jc w:val="left"/>
        <w:rPr>
          <w:rFonts w:ascii="宋体" w:hAnsi="宋体" w:cs="宋体" w:eastAsia="宋体" w:hint="default"/>
          <w:sz w:val="18"/>
          <w:szCs w:val="18"/>
        </w:rPr>
      </w:pPr>
      <w:r>
        <w:rPr>
          <w:rFonts w:ascii="宋体" w:hAnsi="宋体" w:cs="宋体" w:eastAsia="宋体" w:hint="default"/>
          <w:spacing w:val="-3"/>
          <w:sz w:val="18"/>
          <w:szCs w:val="18"/>
        </w:rPr>
        <w:t>子公司少数股东的持股比例不同于表决权比例的说明：</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3）重要非全资子公司的主要财务信息" w:id="341"/>
      <w:bookmarkEnd w:id="3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403"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0"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4"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71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56"/>
              <w:jc w:val="left"/>
              <w:rPr>
                <w:rFonts w:ascii="宋体" w:hAnsi="宋体" w:cs="宋体" w:eastAsia="宋体" w:hint="default"/>
                <w:sz w:val="18"/>
                <w:szCs w:val="18"/>
              </w:rPr>
            </w:pPr>
            <w:r>
              <w:rPr>
                <w:rFonts w:ascii="宋体" w:hAnsi="宋体" w:cs="宋体" w:eastAsia="宋体" w:hint="default"/>
                <w:sz w:val="18"/>
                <w:szCs w:val="18"/>
              </w:rPr>
              <w:t>青岛天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73,299,2</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71.60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9,147,93</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2.40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82,447,2</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04.00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51,530,1</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81.28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51,530,1</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81.28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75,802,1</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13.94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9,832,77</w:t>
            </w:r>
          </w:p>
          <w:p>
            <w:pPr>
              <w:pStyle w:val="TableParagraph"/>
              <w:spacing w:line="240" w:lineRule="auto" w:before="110"/>
              <w:ind w:left="383" w:right="0"/>
              <w:jc w:val="left"/>
              <w:rPr>
                <w:rFonts w:ascii="Times New Roman" w:hAnsi="Times New Roman" w:cs="Times New Roman" w:eastAsia="Times New Roman" w:hint="default"/>
                <w:sz w:val="18"/>
                <w:szCs w:val="18"/>
              </w:rPr>
            </w:pPr>
            <w:r>
              <w:rPr>
                <w:rFonts w:ascii="Times New Roman"/>
                <w:sz w:val="18"/>
              </w:rPr>
              <w:t>7.90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85,634,8</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91.84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57,739,6</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61.18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57,739,6</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61.18</w:t>
            </w: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1"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37" w:right="75" w:hanging="361"/>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64"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青岛天高公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93,957,781.3</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9,062,661.63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9,062,661.63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9,380,538.82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102,642,726.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pacing w:val="-2"/>
                <w:sz w:val="18"/>
              </w:rPr>
              <w:t>8,511,519.04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pacing w:val="-2"/>
                <w:sz w:val="18"/>
              </w:rPr>
              <w:t>8,511,519.04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16,740,780.3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2、在子公司的所有者权益份额发生变化且仍控制子公司的交易" w:id="342"/>
      <w:bookmarkEnd w:id="3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在子公司所有者权益份额发生变化的情况说明" w:id="343"/>
      <w:bookmarkEnd w:id="3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411"/>
        <w:gridCol w:w="2411"/>
        <w:gridCol w:w="2411"/>
        <w:gridCol w:w="2411"/>
      </w:tblGrid>
      <w:tr>
        <w:trPr>
          <w:trHeight w:val="480"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64"/>
              <w:jc w:val="right"/>
              <w:rPr>
                <w:rFonts w:ascii="宋体" w:hAnsi="宋体" w:cs="宋体" w:eastAsia="宋体" w:hint="default"/>
                <w:sz w:val="21"/>
                <w:szCs w:val="21"/>
              </w:rPr>
            </w:pPr>
            <w:r>
              <w:rPr>
                <w:rFonts w:ascii="宋体" w:hAnsi="宋体" w:cs="宋体" w:eastAsia="宋体" w:hint="default"/>
                <w:sz w:val="21"/>
                <w:szCs w:val="21"/>
              </w:rPr>
              <w:t>子公司名称</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变动时间</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宋体" w:hAnsi="宋体" w:cs="宋体" w:eastAsia="宋体" w:hint="default"/>
                <w:sz w:val="21"/>
                <w:szCs w:val="21"/>
              </w:rPr>
            </w:pPr>
            <w:r>
              <w:rPr>
                <w:rFonts w:ascii="宋体" w:hAnsi="宋体" w:cs="宋体" w:eastAsia="宋体" w:hint="default"/>
                <w:sz w:val="21"/>
                <w:szCs w:val="21"/>
              </w:rPr>
              <w:t>变动前持股比例</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485"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65"/>
              <w:jc w:val="right"/>
              <w:rPr>
                <w:rFonts w:ascii="宋体" w:hAnsi="宋体" w:cs="宋体" w:eastAsia="宋体" w:hint="default"/>
                <w:sz w:val="21"/>
                <w:szCs w:val="21"/>
              </w:rPr>
            </w:pPr>
            <w:r>
              <w:rPr>
                <w:rFonts w:ascii="宋体" w:hAnsi="宋体" w:cs="宋体" w:eastAsia="宋体" w:hint="default"/>
                <w:spacing w:val="-1"/>
                <w:sz w:val="21"/>
                <w:szCs w:val="21"/>
              </w:rPr>
              <w:t>正元曦客公司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51.00%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90.20%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36"/>
        <w:ind w:left="153" w:right="0" w:firstLine="0"/>
        <w:jc w:val="left"/>
        <w:rPr>
          <w:rFonts w:ascii="宋体" w:hAnsi="宋体" w:cs="宋体" w:eastAsia="宋体" w:hint="default"/>
          <w:sz w:val="21"/>
          <w:szCs w:val="21"/>
        </w:rPr>
      </w:pPr>
      <w:bookmarkStart w:name="（2）交易对于少数股东权益及归属于母公司所有者权益的影响" w:id="344"/>
      <w:bookmarkEnd w:id="3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正元曦客公司</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购买成本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处置对价</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3,920,000.00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3,920,000.00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购买成本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处置对价合计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3,920,000.00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减：按取得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处置的股权比例计算的子公司净资产份额</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1,637,530.94</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2,282,469.06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其中：调整资本公积</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2,282,469.06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66" w:lineRule="auto" w:before="89"/>
        <w:ind w:left="153" w:right="0" w:firstLine="422"/>
        <w:jc w:val="left"/>
        <w:rPr>
          <w:rFonts w:ascii="宋体" w:hAnsi="宋体" w:cs="宋体" w:eastAsia="宋体" w:hint="default"/>
          <w:sz w:val="21"/>
          <w:szCs w:val="21"/>
        </w:rPr>
      </w:pPr>
      <w:r>
        <w:rPr>
          <w:rFonts w:ascii="宋体" w:hAnsi="宋体" w:cs="宋体" w:eastAsia="宋体" w:hint="default"/>
          <w:sz w:val="21"/>
          <w:szCs w:val="21"/>
        </w:rPr>
        <w:t>根据正元曦客公司股东会决议、本公司与张万军及湖州兴康投资合伙企业签订了《股权转让协议》，</w:t>
      </w:r>
      <w:r>
        <w:rPr>
          <w:rFonts w:ascii="宋体" w:hAnsi="宋体" w:cs="宋体" w:eastAsia="宋体" w:hint="default"/>
          <w:w w:val="100"/>
          <w:sz w:val="21"/>
          <w:szCs w:val="21"/>
        </w:rPr>
        <w:t> </w:t>
      </w:r>
      <w:r>
        <w:rPr>
          <w:rFonts w:ascii="宋体" w:hAnsi="宋体" w:cs="宋体" w:eastAsia="宋体" w:hint="default"/>
          <w:spacing w:val="-3"/>
          <w:sz w:val="21"/>
          <w:szCs w:val="21"/>
        </w:rPr>
        <w:t>本公司以价款</w:t>
      </w:r>
      <w:r>
        <w:rPr>
          <w:rFonts w:ascii="Times New Roman" w:hAnsi="Times New Roman" w:cs="Times New Roman" w:eastAsia="Times New Roman" w:hint="default"/>
          <w:spacing w:val="-3"/>
          <w:sz w:val="21"/>
          <w:szCs w:val="21"/>
        </w:rPr>
        <w:t>40</w:t>
      </w:r>
      <w:r>
        <w:rPr>
          <w:rFonts w:ascii="宋体" w:hAnsi="宋体" w:cs="宋体" w:eastAsia="宋体" w:hint="default"/>
          <w:spacing w:val="-3"/>
          <w:sz w:val="21"/>
          <w:szCs w:val="21"/>
        </w:rPr>
        <w:t>万元和</w:t>
      </w:r>
      <w:r>
        <w:rPr>
          <w:rFonts w:ascii="Times New Roman" w:hAnsi="Times New Roman" w:cs="Times New Roman" w:eastAsia="Times New Roman" w:hint="default"/>
          <w:spacing w:val="-3"/>
          <w:sz w:val="21"/>
          <w:szCs w:val="21"/>
        </w:rPr>
        <w:t>352</w:t>
      </w:r>
      <w:r>
        <w:rPr>
          <w:rFonts w:ascii="宋体" w:hAnsi="宋体" w:cs="宋体" w:eastAsia="宋体" w:hint="default"/>
          <w:spacing w:val="-3"/>
          <w:sz w:val="21"/>
          <w:szCs w:val="21"/>
        </w:rPr>
        <w:t>万元分别受让对方持有的正元曦客公司</w:t>
      </w:r>
      <w:r>
        <w:rPr>
          <w:rFonts w:ascii="Times New Roman" w:hAnsi="Times New Roman" w:cs="Times New Roman" w:eastAsia="Times New Roman" w:hint="default"/>
          <w:spacing w:val="-3"/>
          <w:sz w:val="21"/>
          <w:szCs w:val="21"/>
        </w:rPr>
        <w:t>4.00%</w:t>
      </w:r>
      <w:r>
        <w:rPr>
          <w:rFonts w:ascii="宋体" w:hAnsi="宋体" w:cs="宋体" w:eastAsia="宋体" w:hint="default"/>
          <w:spacing w:val="-3"/>
          <w:sz w:val="21"/>
          <w:szCs w:val="21"/>
        </w:rPr>
        <w:t>的股权和</w:t>
      </w:r>
      <w:r>
        <w:rPr>
          <w:rFonts w:ascii="Times New Roman" w:hAnsi="Times New Roman" w:cs="Times New Roman" w:eastAsia="Times New Roman" w:hint="default"/>
          <w:spacing w:val="-3"/>
          <w:sz w:val="21"/>
          <w:szCs w:val="21"/>
        </w:rPr>
        <w:t>35.20%</w:t>
      </w:r>
      <w:r>
        <w:rPr>
          <w:rFonts w:ascii="宋体" w:hAnsi="宋体" w:cs="宋体" w:eastAsia="宋体" w:hint="default"/>
          <w:spacing w:val="-3"/>
          <w:sz w:val="21"/>
          <w:szCs w:val="21"/>
        </w:rPr>
        <w:t>的股权。正元曦客 </w:t>
      </w:r>
      <w:r>
        <w:rPr>
          <w:rFonts w:ascii="宋体" w:hAnsi="宋体" w:cs="宋体" w:eastAsia="宋体" w:hint="default"/>
          <w:sz w:val="21"/>
          <w:szCs w:val="21"/>
        </w:rPr>
        <w:t>公司已于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日完成工商变更登记。</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3、在合营安排或联营企业中的权益" w:id="345"/>
      <w:bookmarkEnd w:id="34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重要的合营企业或联营企业" w:id="346"/>
      <w:bookmarkEnd w:id="3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21" w:right="46" w:hanging="269"/>
              <w:jc w:val="left"/>
              <w:rPr>
                <w:rFonts w:ascii="宋体" w:hAnsi="宋体" w:cs="宋体" w:eastAsia="宋体" w:hint="default"/>
                <w:sz w:val="18"/>
                <w:szCs w:val="18"/>
              </w:rPr>
            </w:pPr>
            <w:r>
              <w:rPr>
                <w:rFonts w:ascii="宋体" w:hAnsi="宋体" w:cs="宋体" w:eastAsia="宋体" w:hint="default"/>
                <w:spacing w:val="-3"/>
                <w:sz w:val="18"/>
                <w:szCs w:val="18"/>
              </w:rPr>
              <w:t>合营企业或联营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7" w:right="46"/>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计处理方法</w:t>
            </w:r>
          </w:p>
        </w:tc>
      </w:tr>
      <w:tr>
        <w:trPr>
          <w:trHeight w:val="624"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33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重庆汇贤优策科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技股份有限公司</w:t>
            </w:r>
          </w:p>
          <w:p>
            <w:pPr>
              <w:pStyle w:val="TableParagraph"/>
              <w:spacing w:line="321" w:lineRule="auto" w:before="20"/>
              <w:ind w:left="24" w:right="75"/>
              <w:jc w:val="left"/>
              <w:rPr>
                <w:rFonts w:ascii="宋体" w:hAnsi="宋体" w:cs="宋体" w:eastAsia="宋体" w:hint="default"/>
                <w:sz w:val="18"/>
                <w:szCs w:val="18"/>
              </w:rPr>
            </w:pPr>
            <w:r>
              <w:rPr>
                <w:rFonts w:ascii="宋体" w:hAnsi="宋体" w:cs="宋体" w:eastAsia="宋体" w:hint="default"/>
                <w:spacing w:val="-3"/>
                <w:sz w:val="18"/>
                <w:szCs w:val="18"/>
              </w:rPr>
              <w:t>（以下简称重庆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汇贤）</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5"/>
              <w:jc w:val="both"/>
              <w:rPr>
                <w:rFonts w:ascii="宋体" w:hAnsi="宋体" w:cs="宋体" w:eastAsia="宋体" w:hint="default"/>
                <w:sz w:val="18"/>
                <w:szCs w:val="18"/>
              </w:rPr>
            </w:pPr>
            <w:r>
              <w:rPr>
                <w:rFonts w:ascii="宋体" w:hAnsi="宋体" w:cs="宋体" w:eastAsia="宋体" w:hint="default"/>
                <w:spacing w:val="-3"/>
                <w:sz w:val="18"/>
                <w:szCs w:val="18"/>
              </w:rPr>
              <w:t>杭州卓然实业有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限公司（以下简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称杭州卓然）</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67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常州常工电子科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技股份有限公司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仪器仪表制造业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67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75"/>
              <w:jc w:val="left"/>
              <w:rPr>
                <w:rFonts w:ascii="宋体" w:hAnsi="宋体" w:cs="宋体" w:eastAsia="宋体" w:hint="default"/>
                <w:sz w:val="18"/>
                <w:szCs w:val="18"/>
              </w:rPr>
            </w:pPr>
            <w:r>
              <w:rPr>
                <w:rFonts w:ascii="宋体" w:hAnsi="宋体" w:cs="宋体" w:eastAsia="宋体" w:hint="default"/>
                <w:spacing w:val="-3"/>
                <w:sz w:val="18"/>
                <w:szCs w:val="18"/>
              </w:rPr>
              <w:t>（以下简称常电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股份）</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在合营企业或联营企业的持股比例不同于表决权比例的说明：</w:t>
      </w:r>
    </w:p>
    <w:p>
      <w:pPr>
        <w:spacing w:line="290" w:lineRule="auto" w:before="120"/>
        <w:ind w:left="153" w:right="0" w:firstLine="0"/>
        <w:jc w:val="left"/>
        <w:rPr>
          <w:rFonts w:ascii="宋体" w:hAnsi="宋体" w:cs="宋体" w:eastAsia="宋体" w:hint="default"/>
          <w:sz w:val="21"/>
          <w:szCs w:val="21"/>
        </w:rPr>
      </w:pPr>
      <w:r>
        <w:rPr>
          <w:rFonts w:ascii="宋体" w:hAnsi="宋体" w:cs="宋体" w:eastAsia="宋体" w:hint="default"/>
          <w:sz w:val="18"/>
          <w:szCs w:val="18"/>
        </w:rPr>
        <w:t>持有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以下表决权但具有重大影响，或者持有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或以上表决权但不具有重大影响的依据：</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21"/>
          <w:szCs w:val="21"/>
        </w:rPr>
        <w:t>重庆汇贤董事会共六名成员，本公司派有一名董事，故对其有重大影响。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常电股份董事会共五名成员，本公司派有一名董事，故对其有重大影响。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重要联营企业的主要财务信息" w:id="347"/>
      <w:bookmarkEnd w:id="3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06"/>
        <w:gridCol w:w="1595"/>
        <w:gridCol w:w="1594"/>
        <w:gridCol w:w="1594"/>
        <w:gridCol w:w="1599"/>
      </w:tblGrid>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6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4"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杭州卓然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常电股份</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杭州卓然</w:t>
            </w:r>
          </w:p>
        </w:tc>
      </w:tr>
      <w:tr>
        <w:trPr>
          <w:trHeight w:val="399"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103,642,373.33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70,133,527.63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84,480,579.10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111,455,475.58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18,589,813.37</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292,928,731.56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389,705,613.48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5,718,809.06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233,734,192.63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358,419,851.50</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396,571,104.89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459,839,141.11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90,199,388.16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345,189,668.21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377,009,664.87</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124,949,192.06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58,108,788.01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34,492,134.77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94,788,443.33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41,839,734.16</w:t>
            </w:r>
          </w:p>
        </w:tc>
      </w:tr>
      <w:tr>
        <w:trPr>
          <w:trHeight w:val="399"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57,467,321.20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163,300,000.00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56,018,196.25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183,300,000.00</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182,416,513.26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221,408,788.01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34,492,134.77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150,806,639.58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225,139,734.16</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1,249,639.13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2,195,343.38</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01"/>
              <w:jc w:val="left"/>
              <w:rPr>
                <w:rFonts w:ascii="宋体" w:hAnsi="宋体" w:cs="宋体" w:eastAsia="宋体" w:hint="default"/>
                <w:sz w:val="18"/>
                <w:szCs w:val="18"/>
              </w:rPr>
            </w:pPr>
            <w:r>
              <w:rPr>
                <w:rFonts w:ascii="宋体" w:hAnsi="宋体" w:cs="宋体" w:eastAsia="宋体" w:hint="default"/>
                <w:spacing w:val="-2"/>
                <w:sz w:val="18"/>
                <w:szCs w:val="18"/>
              </w:rPr>
              <w:t>归属于母公司股东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权益</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212,904,952.50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238,430,353.10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55,707,253.39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192,187,685.25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151,869,930.71</w:t>
            </w:r>
          </w:p>
        </w:tc>
      </w:tr>
      <w:tr>
        <w:trPr>
          <w:trHeight w:val="710"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1"/>
              <w:jc w:val="left"/>
              <w:rPr>
                <w:rFonts w:ascii="宋体" w:hAnsi="宋体" w:cs="宋体" w:eastAsia="宋体" w:hint="default"/>
                <w:sz w:val="18"/>
                <w:szCs w:val="18"/>
              </w:rPr>
            </w:pPr>
            <w:r>
              <w:rPr>
                <w:rFonts w:ascii="宋体" w:hAnsi="宋体" w:cs="宋体" w:eastAsia="宋体" w:hint="default"/>
                <w:spacing w:val="-2"/>
                <w:sz w:val="18"/>
                <w:szCs w:val="18"/>
              </w:rPr>
              <w:t>按持股比例计算的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净资产份额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17,150,676.73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95,372,141.24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7,804,586.20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15,481,785.76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60,747,972.28</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7,897,189.65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6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内部交易未实现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利润</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-1,300,216.21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1"/>
              <w:jc w:val="left"/>
              <w:rPr>
                <w:rFonts w:ascii="宋体" w:hAnsi="宋体" w:cs="宋体" w:eastAsia="宋体" w:hint="default"/>
                <w:sz w:val="18"/>
                <w:szCs w:val="18"/>
              </w:rPr>
            </w:pPr>
            <w:r>
              <w:rPr>
                <w:rFonts w:ascii="宋体" w:hAnsi="宋体" w:cs="宋体" w:eastAsia="宋体" w:hint="default"/>
                <w:spacing w:val="-2"/>
                <w:sz w:val="18"/>
                <w:szCs w:val="18"/>
              </w:rPr>
              <w:t>对联营企业权益投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资的账面价值</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17,150,676.73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94,071,925.03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15,701,775.85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15,481,785.76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60,747,972.28</w:t>
            </w: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187,222,310.64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445,612.61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86,243,050.39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167,554,650.51</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20,705,843.30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-3,439,577.61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6,084,807.74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19,229,744.71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-1,734,478.23</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20,705,843.30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-3,439,577.61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6,084,807.74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19,229,744.71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-1,734,478.23</w:t>
            </w:r>
          </w:p>
        </w:tc>
      </w:tr>
      <w:tr>
        <w:trPr>
          <w:trHeight w:val="715"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1"/>
              <w:jc w:val="left"/>
              <w:rPr>
                <w:rFonts w:ascii="宋体" w:hAnsi="宋体" w:cs="宋体" w:eastAsia="宋体" w:hint="default"/>
                <w:sz w:val="18"/>
                <w:szCs w:val="18"/>
              </w:rPr>
            </w:pPr>
            <w:r>
              <w:rPr>
                <w:rFonts w:ascii="宋体" w:hAnsi="宋体" w:cs="宋体" w:eastAsia="宋体" w:hint="default"/>
                <w:spacing w:val="-2"/>
                <w:sz w:val="18"/>
                <w:szCs w:val="18"/>
              </w:rPr>
              <w:t>本年度收到的来自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联营企业的股利</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146,700.00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3）不重要的合营企业和联营企业的汇总财务信息" w:id="348"/>
      <w:bookmarkEnd w:id="3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0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2,590,492.67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2,848,393.47</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-257,900.80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-75,885.78</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-257,900.80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-75,885.78</w:t>
            </w:r>
          </w:p>
        </w:tc>
      </w:tr>
    </w:tbl>
    <w:p>
      <w:pPr>
        <w:spacing w:before="54"/>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4"/>
          <w:szCs w:val="24"/>
        </w:rPr>
      </w:pPr>
    </w:p>
    <w:p>
      <w:pPr>
        <w:pStyle w:val="Heading2"/>
        <w:spacing w:line="240" w:lineRule="auto"/>
        <w:ind w:right="0"/>
        <w:jc w:val="both"/>
        <w:rPr>
          <w:b w:val="0"/>
          <w:bCs w:val="0"/>
        </w:rPr>
      </w:pPr>
      <w:bookmarkStart w:name="十、与金融工具相关的风险" w:id="349"/>
      <w:bookmarkEnd w:id="349"/>
      <w:r>
        <w:rPr>
          <w:b w:val="0"/>
          <w:bCs w:val="0"/>
        </w:rPr>
      </w:r>
      <w:r>
        <w:rPr/>
        <w:t>十、与金融工具相关的风险</w:t>
      </w:r>
      <w:r>
        <w:rPr>
          <w:b w:val="0"/>
          <w:bCs w:val="0"/>
        </w:rPr>
      </w:r>
    </w:p>
    <w:p>
      <w:pPr>
        <w:spacing w:line="240" w:lineRule="auto" w:before="3"/>
        <w:rPr>
          <w:rFonts w:ascii="宋体" w:hAnsi="宋体" w:cs="宋体" w:eastAsia="宋体" w:hint="default"/>
          <w:b/>
          <w:bCs/>
          <w:sz w:val="25"/>
          <w:szCs w:val="25"/>
        </w:rPr>
      </w:pPr>
    </w:p>
    <w:p>
      <w:pPr>
        <w:spacing w:line="273" w:lineRule="auto" w:before="0"/>
        <w:ind w:left="153" w:right="1125" w:firstLine="422"/>
        <w:jc w:val="both"/>
        <w:rPr>
          <w:rFonts w:ascii="宋体" w:hAnsi="宋体" w:cs="宋体" w:eastAsia="宋体" w:hint="default"/>
          <w:sz w:val="21"/>
          <w:szCs w:val="21"/>
        </w:rPr>
      </w:pPr>
      <w:r>
        <w:rPr>
          <w:rFonts w:ascii="宋体" w:hAnsi="宋体" w:cs="宋体" w:eastAsia="宋体" w:hint="default"/>
          <w:spacing w:val="-2"/>
          <w:sz w:val="21"/>
          <w:szCs w:val="21"/>
        </w:rPr>
        <w:t>本公司从事风险管理的目标是在风险和收益之间取得平衡，将风险对本公司经营业绩的负面影响降至</w:t>
      </w:r>
      <w:r>
        <w:rPr>
          <w:rFonts w:ascii="宋体" w:hAnsi="宋体" w:cs="宋体" w:eastAsia="宋体" w:hint="default"/>
          <w:w w:val="100"/>
          <w:sz w:val="21"/>
          <w:szCs w:val="21"/>
        </w:rPr>
        <w:t> </w:t>
      </w:r>
      <w:r>
        <w:rPr>
          <w:rFonts w:ascii="宋体" w:hAnsi="宋体" w:cs="宋体" w:eastAsia="宋体" w:hint="default"/>
          <w:spacing w:val="-2"/>
          <w:sz w:val="21"/>
          <w:szCs w:val="21"/>
        </w:rPr>
        <w:t>最低水平，使股东和其他权益投资者的利益最大化。基于该风险管理目标，本公司风险管理的基本策略是</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确认和分析本公司面临的各种风险，建立适当的风险承受底线和进行风险管理，并及时可靠地对各种风险</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进行监督，将风险控制在限定的范围内。</w:t>
      </w:r>
    </w:p>
    <w:p>
      <w:pPr>
        <w:spacing w:line="273" w:lineRule="auto" w:before="7"/>
        <w:ind w:left="153" w:right="0" w:firstLine="422"/>
        <w:jc w:val="left"/>
        <w:rPr>
          <w:rFonts w:ascii="宋体" w:hAnsi="宋体" w:cs="宋体" w:eastAsia="宋体" w:hint="default"/>
          <w:sz w:val="21"/>
          <w:szCs w:val="21"/>
        </w:rPr>
      </w:pPr>
      <w:r>
        <w:rPr>
          <w:rFonts w:ascii="宋体" w:hAnsi="宋体" w:cs="宋体" w:eastAsia="宋体" w:hint="default"/>
          <w:sz w:val="21"/>
          <w:szCs w:val="21"/>
        </w:rPr>
        <w:t>本公司在日常活动中面临各种与金融工具相关的风险，主要包括信用风险、流动性风险及市场风险。</w:t>
      </w:r>
      <w:r>
        <w:rPr>
          <w:rFonts w:ascii="宋体" w:hAnsi="宋体" w:cs="宋体" w:eastAsia="宋体" w:hint="default"/>
          <w:w w:val="100"/>
          <w:sz w:val="21"/>
          <w:szCs w:val="21"/>
        </w:rPr>
        <w:t> </w:t>
      </w:r>
      <w:r>
        <w:rPr>
          <w:rFonts w:ascii="宋体" w:hAnsi="宋体" w:cs="宋体" w:eastAsia="宋体" w:hint="default"/>
          <w:sz w:val="21"/>
          <w:szCs w:val="21"/>
        </w:rPr>
        <w:t>管理层已审议并批准管理这些风险的政策，概括如下。</w:t>
      </w:r>
    </w:p>
    <w:p>
      <w:pPr>
        <w:spacing w:line="266" w:lineRule="auto" w:before="7"/>
        <w:ind w:left="575" w:right="27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信用风险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信用风险，是指金融工具的一方不能履行义务，造成另一方发生财务损失的风险。</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信用风险管理实务</w:t>
      </w:r>
    </w:p>
    <w:p>
      <w:pPr>
        <w:spacing w:line="256" w:lineRule="auto"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信用风险的评价方法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公司在每个资产负债表日评估相关金融工具的信用风险自初始确认后是否已显著增加。在确定信用风</w:t>
      </w:r>
    </w:p>
    <w:p>
      <w:pPr>
        <w:spacing w:line="273" w:lineRule="auto" w:before="22"/>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险自初始确认后是否显著增加时，公司考虑在无须付出不必要的额外成本或努力即可获得合理且有依据的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信息，包括基于历史数据的定性和定量分析、外部信用风险评级以及前瞻性信息。公司以单项金融工具或</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者具有相似信用风险特征的金融工具组合为基础，通过比较金融工具在资产负债表日发生违约的风险与在</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初始确认日发生违约的风险，以确定金融工具预计存续期内发生违约风险的变化情况。</w:t>
      </w:r>
    </w:p>
    <w:p>
      <w:pPr>
        <w:spacing w:before="7"/>
        <w:ind w:left="575" w:right="0" w:firstLine="0"/>
        <w:jc w:val="left"/>
        <w:rPr>
          <w:rFonts w:ascii="宋体" w:hAnsi="宋体" w:cs="宋体" w:eastAsia="宋体" w:hint="default"/>
          <w:sz w:val="21"/>
          <w:szCs w:val="21"/>
        </w:rPr>
      </w:pPr>
      <w:r>
        <w:rPr>
          <w:rFonts w:ascii="宋体" w:hAnsi="宋体" w:cs="宋体" w:eastAsia="宋体" w:hint="default"/>
          <w:sz w:val="21"/>
          <w:szCs w:val="21"/>
        </w:rPr>
        <w:t>当触发以下一个或多个定量、定性标准时，公司认为金融工具的信用风险已发生显著增加：</w:t>
      </w:r>
    </w:p>
    <w:p>
      <w:pPr>
        <w:spacing w:before="3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定量标准主要为资产负债表日剩余存续期违约概率较初始确认时上升超过一定比例；</w:t>
      </w:r>
    </w:p>
    <w:p>
      <w:pPr>
        <w:spacing w:line="256" w:lineRule="auto" w:before="21"/>
        <w:ind w:left="153" w:right="0"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9"/>
          <w:sz w:val="21"/>
          <w:szCs w:val="21"/>
        </w:rPr>
        <w:t> </w:t>
      </w:r>
      <w:r>
        <w:rPr>
          <w:rFonts w:ascii="宋体" w:hAnsi="宋体" w:cs="宋体" w:eastAsia="宋体" w:hint="default"/>
          <w:spacing w:val="-3"/>
          <w:sz w:val="21"/>
          <w:szCs w:val="21"/>
        </w:rPr>
        <w:t>定性标准主要为债务人经营或财务情况出现重大不利变化、现存的或预期的技术、市场、经济或法</w:t>
      </w:r>
      <w:r>
        <w:rPr>
          <w:rFonts w:ascii="宋体" w:hAnsi="宋体" w:cs="宋体" w:eastAsia="宋体" w:hint="default"/>
          <w:w w:val="100"/>
          <w:sz w:val="21"/>
          <w:szCs w:val="21"/>
        </w:rPr>
        <w:t> </w:t>
      </w:r>
      <w:r>
        <w:rPr>
          <w:rFonts w:ascii="宋体" w:hAnsi="宋体" w:cs="宋体" w:eastAsia="宋体" w:hint="default"/>
          <w:sz w:val="21"/>
          <w:szCs w:val="21"/>
        </w:rPr>
        <w:t>律环境变化并将对债务人对公司的还款能力产生重大不利影响等。</w:t>
      </w:r>
    </w:p>
    <w:p>
      <w:pPr>
        <w:spacing w:line="256" w:lineRule="auto" w:before="22"/>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违约和已发生信用减值资产的定义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当金融工具符合以下一项或多项条件时，公司将该金融资产界定为已发生违约，其标准与已发生信用</w:t>
      </w:r>
    </w:p>
    <w:p>
      <w:pPr>
        <w:spacing w:before="22"/>
        <w:ind w:left="153" w:right="0" w:firstLine="0"/>
        <w:jc w:val="both"/>
        <w:rPr>
          <w:rFonts w:ascii="宋体" w:hAnsi="宋体" w:cs="宋体" w:eastAsia="宋体" w:hint="default"/>
          <w:sz w:val="21"/>
          <w:szCs w:val="21"/>
        </w:rPr>
      </w:pPr>
      <w:r>
        <w:rPr>
          <w:rFonts w:ascii="宋体" w:hAnsi="宋体" w:cs="宋体" w:eastAsia="宋体" w:hint="default"/>
          <w:sz w:val="21"/>
          <w:szCs w:val="21"/>
        </w:rPr>
        <w:t>减值的定义一致：</w:t>
      </w:r>
    </w:p>
    <w:p>
      <w:pPr>
        <w:spacing w:before="3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债务人发生重大财务困难；</w:t>
      </w:r>
    </w:p>
    <w:p>
      <w:pPr>
        <w:spacing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债务人违反合同中对债务人的约束条款；</w:t>
      </w:r>
    </w:p>
    <w:p>
      <w:pPr>
        <w:spacing w:before="22"/>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债务人很可能破产或进行其他财务重组；</w:t>
      </w:r>
    </w:p>
    <w:p>
      <w:pPr>
        <w:spacing w:line="256" w:lineRule="auto" w:before="21"/>
        <w:ind w:left="153" w:right="1124"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1"/>
          <w:sz w:val="21"/>
          <w:szCs w:val="21"/>
        </w:rPr>
        <w:t> </w:t>
      </w:r>
      <w:r>
        <w:rPr>
          <w:rFonts w:ascii="宋体" w:hAnsi="宋体" w:cs="宋体" w:eastAsia="宋体" w:hint="default"/>
          <w:spacing w:val="-3"/>
          <w:sz w:val="21"/>
          <w:szCs w:val="21"/>
        </w:rPr>
        <w:t>债权人出于与债务人财务困难有关的经济或合同考虑，给予债务人在任何其他情况下都不会做出的</w:t>
      </w:r>
      <w:r>
        <w:rPr>
          <w:rFonts w:ascii="宋体" w:hAnsi="宋体" w:cs="宋体" w:eastAsia="宋体" w:hint="default"/>
          <w:w w:val="100"/>
          <w:sz w:val="21"/>
          <w:szCs w:val="21"/>
        </w:rPr>
        <w:t> </w:t>
      </w:r>
      <w:r>
        <w:rPr>
          <w:rFonts w:ascii="宋体" w:hAnsi="宋体" w:cs="宋体" w:eastAsia="宋体" w:hint="default"/>
          <w:sz w:val="21"/>
          <w:szCs w:val="21"/>
        </w:rPr>
        <w:t>让步。</w:t>
      </w:r>
    </w:p>
    <w:p>
      <w:pPr>
        <w:spacing w:after="0" w:line="256"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256" w:lineRule="auto" w:before="36"/>
        <w:ind w:left="615" w:right="9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预期信用损失的计量</w:t>
      </w:r>
      <w:r>
        <w:rPr>
          <w:rFonts w:ascii="宋体" w:hAnsi="宋体" w:cs="宋体" w:eastAsia="宋体" w:hint="default"/>
          <w:w w:val="100"/>
          <w:sz w:val="21"/>
          <w:szCs w:val="21"/>
        </w:rPr>
        <w:t> </w:t>
      </w:r>
      <w:r>
        <w:rPr>
          <w:rFonts w:ascii="宋体" w:hAnsi="宋体" w:cs="宋体" w:eastAsia="宋体" w:hint="default"/>
          <w:spacing w:val="-4"/>
          <w:sz w:val="21"/>
          <w:szCs w:val="21"/>
        </w:rPr>
        <w:t>预期信用损失计量的关键参数包括违约概率、违约损失率和违约风险敞口。公司考虑历史统计数据</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如</w:t>
      </w:r>
    </w:p>
    <w:p>
      <w:pPr>
        <w:spacing w:line="259" w:lineRule="auto" w:before="5"/>
        <w:ind w:left="193" w:right="969" w:firstLine="0"/>
        <w:jc w:val="left"/>
        <w:rPr>
          <w:rFonts w:ascii="宋体" w:hAnsi="宋体" w:cs="宋体" w:eastAsia="宋体" w:hint="default"/>
          <w:sz w:val="21"/>
          <w:szCs w:val="21"/>
        </w:rPr>
      </w:pPr>
      <w:r>
        <w:rPr>
          <w:rFonts w:ascii="宋体" w:hAnsi="宋体" w:cs="宋体" w:eastAsia="宋体" w:hint="default"/>
          <w:spacing w:val="-4"/>
          <w:sz w:val="21"/>
          <w:szCs w:val="21"/>
        </w:rPr>
        <w:t>交易对手评级、担保方式及抵质押物类别、还款方式等</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的定量分析及前瞻性信息，建立违约概率、违约损</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失率及违约风险敞口模型。</w:t>
      </w:r>
    </w:p>
    <w:p>
      <w:pPr>
        <w:spacing w:before="20"/>
        <w:ind w:left="615" w:right="9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金融工具损失准备期初余额与期末余额调节表详见本财务报表附注七</w:t>
      </w:r>
      <w:r>
        <w:rPr>
          <w:rFonts w:ascii="Times New Roman" w:hAnsi="Times New Roman" w:cs="Times New Roman" w:eastAsia="Times New Roman" w:hint="default"/>
          <w:sz w:val="21"/>
          <w:szCs w:val="21"/>
        </w:rPr>
        <w:t>3</w:t>
      </w:r>
      <w:r>
        <w:rPr>
          <w:rFonts w:ascii="宋体" w:hAnsi="宋体" w:cs="宋体" w:eastAsia="宋体" w:hint="default"/>
          <w:sz w:val="21"/>
          <w:szCs w:val="21"/>
        </w:rPr>
        <w:t>、七</w:t>
      </w:r>
      <w:r>
        <w:rPr>
          <w:rFonts w:ascii="Times New Roman" w:hAnsi="Times New Roman" w:cs="Times New Roman" w:eastAsia="Times New Roman" w:hint="default"/>
          <w:sz w:val="21"/>
          <w:szCs w:val="21"/>
        </w:rPr>
        <w:t>4</w:t>
      </w:r>
      <w:r>
        <w:rPr>
          <w:rFonts w:ascii="宋体" w:hAnsi="宋体" w:cs="宋体" w:eastAsia="宋体" w:hint="default"/>
          <w:sz w:val="21"/>
          <w:szCs w:val="21"/>
        </w:rPr>
        <w:t>、七</w:t>
      </w:r>
      <w:r>
        <w:rPr>
          <w:rFonts w:ascii="Times New Roman" w:hAnsi="Times New Roman" w:cs="Times New Roman" w:eastAsia="Times New Roman" w:hint="default"/>
          <w:sz w:val="21"/>
          <w:szCs w:val="21"/>
        </w:rPr>
        <w:t>5</w:t>
      </w:r>
      <w:r>
        <w:rPr>
          <w:rFonts w:ascii="宋体" w:hAnsi="宋体" w:cs="宋体" w:eastAsia="宋体" w:hint="default"/>
          <w:sz w:val="21"/>
          <w:szCs w:val="21"/>
        </w:rPr>
        <w:t>、七</w:t>
      </w:r>
      <w:r>
        <w:rPr>
          <w:rFonts w:ascii="Times New Roman" w:hAnsi="Times New Roman" w:cs="Times New Roman" w:eastAsia="Times New Roman" w:hint="default"/>
          <w:sz w:val="21"/>
          <w:szCs w:val="21"/>
        </w:rPr>
        <w:t>7</w:t>
      </w:r>
      <w:r>
        <w:rPr>
          <w:rFonts w:ascii="宋体" w:hAnsi="宋体" w:cs="宋体" w:eastAsia="宋体" w:hint="default"/>
          <w:sz w:val="21"/>
          <w:szCs w:val="21"/>
        </w:rPr>
        <w:t>之说明。</w:t>
      </w:r>
    </w:p>
    <w:p>
      <w:pPr>
        <w:spacing w:line="264" w:lineRule="auto" w:before="21"/>
        <w:ind w:left="615" w:right="9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信用风险敞口及信用风险集中度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本公司的信用风险主要来自货币资金和应收款项。为控制上述相关风险，本公司分别采取了以下措施。</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货币资金</w:t>
      </w:r>
    </w:p>
    <w:p>
      <w:pPr>
        <w:spacing w:line="273" w:lineRule="exact" w:before="0"/>
        <w:ind w:left="615" w:right="969" w:firstLine="0"/>
        <w:jc w:val="left"/>
        <w:rPr>
          <w:rFonts w:ascii="宋体" w:hAnsi="宋体" w:cs="宋体" w:eastAsia="宋体" w:hint="default"/>
          <w:sz w:val="21"/>
          <w:szCs w:val="21"/>
        </w:rPr>
      </w:pPr>
      <w:r>
        <w:rPr>
          <w:rFonts w:ascii="宋体" w:hAnsi="宋体" w:cs="宋体" w:eastAsia="宋体" w:hint="default"/>
          <w:sz w:val="21"/>
          <w:szCs w:val="21"/>
        </w:rPr>
        <w:t>本公司将银行存款和其他货币资金存放于信用评级较高的金融机构，故其信用风险较低。</w:t>
      </w:r>
    </w:p>
    <w:p>
      <w:pPr>
        <w:spacing w:line="256" w:lineRule="auto" w:before="37"/>
        <w:ind w:left="615" w:right="9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应收款项</w:t>
      </w:r>
      <w:r>
        <w:rPr>
          <w:rFonts w:ascii="宋体" w:hAnsi="宋体" w:cs="宋体" w:eastAsia="宋体" w:hint="default"/>
          <w:w w:val="100"/>
          <w:sz w:val="21"/>
          <w:szCs w:val="21"/>
        </w:rPr>
        <w:t> </w:t>
      </w:r>
      <w:r>
        <w:rPr>
          <w:rFonts w:ascii="宋体" w:hAnsi="宋体" w:cs="宋体" w:eastAsia="宋体" w:hint="default"/>
          <w:spacing w:val="-2"/>
          <w:sz w:val="21"/>
          <w:szCs w:val="21"/>
        </w:rPr>
        <w:t>本公司持续对采用信用方式交易的客户进行信用评估。根据信用评估结果，本公司选择与经认可的且</w:t>
      </w:r>
    </w:p>
    <w:p>
      <w:pPr>
        <w:spacing w:line="273" w:lineRule="auto" w:before="22"/>
        <w:ind w:left="615" w:right="969" w:hanging="423"/>
        <w:jc w:val="left"/>
        <w:rPr>
          <w:rFonts w:ascii="宋体" w:hAnsi="宋体" w:cs="宋体" w:eastAsia="宋体" w:hint="default"/>
          <w:sz w:val="21"/>
          <w:szCs w:val="21"/>
        </w:rPr>
      </w:pPr>
      <w:r>
        <w:rPr>
          <w:rFonts w:ascii="宋体" w:hAnsi="宋体" w:cs="宋体" w:eastAsia="宋体" w:hint="default"/>
          <w:sz w:val="21"/>
          <w:szCs w:val="21"/>
        </w:rPr>
        <w:t>信用良好的客户进行交易，并对其应收款项余额进行监控，以确保本公司不会面临重大坏账风险。</w:t>
      </w:r>
      <w:r>
        <w:rPr>
          <w:rFonts w:ascii="宋体" w:hAnsi="宋体" w:cs="宋体" w:eastAsia="宋体" w:hint="default"/>
          <w:w w:val="100"/>
          <w:sz w:val="21"/>
          <w:szCs w:val="21"/>
        </w:rPr>
        <w:t> </w:t>
      </w:r>
      <w:r>
        <w:rPr>
          <w:rFonts w:ascii="宋体" w:hAnsi="宋体" w:cs="宋体" w:eastAsia="宋体" w:hint="default"/>
          <w:spacing w:val="-2"/>
          <w:sz w:val="21"/>
          <w:szCs w:val="21"/>
        </w:rPr>
        <w:t>由于本公司的应收账款风险点分布于多个合作方和多个客户，截至</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日，本公司应收账款</w:t>
      </w:r>
    </w:p>
    <w:p>
      <w:pPr>
        <w:spacing w:line="259" w:lineRule="auto" w:before="0"/>
        <w:ind w:left="615" w:right="969" w:hanging="423"/>
        <w:jc w:val="left"/>
        <w:rPr>
          <w:rFonts w:ascii="宋体" w:hAnsi="宋体" w:cs="宋体" w:eastAsia="宋体" w:hint="default"/>
          <w:sz w:val="21"/>
          <w:szCs w:val="21"/>
        </w:rPr>
      </w:pPr>
      <w:r>
        <w:rPr>
          <w:rFonts w:ascii="宋体" w:hAnsi="宋体" w:cs="宋体" w:eastAsia="宋体" w:hint="default"/>
          <w:sz w:val="21"/>
          <w:szCs w:val="21"/>
        </w:rPr>
        <w:t>的</w:t>
      </w:r>
      <w:r>
        <w:rPr>
          <w:rFonts w:ascii="Times New Roman" w:hAnsi="Times New Roman" w:cs="Times New Roman" w:eastAsia="Times New Roman" w:hint="default"/>
          <w:sz w:val="21"/>
          <w:szCs w:val="21"/>
        </w:rPr>
        <w:t>18.59%</w:t>
      </w:r>
      <w:r>
        <w:rPr>
          <w:rFonts w:ascii="Times New Roman" w:hAnsi="Times New Roman" w:cs="Times New Roman" w:eastAsia="Times New Roman" w:hint="default"/>
          <w:spacing w:val="35"/>
          <w:sz w:val="21"/>
          <w:szCs w:val="21"/>
        </w:rPr>
        <w:t> </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w:t>
      </w:r>
      <w:r>
        <w:rPr>
          <w:rFonts w:ascii="Times New Roman" w:hAnsi="Times New Roman" w:cs="Times New Roman" w:eastAsia="Times New Roman" w:hint="default"/>
          <w:spacing w:val="-1"/>
          <w:sz w:val="21"/>
          <w:szCs w:val="21"/>
        </w:rPr>
        <w:t>21.62%)</w:t>
      </w:r>
      <w:r>
        <w:rPr>
          <w:rFonts w:ascii="宋体" w:hAnsi="宋体" w:cs="宋体" w:eastAsia="宋体" w:hint="default"/>
          <w:spacing w:val="-1"/>
          <w:sz w:val="21"/>
          <w:szCs w:val="21"/>
        </w:rPr>
        <w:t>源于余额前五名客户，本公司不存在重大的信用集中风险。</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本公司所承受的最大信用风险敞口为资产负债表中每项金融资产的账面价值。</w:t>
      </w:r>
    </w:p>
    <w:p>
      <w:pPr>
        <w:spacing w:line="256" w:lineRule="auto" w:before="20"/>
        <w:ind w:left="61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流动性风险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流动性风险，是指本公司在履行以交付现金或其他金融资产的方式结算的义务时发生资金短缺的风险。</w:t>
      </w:r>
    </w:p>
    <w:p>
      <w:pPr>
        <w:spacing w:line="273" w:lineRule="auto" w:before="22"/>
        <w:ind w:left="193" w:right="969" w:firstLine="0"/>
        <w:jc w:val="left"/>
        <w:rPr>
          <w:rFonts w:ascii="宋体" w:hAnsi="宋体" w:cs="宋体" w:eastAsia="宋体" w:hint="default"/>
          <w:sz w:val="21"/>
          <w:szCs w:val="21"/>
        </w:rPr>
      </w:pPr>
      <w:r>
        <w:rPr>
          <w:rFonts w:ascii="宋体" w:hAnsi="宋体" w:cs="宋体" w:eastAsia="宋体" w:hint="default"/>
          <w:spacing w:val="-2"/>
          <w:sz w:val="21"/>
          <w:szCs w:val="21"/>
        </w:rPr>
        <w:t>流动性风险可能源于无法尽快以公允价值售出金融资产；或者源于对方无法偿还其合同债务；或者源于提</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前到期的债务；或者源于无法产生预期的现金流量。</w:t>
      </w:r>
    </w:p>
    <w:p>
      <w:pPr>
        <w:spacing w:line="273" w:lineRule="auto" w:before="8"/>
        <w:ind w:left="193" w:right="1122" w:firstLine="422"/>
        <w:jc w:val="both"/>
        <w:rPr>
          <w:rFonts w:ascii="宋体" w:hAnsi="宋体" w:cs="宋体" w:eastAsia="宋体" w:hint="default"/>
          <w:sz w:val="21"/>
          <w:szCs w:val="21"/>
        </w:rPr>
      </w:pPr>
      <w:r>
        <w:rPr>
          <w:rFonts w:ascii="宋体" w:hAnsi="宋体" w:cs="宋体" w:eastAsia="宋体" w:hint="default"/>
          <w:spacing w:val="-2"/>
          <w:sz w:val="21"/>
          <w:szCs w:val="21"/>
        </w:rPr>
        <w:t>为控制该项风险，本公司综合运用票据结算、银行借款等多种融资手段，并采取长、短期融资方式适</w:t>
      </w:r>
      <w:r>
        <w:rPr>
          <w:rFonts w:ascii="宋体" w:hAnsi="宋体" w:cs="宋体" w:eastAsia="宋体" w:hint="default"/>
          <w:w w:val="100"/>
          <w:sz w:val="21"/>
          <w:szCs w:val="21"/>
        </w:rPr>
        <w:t> </w:t>
      </w:r>
      <w:r>
        <w:rPr>
          <w:rFonts w:ascii="宋体" w:hAnsi="宋体" w:cs="宋体" w:eastAsia="宋体" w:hint="default"/>
          <w:spacing w:val="-2"/>
          <w:sz w:val="21"/>
          <w:szCs w:val="21"/>
        </w:rPr>
        <w:t>当结合，优化融资结构的方法，保持融资持续性与灵活性之间的平衡。本公司已从多家商业银行取得银行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授信额度以满足营运资金需求和资本开支。</w:t>
      </w:r>
    </w:p>
    <w:p>
      <w:pPr>
        <w:spacing w:before="7"/>
        <w:ind w:left="615" w:right="969" w:firstLine="0"/>
        <w:jc w:val="left"/>
        <w:rPr>
          <w:rFonts w:ascii="宋体" w:hAnsi="宋体" w:cs="宋体" w:eastAsia="宋体" w:hint="default"/>
          <w:sz w:val="21"/>
          <w:szCs w:val="21"/>
        </w:rPr>
      </w:pPr>
      <w:r>
        <w:rPr>
          <w:rFonts w:ascii="宋体" w:hAnsi="宋体" w:cs="宋体" w:eastAsia="宋体" w:hint="default"/>
          <w:sz w:val="21"/>
          <w:szCs w:val="21"/>
        </w:rPr>
        <w:t>金融负债按剩余到期日分类</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829"/>
        <w:gridCol w:w="1474"/>
        <w:gridCol w:w="1479"/>
        <w:gridCol w:w="1474"/>
        <w:gridCol w:w="1306"/>
        <w:gridCol w:w="2223"/>
      </w:tblGrid>
      <w:tr>
        <w:trPr>
          <w:trHeight w:val="341" w:hRule="exact"/>
        </w:trPr>
        <w:tc>
          <w:tcPr>
            <w:tcW w:w="182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7957"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1" w:hRule="exact"/>
        </w:trPr>
        <w:tc>
          <w:tcPr>
            <w:tcW w:w="1829" w:type="dxa"/>
            <w:vMerge/>
            <w:tcBorders>
              <w:left w:val="single" w:sz="4" w:space="0" w:color="000000"/>
              <w:bottom w:val="single" w:sz="4" w:space="0" w:color="000000"/>
              <w:right w:val="single" w:sz="4" w:space="0" w:color="000000"/>
            </w:tcBorders>
            <w:shd w:val="clear" w:color="auto" w:fill="D9D9D9"/>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6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06" w:right="0"/>
              <w:jc w:val="left"/>
              <w:rPr>
                <w:rFonts w:ascii="宋体" w:hAnsi="宋体" w:cs="宋体" w:eastAsia="宋体" w:hint="default"/>
                <w:sz w:val="18"/>
                <w:szCs w:val="18"/>
              </w:rPr>
            </w:pPr>
            <w:r>
              <w:rPr>
                <w:rFonts w:ascii="宋体" w:hAnsi="宋体" w:cs="宋体" w:eastAsia="宋体" w:hint="default"/>
                <w:spacing w:val="-3"/>
                <w:sz w:val="18"/>
                <w:szCs w:val="18"/>
              </w:rPr>
              <w:t>未折现合同金额</w:t>
            </w:r>
          </w:p>
        </w:tc>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22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6"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334,312,124.62</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341,209,398.35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335,939,239.84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5,270,158.51</w:t>
            </w: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19,831,533.52</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19,831,533.52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19,831,533.52</w:t>
            </w:r>
          </w:p>
        </w:tc>
        <w:tc>
          <w:tcPr>
            <w:tcW w:w="1306"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136,404,321.96</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136,404,321.96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136,404,321.96</w:t>
            </w:r>
          </w:p>
        </w:tc>
        <w:tc>
          <w:tcPr>
            <w:tcW w:w="1306"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829" w:type="dxa"/>
            <w:tcBorders>
              <w:top w:val="single" w:sz="4" w:space="0" w:color="000000"/>
              <w:left w:val="single" w:sz="4" w:space="0" w:color="000000"/>
              <w:bottom w:val="single" w:sz="4" w:space="0" w:color="D9D9D9"/>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14,318,520.05</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14,318,520.05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14,318,520.05</w:t>
            </w:r>
          </w:p>
        </w:tc>
        <w:tc>
          <w:tcPr>
            <w:tcW w:w="1306"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504,866,500.15</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511,763,773.88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506,493,615.37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5,270,158.51</w:t>
            </w:r>
          </w:p>
        </w:tc>
        <w:tc>
          <w:tcPr>
            <w:tcW w:w="2223" w:type="dxa"/>
            <w:tcBorders>
              <w:top w:val="single" w:sz="4" w:space="0" w:color="000000"/>
              <w:left w:val="single" w:sz="4" w:space="0" w:color="000000"/>
              <w:bottom w:val="single" w:sz="4" w:space="0" w:color="000000"/>
              <w:right w:val="single" w:sz="4" w:space="0" w:color="000000"/>
            </w:tcBorders>
          </w:tcPr>
          <w:p>
            <w:pPr/>
          </w:p>
        </w:tc>
      </w:tr>
    </w:tbl>
    <w:p>
      <w:pPr>
        <w:spacing w:line="276" w:lineRule="exact" w:before="0"/>
        <w:ind w:left="702" w:right="9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续上表</w:t>
      </w:r>
      <w:r>
        <w:rPr>
          <w:rFonts w:ascii="Times New Roman" w:hAnsi="Times New Roman" w:cs="Times New Roman" w:eastAsia="Times New Roman" w:hint="default"/>
          <w:sz w:val="21"/>
          <w:szCs w:val="21"/>
        </w:rPr>
        <w:t>)</w:t>
      </w:r>
    </w:p>
    <w:p>
      <w:pPr>
        <w:spacing w:line="240" w:lineRule="auto" w:before="2"/>
        <w:rPr>
          <w:rFonts w:ascii="Times New Roman" w:hAnsi="Times New Roman" w:cs="Times New Roman" w:eastAsia="Times New Roman"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829"/>
        <w:gridCol w:w="1479"/>
        <w:gridCol w:w="1475"/>
        <w:gridCol w:w="1479"/>
        <w:gridCol w:w="1306"/>
        <w:gridCol w:w="2219"/>
      </w:tblGrid>
      <w:tr>
        <w:trPr>
          <w:trHeight w:val="341" w:hRule="exact"/>
        </w:trPr>
        <w:tc>
          <w:tcPr>
            <w:tcW w:w="182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7957"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1829" w:type="dxa"/>
            <w:vMerge/>
            <w:tcBorders>
              <w:left w:val="single" w:sz="4" w:space="0" w:color="000000"/>
              <w:bottom w:val="single" w:sz="4" w:space="0" w:color="000000"/>
              <w:right w:val="single" w:sz="4" w:space="0" w:color="000000"/>
            </w:tcBorders>
            <w:shd w:val="clear" w:color="auto" w:fill="D9D9D9"/>
          </w:tcPr>
          <w:p>
            <w:pPr/>
          </w:p>
        </w:tc>
        <w:tc>
          <w:tcPr>
            <w:tcW w:w="1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6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pacing w:val="-3"/>
                <w:sz w:val="18"/>
                <w:szCs w:val="18"/>
              </w:rPr>
              <w:t>未折现合同金额</w:t>
            </w:r>
          </w:p>
        </w:tc>
        <w:tc>
          <w:tcPr>
            <w:tcW w:w="1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22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6"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167,418,148.64</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170,454,718.41</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170,454,718.41</w:t>
            </w:r>
          </w:p>
        </w:tc>
        <w:tc>
          <w:tcPr>
            <w:tcW w:w="1306"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13,306,710.05</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13,306,710.05</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13,306,710.05</w:t>
            </w:r>
          </w:p>
        </w:tc>
        <w:tc>
          <w:tcPr>
            <w:tcW w:w="1306"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108,548,058.49</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108,548,058.49</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108,548,058.49</w:t>
            </w:r>
          </w:p>
        </w:tc>
        <w:tc>
          <w:tcPr>
            <w:tcW w:w="1306"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4,106,025.10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4,106,025.10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4,106,025.10</w:t>
            </w:r>
          </w:p>
        </w:tc>
        <w:tc>
          <w:tcPr>
            <w:tcW w:w="1306"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293,378,942.28</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296,415,512.05</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296,415,512.05</w:t>
            </w:r>
          </w:p>
        </w:tc>
        <w:tc>
          <w:tcPr>
            <w:tcW w:w="1306"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r>
    </w:tbl>
    <w:p>
      <w:pPr>
        <w:spacing w:line="276" w:lineRule="exact" w:before="0"/>
        <w:ind w:left="615" w:right="9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三</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市场风险</w:t>
      </w:r>
    </w:p>
    <w:p>
      <w:pPr>
        <w:spacing w:line="273" w:lineRule="auto" w:before="21"/>
        <w:ind w:left="193" w:right="969" w:firstLine="422"/>
        <w:jc w:val="left"/>
        <w:rPr>
          <w:rFonts w:ascii="宋体" w:hAnsi="宋体" w:cs="宋体" w:eastAsia="宋体" w:hint="default"/>
          <w:sz w:val="21"/>
          <w:szCs w:val="21"/>
        </w:rPr>
      </w:pPr>
      <w:r>
        <w:rPr>
          <w:rFonts w:ascii="宋体" w:hAnsi="宋体" w:cs="宋体" w:eastAsia="宋体" w:hint="default"/>
          <w:spacing w:val="-2"/>
          <w:sz w:val="21"/>
          <w:szCs w:val="21"/>
        </w:rPr>
        <w:t>市场风险，是指金融工具的公允价值或未来现金流量因市场价格变动而发生波动的风险。公司的市场</w:t>
      </w:r>
      <w:r>
        <w:rPr>
          <w:rFonts w:ascii="宋体" w:hAnsi="宋体" w:cs="宋体" w:eastAsia="宋体" w:hint="default"/>
          <w:w w:val="100"/>
          <w:sz w:val="21"/>
          <w:szCs w:val="21"/>
        </w:rPr>
        <w:t> </w:t>
      </w:r>
      <w:r>
        <w:rPr>
          <w:rFonts w:ascii="宋体" w:hAnsi="宋体" w:cs="宋体" w:eastAsia="宋体" w:hint="default"/>
          <w:sz w:val="21"/>
          <w:szCs w:val="21"/>
        </w:rPr>
        <w:t>风险主要为利率风险。</w:t>
      </w:r>
    </w:p>
    <w:p>
      <w:pPr>
        <w:spacing w:line="273" w:lineRule="auto" w:before="7"/>
        <w:ind w:left="193" w:right="0" w:firstLine="422"/>
        <w:jc w:val="left"/>
        <w:rPr>
          <w:rFonts w:ascii="宋体" w:hAnsi="宋体" w:cs="宋体" w:eastAsia="宋体" w:hint="default"/>
          <w:sz w:val="21"/>
          <w:szCs w:val="21"/>
        </w:rPr>
      </w:pPr>
      <w:r>
        <w:rPr>
          <w:rFonts w:ascii="宋体" w:hAnsi="宋体" w:cs="宋体" w:eastAsia="宋体" w:hint="default"/>
          <w:sz w:val="21"/>
          <w:szCs w:val="21"/>
        </w:rPr>
        <w:t>利率风险，是指金融工具的公允价值或未来现金流量因市场利率变动而发生波动的风险。固定利率的</w:t>
      </w:r>
      <w:r>
        <w:rPr>
          <w:rFonts w:ascii="宋体" w:hAnsi="宋体" w:cs="宋体" w:eastAsia="宋体" w:hint="default"/>
          <w:w w:val="100"/>
          <w:sz w:val="21"/>
          <w:szCs w:val="21"/>
        </w:rPr>
        <w:t> </w:t>
      </w:r>
      <w:r>
        <w:rPr>
          <w:rFonts w:ascii="宋体" w:hAnsi="宋体" w:cs="宋体" w:eastAsia="宋体" w:hint="default"/>
          <w:spacing w:val="-2"/>
          <w:sz w:val="21"/>
          <w:szCs w:val="21"/>
        </w:rPr>
        <w:t>带息金融工具使本公司面临公允价值利率风险，浮动利率的带息金融工具使本公司面临现金流量利率风险。</w:t>
      </w:r>
    </w:p>
    <w:p>
      <w:pPr>
        <w:spacing w:after="0" w:line="273" w:lineRule="auto"/>
        <w:jc w:val="left"/>
        <w:rPr>
          <w:rFonts w:ascii="宋体" w:hAnsi="宋体" w:cs="宋体" w:eastAsia="宋体" w:hint="default"/>
          <w:sz w:val="21"/>
          <w:szCs w:val="21"/>
        </w:rPr>
        <w:sectPr>
          <w:pgSz w:w="11910" w:h="16840"/>
          <w:pgMar w:header="741" w:footer="979" w:top="1060" w:bottom="1160" w:left="940" w:right="0"/>
        </w:sectPr>
      </w:pPr>
    </w:p>
    <w:p>
      <w:pPr>
        <w:spacing w:line="240" w:lineRule="auto" w:before="12"/>
        <w:rPr>
          <w:rFonts w:ascii="宋体" w:hAnsi="宋体" w:cs="宋体" w:eastAsia="宋体" w:hint="default"/>
          <w:sz w:val="24"/>
          <w:szCs w:val="24"/>
        </w:rPr>
      </w:pPr>
    </w:p>
    <w:p>
      <w:pPr>
        <w:spacing w:line="273" w:lineRule="auto" w:before="36"/>
        <w:ind w:left="153" w:right="0" w:firstLine="0"/>
        <w:jc w:val="left"/>
        <w:rPr>
          <w:rFonts w:ascii="宋体" w:hAnsi="宋体" w:cs="宋体" w:eastAsia="宋体" w:hint="default"/>
          <w:sz w:val="21"/>
          <w:szCs w:val="21"/>
        </w:rPr>
      </w:pPr>
      <w:r>
        <w:rPr>
          <w:rFonts w:ascii="宋体" w:hAnsi="宋体" w:cs="宋体" w:eastAsia="宋体" w:hint="default"/>
          <w:spacing w:val="-2"/>
          <w:sz w:val="21"/>
          <w:szCs w:val="21"/>
        </w:rPr>
        <w:t>本公司根据市场环境来决定固定利率与浮动利率金融工具的比例，并通过定期审阅与监控维持适当的金融</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工具组合。本公司面临的现金流量利率风险主要与本公司以浮动利率计息的银行借款有关。</w:t>
      </w:r>
    </w:p>
    <w:p>
      <w:pPr>
        <w:spacing w:line="256" w:lineRule="auto" w:before="7"/>
        <w:ind w:left="153" w:right="1157" w:firstLine="388"/>
        <w:jc w:val="both"/>
        <w:rPr>
          <w:rFonts w:ascii="宋体" w:hAnsi="宋体" w:cs="宋体" w:eastAsia="宋体" w:hint="default"/>
          <w:sz w:val="21"/>
          <w:szCs w:val="21"/>
        </w:rPr>
      </w:pPr>
      <w:r>
        <w:rPr>
          <w:rFonts w:ascii="宋体" w:hAnsi="宋体" w:cs="宋体" w:eastAsia="宋体" w:hint="default"/>
          <w:spacing w:val="-1"/>
          <w:sz w:val="21"/>
          <w:szCs w:val="21"/>
        </w:rPr>
        <w:t>截至</w:t>
      </w: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日，本公司以浮动利率计息的银行借款人民币</w:t>
      </w:r>
      <w:r>
        <w:rPr>
          <w:rFonts w:ascii="Times New Roman" w:hAnsi="Times New Roman" w:cs="Times New Roman" w:eastAsia="Times New Roman" w:hint="default"/>
          <w:spacing w:val="-1"/>
          <w:sz w:val="21"/>
          <w:szCs w:val="21"/>
        </w:rPr>
        <w:t>23,333,334.00</w:t>
      </w:r>
      <w:r>
        <w:rPr>
          <w:rFonts w:ascii="宋体" w:hAnsi="宋体" w:cs="宋体" w:eastAsia="宋体" w:hint="default"/>
          <w:spacing w:val="-1"/>
          <w:sz w:val="21"/>
          <w:szCs w:val="21"/>
        </w:rPr>
        <w:t>元（</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w:t>
      </w:r>
      <w:r>
        <w:rPr>
          <w:rFonts w:ascii="宋体" w:hAnsi="宋体" w:cs="宋体" w:eastAsia="宋体" w:hint="default"/>
          <w:w w:val="100"/>
          <w:sz w:val="21"/>
          <w:szCs w:val="21"/>
        </w:rPr>
        <w:t> </w:t>
      </w:r>
      <w:r>
        <w:rPr>
          <w:rFonts w:ascii="宋体" w:hAnsi="宋体" w:cs="宋体" w:eastAsia="宋体" w:hint="default"/>
          <w:spacing w:val="-1"/>
          <w:sz w:val="21"/>
          <w:szCs w:val="21"/>
        </w:rPr>
        <w:t>人民币</w:t>
      </w:r>
      <w:r>
        <w:rPr>
          <w:rFonts w:ascii="Times New Roman" w:hAnsi="Times New Roman" w:cs="Times New Roman" w:eastAsia="Times New Roman" w:hint="default"/>
          <w:spacing w:val="-1"/>
          <w:sz w:val="21"/>
          <w:szCs w:val="21"/>
        </w:rPr>
        <w:t>10,000,000.00</w:t>
      </w:r>
      <w:r>
        <w:rPr>
          <w:rFonts w:ascii="宋体" w:hAnsi="宋体" w:cs="宋体" w:eastAsia="宋体" w:hint="default"/>
          <w:spacing w:val="-1"/>
          <w:sz w:val="21"/>
          <w:szCs w:val="21"/>
        </w:rPr>
        <w:t>元），在其他变量不变的假设下，假定利率变动</w:t>
      </w:r>
      <w:r>
        <w:rPr>
          <w:rFonts w:ascii="Times New Roman" w:hAnsi="Times New Roman" w:cs="Times New Roman" w:eastAsia="Times New Roman" w:hint="default"/>
          <w:spacing w:val="-1"/>
          <w:sz w:val="21"/>
          <w:szCs w:val="21"/>
        </w:rPr>
        <w:t>50</w:t>
      </w:r>
      <w:r>
        <w:rPr>
          <w:rFonts w:ascii="宋体" w:hAnsi="宋体" w:cs="宋体" w:eastAsia="宋体" w:hint="default"/>
          <w:spacing w:val="-1"/>
          <w:sz w:val="21"/>
          <w:szCs w:val="21"/>
        </w:rPr>
        <w:t>个基准点，不会对本公司的利润总</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额和股东权益产生重大的影响。</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bookmarkStart w:name="十一、公允价值的披露" w:id="350"/>
      <w:bookmarkEnd w:id="350"/>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以公允价值计量的资产和负债的期末公允价值" w:id="351"/>
      <w:bookmarkEnd w:id="35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49"/>
        <w:gridCol w:w="1916"/>
        <w:gridCol w:w="1911"/>
        <w:gridCol w:w="1916"/>
      </w:tblGrid>
      <w:tr>
        <w:trPr>
          <w:trHeight w:val="398"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8"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9"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8"/>
              <w:ind w:left="835"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7"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c>
          <w:tcPr>
            <w:tcW w:w="1911"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4"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49"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6"/>
                <w:sz w:val="18"/>
                <w:szCs w:val="18"/>
              </w:rPr>
              <w:t>一、持续的公允价值计量</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11,000,000.00</w:t>
            </w:r>
          </w:p>
        </w:tc>
      </w:tr>
      <w:tr>
        <w:trPr>
          <w:trHeight w:val="1028"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以公允价值计量且其变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动计入当期损益的金融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11,000,000.00</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11,000,000.00</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6"/>
                <w:sz w:val="18"/>
                <w:szCs w:val="18"/>
              </w:rPr>
              <w:t>（三）其他权益工具投资</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216,000.00</w:t>
            </w:r>
          </w:p>
        </w:tc>
      </w:tr>
      <w:tr>
        <w:trPr>
          <w:trHeight w:val="398"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（八）应收款项融资</w:t>
            </w:r>
          </w:p>
        </w:tc>
        <w:tc>
          <w:tcPr>
            <w:tcW w:w="184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2,120,913.49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2,120,913.49</w:t>
            </w:r>
          </w:p>
        </w:tc>
      </w:tr>
      <w:tr>
        <w:trPr>
          <w:trHeight w:val="71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42"/>
              <w:jc w:val="left"/>
              <w:rPr>
                <w:rFonts w:ascii="宋体" w:hAnsi="宋体" w:cs="宋体" w:eastAsia="宋体" w:hint="default"/>
                <w:sz w:val="18"/>
                <w:szCs w:val="18"/>
              </w:rPr>
            </w:pPr>
            <w:r>
              <w:rPr>
                <w:rFonts w:ascii="宋体" w:hAnsi="宋体" w:cs="宋体" w:eastAsia="宋体" w:hint="default"/>
                <w:spacing w:val="-2"/>
                <w:sz w:val="18"/>
                <w:szCs w:val="18"/>
              </w:rPr>
              <w:t>持续以公允价值计量的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资产总额</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13,336,913.49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13,336,913.49</w:t>
            </w:r>
          </w:p>
        </w:tc>
      </w:tr>
      <w:tr>
        <w:trPr>
          <w:trHeight w:val="163"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11" w:right="3"/>
              <w:jc w:val="left"/>
              <w:rPr>
                <w:rFonts w:ascii="宋体" w:hAnsi="宋体" w:cs="宋体" w:eastAsia="宋体" w:hint="default"/>
                <w:sz w:val="18"/>
                <w:szCs w:val="18"/>
              </w:rPr>
            </w:pPr>
            <w:r>
              <w:rPr>
                <w:rFonts w:ascii="宋体" w:hAnsi="宋体" w:cs="宋体" w:eastAsia="宋体" w:hint="default"/>
                <w:spacing w:val="-6"/>
                <w:sz w:val="18"/>
                <w:szCs w:val="18"/>
              </w:rPr>
              <w:t>二、非持续的公允价值计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8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971" w:type="dxa"/>
            <w:vMerge/>
            <w:tcBorders>
              <w:left w:val="single" w:sz="4" w:space="0" w:color="000000"/>
              <w:right w:val="single" w:sz="4" w:space="0" w:color="000000"/>
            </w:tcBorders>
            <w:shd w:val="clear" w:color="auto" w:fill="D2D2D2"/>
          </w:tcPr>
          <w:p>
            <w:pPr/>
          </w:p>
        </w:tc>
        <w:tc>
          <w:tcPr>
            <w:tcW w:w="18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3"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持续和非持续第一层次公允价值计量项目市价的确定依据" w:id="352"/>
      <w:bookmarkEnd w:id="3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持续和非持续第二层次公允价值计量项目，采用的估值技术和重要参数的定性及定量信" w:id="353"/>
      <w:bookmarkEnd w:id="35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持续和非持续第三层次公允价值计量项目，采用的估值技术和重要参数的定性及定量信" w:id="354"/>
      <w:bookmarkEnd w:id="35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应收款项融资：根据银行承兑汇票的票面金额确定其公允价值。</w:t>
      </w:r>
    </w:p>
    <w:p>
      <w:pPr>
        <w:spacing w:before="2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理财产品投资，公司根据购买的理财产品原值确定其公允价值。</w:t>
      </w:r>
    </w:p>
    <w:p>
      <w:pPr>
        <w:spacing w:line="256" w:lineRule="auto" w:before="21"/>
        <w:ind w:left="153" w:right="0"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6"/>
          <w:sz w:val="21"/>
          <w:szCs w:val="21"/>
        </w:rPr>
        <w:t> </w:t>
      </w:r>
      <w:r>
        <w:rPr>
          <w:rFonts w:ascii="宋体" w:hAnsi="宋体" w:cs="宋体" w:eastAsia="宋体" w:hint="default"/>
          <w:spacing w:val="-3"/>
          <w:sz w:val="21"/>
          <w:szCs w:val="21"/>
        </w:rPr>
        <w:t>其他权益工具投资系对杭州芭萝博网络科技有限公司的投资，公司以投资成本作为公允价值的合理</w:t>
      </w:r>
      <w:r>
        <w:rPr>
          <w:rFonts w:ascii="宋体" w:hAnsi="宋体" w:cs="宋体" w:eastAsia="宋体" w:hint="default"/>
          <w:w w:val="100"/>
          <w:sz w:val="21"/>
          <w:szCs w:val="21"/>
        </w:rPr>
        <w:t> </w:t>
      </w:r>
      <w:r>
        <w:rPr>
          <w:rFonts w:ascii="宋体" w:hAnsi="宋体" w:cs="宋体" w:eastAsia="宋体" w:hint="default"/>
          <w:sz w:val="21"/>
          <w:szCs w:val="21"/>
        </w:rPr>
        <w:t>估计进行计量。</w:t>
      </w:r>
    </w:p>
    <w:p>
      <w:pPr>
        <w:spacing w:after="0" w:line="256"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5、持续的第三层次公允价值计量项目，期初与期末账面价值间的调节信息及不可观察参数" w:id="355"/>
      <w:bookmarkEnd w:id="35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6、持续的公允价值计量项目，本期内发生各层级之间转换的，转换的原因及确定转换时点" w:id="356"/>
      <w:bookmarkEnd w:id="35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7、本期内发生的估值技术变更及变更原因" w:id="357"/>
      <w:bookmarkEnd w:id="35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8、不以公允价值计量的金融资产和金融负债的公允价值情况" w:id="358"/>
      <w:bookmarkEnd w:id="35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3" w:right="8100" w:firstLine="0"/>
        <w:jc w:val="left"/>
        <w:rPr>
          <w:rFonts w:ascii="宋体" w:hAnsi="宋体" w:cs="宋体" w:eastAsia="宋体" w:hint="default"/>
          <w:sz w:val="21"/>
          <w:szCs w:val="21"/>
        </w:rPr>
      </w:pPr>
      <w:bookmarkStart w:name="9、其他" w:id="359"/>
      <w:bookmarkEnd w:id="359"/>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360"/>
      <w:bookmarkEnd w:id="360"/>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361"/>
      <w:bookmarkEnd w:id="36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9"/>
        <w:gridCol w:w="1594"/>
        <w:gridCol w:w="1594"/>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431"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杭州正元企业管理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w w:val="101"/>
                <w:sz w:val="18"/>
                <w:szCs w:val="18"/>
              </w:rPr>
              <w:t>咨询有限公司（以下</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简称杭州正元）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企业管理咨询</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7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28.96%</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本企业的母公司情况的说明</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spacing w:line="357" w:lineRule="auto" w:before="0"/>
        <w:ind w:left="153" w:right="8420" w:firstLine="0"/>
        <w:jc w:val="left"/>
        <w:rPr>
          <w:rFonts w:ascii="宋体" w:hAnsi="宋体" w:cs="宋体" w:eastAsia="宋体" w:hint="default"/>
          <w:sz w:val="18"/>
          <w:szCs w:val="18"/>
        </w:rPr>
      </w:pPr>
      <w:r>
        <w:rPr>
          <w:rFonts w:ascii="宋体" w:hAnsi="宋体" w:cs="宋体" w:eastAsia="宋体" w:hint="default"/>
          <w:spacing w:val="-3"/>
          <w:sz w:val="18"/>
          <w:szCs w:val="18"/>
        </w:rPr>
        <w:t>本企业最终控制方是陈坚。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其他说明：</w:t>
      </w:r>
    </w:p>
    <w:p>
      <w:pPr>
        <w:spacing w:line="256" w:lineRule="auto" w:before="1"/>
        <w:ind w:left="153" w:right="1123" w:firstLine="422"/>
        <w:jc w:val="both"/>
        <w:rPr>
          <w:rFonts w:ascii="宋体" w:hAnsi="宋体" w:cs="宋体" w:eastAsia="宋体" w:hint="default"/>
          <w:sz w:val="21"/>
          <w:szCs w:val="21"/>
        </w:rPr>
      </w:pPr>
      <w:r>
        <w:rPr>
          <w:rFonts w:ascii="宋体" w:hAnsi="宋体" w:cs="宋体" w:eastAsia="宋体" w:hint="default"/>
          <w:spacing w:val="-3"/>
          <w:sz w:val="21"/>
          <w:szCs w:val="21"/>
        </w:rPr>
        <w:t>陈坚持有杭州正元</w:t>
      </w:r>
      <w:r>
        <w:rPr>
          <w:rFonts w:ascii="Times New Roman" w:hAnsi="Times New Roman" w:cs="Times New Roman" w:eastAsia="Times New Roman" w:hint="default"/>
          <w:spacing w:val="-3"/>
          <w:sz w:val="21"/>
          <w:szCs w:val="21"/>
        </w:rPr>
        <w:t>87.50%</w:t>
      </w:r>
      <w:r>
        <w:rPr>
          <w:rFonts w:ascii="宋体" w:hAnsi="宋体" w:cs="宋体" w:eastAsia="宋体" w:hint="default"/>
          <w:spacing w:val="-3"/>
          <w:sz w:val="21"/>
          <w:szCs w:val="21"/>
        </w:rPr>
        <w:t>的股权，通过杭州正元控制本公司</w:t>
      </w:r>
      <w:r>
        <w:rPr>
          <w:rFonts w:ascii="Times New Roman" w:hAnsi="Times New Roman" w:cs="Times New Roman" w:eastAsia="Times New Roman" w:hint="default"/>
          <w:spacing w:val="-3"/>
          <w:sz w:val="21"/>
          <w:szCs w:val="21"/>
        </w:rPr>
        <w:t>28.96%</w:t>
      </w:r>
      <w:r>
        <w:rPr>
          <w:rFonts w:ascii="宋体" w:hAnsi="宋体" w:cs="宋体" w:eastAsia="宋体" w:hint="default"/>
          <w:spacing w:val="-3"/>
          <w:sz w:val="21"/>
          <w:szCs w:val="21"/>
        </w:rPr>
        <w:t>的股权。李琳系陈坚先生配偶，持</w:t>
      </w:r>
      <w:r>
        <w:rPr>
          <w:rFonts w:ascii="宋体" w:hAnsi="宋体" w:cs="宋体" w:eastAsia="宋体" w:hint="default"/>
          <w:w w:val="100"/>
          <w:sz w:val="21"/>
          <w:szCs w:val="21"/>
        </w:rPr>
        <w:t> </w:t>
      </w:r>
      <w:r>
        <w:rPr>
          <w:rFonts w:ascii="宋体" w:hAnsi="宋体" w:cs="宋体" w:eastAsia="宋体" w:hint="default"/>
          <w:sz w:val="21"/>
          <w:szCs w:val="21"/>
        </w:rPr>
        <w:t>有本公司</w:t>
      </w:r>
      <w:r>
        <w:rPr>
          <w:rFonts w:ascii="Times New Roman" w:hAnsi="Times New Roman" w:cs="Times New Roman" w:eastAsia="Times New Roman" w:hint="default"/>
          <w:sz w:val="21"/>
          <w:szCs w:val="21"/>
        </w:rPr>
        <w:t>2.91%</w:t>
      </w:r>
      <w:r>
        <w:rPr>
          <w:rFonts w:ascii="宋体" w:hAnsi="宋体" w:cs="宋体" w:eastAsia="宋体" w:hint="default"/>
          <w:sz w:val="21"/>
          <w:szCs w:val="21"/>
        </w:rPr>
        <w:t>的股权。根据其声明，李琳为陈坚的一致行动人，据此，陈坚先生可以通过李琳控制本公</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司</w:t>
      </w:r>
      <w:r>
        <w:rPr>
          <w:rFonts w:ascii="Times New Roman" w:hAnsi="Times New Roman" w:cs="Times New Roman" w:eastAsia="Times New Roman" w:hint="default"/>
          <w:sz w:val="21"/>
          <w:szCs w:val="21"/>
        </w:rPr>
        <w:t>2.91%</w:t>
      </w:r>
      <w:r>
        <w:rPr>
          <w:rFonts w:ascii="宋体" w:hAnsi="宋体" w:cs="宋体" w:eastAsia="宋体" w:hint="default"/>
          <w:sz w:val="21"/>
          <w:szCs w:val="21"/>
        </w:rPr>
        <w:t>股权。综上，陈坚先生合计控制公司</w:t>
      </w:r>
      <w:r>
        <w:rPr>
          <w:rFonts w:ascii="Times New Roman" w:hAnsi="Times New Roman" w:cs="Times New Roman" w:eastAsia="Times New Roman" w:hint="default"/>
          <w:sz w:val="21"/>
          <w:szCs w:val="21"/>
        </w:rPr>
        <w:t>31.87%</w:t>
      </w:r>
      <w:r>
        <w:rPr>
          <w:rFonts w:ascii="宋体" w:hAnsi="宋体" w:cs="宋体" w:eastAsia="宋体" w:hint="default"/>
          <w:sz w:val="21"/>
          <w:szCs w:val="21"/>
        </w:rPr>
        <w:t>股份，系本公司的实际控制人。</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本企业的子公司情况" w:id="362"/>
      <w:bookmarkEnd w:id="36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本企业子公司的情况详见附注九。</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本企业合营和联营企业情况" w:id="363"/>
      <w:bookmarkEnd w:id="36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62" w:lineRule="auto"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本企业重要的合营或联营企业详见附注九。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无锡汇众智慧科技有限公司（以下简称无锡汇众）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spacing w:before="61"/>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4、其他关联方情况" w:id="364"/>
      <w:bookmarkEnd w:id="36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青岛雅合科技发展有限公司（以下简称青岛雅合）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青岛天高公司之股东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陈坚之配偶、本公司之股东</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关联交易情况" w:id="365"/>
      <w:bookmarkEnd w:id="36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购销商品、提供和接受劳务的关联交易" w:id="366"/>
      <w:bookmarkEnd w:id="3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404"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常电股份</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采购设备</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5" w:right="0"/>
              <w:jc w:val="left"/>
              <w:rPr>
                <w:rFonts w:ascii="Times New Roman" w:hAnsi="Times New Roman" w:cs="Times New Roman" w:eastAsia="Times New Roman" w:hint="default"/>
                <w:sz w:val="18"/>
                <w:szCs w:val="18"/>
              </w:rPr>
            </w:pPr>
            <w:r>
              <w:rPr>
                <w:rFonts w:ascii="Times New Roman"/>
                <w:sz w:val="18"/>
              </w:rPr>
              <w:t>7,957,947.65</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1"/>
        <w:gridCol w:w="2651"/>
      </w:tblGrid>
      <w:tr>
        <w:trPr>
          <w:trHeight w:val="399"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杭州卓然</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61"/>
              <w:jc w:val="left"/>
              <w:rPr>
                <w:rFonts w:ascii="宋体" w:hAnsi="宋体" w:cs="宋体" w:eastAsia="宋体" w:hint="default"/>
                <w:sz w:val="18"/>
                <w:szCs w:val="18"/>
              </w:rPr>
            </w:pPr>
            <w:r>
              <w:rPr>
                <w:rFonts w:ascii="宋体" w:hAnsi="宋体" w:cs="宋体" w:eastAsia="宋体" w:hint="default"/>
                <w:spacing w:val="-3"/>
                <w:sz w:val="18"/>
                <w:szCs w:val="18"/>
              </w:rPr>
              <w:t>正元智慧大楼智能化系统工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程</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5,253,420.07</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常电股份</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一卡通及相关设备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297,266.85</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一卡通及相关设备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295,830.55</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1,030,205.25</w:t>
            </w: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无锡汇众</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一卡通及相关设备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63,066.37</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1,473.61</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5,909,583.84</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1,031,678.86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购销商品、提供和接受劳务的关联交易说明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关联受托管理/承包及委托管理/出包情况" w:id="367"/>
      <w:bookmarkEnd w:id="3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71"/>
        <w:gridCol w:w="1366"/>
      </w:tblGrid>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1" w:right="19" w:hanging="207"/>
              <w:jc w:val="left"/>
              <w:rPr>
                <w:rFonts w:ascii="宋体" w:hAnsi="宋体" w:cs="宋体" w:eastAsia="宋体" w:hint="default"/>
                <w:sz w:val="18"/>
                <w:szCs w:val="18"/>
              </w:rPr>
            </w:pPr>
            <w:r>
              <w:rPr>
                <w:rFonts w:ascii="宋体" w:hAnsi="宋体" w:cs="宋体" w:eastAsia="宋体" w:hint="default"/>
                <w:spacing w:val="-2"/>
                <w:sz w:val="18"/>
                <w:szCs w:val="18"/>
              </w:rPr>
              <w:t>托管收益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益定价依据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3" w:right="46" w:hanging="68"/>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1" w:footer="979" w:top="1060" w:bottom="1160" w:left="980" w:right="0"/>
        </w:sectPr>
      </w:pPr>
    </w:p>
    <w:p>
      <w:pPr>
        <w:spacing w:line="343"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关联托管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承包情况说明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本公司委托管理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50" w:space="6281"/>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71"/>
        <w:gridCol w:w="1366"/>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08" w:right="19" w:hanging="385"/>
              <w:jc w:val="left"/>
              <w:rPr>
                <w:rFonts w:ascii="宋体" w:hAnsi="宋体" w:cs="宋体" w:eastAsia="宋体" w:hint="default"/>
                <w:sz w:val="18"/>
                <w:szCs w:val="18"/>
              </w:rPr>
            </w:pPr>
            <w:r>
              <w:rPr>
                <w:rFonts w:ascii="宋体" w:hAnsi="宋体" w:cs="宋体" w:eastAsia="宋体" w:hint="default"/>
                <w:spacing w:val="-2"/>
                <w:sz w:val="18"/>
                <w:szCs w:val="18"/>
              </w:rPr>
              <w:t>托管费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出包费定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价依据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90" w:right="46" w:hanging="246"/>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关联管理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出包情况说明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3）关联租赁情况" w:id="368"/>
      <w:bookmarkEnd w:id="3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本公司作为出租方：</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本公司作为承租方：</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关联担保情况" w:id="369"/>
      <w:bookmarkEnd w:id="3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本公司作为被担保方</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陈坚、李琳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陈坚、李琳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陈坚、李琳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陈坚、李琳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陈坚、李琳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青岛雅合公司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关联方资金拆借" w:id="370"/>
      <w:bookmarkEnd w:id="3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6）关联方资产转让、债务重组情况" w:id="371"/>
      <w:bookmarkEnd w:id="3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7）关键管理人员报酬" w:id="372"/>
      <w:bookmarkEnd w:id="3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4,181,342.73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3,312,754.28</w:t>
            </w:r>
          </w:p>
        </w:tc>
      </w:tr>
    </w:tbl>
    <w:p>
      <w:pPr>
        <w:spacing w:line="240" w:lineRule="auto" w:before="3"/>
        <w:rPr>
          <w:rFonts w:ascii="宋体" w:hAnsi="宋体" w:cs="宋体" w:eastAsia="宋体" w:hint="default"/>
          <w:sz w:val="19"/>
          <w:szCs w:val="19"/>
        </w:rPr>
      </w:pPr>
    </w:p>
    <w:p>
      <w:pPr>
        <w:spacing w:before="36"/>
        <w:ind w:left="153" w:right="0" w:firstLine="0"/>
        <w:jc w:val="both"/>
        <w:rPr>
          <w:rFonts w:ascii="宋体" w:hAnsi="宋体" w:cs="宋体" w:eastAsia="宋体" w:hint="default"/>
          <w:sz w:val="21"/>
          <w:szCs w:val="21"/>
        </w:rPr>
      </w:pPr>
      <w:bookmarkStart w:name="（8）其他关联交易" w:id="373"/>
      <w:bookmarkEnd w:id="3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00" w:lineRule="auto" w:before="0"/>
        <w:ind w:left="153" w:right="1035" w:firstLine="0"/>
        <w:jc w:val="both"/>
        <w:rPr>
          <w:rFonts w:ascii="宋体" w:hAnsi="宋体" w:cs="宋体" w:eastAsia="宋体" w:hint="default"/>
          <w:sz w:val="18"/>
          <w:szCs w:val="18"/>
        </w:rPr>
      </w:pPr>
      <w:r>
        <w:rPr>
          <w:rFonts w:ascii="宋体" w:hAnsi="宋体" w:cs="宋体" w:eastAsia="宋体" w:hint="default"/>
          <w:spacing w:val="-3"/>
          <w:sz w:val="18"/>
          <w:szCs w:val="18"/>
        </w:rPr>
        <w:t>根据公司第三届董事会第二次会议审议，同意公司以自有资金人民币</w:t>
      </w:r>
      <w:r>
        <w:rPr>
          <w:rFonts w:ascii="Times New Roman" w:hAnsi="Times New Roman" w:cs="Times New Roman" w:eastAsia="Times New Roman" w:hint="default"/>
          <w:spacing w:val="-3"/>
          <w:sz w:val="18"/>
          <w:szCs w:val="18"/>
        </w:rPr>
        <w:t>1,600.00</w:t>
      </w:r>
      <w:r>
        <w:rPr>
          <w:rFonts w:ascii="宋体" w:hAnsi="宋体" w:cs="宋体" w:eastAsia="宋体" w:hint="default"/>
          <w:spacing w:val="-3"/>
          <w:sz w:val="18"/>
          <w:szCs w:val="18"/>
        </w:rPr>
        <w:t>万元向杭州卓然增资，其他股东同比例增资。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根据公司第三届董事会第五次会议审议，同意公司以自有资金人民币</w:t>
      </w:r>
      <w:r>
        <w:rPr>
          <w:rFonts w:ascii="Times New Roman" w:hAnsi="Times New Roman" w:cs="Times New Roman" w:eastAsia="Times New Roman" w:hint="default"/>
          <w:spacing w:val="-3"/>
          <w:sz w:val="18"/>
          <w:szCs w:val="18"/>
        </w:rPr>
        <w:t>2,000.00</w:t>
      </w:r>
      <w:r>
        <w:rPr>
          <w:rFonts w:ascii="宋体" w:hAnsi="宋体" w:cs="宋体" w:eastAsia="宋体" w:hint="default"/>
          <w:spacing w:val="-3"/>
          <w:sz w:val="18"/>
          <w:szCs w:val="18"/>
        </w:rPr>
        <w:t>万元向杭州卓然增资，其他股东同比例增资。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两次增资后杭州卓然注册资本由人民币</w:t>
      </w:r>
      <w:r>
        <w:rPr>
          <w:rFonts w:ascii="Times New Roman" w:hAnsi="Times New Roman" w:cs="Times New Roman" w:eastAsia="Times New Roman" w:hint="default"/>
          <w:spacing w:val="-4"/>
          <w:sz w:val="18"/>
          <w:szCs w:val="18"/>
        </w:rPr>
        <w:t>16,000</w:t>
      </w:r>
      <w:r>
        <w:rPr>
          <w:rFonts w:ascii="宋体" w:hAnsi="宋体" w:cs="宋体" w:eastAsia="宋体" w:hint="default"/>
          <w:spacing w:val="-4"/>
          <w:sz w:val="18"/>
          <w:szCs w:val="18"/>
        </w:rPr>
        <w:t>万元增加至</w:t>
      </w:r>
      <w:r>
        <w:rPr>
          <w:rFonts w:ascii="Times New Roman" w:hAnsi="Times New Roman" w:cs="Times New Roman" w:eastAsia="Times New Roman" w:hint="default"/>
          <w:spacing w:val="-4"/>
          <w:sz w:val="18"/>
          <w:szCs w:val="18"/>
        </w:rPr>
        <w:t>25,000</w:t>
      </w:r>
      <w:r>
        <w:rPr>
          <w:rFonts w:ascii="宋体" w:hAnsi="宋体" w:cs="宋体" w:eastAsia="宋体" w:hint="default"/>
          <w:spacing w:val="-4"/>
          <w:sz w:val="18"/>
          <w:szCs w:val="18"/>
        </w:rPr>
        <w:t>万元，其中公司认缴出资额</w:t>
      </w:r>
      <w:r>
        <w:rPr>
          <w:rFonts w:ascii="Times New Roman" w:hAnsi="Times New Roman" w:cs="Times New Roman" w:eastAsia="Times New Roman" w:hint="default"/>
          <w:spacing w:val="-4"/>
          <w:sz w:val="18"/>
          <w:szCs w:val="18"/>
        </w:rPr>
        <w:t>10,000.00</w:t>
      </w:r>
      <w:r>
        <w:rPr>
          <w:rFonts w:ascii="宋体" w:hAnsi="宋体" w:cs="宋体" w:eastAsia="宋体" w:hint="default"/>
          <w:spacing w:val="-4"/>
          <w:sz w:val="18"/>
          <w:szCs w:val="18"/>
        </w:rPr>
        <w:t>万元，出资比例</w:t>
      </w:r>
      <w:r>
        <w:rPr>
          <w:rFonts w:ascii="Times New Roman" w:hAnsi="Times New Roman" w:cs="Times New Roman" w:eastAsia="Times New Roman" w:hint="default"/>
          <w:spacing w:val="-4"/>
          <w:sz w:val="18"/>
          <w:szCs w:val="18"/>
        </w:rPr>
        <w:t>40.00%</w:t>
      </w:r>
      <w:r>
        <w:rPr>
          <w:rFonts w:ascii="宋体" w:hAnsi="宋体" w:cs="宋体" w:eastAsia="宋体" w:hint="default"/>
          <w:spacing w:val="-4"/>
          <w:sz w:val="18"/>
          <w:szCs w:val="18"/>
        </w:rPr>
        <w:t>。</w:t>
      </w:r>
    </w:p>
    <w:p>
      <w:pPr>
        <w:spacing w:line="240" w:lineRule="auto" w:before="2"/>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6、关联方应收应付款项" w:id="374"/>
      <w:bookmarkEnd w:id="37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应收项目" w:id="375"/>
      <w:bookmarkEnd w:id="3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杭州卓然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8,829,717.63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441,485.88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8,829,717.63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441,485.88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杭州卓然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5,252,222.00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5,252,222.00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5,252,222.00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5,252,222.00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杭州卓然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常电股份</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1,053,500.00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302,675.00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应付项目" w:id="376"/>
      <w:bookmarkEnd w:id="3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常电股份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235,075.00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235,075.00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常电股份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2,139,113.76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2,139,113.76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常电股份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12,145.00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322,077.00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65,070.00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杭州卓然</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1,114,725.00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无锡汇众</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414,222.00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1,219,795.00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常电股份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95,400.00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95,400.00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7、关联方承诺" w:id="377"/>
      <w:bookmarkEnd w:id="37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487" w:lineRule="auto" w:before="0"/>
        <w:ind w:left="153" w:right="8748" w:firstLine="0"/>
        <w:jc w:val="left"/>
        <w:rPr>
          <w:rFonts w:ascii="宋体" w:hAnsi="宋体" w:cs="宋体" w:eastAsia="宋体" w:hint="default"/>
          <w:sz w:val="21"/>
          <w:szCs w:val="21"/>
        </w:rPr>
      </w:pPr>
      <w:bookmarkStart w:name="8、其他" w:id="378"/>
      <w:bookmarkEnd w:id="37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379"/>
      <w:bookmarkEnd w:id="379"/>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380"/>
      <w:bookmarkEnd w:id="38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455"/>
        <w:gridCol w:w="4115"/>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102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公司期末发行在外的股票期权行权价格的范围和合同剩余期限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股票期权行权价格为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17.55 </w:t>
            </w:r>
            <w:r>
              <w:rPr>
                <w:rFonts w:ascii="宋体" w:hAnsi="宋体" w:cs="宋体" w:eastAsia="宋体" w:hint="default"/>
                <w:sz w:val="18"/>
                <w:szCs w:val="18"/>
              </w:rPr>
              <w:t>元，分别于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日可行权</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274.436</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万股，</w:t>
            </w:r>
            <w:r>
              <w:rPr>
                <w:rFonts w:ascii="Times New Roman" w:hAnsi="Times New Roman" w:cs="Times New Roman" w:eastAsia="Times New Roman" w:hint="default"/>
                <w:spacing w:val="-7"/>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日可行权</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284.24</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万股</w:t>
            </w:r>
            <w:r>
              <w:rPr>
                <w:rFonts w:ascii="宋体" w:hAnsi="宋体" w:cs="宋体" w:eastAsia="宋体" w:hint="default"/>
                <w:sz w:val="18"/>
                <w:szCs w:val="18"/>
              </w:rPr>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公司期末发行在外的其他权益工具行权价格的范围和合同剩余期限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56" w:lineRule="auto" w:before="89"/>
        <w:ind w:left="153" w:right="1122" w:firstLine="422"/>
        <w:jc w:val="both"/>
        <w:rPr>
          <w:rFonts w:ascii="宋体" w:hAnsi="宋体" w:cs="宋体" w:eastAsia="宋体" w:hint="default"/>
          <w:sz w:val="21"/>
          <w:szCs w:val="21"/>
        </w:rPr>
      </w:pPr>
      <w:r>
        <w:rPr>
          <w:rFonts w:ascii="宋体" w:hAnsi="宋体" w:cs="宋体" w:eastAsia="宋体" w:hint="default"/>
          <w:spacing w:val="-3"/>
          <w:sz w:val="21"/>
          <w:szCs w:val="21"/>
        </w:rPr>
        <w:t>根据公司实施的每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股普通股转增</w:t>
      </w: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股</w:t>
      </w:r>
      <w:r>
        <w:rPr>
          <w:rFonts w:ascii="宋体" w:hAnsi="宋体" w:cs="宋体" w:eastAsia="宋体" w:hint="default"/>
          <w:spacing w:val="-3"/>
          <w:sz w:val="18"/>
          <w:szCs w:val="18"/>
        </w:rPr>
        <w:t>现金分红</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元</w:t>
      </w:r>
      <w:r>
        <w:rPr>
          <w:rFonts w:ascii="宋体" w:hAnsi="宋体" w:cs="宋体" w:eastAsia="宋体" w:hint="default"/>
          <w:spacing w:val="-3"/>
          <w:sz w:val="21"/>
          <w:szCs w:val="21"/>
        </w:rPr>
        <w:t>的</w:t>
      </w: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年年度权益分派方案，</w:t>
      </w: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23</w:t>
      </w:r>
      <w:r>
        <w:rPr>
          <w:rFonts w:ascii="宋体" w:hAnsi="宋体" w:cs="宋体" w:eastAsia="宋体" w:hint="default"/>
          <w:spacing w:val="-3"/>
          <w:sz w:val="21"/>
          <w:szCs w:val="21"/>
        </w:rPr>
        <w:t>日，公司</w:t>
      </w:r>
      <w:r>
        <w:rPr>
          <w:rFonts w:ascii="宋体" w:hAnsi="宋体" w:cs="宋体" w:eastAsia="宋体" w:hint="default"/>
          <w:w w:val="100"/>
          <w:sz w:val="21"/>
          <w:szCs w:val="21"/>
        </w:rPr>
        <w:t> </w:t>
      </w:r>
      <w:r>
        <w:rPr>
          <w:rFonts w:ascii="宋体" w:hAnsi="宋体" w:cs="宋体" w:eastAsia="宋体" w:hint="default"/>
          <w:spacing w:val="-2"/>
          <w:sz w:val="21"/>
          <w:szCs w:val="21"/>
        </w:rPr>
        <w:t>召开的第三届董事会第六次会议审议通过了《关于调整公司</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年股票期权激励计划股票期权数量及行权</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价格的议案》及《关于注销</w:t>
      </w:r>
      <w:r>
        <w:rPr>
          <w:rFonts w:ascii="Times New Roman" w:hAnsi="Times New Roman" w:cs="Times New Roman" w:eastAsia="Times New Roman" w:hint="default"/>
          <w:sz w:val="21"/>
          <w:szCs w:val="21"/>
        </w:rPr>
        <w:t>2018</w:t>
      </w:r>
      <w:r>
        <w:rPr>
          <w:rFonts w:ascii="宋体" w:hAnsi="宋体" w:cs="宋体" w:eastAsia="宋体" w:hint="default"/>
          <w:sz w:val="21"/>
          <w:szCs w:val="21"/>
        </w:rPr>
        <w:t>年股票期权激励计划部分股票期权的议案》，期权授予数量由</w:t>
      </w:r>
      <w:r>
        <w:rPr>
          <w:rFonts w:ascii="Times New Roman" w:hAnsi="Times New Roman" w:cs="Times New Roman" w:eastAsia="Times New Roman" w:hint="default"/>
          <w:sz w:val="21"/>
          <w:szCs w:val="21"/>
        </w:rPr>
        <w:t>300</w:t>
      </w:r>
      <w:r>
        <w:rPr>
          <w:rFonts w:ascii="宋体" w:hAnsi="宋体" w:cs="宋体" w:eastAsia="宋体" w:hint="default"/>
          <w:sz w:val="21"/>
          <w:szCs w:val="21"/>
        </w:rPr>
        <w:t>万份调</w:t>
      </w:r>
      <w:r>
        <w:rPr>
          <w:rFonts w:ascii="宋体" w:hAnsi="宋体" w:cs="宋体" w:eastAsia="宋体" w:hint="default"/>
          <w:spacing w:val="-27"/>
          <w:sz w:val="21"/>
          <w:szCs w:val="21"/>
        </w:rPr>
        <w:t> </w:t>
      </w:r>
      <w:r>
        <w:rPr>
          <w:rFonts w:ascii="宋体" w:hAnsi="宋体" w:cs="宋体" w:eastAsia="宋体" w:hint="default"/>
          <w:spacing w:val="-2"/>
          <w:sz w:val="21"/>
          <w:szCs w:val="21"/>
        </w:rPr>
        <w:t>整为</w:t>
      </w:r>
      <w:r>
        <w:rPr>
          <w:rFonts w:ascii="Times New Roman" w:hAnsi="Times New Roman" w:cs="Times New Roman" w:eastAsia="Times New Roman" w:hint="default"/>
          <w:spacing w:val="-2"/>
          <w:sz w:val="21"/>
          <w:szCs w:val="21"/>
        </w:rPr>
        <w:t>570</w:t>
      </w:r>
      <w:r>
        <w:rPr>
          <w:rFonts w:ascii="宋体" w:hAnsi="宋体" w:cs="宋体" w:eastAsia="宋体" w:hint="default"/>
          <w:spacing w:val="-2"/>
          <w:sz w:val="21"/>
          <w:szCs w:val="21"/>
        </w:rPr>
        <w:t>万份，行权价格由</w:t>
      </w:r>
      <w:r>
        <w:rPr>
          <w:rFonts w:ascii="Times New Roman" w:hAnsi="Times New Roman" w:cs="Times New Roman" w:eastAsia="Times New Roman" w:hint="default"/>
          <w:spacing w:val="-2"/>
          <w:sz w:val="21"/>
          <w:szCs w:val="21"/>
        </w:rPr>
        <w:t>33.49</w:t>
      </w:r>
      <w:r>
        <w:rPr>
          <w:rFonts w:ascii="宋体" w:hAnsi="宋体" w:cs="宋体" w:eastAsia="宋体" w:hint="default"/>
          <w:spacing w:val="-2"/>
          <w:sz w:val="21"/>
          <w:szCs w:val="21"/>
        </w:rPr>
        <w:t>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份调整为</w:t>
      </w:r>
      <w:r>
        <w:rPr>
          <w:rFonts w:ascii="Times New Roman" w:hAnsi="Times New Roman" w:cs="Times New Roman" w:eastAsia="Times New Roman" w:hint="default"/>
          <w:spacing w:val="-2"/>
          <w:sz w:val="21"/>
          <w:szCs w:val="21"/>
        </w:rPr>
        <w:t>17.55</w:t>
      </w:r>
      <w:r>
        <w:rPr>
          <w:rFonts w:ascii="宋体" w:hAnsi="宋体" w:cs="宋体" w:eastAsia="宋体" w:hint="default"/>
          <w:spacing w:val="-2"/>
          <w:sz w:val="21"/>
          <w:szCs w:val="21"/>
        </w:rPr>
        <w:t>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份。由于人员离职及考核不达标原因，导致</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pacing w:val="-2"/>
          <w:sz w:val="21"/>
          <w:szCs w:val="21"/>
        </w:rPr>
        <w:t>15</w:t>
      </w:r>
      <w:r>
        <w:rPr>
          <w:rFonts w:ascii="宋体" w:hAnsi="宋体" w:cs="宋体" w:eastAsia="宋体" w:hint="default"/>
          <w:spacing w:val="-2"/>
          <w:sz w:val="21"/>
          <w:szCs w:val="21"/>
        </w:rPr>
        <w:t>日不可行权数量为</w:t>
      </w:r>
      <w:r>
        <w:rPr>
          <w:rFonts w:ascii="Times New Roman" w:hAnsi="Times New Roman" w:cs="Times New Roman" w:eastAsia="Times New Roman" w:hint="default"/>
          <w:spacing w:val="-2"/>
          <w:sz w:val="21"/>
          <w:szCs w:val="21"/>
        </w:rPr>
        <w:t>11.324</w:t>
      </w:r>
      <w:r>
        <w:rPr>
          <w:rFonts w:ascii="宋体" w:hAnsi="宋体" w:cs="宋体" w:eastAsia="宋体" w:hint="default"/>
          <w:spacing w:val="-2"/>
          <w:sz w:val="21"/>
          <w:szCs w:val="21"/>
        </w:rPr>
        <w:t>万份，</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15</w:t>
      </w:r>
      <w:r>
        <w:rPr>
          <w:rFonts w:ascii="宋体" w:hAnsi="宋体" w:cs="宋体" w:eastAsia="宋体" w:hint="default"/>
          <w:spacing w:val="-2"/>
          <w:sz w:val="21"/>
          <w:szCs w:val="21"/>
        </w:rPr>
        <w:t>日可行权数量为</w:t>
      </w:r>
      <w:r>
        <w:rPr>
          <w:rFonts w:ascii="Times New Roman" w:hAnsi="Times New Roman" w:cs="Times New Roman" w:eastAsia="Times New Roman" w:hint="default"/>
          <w:spacing w:val="-2"/>
          <w:sz w:val="21"/>
          <w:szCs w:val="21"/>
        </w:rPr>
        <w:t>274.436</w:t>
      </w:r>
      <w:r>
        <w:rPr>
          <w:rFonts w:ascii="宋体" w:hAnsi="宋体" w:cs="宋体" w:eastAsia="宋体" w:hint="default"/>
          <w:spacing w:val="-2"/>
          <w:sz w:val="21"/>
          <w:szCs w:val="21"/>
        </w:rPr>
        <w:t>万股，</w:t>
      </w: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15</w:t>
      </w:r>
      <w:r>
        <w:rPr>
          <w:rFonts w:ascii="宋体" w:hAnsi="宋体" w:cs="宋体" w:eastAsia="宋体" w:hint="default"/>
          <w:spacing w:val="-2"/>
          <w:sz w:val="21"/>
          <w:szCs w:val="21"/>
        </w:rPr>
        <w:t>日可行权数量为</w:t>
      </w:r>
    </w:p>
    <w:p>
      <w:pPr>
        <w:spacing w:before="5"/>
        <w:ind w:left="1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284.24</w:t>
      </w:r>
      <w:r>
        <w:rPr>
          <w:rFonts w:ascii="宋体" w:hAnsi="宋体" w:cs="宋体" w:eastAsia="宋体" w:hint="default"/>
          <w:sz w:val="21"/>
          <w:szCs w:val="21"/>
        </w:rPr>
        <w:t>万股，截至</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日，尚无员工行权。</w:t>
      </w:r>
    </w:p>
    <w:p>
      <w:pPr>
        <w:spacing w:line="240" w:lineRule="auto" w:before="10"/>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2、以权益结算的股份支付情况" w:id="381"/>
      <w:bookmarkEnd w:id="38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布莱克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斯克尔斯期权定价模型</w:t>
            </w:r>
          </w:p>
        </w:tc>
      </w:tr>
      <w:tr>
        <w:trPr>
          <w:trHeight w:val="710"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公司预计激励对象离职可能性较小并且预计能达到可行权</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条件</w:t>
            </w:r>
          </w:p>
        </w:tc>
      </w:tr>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5,678,997.91</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4,044,465.16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84"/>
        <w:ind w:left="1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2014</w:t>
      </w:r>
      <w:r>
        <w:rPr>
          <w:rFonts w:ascii="宋体" w:hAnsi="宋体" w:cs="宋体" w:eastAsia="宋体" w:hint="default"/>
          <w:sz w:val="21"/>
          <w:szCs w:val="21"/>
        </w:rPr>
        <w:t>年股份支付</w:t>
      </w:r>
    </w:p>
    <w:p>
      <w:pPr>
        <w:spacing w:line="240" w:lineRule="auto" w:before="2"/>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773"/>
        <w:gridCol w:w="4869"/>
      </w:tblGrid>
      <w:tr>
        <w:trPr>
          <w:trHeight w:val="418" w:hRule="exact"/>
        </w:trPr>
        <w:tc>
          <w:tcPr>
            <w:tcW w:w="47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left"/>
              <w:rPr>
                <w:rFonts w:ascii="宋体" w:hAnsi="宋体" w:cs="宋体" w:eastAsia="宋体" w:hint="default"/>
                <w:sz w:val="21"/>
                <w:szCs w:val="21"/>
              </w:rPr>
            </w:pPr>
            <w:r>
              <w:rPr>
                <w:rFonts w:ascii="宋体" w:hAnsi="宋体" w:cs="宋体" w:eastAsia="宋体" w:hint="default"/>
                <w:sz w:val="21"/>
                <w:szCs w:val="21"/>
              </w:rPr>
              <w:t>授予日最近外部投资者入股价</w:t>
            </w:r>
          </w:p>
        </w:tc>
      </w:tr>
      <w:tr>
        <w:trPr>
          <w:trHeight w:val="422" w:hRule="exact"/>
        </w:trPr>
        <w:tc>
          <w:tcPr>
            <w:tcW w:w="47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可行权权益工具数量的确定依据</w:t>
            </w: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实际授予数量</w:t>
            </w:r>
          </w:p>
        </w:tc>
      </w:tr>
      <w:tr>
        <w:trPr>
          <w:trHeight w:val="422" w:hRule="exact"/>
        </w:trPr>
        <w:tc>
          <w:tcPr>
            <w:tcW w:w="47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本期估计与上期估计有重大差异的原因</w:t>
            </w: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22" w:hRule="exact"/>
        </w:trPr>
        <w:tc>
          <w:tcPr>
            <w:tcW w:w="47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以权益结算的股份支付计入资本公积的累计金额</w:t>
            </w: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right"/>
              <w:rPr>
                <w:rFonts w:ascii="Times New Roman" w:hAnsi="Times New Roman" w:cs="Times New Roman" w:eastAsia="Times New Roman" w:hint="default"/>
                <w:sz w:val="21"/>
                <w:szCs w:val="21"/>
              </w:rPr>
            </w:pPr>
            <w:r>
              <w:rPr>
                <w:rFonts w:ascii="Times New Roman"/>
                <w:sz w:val="21"/>
              </w:rPr>
              <w:t>9,821,630.80</w:t>
            </w:r>
          </w:p>
        </w:tc>
      </w:tr>
      <w:tr>
        <w:trPr>
          <w:trHeight w:val="423" w:hRule="exact"/>
        </w:trPr>
        <w:tc>
          <w:tcPr>
            <w:tcW w:w="47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本期以权益结算的股份支付确认的费用总额</w:t>
            </w: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right"/>
              <w:rPr>
                <w:rFonts w:ascii="Times New Roman" w:hAnsi="Times New Roman" w:cs="Times New Roman" w:eastAsia="Times New Roman" w:hint="default"/>
                <w:sz w:val="21"/>
                <w:szCs w:val="21"/>
              </w:rPr>
            </w:pPr>
            <w:r>
              <w:rPr>
                <w:rFonts w:ascii="Times New Roman"/>
                <w:sz w:val="21"/>
              </w:rPr>
              <w:t>236,348.92</w:t>
            </w:r>
          </w:p>
        </w:tc>
      </w:tr>
    </w:tbl>
    <w:p>
      <w:pPr>
        <w:spacing w:line="276" w:lineRule="exact"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上述股份支付截至</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日已摊销完毕。</w:t>
      </w:r>
    </w:p>
    <w:p>
      <w:pPr>
        <w:spacing w:line="240" w:lineRule="auto" w:before="10"/>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3、以现金结算的股份支付情况" w:id="382"/>
      <w:bookmarkEnd w:id="38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4、股份支付的修改、终止情况" w:id="383"/>
      <w:bookmarkEnd w:id="38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4" w:lineRule="auto" w:before="0"/>
        <w:ind w:left="153" w:right="8341" w:firstLine="0"/>
        <w:jc w:val="left"/>
        <w:rPr>
          <w:rFonts w:ascii="宋体" w:hAnsi="宋体" w:cs="宋体" w:eastAsia="宋体" w:hint="default"/>
          <w:sz w:val="21"/>
          <w:szCs w:val="21"/>
        </w:rPr>
      </w:pPr>
      <w:bookmarkStart w:name="5、其他" w:id="384"/>
      <w:bookmarkEnd w:id="38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385"/>
      <w:bookmarkEnd w:id="385"/>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386"/>
      <w:bookmarkEnd w:id="38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1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资产负债表日存在的重要承诺</w:t>
      </w:r>
    </w:p>
    <w:p>
      <w:pPr>
        <w:spacing w:line="256" w:lineRule="auto" w:before="84"/>
        <w:ind w:left="153" w:right="0" w:firstLine="422"/>
        <w:jc w:val="left"/>
        <w:rPr>
          <w:rFonts w:ascii="宋体" w:hAnsi="宋体" w:cs="宋体" w:eastAsia="宋体" w:hint="default"/>
          <w:sz w:val="21"/>
          <w:szCs w:val="21"/>
        </w:rPr>
      </w:pPr>
      <w:r>
        <w:rPr>
          <w:rFonts w:ascii="Times New Roman" w:hAnsi="Times New Roman" w:cs="Times New Roman" w:eastAsia="Times New Roman" w:hint="default"/>
          <w:spacing w:val="-6"/>
          <w:w w:val="100"/>
          <w:sz w:val="21"/>
          <w:szCs w:val="21"/>
        </w:rPr>
        <w:t>1</w:t>
      </w:r>
      <w:r>
        <w:rPr>
          <w:rFonts w:ascii="宋体" w:hAnsi="宋体" w:cs="宋体" w:eastAsia="宋体" w:hint="default"/>
          <w:spacing w:val="-6"/>
          <w:w w:val="100"/>
          <w:sz w:val="21"/>
          <w:szCs w:val="21"/>
        </w:rPr>
        <w:t>）坚果智慧公司注册资本</w:t>
      </w:r>
      <w:r>
        <w:rPr>
          <w:rFonts w:ascii="Times New Roman" w:hAnsi="Times New Roman" w:cs="Times New Roman" w:eastAsia="Times New Roman" w:hint="default"/>
          <w:spacing w:val="-6"/>
          <w:w w:val="100"/>
          <w:sz w:val="21"/>
          <w:szCs w:val="21"/>
        </w:rPr>
        <w:t>1,441.20</w:t>
      </w:r>
      <w:r>
        <w:rPr>
          <w:rFonts w:ascii="宋体" w:hAnsi="宋体" w:cs="宋体" w:eastAsia="宋体" w:hint="default"/>
          <w:spacing w:val="-6"/>
          <w:w w:val="100"/>
          <w:sz w:val="21"/>
          <w:szCs w:val="21"/>
        </w:rPr>
        <w:t>万元，其中本公司认缴注册资本</w:t>
      </w:r>
      <w:r>
        <w:rPr>
          <w:rFonts w:ascii="Times New Roman" w:hAnsi="Times New Roman" w:cs="Times New Roman" w:eastAsia="Times New Roman" w:hint="default"/>
          <w:spacing w:val="-6"/>
          <w:w w:val="100"/>
          <w:sz w:val="21"/>
          <w:szCs w:val="21"/>
        </w:rPr>
        <w:t>7,350,120.00</w:t>
      </w:r>
      <w:r>
        <w:rPr>
          <w:rFonts w:ascii="宋体" w:hAnsi="宋体" w:cs="宋体" w:eastAsia="宋体" w:hint="default"/>
          <w:spacing w:val="-6"/>
          <w:w w:val="100"/>
          <w:sz w:val="21"/>
          <w:szCs w:val="21"/>
        </w:rPr>
        <w:t>元，占其注册资本的</w:t>
      </w:r>
      <w:r>
        <w:rPr>
          <w:rFonts w:ascii="Times New Roman" w:hAnsi="Times New Roman" w:cs="Times New Roman" w:eastAsia="Times New Roman" w:hint="default"/>
          <w:spacing w:val="-6"/>
          <w:w w:val="100"/>
          <w:sz w:val="21"/>
          <w:szCs w:val="21"/>
        </w:rPr>
        <w:t>51%</w:t>
      </w:r>
      <w:r>
        <w:rPr>
          <w:rFonts w:ascii="宋体" w:hAnsi="宋体" w:cs="宋体" w:eastAsia="宋体" w:hint="default"/>
          <w:spacing w:val="-6"/>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日，公司已出资</w:t>
      </w:r>
      <w:r>
        <w:rPr>
          <w:rFonts w:ascii="Times New Roman" w:hAnsi="Times New Roman" w:cs="Times New Roman" w:eastAsia="Times New Roman" w:hint="default"/>
          <w:sz w:val="21"/>
          <w:szCs w:val="21"/>
        </w:rPr>
        <w:t>3,675,060.00</w:t>
      </w:r>
      <w:r>
        <w:rPr>
          <w:rFonts w:ascii="宋体" w:hAnsi="宋体" w:cs="宋体" w:eastAsia="宋体" w:hint="default"/>
          <w:sz w:val="21"/>
          <w:szCs w:val="21"/>
        </w:rPr>
        <w:t>元，尚未出资</w:t>
      </w:r>
      <w:r>
        <w:rPr>
          <w:rFonts w:ascii="Times New Roman" w:hAnsi="Times New Roman" w:cs="Times New Roman" w:eastAsia="Times New Roman" w:hint="default"/>
          <w:sz w:val="21"/>
          <w:szCs w:val="21"/>
        </w:rPr>
        <w:t>3,675,060.00</w:t>
      </w:r>
      <w:r>
        <w:rPr>
          <w:rFonts w:ascii="宋体" w:hAnsi="宋体" w:cs="宋体" w:eastAsia="宋体" w:hint="default"/>
          <w:sz w:val="21"/>
          <w:szCs w:val="21"/>
        </w:rPr>
        <w:t>元。</w:t>
      </w:r>
    </w:p>
    <w:p>
      <w:pPr>
        <w:spacing w:line="256" w:lineRule="auto" w:before="5"/>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）已签订的正在或准备履行的租赁合同及财务影响</w:t>
      </w:r>
      <w:r>
        <w:rPr>
          <w:rFonts w:ascii="宋体" w:hAnsi="宋体" w:cs="宋体" w:eastAsia="宋体" w:hint="default"/>
          <w:w w:val="100"/>
          <w:sz w:val="21"/>
          <w:szCs w:val="21"/>
        </w:rPr>
        <w:t> </w:t>
      </w:r>
      <w:r>
        <w:rPr>
          <w:rFonts w:ascii="宋体" w:hAnsi="宋体" w:cs="宋体" w:eastAsia="宋体" w:hint="default"/>
          <w:spacing w:val="-4"/>
          <w:sz w:val="21"/>
          <w:szCs w:val="21"/>
        </w:rPr>
        <w:t>公司与杭州卓然签订房屋租赁合同，承租杭州市余杭区舒心路</w:t>
      </w:r>
      <w:r>
        <w:rPr>
          <w:rFonts w:ascii="Times New Roman" w:hAnsi="Times New Roman" w:cs="Times New Roman" w:eastAsia="Times New Roman" w:hint="default"/>
          <w:spacing w:val="-4"/>
          <w:sz w:val="21"/>
          <w:szCs w:val="21"/>
        </w:rPr>
        <w:t>359</w:t>
      </w:r>
      <w:r>
        <w:rPr>
          <w:rFonts w:ascii="宋体" w:hAnsi="宋体" w:cs="宋体" w:eastAsia="宋体" w:hint="default"/>
          <w:spacing w:val="-4"/>
          <w:sz w:val="21"/>
          <w:szCs w:val="21"/>
        </w:rPr>
        <w:t>号</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正元智慧大厦</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办公用房，租赁面</w:t>
      </w:r>
    </w:p>
    <w:p>
      <w:pPr>
        <w:spacing w:line="256" w:lineRule="auto" w:before="5"/>
        <w:ind w:left="153" w:right="1122" w:firstLine="0"/>
        <w:jc w:val="both"/>
        <w:rPr>
          <w:rFonts w:ascii="宋体" w:hAnsi="宋体" w:cs="宋体" w:eastAsia="宋体" w:hint="default"/>
          <w:sz w:val="21"/>
          <w:szCs w:val="21"/>
        </w:rPr>
      </w:pPr>
      <w:r>
        <w:rPr>
          <w:rFonts w:ascii="宋体" w:hAnsi="宋体" w:cs="宋体" w:eastAsia="宋体" w:hint="default"/>
          <w:spacing w:val="-3"/>
          <w:sz w:val="21"/>
          <w:szCs w:val="21"/>
        </w:rPr>
        <w:t>积</w:t>
      </w:r>
      <w:r>
        <w:rPr>
          <w:rFonts w:ascii="Times New Roman" w:hAnsi="Times New Roman" w:cs="Times New Roman" w:eastAsia="Times New Roman" w:hint="default"/>
          <w:spacing w:val="-3"/>
          <w:sz w:val="21"/>
          <w:szCs w:val="21"/>
        </w:rPr>
        <w:t>9,593.10</w:t>
      </w:r>
      <w:r>
        <w:rPr>
          <w:rFonts w:ascii="宋体" w:hAnsi="宋体" w:cs="宋体" w:eastAsia="宋体" w:hint="default"/>
          <w:spacing w:val="-3"/>
          <w:sz w:val="21"/>
          <w:szCs w:val="21"/>
        </w:rPr>
        <w:t>平方米，租金为</w:t>
      </w:r>
      <w:r>
        <w:rPr>
          <w:rFonts w:ascii="Times New Roman" w:hAnsi="Times New Roman" w:cs="Times New Roman" w:eastAsia="Times New Roman" w:hint="default"/>
          <w:spacing w:val="-3"/>
          <w:sz w:val="21"/>
          <w:szCs w:val="21"/>
        </w:rPr>
        <w:t>1.5</w:t>
      </w:r>
      <w:r>
        <w:rPr>
          <w:rFonts w:ascii="宋体" w:hAnsi="宋体" w:cs="宋体" w:eastAsia="宋体" w:hint="default"/>
          <w:spacing w:val="-3"/>
          <w:sz w:val="21"/>
          <w:szCs w:val="21"/>
        </w:rPr>
        <w:t>元</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平方米</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天，按年支付，租赁期限自入驻之日起至</w:t>
      </w:r>
      <w:r>
        <w:rPr>
          <w:rFonts w:ascii="Times New Roman" w:hAnsi="Times New Roman" w:cs="Times New Roman" w:eastAsia="Times New Roman" w:hint="default"/>
          <w:spacing w:val="-3"/>
          <w:sz w:val="21"/>
          <w:szCs w:val="21"/>
        </w:rPr>
        <w:t>2022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日止，租金</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6"/>
          <w:sz w:val="21"/>
          <w:szCs w:val="21"/>
        </w:rPr>
        <w:t>价格按每年递增</w:t>
      </w:r>
      <w:r>
        <w:rPr>
          <w:rFonts w:ascii="Times New Roman" w:hAnsi="Times New Roman" w:cs="Times New Roman" w:eastAsia="Times New Roman" w:hint="default"/>
          <w:spacing w:val="6"/>
          <w:sz w:val="21"/>
          <w:szCs w:val="21"/>
        </w:rPr>
        <w:t>0.1</w:t>
      </w:r>
      <w:r>
        <w:rPr>
          <w:rFonts w:ascii="宋体" w:hAnsi="宋体" w:cs="宋体" w:eastAsia="宋体" w:hint="default"/>
          <w:spacing w:val="6"/>
          <w:sz w:val="21"/>
          <w:szCs w:val="21"/>
        </w:rPr>
        <w:t>元</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平方米</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天计算。因竣工验收及内部装修延迟，公司尚未入驻。公司已预付房租</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Times New Roman" w:hAnsi="Times New Roman" w:cs="Times New Roman" w:eastAsia="Times New Roman" w:hint="default"/>
          <w:sz w:val="21"/>
          <w:szCs w:val="21"/>
        </w:rPr>
        <w:t>5,252,222.00</w:t>
      </w:r>
      <w:r>
        <w:rPr>
          <w:rFonts w:ascii="宋体" w:hAnsi="宋体" w:cs="宋体" w:eastAsia="宋体" w:hint="default"/>
          <w:sz w:val="21"/>
          <w:szCs w:val="21"/>
        </w:rPr>
        <w:t>元。</w:t>
      </w:r>
    </w:p>
    <w:p>
      <w:pPr>
        <w:spacing w:before="5"/>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日，公司开立的尚在有效的保函余额为</w:t>
      </w:r>
      <w:r>
        <w:rPr>
          <w:rFonts w:ascii="Times New Roman" w:hAnsi="Times New Roman" w:cs="Times New Roman" w:eastAsia="Times New Roman" w:hint="default"/>
          <w:sz w:val="21"/>
          <w:szCs w:val="21"/>
        </w:rPr>
        <w:t>85,500.00</w:t>
      </w:r>
      <w:r>
        <w:rPr>
          <w:rFonts w:ascii="宋体" w:hAnsi="宋体" w:cs="宋体" w:eastAsia="宋体" w:hint="default"/>
          <w:sz w:val="21"/>
          <w:szCs w:val="21"/>
        </w:rPr>
        <w:t>元。</w:t>
      </w:r>
    </w:p>
    <w:p>
      <w:pPr>
        <w:spacing w:line="240" w:lineRule="auto" w:before="10"/>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2、或有事项" w:id="387"/>
      <w:bookmarkEnd w:id="38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资产负债表日存在的重要或有事项" w:id="388"/>
      <w:bookmarkEnd w:id="3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公司没有需要披露的重要或有事项，也应予以说明" w:id="389"/>
      <w:bookmarkEnd w:id="3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公司不存在需要披露的重要或有事项。</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487" w:lineRule="auto" w:before="36"/>
        <w:ind w:left="153" w:right="7859" w:firstLine="0"/>
        <w:jc w:val="left"/>
        <w:rPr>
          <w:rFonts w:ascii="宋体" w:hAnsi="宋体" w:cs="宋体" w:eastAsia="宋体" w:hint="default"/>
          <w:sz w:val="21"/>
          <w:szCs w:val="21"/>
        </w:rPr>
      </w:pPr>
      <w:bookmarkStart w:name="3、其他" w:id="390"/>
      <w:bookmarkEnd w:id="39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391"/>
      <w:bookmarkEnd w:id="391"/>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392"/>
      <w:bookmarkEnd w:id="39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158" w:hRule="exact"/>
        </w:trPr>
        <w:tc>
          <w:tcPr>
            <w:tcW w:w="24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0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008" w:right="99" w:hanging="898"/>
              <w:jc w:val="left"/>
              <w:rPr>
                <w:rFonts w:ascii="宋体" w:hAnsi="宋体" w:cs="宋体" w:eastAsia="宋体" w:hint="default"/>
                <w:sz w:val="18"/>
                <w:szCs w:val="18"/>
              </w:rPr>
            </w:pPr>
            <w:r>
              <w:rPr>
                <w:rFonts w:ascii="宋体" w:hAnsi="宋体" w:cs="宋体" w:eastAsia="宋体" w:hint="default"/>
                <w:spacing w:val="-3"/>
                <w:sz w:val="18"/>
                <w:szCs w:val="18"/>
              </w:rPr>
              <w:t>对财务状况和经营成果的影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响数</w:t>
            </w: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4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内容</w:t>
            </w:r>
          </w:p>
        </w:tc>
        <w:tc>
          <w:tcPr>
            <w:tcW w:w="2387" w:type="dxa"/>
            <w:vMerge/>
            <w:tcBorders>
              <w:left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59" w:hRule="exact"/>
        </w:trPr>
        <w:tc>
          <w:tcPr>
            <w:tcW w:w="2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87"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036" w:hRule="exact"/>
        </w:trPr>
        <w:tc>
          <w:tcPr>
            <w:tcW w:w="24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10" w:space="0" w:color="D2D2D2"/>
              <w:right w:val="single" w:sz="4" w:space="0" w:color="000000"/>
            </w:tcBorders>
          </w:tcPr>
          <w:p>
            <w:pPr>
              <w:pStyle w:val="TableParagraph"/>
              <w:spacing w:line="309" w:lineRule="auto" w:before="53"/>
              <w:ind w:left="16" w:right="22"/>
              <w:jc w:val="left"/>
              <w:rPr>
                <w:rFonts w:ascii="宋体" w:hAnsi="宋体" w:cs="宋体" w:eastAsia="宋体" w:hint="default"/>
                <w:sz w:val="18"/>
                <w:szCs w:val="18"/>
              </w:rPr>
            </w:pPr>
            <w:r>
              <w:rPr>
                <w:rFonts w:ascii="宋体" w:hAnsi="宋体" w:cs="宋体" w:eastAsia="宋体" w:hint="default"/>
                <w:spacing w:val="-3"/>
                <w:sz w:val="18"/>
                <w:szCs w:val="18"/>
              </w:rPr>
              <w:t>经中国证券监督管理委员会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核准（证监许可﹝</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w w:val="101"/>
                <w:sz w:val="18"/>
                <w:szCs w:val="18"/>
              </w:rPr>
              <w:t>2985</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6"/>
                <w:w w:val="101"/>
                <w:sz w:val="18"/>
                <w:szCs w:val="18"/>
              </w:rPr>
              <w:t>号），同意本公司向社会</w:t>
            </w:r>
            <w:r>
              <w:rPr>
                <w:rFonts w:ascii="宋体" w:hAnsi="宋体" w:cs="宋体" w:eastAsia="宋体" w:hint="default"/>
                <w:w w:val="101"/>
                <w:sz w:val="18"/>
                <w:szCs w:val="18"/>
              </w:rPr>
              <w:t> </w:t>
            </w:r>
            <w:r>
              <w:rPr>
                <w:rFonts w:ascii="宋体" w:hAnsi="宋体" w:cs="宋体" w:eastAsia="宋体" w:hint="default"/>
                <w:spacing w:val="-3"/>
                <w:sz w:val="18"/>
                <w:szCs w:val="18"/>
              </w:rPr>
              <w:t>公开发行面值总额不超过人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175,000,000.00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元的可</w:t>
            </w:r>
          </w:p>
          <w:p>
            <w:pPr>
              <w:pStyle w:val="TableParagraph"/>
              <w:spacing w:line="312" w:lineRule="auto" w:before="5"/>
              <w:ind w:left="16" w:right="2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转换公司债券。此次公开发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行可转换公司债券募集资金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总额扣除发行费用不含税金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7,669,811.32 </w:t>
            </w:r>
            <w:r>
              <w:rPr>
                <w:rFonts w:ascii="宋体" w:hAnsi="宋体" w:cs="宋体" w:eastAsia="宋体" w:hint="default"/>
                <w:spacing w:val="-11"/>
                <w:sz w:val="18"/>
                <w:szCs w:val="18"/>
              </w:rPr>
              <w:t>元，实际募集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资金净额为人民币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167,330,188.68 </w:t>
            </w:r>
            <w:r>
              <w:rPr>
                <w:rFonts w:ascii="宋体" w:hAnsi="宋体" w:cs="宋体" w:eastAsia="宋体" w:hint="default"/>
                <w:spacing w:val="-5"/>
                <w:sz w:val="18"/>
                <w:szCs w:val="18"/>
              </w:rPr>
              <w:t>元。公司本次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可转换公司债券（债券代码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SZ:123043</w:t>
            </w:r>
            <w:r>
              <w:rPr>
                <w:rFonts w:ascii="宋体" w:hAnsi="宋体" w:cs="宋体" w:eastAsia="宋体" w:hint="default"/>
                <w:sz w:val="18"/>
                <w:szCs w:val="18"/>
              </w:rPr>
              <w:t>）已于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p>
          <w:p>
            <w:pPr>
              <w:pStyle w:val="TableParagraph"/>
              <w:spacing w:line="240" w:lineRule="auto" w:before="8"/>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日上市交易。</w:t>
            </w:r>
          </w:p>
        </w:tc>
        <w:tc>
          <w:tcPr>
            <w:tcW w:w="23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34" w:right="0"/>
              <w:jc w:val="left"/>
              <w:rPr>
                <w:rFonts w:ascii="Times New Roman" w:hAnsi="Times New Roman" w:cs="Times New Roman" w:eastAsia="Times New Roman" w:hint="default"/>
                <w:sz w:val="18"/>
                <w:szCs w:val="18"/>
              </w:rPr>
            </w:pPr>
            <w:r>
              <w:rPr>
                <w:rFonts w:ascii="Times New Roman"/>
                <w:sz w:val="18"/>
              </w:rPr>
              <w:t>167,330,188.68</w:t>
            </w:r>
          </w:p>
        </w:tc>
        <w:tc>
          <w:tcPr>
            <w:tcW w:w="2391" w:type="dxa"/>
            <w:vMerge w:val="restart"/>
            <w:tcBorders>
              <w:top w:val="single" w:sz="4" w:space="0" w:color="000000"/>
              <w:left w:val="single" w:sz="4" w:space="0" w:color="000000"/>
              <w:right w:val="single" w:sz="4" w:space="0" w:color="000000"/>
            </w:tcBorders>
          </w:tcPr>
          <w:p>
            <w:pPr/>
          </w:p>
        </w:tc>
      </w:tr>
      <w:tr>
        <w:trPr>
          <w:trHeight w:val="394" w:hRule="exact"/>
        </w:trPr>
        <w:tc>
          <w:tcPr>
            <w:tcW w:w="24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300" w:type="dxa"/>
            <w:vMerge/>
            <w:tcBorders>
              <w:left w:val="single" w:sz="10" w:space="0" w:color="D2D2D2"/>
              <w:right w:val="single" w:sz="4" w:space="0" w:color="000000"/>
            </w:tcBorders>
          </w:tcPr>
          <w:p>
            <w:pPr/>
          </w:p>
        </w:tc>
        <w:tc>
          <w:tcPr>
            <w:tcW w:w="2387"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2031" w:hRule="exact"/>
        </w:trPr>
        <w:tc>
          <w:tcPr>
            <w:tcW w:w="2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10" w:space="0" w:color="D2D2D2"/>
              <w:bottom w:val="single" w:sz="4" w:space="0" w:color="000000"/>
              <w:right w:val="single" w:sz="4" w:space="0" w:color="000000"/>
            </w:tcBorders>
          </w:tcPr>
          <w:p>
            <w:pPr/>
          </w:p>
        </w:tc>
        <w:tc>
          <w:tcPr>
            <w:tcW w:w="2387"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r>
        <w:trPr>
          <w:trHeight w:val="2348" w:hRule="exact"/>
        </w:trPr>
        <w:tc>
          <w:tcPr>
            <w:tcW w:w="24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10" w:space="0" w:color="D2D2D2"/>
              <w:right w:val="single" w:sz="4" w:space="0" w:color="000000"/>
            </w:tcBorders>
          </w:tcPr>
          <w:p>
            <w:pPr>
              <w:pStyle w:val="TableParagraph"/>
              <w:spacing w:line="314" w:lineRule="auto" w:before="53"/>
              <w:ind w:left="16" w:right="23"/>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r>
              <w:rPr>
                <w:rFonts w:ascii="宋体" w:hAnsi="宋体" w:cs="宋体" w:eastAsia="宋体" w:hint="default"/>
                <w:spacing w:val="-85"/>
                <w:sz w:val="18"/>
                <w:szCs w:val="18"/>
              </w:rPr>
              <w:t> </w:t>
            </w:r>
            <w:r>
              <w:rPr>
                <w:rFonts w:ascii="宋体" w:hAnsi="宋体" w:cs="宋体" w:eastAsia="宋体" w:hint="default"/>
                <w:spacing w:val="-3"/>
                <w:sz w:val="18"/>
                <w:szCs w:val="18"/>
              </w:rPr>
              <w:t>召开的第三届董事会第十四</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次会议决议，公司作为有限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合伙人与执行事务合伙人及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普通合伙人浙江华瓯股权投</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资管理有限公司及其他有限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合伙人一同出资设立私募创</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业投资基金，基金名称为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杭</w:t>
            </w:r>
            <w:r>
              <w:rPr>
                <w:rFonts w:ascii="宋体" w:hAnsi="宋体" w:cs="宋体" w:eastAsia="宋体" w:hint="default"/>
                <w:spacing w:val="-51"/>
                <w:sz w:val="18"/>
                <w:szCs w:val="18"/>
              </w:rPr>
              <w:t> </w:t>
            </w:r>
            <w:r>
              <w:rPr>
                <w:rFonts w:ascii="宋体" w:hAnsi="宋体" w:cs="宋体" w:eastAsia="宋体" w:hint="default"/>
                <w:spacing w:val="-3"/>
                <w:sz w:val="18"/>
                <w:szCs w:val="18"/>
              </w:rPr>
              <w:t>州三叶草创业投资合伙企业</w:t>
            </w:r>
          </w:p>
          <w:p>
            <w:pPr>
              <w:pStyle w:val="TableParagraph"/>
              <w:spacing w:line="307" w:lineRule="auto" w:before="20"/>
              <w:ind w:left="16" w:right="23"/>
              <w:jc w:val="left"/>
              <w:rPr>
                <w:rFonts w:ascii="宋体" w:hAnsi="宋体" w:cs="宋体" w:eastAsia="宋体" w:hint="default"/>
                <w:sz w:val="18"/>
                <w:szCs w:val="18"/>
              </w:rPr>
            </w:pPr>
            <w:r>
              <w:rPr>
                <w:rFonts w:ascii="宋体" w:hAnsi="宋体" w:cs="宋体" w:eastAsia="宋体" w:hint="default"/>
                <w:spacing w:val="-9"/>
                <w:w w:val="101"/>
                <w:sz w:val="18"/>
                <w:szCs w:val="18"/>
              </w:rPr>
              <w:t>（有限合伙）</w:t>
            </w:r>
            <w:r>
              <w:rPr>
                <w:rFonts w:ascii="Times New Roman" w:hAnsi="Times New Roman" w:cs="Times New Roman" w:eastAsia="Times New Roman" w:hint="default"/>
                <w:spacing w:val="-9"/>
                <w:w w:val="101"/>
                <w:sz w:val="18"/>
                <w:szCs w:val="18"/>
              </w:rPr>
              <w:t>”</w:t>
            </w:r>
            <w:r>
              <w:rPr>
                <w:rFonts w:ascii="宋体" w:hAnsi="宋体" w:cs="宋体" w:eastAsia="宋体" w:hint="default"/>
                <w:spacing w:val="-9"/>
                <w:w w:val="101"/>
                <w:sz w:val="18"/>
                <w:szCs w:val="18"/>
              </w:rPr>
              <w:t>（拟名），基</w:t>
            </w:r>
            <w:r>
              <w:rPr>
                <w:rFonts w:ascii="宋体" w:hAnsi="宋体" w:cs="宋体" w:eastAsia="宋体" w:hint="default"/>
                <w:w w:val="101"/>
                <w:sz w:val="18"/>
                <w:szCs w:val="18"/>
              </w:rPr>
              <w:t> </w:t>
            </w:r>
            <w:r>
              <w:rPr>
                <w:rFonts w:ascii="宋体" w:hAnsi="宋体" w:cs="宋体" w:eastAsia="宋体" w:hint="default"/>
                <w:sz w:val="18"/>
                <w:szCs w:val="18"/>
              </w:rPr>
              <w:t>金规模为人民币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w:t>
            </w:r>
            <w:r>
              <w:rPr>
                <w:rFonts w:ascii="宋体" w:hAnsi="宋体" w:cs="宋体" w:eastAsia="宋体" w:hint="default"/>
                <w:spacing w:val="-88"/>
                <w:sz w:val="18"/>
                <w:szCs w:val="18"/>
              </w:rPr>
              <w:t> </w:t>
            </w:r>
            <w:r>
              <w:rPr>
                <w:rFonts w:ascii="宋体" w:hAnsi="宋体" w:cs="宋体" w:eastAsia="宋体" w:hint="default"/>
                <w:spacing w:val="-3"/>
                <w:sz w:val="18"/>
                <w:szCs w:val="18"/>
              </w:rPr>
              <w:t>元，公司拟认缴出资人民币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万元，出资比例为</w:t>
            </w:r>
          </w:p>
          <w:p>
            <w:pPr>
              <w:pStyle w:val="TableParagraph"/>
              <w:spacing w:line="312" w:lineRule="auto" w:before="7"/>
              <w:ind w:left="16" w:right="84"/>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。截至本财务报告批</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准报出日，公司尚未进行出</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资。</w:t>
            </w:r>
          </w:p>
        </w:tc>
        <w:tc>
          <w:tcPr>
            <w:tcW w:w="23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320" w:right="0"/>
              <w:jc w:val="left"/>
              <w:rPr>
                <w:rFonts w:ascii="Times New Roman" w:hAnsi="Times New Roman" w:cs="Times New Roman" w:eastAsia="Times New Roman" w:hint="default"/>
                <w:sz w:val="18"/>
                <w:szCs w:val="18"/>
              </w:rPr>
            </w:pPr>
            <w:r>
              <w:rPr>
                <w:rFonts w:ascii="Times New Roman"/>
                <w:sz w:val="18"/>
              </w:rPr>
              <w:t>40,000,000.00</w:t>
            </w:r>
          </w:p>
        </w:tc>
        <w:tc>
          <w:tcPr>
            <w:tcW w:w="2391" w:type="dxa"/>
            <w:vMerge w:val="restart"/>
            <w:tcBorders>
              <w:top w:val="single" w:sz="4" w:space="0" w:color="000000"/>
              <w:left w:val="single" w:sz="4" w:space="0" w:color="000000"/>
              <w:right w:val="single" w:sz="4" w:space="0" w:color="000000"/>
            </w:tcBorders>
          </w:tcPr>
          <w:p>
            <w:pPr/>
          </w:p>
        </w:tc>
      </w:tr>
      <w:tr>
        <w:trPr>
          <w:trHeight w:val="389" w:hRule="exact"/>
        </w:trPr>
        <w:tc>
          <w:tcPr>
            <w:tcW w:w="24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重要的对外投资</w:t>
            </w:r>
          </w:p>
        </w:tc>
        <w:tc>
          <w:tcPr>
            <w:tcW w:w="2300" w:type="dxa"/>
            <w:vMerge/>
            <w:tcBorders>
              <w:left w:val="single" w:sz="10" w:space="0" w:color="D2D2D2"/>
              <w:right w:val="single" w:sz="4" w:space="0" w:color="000000"/>
            </w:tcBorders>
          </w:tcPr>
          <w:p>
            <w:pPr/>
          </w:p>
        </w:tc>
        <w:tc>
          <w:tcPr>
            <w:tcW w:w="2387"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2348" w:hRule="exact"/>
        </w:trPr>
        <w:tc>
          <w:tcPr>
            <w:tcW w:w="2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10" w:space="0" w:color="D2D2D2"/>
              <w:bottom w:val="single" w:sz="4" w:space="0" w:color="000000"/>
              <w:right w:val="single" w:sz="4" w:space="0" w:color="000000"/>
            </w:tcBorders>
          </w:tcPr>
          <w:p>
            <w:pPr/>
          </w:p>
        </w:tc>
        <w:tc>
          <w:tcPr>
            <w:tcW w:w="2387"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利润分配情况" w:id="393"/>
      <w:bookmarkEnd w:id="39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15"/>
          <w:pgSz w:w="11910" w:h="16840"/>
          <w:pgMar w:footer="979" w:header="741"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7,600,000.00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7,600,000.00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销售退回" w:id="394"/>
      <w:bookmarkEnd w:id="39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614" w:lineRule="exact" w:before="73"/>
        <w:ind w:left="575" w:right="0" w:hanging="423"/>
        <w:jc w:val="left"/>
        <w:rPr>
          <w:rFonts w:ascii="宋体" w:hAnsi="宋体" w:cs="宋体" w:eastAsia="宋体" w:hint="default"/>
          <w:sz w:val="21"/>
          <w:szCs w:val="21"/>
        </w:rPr>
      </w:pPr>
      <w:bookmarkStart w:name="4、其他资产负债表日后事项说明" w:id="395"/>
      <w:bookmarkEnd w:id="39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spacing w:val="-100"/>
          <w:sz w:val="21"/>
          <w:szCs w:val="21"/>
        </w:rPr>
        <w:t> </w:t>
      </w:r>
      <w:r>
        <w:rPr>
          <w:rFonts w:ascii="宋体" w:hAnsi="宋体" w:cs="宋体" w:eastAsia="宋体" w:hint="default"/>
          <w:spacing w:val="-3"/>
          <w:sz w:val="21"/>
          <w:szCs w:val="21"/>
        </w:rPr>
        <w:t>新型冠状病毒感染的肺炎疫情</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以下简称新冠疫情</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于</w:t>
      </w:r>
      <w:r>
        <w:rPr>
          <w:rFonts w:ascii="Times New Roman" w:hAnsi="Times New Roman" w:cs="Times New Roman" w:eastAsia="Times New Roman" w:hint="default"/>
          <w:spacing w:val="-3"/>
          <w:sz w:val="21"/>
          <w:szCs w:val="21"/>
        </w:rPr>
        <w:t>2020</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月在全国爆发。为防控新冠疫情，全国各</w:t>
      </w:r>
    </w:p>
    <w:p>
      <w:pPr>
        <w:spacing w:line="219" w:lineRule="exact"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地政府均出台了新冠疫情防控措施。新冠疫情及相应的防控措施对公司的正常生产经营造成了一定的影响，</w:t>
      </w:r>
    </w:p>
    <w:p>
      <w:pPr>
        <w:spacing w:before="37"/>
        <w:ind w:left="153" w:right="0" w:firstLine="0"/>
        <w:jc w:val="left"/>
        <w:rPr>
          <w:rFonts w:ascii="宋体" w:hAnsi="宋体" w:cs="宋体" w:eastAsia="宋体" w:hint="default"/>
          <w:sz w:val="21"/>
          <w:szCs w:val="21"/>
        </w:rPr>
      </w:pPr>
      <w:r>
        <w:rPr>
          <w:rFonts w:ascii="宋体" w:hAnsi="宋体" w:cs="宋体" w:eastAsia="宋体" w:hint="default"/>
          <w:sz w:val="21"/>
          <w:szCs w:val="21"/>
        </w:rPr>
        <w:t>具体情况如下：</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264"/>
        <w:gridCol w:w="5378"/>
      </w:tblGrid>
      <w:tr>
        <w:trPr>
          <w:trHeight w:val="326" w:hRule="exact"/>
        </w:trPr>
        <w:tc>
          <w:tcPr>
            <w:tcW w:w="42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286" w:right="0"/>
              <w:jc w:val="left"/>
              <w:rPr>
                <w:rFonts w:ascii="宋体" w:hAnsi="宋体" w:cs="宋体" w:eastAsia="宋体" w:hint="default"/>
                <w:sz w:val="21"/>
                <w:szCs w:val="21"/>
              </w:rPr>
            </w:pPr>
            <w:r>
              <w:rPr>
                <w:rFonts w:ascii="宋体" w:hAnsi="宋体" w:cs="宋体" w:eastAsia="宋体" w:hint="default"/>
                <w:sz w:val="21"/>
                <w:szCs w:val="21"/>
              </w:rPr>
              <w:t>受影响的具体情况</w:t>
            </w:r>
          </w:p>
        </w:tc>
        <w:tc>
          <w:tcPr>
            <w:tcW w:w="5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315" w:right="0"/>
              <w:jc w:val="left"/>
              <w:rPr>
                <w:rFonts w:ascii="宋体" w:hAnsi="宋体" w:cs="宋体" w:eastAsia="宋体" w:hint="default"/>
                <w:sz w:val="21"/>
                <w:szCs w:val="21"/>
              </w:rPr>
            </w:pPr>
            <w:r>
              <w:rPr>
                <w:rFonts w:ascii="宋体" w:hAnsi="宋体" w:cs="宋体" w:eastAsia="宋体" w:hint="default"/>
                <w:sz w:val="21"/>
                <w:szCs w:val="21"/>
              </w:rPr>
              <w:t>对财务状况和经营成果的影响</w:t>
            </w:r>
          </w:p>
        </w:tc>
      </w:tr>
      <w:tr>
        <w:trPr>
          <w:trHeight w:val="1604"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9"/>
              <w:ind w:left="4" w:right="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对销售的影响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新冠疫情对湖北等省市以及全国整体经济运行</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造成一定影响，公司终端客户学校大部分处于</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封闭状态，在一定程度上影响公司项目工程的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开展及校园服务的提供。</w:t>
            </w:r>
          </w:p>
        </w:tc>
        <w:tc>
          <w:tcPr>
            <w:tcW w:w="53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 w:right="0"/>
              <w:jc w:val="both"/>
              <w:rPr>
                <w:rFonts w:ascii="宋体" w:hAnsi="宋体" w:cs="宋体" w:eastAsia="宋体" w:hint="default"/>
                <w:sz w:val="21"/>
                <w:szCs w:val="21"/>
              </w:rPr>
            </w:pPr>
            <w:r>
              <w:rPr>
                <w:rFonts w:ascii="宋体" w:hAnsi="宋体" w:cs="宋体" w:eastAsia="宋体" w:hint="default"/>
                <w:spacing w:val="8"/>
                <w:sz w:val="21"/>
                <w:szCs w:val="21"/>
              </w:rPr>
              <w:t>公司预计</w:t>
            </w:r>
            <w:r>
              <w:rPr>
                <w:rFonts w:ascii="Times New Roman" w:hAnsi="Times New Roman" w:cs="Times New Roman" w:eastAsia="Times New Roman" w:hint="default"/>
                <w:spacing w:val="8"/>
                <w:sz w:val="21"/>
                <w:szCs w:val="21"/>
              </w:rPr>
              <w:t>2020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5"/>
                <w:sz w:val="21"/>
                <w:szCs w:val="21"/>
              </w:rPr>
              <w:t> </w:t>
            </w:r>
            <w:r>
              <w:rPr>
                <w:rFonts w:ascii="宋体" w:hAnsi="宋体" w:cs="宋体" w:eastAsia="宋体" w:hint="default"/>
                <w:spacing w:val="15"/>
                <w:sz w:val="21"/>
                <w:szCs w:val="21"/>
              </w:rPr>
              <w:t>季度归属于公司普通股股东的净利润</w:t>
            </w:r>
          </w:p>
          <w:p>
            <w:pPr>
              <w:pStyle w:val="TableParagraph"/>
              <w:spacing w:line="240" w:lineRule="auto" w:before="21"/>
              <w:ind w:left="4"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-2,500.00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w:t>
            </w:r>
            <w:r>
              <w:rPr>
                <w:rFonts w:ascii="宋体" w:hAnsi="宋体" w:cs="宋体" w:eastAsia="宋体" w:hint="default"/>
                <w:spacing w:val="-57"/>
                <w:sz w:val="21"/>
                <w:szCs w:val="21"/>
              </w:rPr>
              <w:t> </w:t>
            </w:r>
            <w:r>
              <w:rPr>
                <w:rFonts w:ascii="宋体" w:hAnsi="宋体" w:cs="宋体" w:eastAsia="宋体" w:hint="default"/>
                <w:sz w:val="21"/>
                <w:szCs w:val="21"/>
              </w:rPr>
              <w:t>元</w:t>
            </w:r>
            <w:r>
              <w:rPr>
                <w:rFonts w:ascii="宋体" w:hAnsi="宋体" w:cs="宋体" w:eastAsia="宋体" w:hint="default"/>
                <w:spacing w:val="-61"/>
                <w:sz w:val="21"/>
                <w:szCs w:val="21"/>
              </w:rPr>
              <w:t> </w:t>
            </w: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w:t>
            </w:r>
            <w:r>
              <w:rPr>
                <w:rFonts w:ascii="宋体" w:hAnsi="宋体" w:cs="宋体" w:eastAsia="宋体" w:hint="default"/>
                <w:spacing w:val="-61"/>
                <w:sz w:val="21"/>
                <w:szCs w:val="21"/>
              </w:rPr>
              <w:t> </w:t>
            </w:r>
            <w:r>
              <w:rPr>
                <w:rFonts w:ascii="宋体" w:hAnsi="宋体" w:cs="宋体" w:eastAsia="宋体" w:hint="default"/>
                <w:sz w:val="21"/>
                <w:szCs w:val="21"/>
              </w:rPr>
              <w:t>元</w:t>
            </w:r>
            <w:r>
              <w:rPr>
                <w:rFonts w:ascii="宋体" w:hAnsi="宋体" w:cs="宋体" w:eastAsia="宋体" w:hint="default"/>
                <w:spacing w:val="-57"/>
                <w:sz w:val="21"/>
                <w:szCs w:val="21"/>
              </w:rPr>
              <w:t> </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同</w:t>
            </w:r>
            <w:r>
              <w:rPr>
                <w:rFonts w:ascii="宋体" w:hAnsi="宋体" w:cs="宋体" w:eastAsia="宋体" w:hint="default"/>
                <w:spacing w:val="-57"/>
                <w:sz w:val="21"/>
                <w:szCs w:val="21"/>
              </w:rPr>
              <w:t> </w:t>
            </w:r>
            <w:r>
              <w:rPr>
                <w:rFonts w:ascii="宋体" w:hAnsi="宋体" w:cs="宋体" w:eastAsia="宋体" w:hint="default"/>
                <w:sz w:val="21"/>
                <w:szCs w:val="21"/>
              </w:rPr>
              <w:t>比</w:t>
            </w:r>
            <w:r>
              <w:rPr>
                <w:rFonts w:ascii="宋体" w:hAnsi="宋体" w:cs="宋体" w:eastAsia="宋体" w:hint="default"/>
                <w:spacing w:val="-57"/>
                <w:sz w:val="21"/>
                <w:szCs w:val="21"/>
              </w:rPr>
              <w:t> </w:t>
            </w:r>
            <w:r>
              <w:rPr>
                <w:rFonts w:ascii="宋体" w:hAnsi="宋体" w:cs="宋体" w:eastAsia="宋体" w:hint="default"/>
                <w:sz w:val="21"/>
                <w:szCs w:val="21"/>
              </w:rPr>
              <w:t>变</w:t>
            </w:r>
            <w:r>
              <w:rPr>
                <w:rFonts w:ascii="宋体" w:hAnsi="宋体" w:cs="宋体" w:eastAsia="宋体" w:hint="default"/>
                <w:spacing w:val="-61"/>
                <w:sz w:val="21"/>
                <w:szCs w:val="21"/>
              </w:rPr>
              <w:t> </w:t>
            </w:r>
            <w:r>
              <w:rPr>
                <w:rFonts w:ascii="宋体" w:hAnsi="宋体" w:cs="宋体" w:eastAsia="宋体" w:hint="default"/>
                <w:sz w:val="21"/>
                <w:szCs w:val="21"/>
              </w:rPr>
              <w:t>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-850.43%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至</w:t>
            </w:r>
          </w:p>
          <w:p>
            <w:pPr>
              <w:pStyle w:val="TableParagraph"/>
              <w:spacing w:line="266" w:lineRule="auto" w:before="21"/>
              <w:ind w:left="4" w:right="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-660.34%</w:t>
            </w:r>
            <w:r>
              <w:rPr>
                <w:rFonts w:ascii="宋体" w:hAnsi="宋体" w:cs="宋体" w:eastAsia="宋体" w:hint="default"/>
                <w:spacing w:val="-4"/>
                <w:sz w:val="21"/>
                <w:szCs w:val="21"/>
              </w:rPr>
              <w:t>。后续影响程度将取决于疫情防控的情况、持续时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6"/>
                <w:sz w:val="21"/>
                <w:szCs w:val="21"/>
              </w:rPr>
              <w:t>间、学校的开放时间、学年的安排以及政府各项防控措施的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实施。</w:t>
            </w:r>
          </w:p>
        </w:tc>
      </w:tr>
      <w:tr>
        <w:trPr>
          <w:trHeight w:val="1277"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4" w:right="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对应收款项信用损失准备的影响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公司终端客户为学校，由于校园尚未开放，公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司应收款的付款审批存在一定的滞后，从而可</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能导致公司应收款项的预期信用风险增加。</w:t>
            </w:r>
          </w:p>
        </w:tc>
        <w:tc>
          <w:tcPr>
            <w:tcW w:w="5378" w:type="dxa"/>
            <w:vMerge/>
            <w:tcBorders>
              <w:left w:val="single" w:sz="4" w:space="0" w:color="000000"/>
              <w:right w:val="single" w:sz="4" w:space="0" w:color="000000"/>
            </w:tcBorders>
          </w:tcPr>
          <w:p>
            <w:pPr/>
          </w:p>
        </w:tc>
      </w:tr>
      <w:tr>
        <w:trPr>
          <w:trHeight w:val="970"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4" w:right="4"/>
              <w:jc w:val="both"/>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pacing w:val="-6"/>
                <w:sz w:val="21"/>
                <w:szCs w:val="21"/>
              </w:rPr>
              <w:t>公司洗衣资产均安装在校园内，无法开学导</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致公司固定资产停机无法运营，预计收入可能</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下降。</w:t>
            </w:r>
          </w:p>
        </w:tc>
        <w:tc>
          <w:tcPr>
            <w:tcW w:w="5378" w:type="dxa"/>
            <w:vMerge/>
            <w:tcBorders>
              <w:left w:val="single" w:sz="4" w:space="0" w:color="000000"/>
              <w:bottom w:val="single" w:sz="4" w:space="0" w:color="000000"/>
              <w:right w:val="single" w:sz="4" w:space="0" w:color="000000"/>
            </w:tcBorders>
          </w:tcPr>
          <w:p>
            <w:pPr/>
          </w:p>
        </w:tc>
      </w:tr>
    </w:tbl>
    <w:p>
      <w:pPr>
        <w:spacing w:line="260" w:lineRule="exact" w:before="0"/>
        <w:ind w:left="575" w:right="0" w:firstLine="0"/>
        <w:jc w:val="left"/>
        <w:rPr>
          <w:rFonts w:ascii="宋体" w:hAnsi="宋体" w:cs="宋体" w:eastAsia="宋体" w:hint="default"/>
          <w:sz w:val="21"/>
          <w:szCs w:val="21"/>
        </w:rPr>
      </w:pPr>
      <w:r>
        <w:rPr>
          <w:rFonts w:ascii="宋体" w:hAnsi="宋体" w:cs="宋体" w:eastAsia="宋体" w:hint="default"/>
          <w:spacing w:val="-5"/>
          <w:sz w:val="21"/>
          <w:szCs w:val="21"/>
        </w:rPr>
        <w:t>本公司将继续密切关注新冠疫情发展情况，积极应对其对本公司财务状况、经营成果产生的不利影响。</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十六、其他重要事项" w:id="396"/>
      <w:bookmarkEnd w:id="396"/>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分部信息" w:id="397"/>
      <w:bookmarkEnd w:id="39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506" w:lineRule="auto" w:before="0"/>
        <w:ind w:left="575" w:right="0" w:hanging="423"/>
        <w:jc w:val="left"/>
        <w:rPr>
          <w:rFonts w:ascii="宋体" w:hAnsi="宋体" w:cs="宋体" w:eastAsia="宋体" w:hint="default"/>
          <w:sz w:val="21"/>
          <w:szCs w:val="21"/>
        </w:rPr>
      </w:pPr>
      <w:bookmarkStart w:name="（1）报告分部的确定依据与会计政策" w:id="398"/>
      <w:bookmarkEnd w:id="3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本公司以产品分部为基础确定报告分部，各分部共同使用的资产、负债无法在不同分部间分配。</w:t>
      </w:r>
    </w:p>
    <w:p>
      <w:pPr>
        <w:spacing w:line="240" w:lineRule="auto" w:before="0"/>
        <w:rPr>
          <w:rFonts w:ascii="宋体" w:hAnsi="宋体" w:cs="宋体" w:eastAsia="宋体" w:hint="default"/>
          <w:sz w:val="20"/>
          <w:szCs w:val="20"/>
        </w:rPr>
      </w:pPr>
    </w:p>
    <w:p>
      <w:pPr>
        <w:spacing w:before="156"/>
        <w:ind w:left="153" w:right="0" w:firstLine="0"/>
        <w:jc w:val="left"/>
        <w:rPr>
          <w:rFonts w:ascii="宋体" w:hAnsi="宋体" w:cs="宋体" w:eastAsia="宋体" w:hint="default"/>
          <w:sz w:val="21"/>
          <w:szCs w:val="21"/>
        </w:rPr>
      </w:pPr>
      <w:bookmarkStart w:name="（2）报告分部的财务信息" w:id="399"/>
      <w:bookmarkEnd w:id="3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06"/>
        <w:gridCol w:w="1595"/>
        <w:gridCol w:w="1594"/>
        <w:gridCol w:w="1594"/>
        <w:gridCol w:w="1599"/>
      </w:tblGrid>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4" w:right="0"/>
              <w:jc w:val="left"/>
              <w:rPr>
                <w:rFonts w:ascii="宋体" w:hAnsi="宋体" w:cs="宋体" w:eastAsia="宋体" w:hint="default"/>
                <w:sz w:val="18"/>
                <w:szCs w:val="18"/>
              </w:rPr>
            </w:pPr>
            <w:r>
              <w:rPr>
                <w:rFonts w:ascii="宋体" w:hAnsi="宋体" w:cs="宋体" w:eastAsia="宋体" w:hint="default"/>
                <w:sz w:val="18"/>
                <w:szCs w:val="18"/>
              </w:rPr>
              <w:t>系统建设</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运营与服务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智能管控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37" w:right="0"/>
              <w:jc w:val="left"/>
              <w:rPr>
                <w:rFonts w:ascii="Times New Roman" w:hAnsi="Times New Roman" w:cs="Times New Roman" w:eastAsia="Times New Roman" w:hint="default"/>
                <w:sz w:val="18"/>
                <w:szCs w:val="18"/>
              </w:rPr>
            </w:pPr>
            <w:r>
              <w:rPr>
                <w:rFonts w:ascii="Times New Roman"/>
                <w:sz w:val="18"/>
              </w:rPr>
              <w:t>578,696,288.29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98,567,175.84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73,791,018.68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751,054,482.81</w:t>
            </w:r>
          </w:p>
        </w:tc>
      </w:tr>
      <w:tr>
        <w:trPr>
          <w:trHeight w:val="399"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37" w:right="0"/>
              <w:jc w:val="left"/>
              <w:rPr>
                <w:rFonts w:ascii="Times New Roman" w:hAnsi="Times New Roman" w:cs="Times New Roman" w:eastAsia="Times New Roman" w:hint="default"/>
                <w:sz w:val="18"/>
                <w:szCs w:val="18"/>
              </w:rPr>
            </w:pPr>
            <w:r>
              <w:rPr>
                <w:rFonts w:ascii="Times New Roman"/>
                <w:sz w:val="18"/>
              </w:rPr>
              <w:t>356,513,768.93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47,122,876.20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63,131,395.29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466,768,040.42</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1,279,463,890.39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1,279,463,890.39</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603,564,681.32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603,564,681.32</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979" w:header="741" w:top="1060" w:bottom="1160" w:left="980" w:right="0"/>
          <w:pgNumType w:start="201"/>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3）公司无报告分部的，或者不能披露各报告分部的资产总额和负债总额的，应说明原因" w:id="400"/>
      <w:bookmarkEnd w:id="4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其他对投资者决策有影响的重要交易和事项" w:id="401"/>
      <w:bookmarkEnd w:id="40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600" w:lineRule="atLeast" w:before="9"/>
        <w:ind w:left="153" w:right="9911" w:firstLine="0"/>
        <w:jc w:val="left"/>
        <w:rPr>
          <w:rFonts w:ascii="宋体" w:hAnsi="宋体" w:cs="宋体" w:eastAsia="宋体" w:hint="default"/>
          <w:sz w:val="21"/>
          <w:szCs w:val="21"/>
        </w:rPr>
      </w:pPr>
      <w:bookmarkStart w:name="3、其他" w:id="402"/>
      <w:bookmarkEnd w:id="40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21"/>
          <w:szCs w:val="21"/>
        </w:rPr>
        <w:t>股权质押</w:t>
      </w:r>
    </w:p>
    <w:p>
      <w:pPr>
        <w:spacing w:before="37"/>
        <w:ind w:left="153"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日，控股股东股份被质押情况如下：</w:t>
      </w: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01"/>
        <w:gridCol w:w="1056"/>
        <w:gridCol w:w="1364"/>
        <w:gridCol w:w="1421"/>
        <w:gridCol w:w="2291"/>
        <w:gridCol w:w="1032"/>
        <w:gridCol w:w="1210"/>
      </w:tblGrid>
      <w:tr>
        <w:trPr>
          <w:trHeight w:val="965" w:hRule="exact"/>
        </w:trPr>
        <w:tc>
          <w:tcPr>
            <w:tcW w:w="12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质押股数</w:t>
            </w:r>
          </w:p>
        </w:tc>
        <w:tc>
          <w:tcPr>
            <w:tcW w:w="1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质押开始日期</w:t>
            </w:r>
          </w:p>
        </w:tc>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质押到期日</w:t>
            </w:r>
          </w:p>
        </w:tc>
        <w:tc>
          <w:tcPr>
            <w:tcW w:w="22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质权人</w:t>
            </w:r>
          </w:p>
        </w:tc>
        <w:tc>
          <w:tcPr>
            <w:tcW w:w="10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62" w:right="55"/>
              <w:jc w:val="center"/>
              <w:rPr>
                <w:rFonts w:ascii="宋体" w:hAnsi="宋体" w:cs="宋体" w:eastAsia="宋体" w:hint="default"/>
                <w:sz w:val="18"/>
                <w:szCs w:val="18"/>
              </w:rPr>
            </w:pPr>
            <w:r>
              <w:rPr>
                <w:rFonts w:ascii="宋体" w:hAnsi="宋体" w:cs="宋体" w:eastAsia="宋体" w:hint="default"/>
                <w:spacing w:val="-2"/>
                <w:sz w:val="18"/>
                <w:szCs w:val="18"/>
              </w:rPr>
              <w:t>本次质押占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其所持股份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比例</w:t>
            </w:r>
          </w:p>
        </w:tc>
        <w:tc>
          <w:tcPr>
            <w:tcW w:w="1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用途</w:t>
            </w:r>
          </w:p>
        </w:tc>
      </w:tr>
      <w:tr>
        <w:trPr>
          <w:trHeight w:val="346"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杭州正元</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11,426,220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2" w:right="-5"/>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23</w:t>
            </w:r>
            <w:r>
              <w:rPr>
                <w:rFonts w:ascii="宋体" w:hAnsi="宋体" w:cs="宋体" w:eastAsia="宋体" w:hint="default"/>
                <w:spacing w:val="-1"/>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2020</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21</w:t>
            </w:r>
            <w:r>
              <w:rPr>
                <w:rFonts w:ascii="宋体" w:hAnsi="宋体" w:cs="宋体" w:eastAsia="宋体" w:hint="default"/>
                <w:spacing w:val="-1"/>
                <w:sz w:val="18"/>
                <w:szCs w:val="18"/>
              </w:rPr>
              <w:t>日</w:t>
            </w:r>
          </w:p>
        </w:tc>
        <w:tc>
          <w:tcPr>
            <w:tcW w:w="229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pacing w:val="-3"/>
                <w:sz w:val="18"/>
                <w:szCs w:val="18"/>
              </w:rPr>
              <w:t>中国银河证券股份有限公司</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31.15%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1" w:hRule="exact"/>
        </w:trPr>
        <w:tc>
          <w:tcPr>
            <w:tcW w:w="1201" w:type="dxa"/>
            <w:vMerge/>
            <w:tcBorders>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11,426,220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2" w:right="-5"/>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28</w:t>
            </w:r>
            <w:r>
              <w:rPr>
                <w:rFonts w:ascii="宋体" w:hAnsi="宋体" w:cs="宋体" w:eastAsia="宋体" w:hint="default"/>
                <w:spacing w:val="-1"/>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2020</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日</w:t>
            </w:r>
          </w:p>
        </w:tc>
        <w:tc>
          <w:tcPr>
            <w:tcW w:w="2291" w:type="dxa"/>
            <w:vMerge/>
            <w:tcBorders>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31.15%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3,689,762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2" w:right="-5"/>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日</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华安证券股份有限公司</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26,542,202</w:t>
            </w:r>
          </w:p>
        </w:tc>
        <w:tc>
          <w:tcPr>
            <w:tcW w:w="13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29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3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10"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spacing w:line="256" w:lineRule="auto" w:before="0"/>
        <w:ind w:left="153" w:right="0" w:firstLine="422"/>
        <w:jc w:val="left"/>
        <w:rPr>
          <w:rFonts w:ascii="宋体" w:hAnsi="宋体" w:cs="宋体" w:eastAsia="宋体" w:hint="default"/>
          <w:sz w:val="21"/>
          <w:szCs w:val="21"/>
        </w:rPr>
      </w:pPr>
      <w:r>
        <w:rPr>
          <w:rFonts w:ascii="宋体" w:hAnsi="宋体" w:cs="宋体" w:eastAsia="宋体" w:hint="default"/>
          <w:spacing w:val="-4"/>
          <w:sz w:val="21"/>
          <w:szCs w:val="21"/>
        </w:rPr>
        <w:t>截至</w:t>
      </w:r>
      <w:r>
        <w:rPr>
          <w:rFonts w:ascii="Times New Roman" w:hAnsi="Times New Roman" w:cs="Times New Roman" w:eastAsia="Times New Roman" w:hint="default"/>
          <w:spacing w:val="-4"/>
          <w:sz w:val="21"/>
          <w:szCs w:val="21"/>
        </w:rPr>
        <w:t>2019</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31</w:t>
      </w:r>
      <w:r>
        <w:rPr>
          <w:rFonts w:ascii="宋体" w:hAnsi="宋体" w:cs="宋体" w:eastAsia="宋体" w:hint="default"/>
          <w:spacing w:val="-4"/>
          <w:sz w:val="21"/>
          <w:szCs w:val="21"/>
        </w:rPr>
        <w:t>日，杭州正元持有的本公司股份累计已质押</w:t>
      </w:r>
      <w:r>
        <w:rPr>
          <w:rFonts w:ascii="Times New Roman" w:hAnsi="Times New Roman" w:cs="Times New Roman" w:eastAsia="Times New Roman" w:hint="default"/>
          <w:spacing w:val="-4"/>
          <w:sz w:val="21"/>
          <w:szCs w:val="21"/>
        </w:rPr>
        <w:t>22,852,440</w:t>
      </w:r>
      <w:r>
        <w:rPr>
          <w:rFonts w:ascii="宋体" w:hAnsi="宋体" w:cs="宋体" w:eastAsia="宋体" w:hint="default"/>
          <w:spacing w:val="-4"/>
          <w:sz w:val="21"/>
          <w:szCs w:val="21"/>
        </w:rPr>
        <w:t>股，占本公司总股本的</w:t>
      </w:r>
      <w:r>
        <w:rPr>
          <w:rFonts w:ascii="Times New Roman" w:hAnsi="Times New Roman" w:cs="Times New Roman" w:eastAsia="Times New Roman" w:hint="default"/>
          <w:spacing w:val="-4"/>
          <w:sz w:val="21"/>
          <w:szCs w:val="21"/>
        </w:rPr>
        <w:t>18.04%</w:t>
      </w:r>
      <w:r>
        <w:rPr>
          <w:rFonts w:ascii="宋体" w:hAnsi="宋体" w:cs="宋体" w:eastAsia="宋体" w:hint="default"/>
          <w:spacing w:val="-4"/>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李琳累计已质押</w:t>
      </w:r>
      <w:r>
        <w:rPr>
          <w:rFonts w:ascii="Times New Roman" w:hAnsi="Times New Roman" w:cs="Times New Roman" w:eastAsia="Times New Roman" w:hint="default"/>
          <w:sz w:val="21"/>
          <w:szCs w:val="21"/>
        </w:rPr>
        <w:t>3,689,762</w:t>
      </w:r>
      <w:r>
        <w:rPr>
          <w:rFonts w:ascii="宋体" w:hAnsi="宋体" w:cs="宋体" w:eastAsia="宋体" w:hint="default"/>
          <w:sz w:val="21"/>
          <w:szCs w:val="21"/>
        </w:rPr>
        <w:t>股，占本公司总股本的</w:t>
      </w:r>
      <w:r>
        <w:rPr>
          <w:rFonts w:ascii="Times New Roman" w:hAnsi="Times New Roman" w:cs="Times New Roman" w:eastAsia="Times New Roman" w:hint="default"/>
          <w:sz w:val="21"/>
          <w:szCs w:val="21"/>
        </w:rPr>
        <w:t>2.91%</w:t>
      </w:r>
      <w:r>
        <w:rPr>
          <w:rFonts w:ascii="宋体" w:hAnsi="宋体" w:cs="宋体" w:eastAsia="宋体" w:hint="default"/>
          <w:sz w:val="21"/>
          <w:szCs w:val="21"/>
        </w:rPr>
        <w:t>。</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bookmarkStart w:name="十七、母公司财务报表主要项目注释" w:id="403"/>
      <w:bookmarkEnd w:id="403"/>
      <w:r>
        <w:rPr>
          <w:b w:val="0"/>
          <w:bCs w:val="0"/>
        </w:rPr>
      </w:r>
      <w:r>
        <w:rPr/>
        <w:t>十七、母公司财务报表主要项目注释</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应收账款" w:id="404"/>
      <w:bookmarkEnd w:id="40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账款分类披露" w:id="405"/>
      <w:bookmarkEnd w:id="4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5"/>
        <w:gridCol w:w="764"/>
        <w:gridCol w:w="758"/>
        <w:gridCol w:w="764"/>
        <w:gridCol w:w="764"/>
        <w:gridCol w:w="787"/>
        <w:gridCol w:w="778"/>
        <w:gridCol w:w="797"/>
        <w:gridCol w:w="797"/>
        <w:gridCol w:w="792"/>
        <w:gridCol w:w="931"/>
      </w:tblGrid>
      <w:tr>
        <w:trPr>
          <w:trHeight w:val="394" w:hRule="exact"/>
        </w:trPr>
        <w:tc>
          <w:tcPr>
            <w:tcW w:w="1625" w:type="dxa"/>
            <w:vMerge w:val="restart"/>
            <w:tcBorders>
              <w:top w:val="single" w:sz="4" w:space="0" w:color="000000"/>
              <w:left w:val="single" w:sz="4" w:space="0" w:color="000000"/>
              <w:right w:val="single" w:sz="4" w:space="0" w:color="000000"/>
            </w:tcBorders>
            <w:shd w:val="clear" w:color="auto" w:fill="D2D2D2"/>
          </w:tcPr>
          <w:p>
            <w:pP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8" w:hRule="exact"/>
        </w:trPr>
        <w:tc>
          <w:tcPr>
            <w:tcW w:w="1625" w:type="dxa"/>
            <w:vMerge/>
            <w:tcBorders>
              <w:left w:val="single" w:sz="4" w:space="0" w:color="000000"/>
              <w:bottom w:val="nil" w:sz="6" w:space="0" w:color="auto"/>
              <w:right w:val="single" w:sz="4" w:space="0" w:color="000000"/>
            </w:tcBorders>
            <w:shd w:val="clear" w:color="auto" w:fill="D2D2D2"/>
          </w:tcPr>
          <w:p>
            <w:pPr/>
          </w:p>
        </w:tc>
        <w:tc>
          <w:tcPr>
            <w:tcW w:w="1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1522"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25" w:type="dxa"/>
            <w:vMerge/>
            <w:tcBorders>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25" w:type="dxa"/>
            <w:vMerge w:val="restart"/>
            <w:tcBorders>
              <w:top w:val="single" w:sz="4" w:space="0" w:color="FFFFFF"/>
              <w:left w:val="single" w:sz="4" w:space="0" w:color="000000"/>
              <w:right w:val="single" w:sz="4" w:space="0" w:color="000000"/>
            </w:tcBorders>
            <w:shd w:val="clear" w:color="auto" w:fill="D2D2D2"/>
          </w:tcPr>
          <w:p>
            <w:pP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5" w:type="dxa"/>
            <w:vMerge/>
            <w:tcBorders>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625"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56"/>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455,386,</w:t>
            </w:r>
          </w:p>
          <w:p>
            <w:pPr>
              <w:pStyle w:val="TableParagraph"/>
              <w:spacing w:line="240" w:lineRule="auto" w:before="110"/>
              <w:ind w:left="203" w:right="0"/>
              <w:jc w:val="center"/>
              <w:rPr>
                <w:rFonts w:ascii="Times New Roman" w:hAnsi="Times New Roman" w:cs="Times New Roman" w:eastAsia="Times New Roman" w:hint="default"/>
                <w:sz w:val="18"/>
                <w:szCs w:val="18"/>
              </w:rPr>
            </w:pPr>
            <w:r>
              <w:rPr>
                <w:rFonts w:ascii="Times New Roman"/>
                <w:sz w:val="18"/>
              </w:rPr>
              <w:t>984.41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59,330,0</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01.35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13.03%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396,056,9</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83.06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339,425,7</w:t>
            </w:r>
          </w:p>
          <w:p>
            <w:pPr>
              <w:pStyle w:val="TableParagraph"/>
              <w:spacing w:line="240" w:lineRule="auto" w:before="110"/>
              <w:ind w:left="341" w:right="0"/>
              <w:jc w:val="left"/>
              <w:rPr>
                <w:rFonts w:ascii="Times New Roman" w:hAnsi="Times New Roman" w:cs="Times New Roman" w:eastAsia="Times New Roman" w:hint="default"/>
                <w:sz w:val="18"/>
                <w:szCs w:val="18"/>
              </w:rPr>
            </w:pPr>
            <w:r>
              <w:rPr>
                <w:rFonts w:ascii="Times New Roman"/>
                <w:sz w:val="18"/>
              </w:rPr>
              <w:t>26.23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41,983,27</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6.49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297,442,44</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9.74</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58" w:hRule="exact"/>
        </w:trPr>
        <w:tc>
          <w:tcPr>
            <w:tcW w:w="16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vMerge w:val="restart"/>
            <w:tcBorders>
              <w:top w:val="single" w:sz="4" w:space="0" w:color="000000"/>
              <w:left w:val="single" w:sz="10" w:space="0" w:color="D2D2D2"/>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455,386,</w:t>
            </w:r>
          </w:p>
          <w:p>
            <w:pPr>
              <w:pStyle w:val="TableParagraph"/>
              <w:spacing w:line="240" w:lineRule="auto" w:before="105"/>
              <w:ind w:left="208" w:right="0"/>
              <w:jc w:val="center"/>
              <w:rPr>
                <w:rFonts w:ascii="Times New Roman" w:hAnsi="Times New Roman" w:cs="Times New Roman" w:eastAsia="Times New Roman" w:hint="default"/>
                <w:sz w:val="18"/>
                <w:szCs w:val="18"/>
              </w:rPr>
            </w:pPr>
            <w:r>
              <w:rPr>
                <w:rFonts w:ascii="Times New Roman"/>
                <w:sz w:val="18"/>
              </w:rPr>
              <w:t>984.41</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59,330,0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01.35</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13.03%</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396,056,9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83.06</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340,345,7</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26.23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42,903,27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12.61%</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297,442,44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9.74</w:t>
            </w:r>
          </w:p>
        </w:tc>
      </w:tr>
      <w:tr>
        <w:trPr>
          <w:trHeight w:val="394" w:hRule="exact"/>
        </w:trPr>
        <w:tc>
          <w:tcPr>
            <w:tcW w:w="16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764" w:type="dxa"/>
            <w:vMerge/>
            <w:tcBorders>
              <w:left w:val="single" w:sz="10" w:space="0" w:color="D2D2D2"/>
              <w:right w:val="single" w:sz="4" w:space="0" w:color="000000"/>
            </w:tcBorders>
          </w:tcPr>
          <w:p>
            <w:pPr/>
          </w:p>
        </w:tc>
        <w:tc>
          <w:tcPr>
            <w:tcW w:w="758"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4" w:hRule="exact"/>
        </w:trPr>
        <w:tc>
          <w:tcPr>
            <w:tcW w:w="16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10" w:space="0" w:color="D2D2D2"/>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53"/>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59,330,001.35</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425,989,532.67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59,330,001.35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13.93%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29,397,451.74</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455,386,984.41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59,330,001.35</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357"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38" w:lineRule="auto" w:before="32"/>
        <w:ind w:left="153" w:right="92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before="4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90"/>
              <w:jc w:val="right"/>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269,538,920.46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116,687,785.87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28,516,829.93</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40,643,448.15</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21,370,559.88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11,013,812.45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8,259,075.82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90"/>
              <w:jc w:val="righ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455,386,984.41</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本期计提、收回或转回的坏账准备情况" w:id="406"/>
      <w:bookmarkEnd w:id="4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98"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单项计提坏账准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-920,000.00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41,983,276.49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16,426,724.86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920,000.00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59,330,001.35</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42,903,276.49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16,426,724.86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59,330,001.35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7"/>
      </w:tblGrid>
      <w:tr>
        <w:trPr>
          <w:trHeight w:val="401"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6"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3）本期实际核销的应收账款情况" w:id="407"/>
      <w:bookmarkEnd w:id="4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33" w:right="79"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应收账款核销说明：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按欠款方归集的期末余额前五名的应收账款情况" w:id="408"/>
      <w:bookmarkEnd w:id="4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21" w:right="104"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22,987,741.00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2,626,441.09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20,051,352.00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1,002,567.60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20,008,333.37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2,000,833.34</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15,348,255.03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767,412.75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9,481,000.00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474,050.00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87,876,681.40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19.29%</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其他应收款" w:id="409"/>
      <w:bookmarkEnd w:id="40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90"/>
              <w:jc w:val="right"/>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113,627,646.37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67,519,391.57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90"/>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113,627,646.37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67,519,391.57</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其他应收款" w:id="410"/>
      <w:bookmarkEnd w:id="4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其他应收款按款项性质分类情况" w:id="411"/>
      <w:bookmarkEnd w:id="41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82,954,618.31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39,741,082.86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27,656,426.68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21,571,663.88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8,157,737.43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4,625,365.49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1,752,265.17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1,262,516.34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应收软件增值税退税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4,675,118.49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120,521,047.59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71,875,747.06</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坏账准备计提情况" w:id="412"/>
      <w:bookmarkEnd w:id="41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4"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770,113.71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1,205,390.49</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2,380,851.29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4,356,355.49</w:t>
            </w:r>
          </w:p>
        </w:tc>
      </w:tr>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3"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-602,695.25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602,695.25</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-64,670.41</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64,670.41</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875,560.73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-1,324,139.18</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2,985,624.18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2,537,045.73</w:t>
            </w: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1,042,979.19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419,276.15</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5,431,145.88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6,893,401.22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38" w:lineRule="auto" w:before="119"/>
        <w:ind w:left="153"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7" w:space="4894"/>
            <w:col w:w="209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190"/>
              <w:jc w:val="right"/>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88,104,302.92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12,655,075.19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16,203,125.67</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3,558,543.81</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1,369,558.16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634,595.65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1,554,390.00</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190"/>
              <w:jc w:val="righ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120,521,047.59</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本期计提、收回或转回的坏账准备情况" w:id="413"/>
      <w:bookmarkEnd w:id="41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80"/>
        <w:gridCol w:w="1090"/>
        <w:gridCol w:w="1330"/>
        <w:gridCol w:w="1455"/>
        <w:gridCol w:w="1196"/>
        <w:gridCol w:w="1345"/>
        <w:gridCol w:w="1580"/>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其中本期坏账准备转回或收回金额重要的：</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4）本期实际核销的其他应收款情况" w:id="414"/>
      <w:bookmarkEnd w:id="41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33" w:right="79"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按欠款方归集的期末余额前五名的其他应收款情况" w:id="415"/>
      <w:bookmarkEnd w:id="41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小兰智慧公司</w:t>
            </w:r>
          </w:p>
        </w:tc>
        <w:tc>
          <w:tcPr>
            <w:tcW w:w="155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关联方往来</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44,596,876.72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27" w:right="0"/>
              <w:jc w:val="left"/>
              <w:rPr>
                <w:rFonts w:ascii="Times New Roman" w:hAnsi="Times New Roman" w:cs="Times New Roman" w:eastAsia="Times New Roman" w:hint="default"/>
                <w:sz w:val="18"/>
                <w:szCs w:val="18"/>
              </w:rPr>
            </w:pPr>
            <w:r>
              <w:rPr>
                <w:rFonts w:ascii="Times New Roman"/>
                <w:sz w:val="18"/>
              </w:rPr>
              <w:t>42.81%</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vMerge/>
            <w:tcBorders>
              <w:left w:val="single" w:sz="4" w:space="0" w:color="000000"/>
              <w:bottom w:val="single" w:sz="4" w:space="0" w:color="000000"/>
              <w:right w:val="single" w:sz="4" w:space="0" w:color="000000"/>
            </w:tcBorders>
          </w:tcPr>
          <w:p>
            <w:pPr/>
          </w:p>
        </w:tc>
        <w:tc>
          <w:tcPr>
            <w:tcW w:w="1551" w:type="dxa"/>
            <w:vMerge/>
            <w:tcBorders>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vMerge/>
            <w:tcBorders>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云马智慧公司</w:t>
            </w:r>
          </w:p>
        </w:tc>
        <w:tc>
          <w:tcPr>
            <w:tcW w:w="15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关联方往来</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4,099,934.25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27" w:right="0"/>
              <w:jc w:val="left"/>
              <w:rPr>
                <w:rFonts w:ascii="Times New Roman" w:hAnsi="Times New Roman" w:cs="Times New Roman" w:eastAsia="Times New Roman" w:hint="default"/>
                <w:sz w:val="18"/>
                <w:szCs w:val="18"/>
              </w:rPr>
            </w:pPr>
            <w:r>
              <w:rPr>
                <w:rFonts w:ascii="Times New Roman"/>
                <w:sz w:val="18"/>
              </w:rPr>
              <w:t>10.63%</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685" w:type="dxa"/>
            <w:vMerge/>
            <w:tcBorders>
              <w:left w:val="single" w:sz="4" w:space="0" w:color="000000"/>
              <w:right w:val="single" w:sz="4" w:space="0" w:color="000000"/>
            </w:tcBorders>
          </w:tcPr>
          <w:p>
            <w:pPr/>
          </w:p>
        </w:tc>
        <w:tc>
          <w:tcPr>
            <w:tcW w:w="1551" w:type="dxa"/>
            <w:vMerge/>
            <w:tcBorders>
              <w:left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1,462,313.71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vMerge/>
            <w:tcBorders>
              <w:left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vMerge/>
            <w:tcBorders>
              <w:left w:val="single" w:sz="4" w:space="0" w:color="000000"/>
              <w:bottom w:val="single" w:sz="4" w:space="0" w:color="000000"/>
              <w:right w:val="single" w:sz="4" w:space="0" w:color="000000"/>
            </w:tcBorders>
          </w:tcPr>
          <w:p>
            <w:pPr/>
          </w:p>
        </w:tc>
        <w:tc>
          <w:tcPr>
            <w:tcW w:w="1551" w:type="dxa"/>
            <w:vMerge/>
            <w:tcBorders>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7,244,211.40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vMerge/>
            <w:tcBorders>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福建正元公司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关联方往来</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6,692,083.83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5.55%</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正元数据公司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关联方往来</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4,901,576.40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4.07%</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杭州容博公司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关联方往来</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3.32%</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79,996,996.31</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66.38%</w:t>
            </w: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长期股权投资" w:id="416"/>
      <w:bookmarkEnd w:id="41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9"/>
        <w:gridCol w:w="1368"/>
        <w:gridCol w:w="1364"/>
        <w:gridCol w:w="1369"/>
        <w:gridCol w:w="1369"/>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79,648,960.00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1,056,100.00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78,592,860.00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65,528,960.00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1,056,100.00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64,472,860.00</w:t>
            </w: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58"/>
              <w:jc w:val="left"/>
              <w:rPr>
                <w:rFonts w:ascii="宋体" w:hAnsi="宋体" w:cs="宋体" w:eastAsia="宋体" w:hint="default"/>
                <w:sz w:val="18"/>
                <w:szCs w:val="18"/>
              </w:rPr>
            </w:pPr>
            <w:r>
              <w:rPr>
                <w:rFonts w:ascii="宋体" w:hAnsi="宋体" w:cs="宋体" w:eastAsia="宋体" w:hint="default"/>
                <w:spacing w:val="-3"/>
                <w:sz w:val="18"/>
                <w:szCs w:val="18"/>
              </w:rPr>
              <w:t>对联营、合营企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128,565,157.73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128,565,157.73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77,852,110.72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77,852,110.72</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208,214,117.73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1,056,100.00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207,158,017.73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143,381,070.72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1,056,100.00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142,324,970.72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1）对子公司投资" w:id="417"/>
      <w:bookmarkEnd w:id="4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404"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102"/>
              <w:ind w:left="278" w:right="95" w:hanging="18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w:t>
            </w:r>
            <w:r>
              <w:rPr>
                <w:rFonts w:ascii="宋体" w:hAnsi="宋体" w:cs="宋体" w:eastAsia="宋体" w:hint="default"/>
                <w:spacing w:val="-75"/>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102"/>
              <w:ind w:left="393" w:right="33"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422" w:right="55" w:hanging="360"/>
              <w:jc w:val="left"/>
              <w:rPr>
                <w:rFonts w:ascii="宋体" w:hAnsi="宋体" w:cs="宋体" w:eastAsia="宋体" w:hint="default"/>
                <w:sz w:val="18"/>
                <w:szCs w:val="18"/>
              </w:rPr>
            </w:pPr>
            <w:r>
              <w:rPr>
                <w:rFonts w:ascii="宋体" w:hAnsi="宋体" w:cs="宋体" w:eastAsia="宋体" w:hint="default"/>
                <w:spacing w:val="-2"/>
                <w:sz w:val="18"/>
                <w:szCs w:val="18"/>
              </w:rPr>
              <w:t>减值准备期末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广西筑波公司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5,910,000.00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5,910,000.00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南昌正元公司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青岛天高公司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正元数据公司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杭州容博公司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3,150,000.00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云马智慧公司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6,337,800.00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13,987,800.00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756,100.00</w:t>
            </w: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福建正元公司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校云智慧公司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四川正元公司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正元曦客公司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3,920,000.00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9,020,000.00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正元曦客公司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25,500,000.00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坚果智慧公司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3,675,060.00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3,675,060.00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双旗智慧公司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64,472,860.00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14,120,000.00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78,592,860.00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1,056,100.00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对联营、合营企业投资" w:id="418"/>
      <w:bookmarkEnd w:id="4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4"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3"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pacing w:val="-2"/>
                <w:sz w:val="18"/>
                <w:szCs w:val="18"/>
              </w:rPr>
              <w:t>杭州卓然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60,747,97</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-1,375,83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-1,300,21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94,071,92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pacing w:val="-2"/>
                <w:sz w:val="18"/>
                <w:szCs w:val="18"/>
              </w:rPr>
              <w:t>重庆汇贤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15,481,78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5.76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1,668,890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.97</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17,150,67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pacing w:val="-2"/>
                <w:sz w:val="18"/>
                <w:szCs w:val="18"/>
              </w:rPr>
              <w:t>无锡汇众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1,622,352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18,427.44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1,640,780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pacing w:val="-2"/>
                <w:sz w:val="18"/>
                <w:szCs w:val="18"/>
              </w:rPr>
              <w:t>常电股份</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14,996,00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852,475.8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-146,700.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15,701,77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5.85</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77,852,11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50,996,00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1,163,963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-146,700.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-1,300,21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128,565,1</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57.73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77,852,11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50,996,00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1,163,963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-146,700.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-1,300,21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128,565,1</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57.73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506" w:lineRule="auto" w:before="36"/>
        <w:ind w:left="153" w:right="3111" w:firstLine="0"/>
        <w:jc w:val="left"/>
        <w:rPr>
          <w:rFonts w:ascii="宋体" w:hAnsi="宋体" w:cs="宋体" w:eastAsia="宋体" w:hint="default"/>
          <w:sz w:val="21"/>
          <w:szCs w:val="21"/>
        </w:rPr>
      </w:pPr>
      <w:bookmarkStart w:name="（3）其他说明" w:id="419"/>
      <w:bookmarkEnd w:id="4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w w:val="100"/>
          <w:sz w:val="21"/>
          <w:szCs w:val="21"/>
        </w:rPr>
        <w:t> </w:t>
      </w:r>
      <w:r>
        <w:rPr>
          <w:rFonts w:ascii="宋体" w:hAnsi="宋体" w:cs="宋体" w:eastAsia="宋体" w:hint="default"/>
          <w:spacing w:val="-1"/>
          <w:sz w:val="21"/>
          <w:szCs w:val="21"/>
        </w:rPr>
        <w:t>其他系公司与杭州卓然实业有限公司内部交易未实现利润</w:t>
      </w:r>
      <w:r>
        <w:rPr>
          <w:rFonts w:ascii="Times New Roman" w:hAnsi="Times New Roman" w:cs="Times New Roman" w:eastAsia="Times New Roman" w:hint="default"/>
          <w:spacing w:val="-1"/>
          <w:sz w:val="21"/>
          <w:szCs w:val="21"/>
        </w:rPr>
        <w:t>1,300,216.21</w:t>
      </w:r>
      <w:r>
        <w:rPr>
          <w:rFonts w:ascii="宋体" w:hAnsi="宋体" w:cs="宋体" w:eastAsia="宋体" w:hint="default"/>
          <w:spacing w:val="-1"/>
          <w:sz w:val="21"/>
          <w:szCs w:val="21"/>
        </w:rPr>
        <w:t>元。</w:t>
      </w:r>
      <w:r>
        <w:rPr>
          <w:rFonts w:ascii="宋体" w:hAnsi="宋体" w:cs="宋体" w:eastAsia="宋体" w:hint="default"/>
          <w:spacing w:val="-61"/>
          <w:sz w:val="21"/>
          <w:szCs w:val="21"/>
        </w:rPr>
        <w:t> </w:t>
      </w:r>
      <w:bookmarkStart w:name="4、营业收入和营业成本" w:id="420"/>
      <w:bookmarkEnd w:id="420"/>
      <w:r>
        <w:rPr>
          <w:rFonts w:ascii="宋体" w:hAnsi="宋体" w:cs="宋体" w:eastAsia="宋体" w:hint="default"/>
          <w:spacing w:val="-61"/>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before="9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7"/>
        <w:gridCol w:w="1916"/>
        <w:gridCol w:w="1911"/>
        <w:gridCol w:w="1916"/>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752"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574,657,883.43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380,054,933.44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443,349,748.18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276,242,453.45</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574,657,883.43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380,054,933.44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443,349,748.18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276,242,453.45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3" w:lineRule="auto" w:before="115"/>
        <w:ind w:left="153" w:right="92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r>
        <w:rPr>
          <w:rFonts w:ascii="宋体" w:hAnsi="宋体" w:cs="宋体" w:eastAsia="宋体" w:hint="default"/>
          <w:spacing w:val="-89"/>
          <w:sz w:val="18"/>
          <w:szCs w:val="18"/>
        </w:rPr>
        <w:t> </w:t>
      </w:r>
      <w:r>
        <w:rPr>
          <w:rFonts w:ascii="宋体" w:hAnsi="宋体" w:cs="宋体" w:eastAsia="宋体" w:hint="default"/>
          <w:sz w:val="18"/>
          <w:szCs w:val="18"/>
        </w:rPr>
        <w:t>其他说明：</w:t>
      </w:r>
    </w:p>
    <w:p>
      <w:pPr>
        <w:spacing w:line="240" w:lineRule="auto" w:before="5"/>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5、投资收益" w:id="421"/>
      <w:bookmarkEnd w:id="42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3,080,843.48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2,137,700.00</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-136,252.99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803,344.90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841,221.97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2,331,479.51</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3,785,812.46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5,272,524.41</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6、其他" w:id="422"/>
      <w:bookmarkEnd w:id="42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423"/>
      <w:bookmarkEnd w:id="423"/>
      <w:r>
        <w:rPr>
          <w:b w:val="0"/>
          <w:bCs w:val="0"/>
        </w:rPr>
      </w:r>
      <w:r>
        <w:rPr/>
        <w:t>十八、补充资料</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当期非经常性损益明细表" w:id="424"/>
      <w:bookmarkEnd w:id="42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-144,918.80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8,241,343.80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除增值税软件退税外的政府补助</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16"/>
        <w:gridCol w:w="3070"/>
        <w:gridCol w:w="3188"/>
      </w:tblGrid>
      <w:tr>
        <w:trPr>
          <w:trHeight w:val="67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 w:right="36"/>
              <w:jc w:val="left"/>
              <w:rPr>
                <w:rFonts w:ascii="宋体" w:hAnsi="宋体" w:cs="宋体" w:eastAsia="宋体" w:hint="default"/>
                <w:sz w:val="18"/>
                <w:szCs w:val="18"/>
              </w:rPr>
            </w:pP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3070"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性金融资产、衍生金融资产、交易性金融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1,313,685.54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银行理财收益</w:t>
            </w: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-3,720,439.11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主要系对外捐赠</w:t>
            </w: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559,403.01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662,011.57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4,468,256.85</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63"/>
        <w:ind w:left="153" w:right="1151"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净资产收益率及每股收益" w:id="425"/>
      <w:bookmarkEnd w:id="42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3"/>
        <w:gridCol w:w="3078"/>
        <w:gridCol w:w="1916"/>
        <w:gridCol w:w="1911"/>
      </w:tblGrid>
      <w:tr>
        <w:trPr>
          <w:trHeight w:val="206" w:hRule="exact"/>
        </w:trPr>
        <w:tc>
          <w:tcPr>
            <w:tcW w:w="2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86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3" w:type="dxa"/>
            <w:vMerge/>
            <w:tcBorders>
              <w:left w:val="single" w:sz="4" w:space="0" w:color="000000"/>
              <w:bottom w:val="nil" w:sz="6" w:space="0" w:color="auto"/>
              <w:right w:val="single" w:sz="4" w:space="0" w:color="000000"/>
            </w:tcBorders>
            <w:shd w:val="clear" w:color="auto" w:fill="D2D2D2"/>
          </w:tcPr>
          <w:p>
            <w:pPr/>
          </w:p>
        </w:tc>
        <w:tc>
          <w:tcPr>
            <w:tcW w:w="3078"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2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0.36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0.36</w:t>
            </w:r>
          </w:p>
        </w:tc>
      </w:tr>
      <w:tr>
        <w:trPr>
          <w:trHeight w:val="715"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0.32</w:t>
            </w:r>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bookmarkStart w:name="3、境内外会计准则下会计数据差异" w:id="426"/>
      <w:bookmarkEnd w:id="4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同时按照国际会计准则与按中国会计准则披露的财务报告中净利润和净资产差异情况" w:id="427"/>
      <w:bookmarkEnd w:id="4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同时按照境外会计准则与按中国会计准则披露的财务报告中净利润和净资产差异情况" w:id="428"/>
      <w:bookmarkEnd w:id="4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line="254" w:lineRule="auto" w:before="0"/>
        <w:ind w:left="153" w:right="0" w:firstLine="0"/>
        <w:jc w:val="left"/>
        <w:rPr>
          <w:rFonts w:ascii="宋体" w:hAnsi="宋体" w:cs="宋体" w:eastAsia="宋体" w:hint="default"/>
          <w:sz w:val="21"/>
          <w:szCs w:val="21"/>
        </w:rPr>
      </w:pPr>
      <w:bookmarkStart w:name="（3）境内外会计准则下会计数据差异原因说明，对已经境外审计机构审计的数据进行差异" w:id="429"/>
      <w:bookmarkEnd w:id="4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66"/>
          <w:sz w:val="21"/>
          <w:szCs w:val="21"/>
        </w:rPr>
        <w:t> </w:t>
      </w:r>
      <w:r>
        <w:rPr>
          <w:rFonts w:ascii="宋体" w:hAnsi="宋体" w:cs="宋体" w:eastAsia="宋体" w:hint="default"/>
          <w:b/>
          <w:bCs/>
          <w:spacing w:val="-66"/>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0"/>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4、其他" w:id="430"/>
      <w:bookmarkEnd w:id="43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1"/>
        <w:spacing w:line="240" w:lineRule="auto"/>
        <w:ind w:left="3365" w:right="0"/>
        <w:jc w:val="left"/>
        <w:rPr>
          <w:b w:val="0"/>
          <w:bCs w:val="0"/>
        </w:rPr>
      </w:pPr>
      <w:bookmarkStart w:name="第十三节备查文件目录" w:id="431"/>
      <w:bookmarkEnd w:id="431"/>
      <w:r>
        <w:rPr>
          <w:b w:val="0"/>
          <w:bCs w:val="0"/>
        </w:rPr>
      </w:r>
      <w:r>
        <w:rPr/>
        <w:t>第十三节备查文件目录</w:t>
      </w:r>
      <w:r>
        <w:rPr>
          <w:b w:val="0"/>
          <w:bCs w:val="0"/>
        </w:rPr>
      </w:r>
    </w:p>
    <w:p>
      <w:pPr>
        <w:spacing w:line="240" w:lineRule="auto" w:before="12"/>
        <w:rPr>
          <w:rFonts w:ascii="宋体" w:hAnsi="宋体" w:cs="宋体" w:eastAsia="宋体" w:hint="default"/>
          <w:b/>
          <w:bCs/>
          <w:sz w:val="44"/>
          <w:szCs w:val="44"/>
        </w:rPr>
      </w:pPr>
    </w:p>
    <w:p>
      <w:pPr>
        <w:pStyle w:val="BodyText"/>
        <w:spacing w:line="357" w:lineRule="auto"/>
        <w:ind w:left="633" w:right="0"/>
        <w:jc w:val="left"/>
      </w:pPr>
      <w:r>
        <w:rPr>
          <w:spacing w:val="-6"/>
        </w:rPr>
        <w:t>一、载有法定代表人、主管会计工作负责人、会计机构负责人签名并盖公章的财务报表。</w:t>
      </w:r>
      <w:r>
        <w:rPr>
          <w:spacing w:val="-90"/>
        </w:rPr>
        <w:t> </w:t>
      </w:r>
      <w:r>
        <w:rPr>
          <w:spacing w:val="-90"/>
        </w:rPr>
      </w:r>
      <w:r>
        <w:rPr/>
        <w:t>二、载有会计师事务所盖章、注册会计师签名并盖章的审计报告原件。 三、报告期内在中国证监会指定网站上公开披露过的所有公司文件的正本及公告原稿。 四、载有董事长签名的</w:t>
      </w:r>
      <w:r>
        <w:rPr>
          <w:rFonts w:ascii="Times New Roman" w:hAnsi="Times New Roman" w:cs="Times New Roman" w:eastAsia="Times New Roman" w:hint="default"/>
        </w:rPr>
        <w:t>2019</w:t>
      </w:r>
      <w:r>
        <w:rPr/>
        <w:t>年年度报告文本原件。</w:t>
      </w:r>
    </w:p>
    <w:p>
      <w:pPr>
        <w:pStyle w:val="BodyText"/>
        <w:spacing w:line="355" w:lineRule="auto" w:before="8"/>
        <w:ind w:left="633" w:right="5231"/>
        <w:jc w:val="left"/>
      </w:pPr>
      <w:r>
        <w:rPr/>
        <w:t>五、其他备查文件。 以上备查文件的备置地点：公司董事会办公室。</w:t>
      </w:r>
    </w:p>
    <w:sectPr>
      <w:pgSz w:w="11910" w:h="16840"/>
      <w:pgMar w:header="741"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3744" type="#_x0000_t75" stroked="false">
          <v:imagedata r:id="rId1" o:title=""/>
        </v:shape>
      </w:pict>
    </w:r>
    <w:r>
      <w:rPr/>
      <w:pict>
        <v:shape style="position:absolute;margin-left:533.190002pt;margin-top:795.661377pt;width:6.6pt;height:11.15pt;mso-position-horizontal-relative:page;mso-position-vertical-relative:page;z-index:-1183720"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3696" type="#_x0000_t75" stroked="false">
          <v:imagedata r:id="rId1" o:title=""/>
        </v:shape>
      </w:pict>
    </w:r>
    <w:r>
      <w:rPr/>
      <w:pict>
        <v:shape style="position:absolute;margin-left:527.869995pt;margin-top:781.957336pt;width:13.15pt;height:11.15pt;mso-position-horizontal-relative:page;mso-position-vertical-relative:page;z-index:-118367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3648" type="#_x0000_t75" stroked="false">
          <v:imagedata r:id="rId1" o:title=""/>
        </v:shape>
      </w:pict>
    </w:r>
    <w:r>
      <w:rPr/>
      <w:pict>
        <v:shape style="position:absolute;margin-left:524.309998pt;margin-top:781.957336pt;width:15.7pt;height:11.15pt;mso-position-horizontal-relative:page;mso-position-vertical-relative:page;z-index:-1183624"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3600" type="#_x0000_t75" stroked="false">
          <v:imagedata r:id="rId1" o:title=""/>
        </v:shape>
      </w:pict>
    </w:r>
    <w:r>
      <w:rPr/>
      <w:pict>
        <v:shape style="position:absolute;margin-left:523.309998pt;margin-top:781.957336pt;width:17.7pt;height:11.15pt;mso-position-horizontal-relative:page;mso-position-vertical-relative:page;z-index:-118357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3552" type="#_x0000_t75" stroked="false">
          <v:imagedata r:id="rId1" o:title=""/>
        </v:shape>
      </w:pict>
    </w:r>
    <w:r>
      <w:rPr/>
      <w:pict>
        <v:shape style="position:absolute;margin-left:524.309998pt;margin-top:781.957336pt;width:15.7pt;height:11.15pt;mso-position-horizontal-relative:page;mso-position-vertical-relative:page;z-index:-118352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3504" type="#_x0000_t75" stroked="false">
          <v:imagedata r:id="rId1" o:title=""/>
        </v:shape>
      </w:pict>
    </w:r>
    <w:r>
      <w:rPr/>
      <w:pict>
        <v:shape style="position:absolute;margin-left:523.309998pt;margin-top:781.957336pt;width:17.7pt;height:11.15pt;mso-position-horizontal-relative:page;mso-position-vertical-relative:page;z-index:-118348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239990pt;margin-top:36.062485pt;width:213.8pt;height:11.65pt;mso-position-horizontal-relative:page;mso-position-vertical-relative:page;z-index:-118376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浙江正元智慧科技股份有限公司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2"/>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4"/>
      <w:szCs w:val="24"/>
    </w:rPr>
  </w:style>
  <w:style w:styleId="Heading1" w:type="paragraph">
    <w:name w:val="Heading 1"/>
    <w:basedOn w:val="Normal"/>
    <w:uiPriority w:val="1"/>
    <w:qFormat/>
    <w:pPr>
      <w:spacing w:before="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hzsun.com/" TargetMode="External"/><Relationship Id="rId10" Type="http://schemas.openxmlformats.org/officeDocument/2006/relationships/hyperlink" Target="mailto:ir@hzsun.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浙江正元智慧科技股份有限公司</dc:creator>
  <dc:title>浙江正元智慧科技股份有限公司2019年年度报告全文</dc:title>
  <dcterms:created xsi:type="dcterms:W3CDTF">2020-05-19T14:44:32Z</dcterms:created>
  <dcterms:modified xsi:type="dcterms:W3CDTF">2020-05-19T14:44:32Z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